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5C18C3">
      <w:pPr>
        <w:ind w:firstLine="0" w:firstLineChars="0"/>
        <w:rPr>
          <w:rFonts w:hint="eastAsia" w:eastAsia="宋体"/>
          <w:color w:val="FF0000"/>
          <w:sz w:val="36"/>
          <w:szCs w:val="36"/>
          <w:lang w:val="en-US" w:eastAsia="zh-CN"/>
        </w:rPr>
      </w:pPr>
      <w:bookmarkStart w:id="0" w:name="_Hlk57883707"/>
      <w:r>
        <w:rPr>
          <w:rFonts w:hint="eastAsia"/>
          <w:color w:val="FF0000"/>
          <w:sz w:val="36"/>
          <w:szCs w:val="36"/>
          <w:lang w:val="en-US" w:eastAsia="zh-CN"/>
        </w:rPr>
        <w:t>`</w:t>
      </w:r>
    </w:p>
    <w:bookmarkEnd w:id="0"/>
    <w:p w14:paraId="0D2EE210">
      <w:pPr>
        <w:pStyle w:val="23"/>
        <w:ind w:left="0" w:leftChars="0" w:firstLine="0" w:firstLineChars="0"/>
      </w:pPr>
    </w:p>
    <w:p w14:paraId="5AA329FF">
      <w:pPr>
        <w:adjustRightInd w:val="0"/>
        <w:snapToGrid w:val="0"/>
        <w:spacing w:line="240" w:lineRule="auto"/>
        <w:ind w:firstLine="0" w:firstLineChars="0"/>
        <w:jc w:val="center"/>
        <w:outlineLvl w:val="0"/>
        <w:rPr>
          <w:rFonts w:ascii="宋体" w:hAnsi="宋体" w:cs="宋体"/>
          <w:b/>
          <w:sz w:val="72"/>
          <w:szCs w:val="72"/>
        </w:rPr>
      </w:pPr>
      <w:r>
        <w:rPr>
          <w:rFonts w:ascii="宋体" w:hAnsi="宋体" w:cs="宋体"/>
          <w:b/>
          <w:sz w:val="72"/>
          <w:szCs w:val="72"/>
        </w:rPr>
        <w:t>建设项目环境影响报告表</w:t>
      </w:r>
    </w:p>
    <w:p w14:paraId="408EFF97">
      <w:pPr>
        <w:adjustRightInd w:val="0"/>
        <w:snapToGrid w:val="0"/>
        <w:spacing w:line="240" w:lineRule="auto"/>
        <w:ind w:firstLine="0" w:firstLineChars="0"/>
        <w:jc w:val="center"/>
        <w:outlineLvl w:val="0"/>
        <w:rPr>
          <w:rFonts w:ascii="宋体" w:hAnsi="宋体" w:cs="宋体"/>
          <w:b/>
          <w:sz w:val="48"/>
          <w:szCs w:val="48"/>
        </w:rPr>
      </w:pPr>
      <w:r>
        <w:rPr>
          <w:rFonts w:ascii="宋体" w:hAnsi="宋体" w:cs="宋体"/>
          <w:b/>
          <w:sz w:val="48"/>
          <w:szCs w:val="48"/>
        </w:rPr>
        <w:t>（生态影响类）</w:t>
      </w:r>
    </w:p>
    <w:p w14:paraId="48F02988">
      <w:pPr>
        <w:ind w:firstLine="480"/>
      </w:pPr>
      <w:bookmarkStart w:id="1" w:name="_Hlk57883728"/>
    </w:p>
    <w:p w14:paraId="407632E7">
      <w:pPr>
        <w:ind w:firstLine="1040"/>
        <w:jc w:val="center"/>
        <w:rPr>
          <w:sz w:val="52"/>
          <w:szCs w:val="52"/>
        </w:rPr>
      </w:pPr>
    </w:p>
    <w:p w14:paraId="118BA25C">
      <w:pPr>
        <w:ind w:firstLine="880"/>
        <w:rPr>
          <w:sz w:val="44"/>
          <w:szCs w:val="44"/>
        </w:rPr>
      </w:pPr>
    </w:p>
    <w:p w14:paraId="34E0601D">
      <w:pPr>
        <w:pStyle w:val="23"/>
        <w:ind w:left="480" w:firstLine="880"/>
        <w:rPr>
          <w:sz w:val="44"/>
          <w:szCs w:val="44"/>
        </w:rPr>
      </w:pPr>
    </w:p>
    <w:p w14:paraId="1ED41752">
      <w:pPr>
        <w:ind w:firstLine="880"/>
        <w:rPr>
          <w:sz w:val="44"/>
          <w:szCs w:val="44"/>
        </w:rPr>
      </w:pPr>
    </w:p>
    <w:p w14:paraId="498F7603">
      <w:pPr>
        <w:pStyle w:val="23"/>
        <w:ind w:left="480" w:firstLine="480"/>
      </w:pPr>
    </w:p>
    <w:p w14:paraId="1FAF2709">
      <w:pPr>
        <w:ind w:firstLine="0" w:firstLineChars="0"/>
        <w:rPr>
          <w:sz w:val="44"/>
          <w:szCs w:val="44"/>
        </w:rPr>
      </w:pPr>
    </w:p>
    <w:bookmarkEnd w:id="1"/>
    <w:p w14:paraId="1D7944DC">
      <w:pPr>
        <w:ind w:firstLine="843" w:firstLineChars="300"/>
        <w:rPr>
          <w:b/>
          <w:bCs/>
          <w:sz w:val="28"/>
          <w:szCs w:val="28"/>
          <w:u w:val="single"/>
        </w:rPr>
      </w:pPr>
      <w:r>
        <w:rPr>
          <w:b/>
          <w:bCs/>
          <w:sz w:val="28"/>
          <w:szCs w:val="28"/>
        </w:rPr>
        <w:t>项目名称：</w:t>
      </w:r>
      <w:r>
        <w:rPr>
          <w:rFonts w:hint="eastAsia"/>
          <w:b/>
          <w:bCs/>
          <w:sz w:val="28"/>
          <w:szCs w:val="28"/>
          <w:u w:val="thick"/>
        </w:rPr>
        <w:t>宝鸡市陈仓区梨树沟冶金用脉石英矿生产</w:t>
      </w:r>
      <w:r>
        <w:rPr>
          <w:b/>
          <w:bCs/>
          <w:sz w:val="28"/>
          <w:szCs w:val="28"/>
          <w:u w:val="thick"/>
        </w:rPr>
        <w:t>项目</w:t>
      </w:r>
    </w:p>
    <w:p w14:paraId="5053756D">
      <w:pPr>
        <w:ind w:firstLine="843" w:firstLineChars="300"/>
        <w:rPr>
          <w:b/>
          <w:bCs/>
          <w:sz w:val="28"/>
          <w:szCs w:val="28"/>
          <w:u w:val="single"/>
        </w:rPr>
      </w:pPr>
      <w:r>
        <w:rPr>
          <w:b/>
          <w:bCs/>
          <w:sz w:val="28"/>
          <w:szCs w:val="28"/>
        </w:rPr>
        <w:t>建设单位</w:t>
      </w:r>
      <w:r>
        <w:rPr>
          <w:b/>
          <w:bCs/>
          <w:sz w:val="28"/>
          <w:szCs w:val="28"/>
          <w:u w:val="single"/>
        </w:rPr>
        <w:t>（盖章）：</w:t>
      </w:r>
      <w:r>
        <w:rPr>
          <w:rFonts w:hint="eastAsia"/>
          <w:b/>
          <w:bCs/>
          <w:sz w:val="28"/>
          <w:szCs w:val="28"/>
          <w:u w:val="single"/>
        </w:rPr>
        <w:t xml:space="preserve">宝鸡昌锦瑞石英科技有限公司      </w:t>
      </w:r>
    </w:p>
    <w:p w14:paraId="2CCCB7B5">
      <w:pPr>
        <w:ind w:firstLine="843" w:firstLineChars="300"/>
        <w:rPr>
          <w:b/>
          <w:bCs/>
          <w:sz w:val="28"/>
          <w:szCs w:val="28"/>
        </w:rPr>
      </w:pPr>
      <w:r>
        <w:rPr>
          <w:b/>
          <w:bCs/>
          <w:sz w:val="28"/>
          <w:szCs w:val="28"/>
        </w:rPr>
        <w:t>编制日期：</w:t>
      </w:r>
      <w:r>
        <w:rPr>
          <w:b/>
          <w:bCs/>
          <w:sz w:val="28"/>
          <w:szCs w:val="28"/>
          <w:u w:val="single"/>
        </w:rPr>
        <w:t xml:space="preserve">         </w:t>
      </w:r>
      <w:r>
        <w:rPr>
          <w:rFonts w:hint="eastAsia"/>
          <w:b/>
          <w:bCs/>
          <w:sz w:val="28"/>
          <w:szCs w:val="28"/>
          <w:u w:val="single"/>
        </w:rPr>
        <w:t>2025</w:t>
      </w:r>
      <w:r>
        <w:rPr>
          <w:b/>
          <w:bCs/>
          <w:sz w:val="28"/>
          <w:szCs w:val="28"/>
          <w:u w:val="single"/>
        </w:rPr>
        <w:t>年</w:t>
      </w:r>
      <w:r>
        <w:rPr>
          <w:rFonts w:hint="eastAsia"/>
          <w:b/>
          <w:bCs/>
          <w:sz w:val="28"/>
          <w:szCs w:val="28"/>
          <w:u w:val="single"/>
        </w:rPr>
        <w:t>10</w:t>
      </w:r>
      <w:r>
        <w:rPr>
          <w:b/>
          <w:bCs/>
          <w:sz w:val="28"/>
          <w:szCs w:val="28"/>
          <w:u w:val="single"/>
        </w:rPr>
        <w:t xml:space="preserve">月    </w:t>
      </w:r>
      <w:r>
        <w:rPr>
          <w:rFonts w:hint="eastAsia"/>
          <w:b/>
          <w:bCs/>
          <w:sz w:val="28"/>
          <w:szCs w:val="28"/>
          <w:u w:val="single"/>
        </w:rPr>
        <w:t xml:space="preserve">       </w:t>
      </w:r>
      <w:r>
        <w:rPr>
          <w:b/>
          <w:bCs/>
          <w:sz w:val="28"/>
          <w:szCs w:val="28"/>
          <w:u w:val="single"/>
        </w:rPr>
        <w:t xml:space="preserve"> </w:t>
      </w:r>
      <w:r>
        <w:rPr>
          <w:rFonts w:hint="eastAsia"/>
          <w:b/>
          <w:bCs/>
          <w:sz w:val="28"/>
          <w:szCs w:val="28"/>
          <w:u w:val="single"/>
        </w:rPr>
        <w:t xml:space="preserve"> </w:t>
      </w:r>
      <w:r>
        <w:rPr>
          <w:b/>
          <w:bCs/>
          <w:sz w:val="28"/>
          <w:szCs w:val="28"/>
          <w:u w:val="single"/>
        </w:rPr>
        <w:t xml:space="preserve"> </w:t>
      </w:r>
      <w:r>
        <w:rPr>
          <w:rFonts w:hint="eastAsia"/>
          <w:b/>
          <w:bCs/>
          <w:sz w:val="28"/>
          <w:szCs w:val="28"/>
          <w:u w:val="single"/>
        </w:rPr>
        <w:t xml:space="preserve">      </w:t>
      </w:r>
      <w:r>
        <w:rPr>
          <w:b/>
          <w:bCs/>
          <w:sz w:val="28"/>
          <w:szCs w:val="28"/>
          <w:u w:val="single"/>
        </w:rPr>
        <w:t xml:space="preserve"> </w:t>
      </w:r>
    </w:p>
    <w:p w14:paraId="44B05DD1">
      <w:pPr>
        <w:adjustRightInd w:val="0"/>
        <w:snapToGrid w:val="0"/>
        <w:spacing w:line="288" w:lineRule="auto"/>
        <w:rPr>
          <w:sz w:val="36"/>
          <w:szCs w:val="36"/>
        </w:rPr>
      </w:pPr>
    </w:p>
    <w:p w14:paraId="3D0BE435">
      <w:pPr>
        <w:adjustRightInd w:val="0"/>
        <w:snapToGrid w:val="0"/>
        <w:spacing w:line="288" w:lineRule="auto"/>
        <w:jc w:val="center"/>
        <w:rPr>
          <w:sz w:val="36"/>
          <w:szCs w:val="36"/>
        </w:rPr>
      </w:pPr>
    </w:p>
    <w:p w14:paraId="0C3E9176">
      <w:pPr>
        <w:adjustRightInd w:val="0"/>
        <w:snapToGrid w:val="0"/>
        <w:spacing w:line="288" w:lineRule="auto"/>
        <w:jc w:val="center"/>
        <w:rPr>
          <w:sz w:val="36"/>
          <w:szCs w:val="36"/>
        </w:rPr>
      </w:pPr>
    </w:p>
    <w:p w14:paraId="575F04ED">
      <w:pPr>
        <w:adjustRightInd w:val="0"/>
        <w:snapToGrid w:val="0"/>
        <w:spacing w:line="288" w:lineRule="auto"/>
        <w:jc w:val="center"/>
        <w:rPr>
          <w:sz w:val="36"/>
          <w:szCs w:val="36"/>
        </w:rPr>
      </w:pPr>
    </w:p>
    <w:p w14:paraId="5958C3EE">
      <w:pPr>
        <w:adjustRightInd w:val="0"/>
        <w:snapToGrid w:val="0"/>
        <w:spacing w:line="288" w:lineRule="auto"/>
        <w:ind w:firstLine="0" w:firstLineChars="0"/>
        <w:jc w:val="center"/>
        <w:rPr>
          <w:sz w:val="36"/>
          <w:szCs w:val="36"/>
        </w:rPr>
        <w:sectPr>
          <w:footerReference r:id="rId5" w:type="default"/>
          <w:footerReference r:id="rId6" w:type="even"/>
          <w:pgSz w:w="11906" w:h="16838"/>
          <w:pgMar w:top="1701" w:right="1531" w:bottom="1701" w:left="1531" w:header="851" w:footer="1077" w:gutter="0"/>
          <w:pgNumType w:start="1"/>
          <w:cols w:space="720" w:num="1"/>
          <w:docGrid w:linePitch="312" w:charSpace="0"/>
        </w:sectPr>
      </w:pPr>
      <w:r>
        <w:rPr>
          <w:b/>
          <w:bCs/>
          <w:sz w:val="28"/>
          <w:szCs w:val="28"/>
        </w:rPr>
        <w:t>中华人民共和国生态环境部制</w:t>
      </w:r>
    </w:p>
    <w:p w14:paraId="6838122A">
      <w:pPr>
        <w:pStyle w:val="20"/>
      </w:pPr>
      <w:r>
        <w:t>一、建设项目基本情况</w:t>
      </w:r>
    </w:p>
    <w:tbl>
      <w:tblPr>
        <w:tblStyle w:val="24"/>
        <w:tblW w:w="4927" w:type="pct"/>
        <w:tblInd w:w="0" w:type="dxa"/>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83"/>
        <w:gridCol w:w="3158"/>
        <w:gridCol w:w="1761"/>
        <w:gridCol w:w="2638"/>
      </w:tblGrid>
      <w:tr w14:paraId="62784942">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677" w:type="pct"/>
            <w:tcMar>
              <w:top w:w="16" w:type="dxa"/>
              <w:left w:w="16" w:type="dxa"/>
              <w:right w:w="16" w:type="dxa"/>
            </w:tcMar>
            <w:vAlign w:val="center"/>
          </w:tcPr>
          <w:p w14:paraId="4A1DBC49">
            <w:pPr>
              <w:spacing w:line="240" w:lineRule="auto"/>
              <w:ind w:firstLine="0" w:firstLineChars="0"/>
              <w:jc w:val="center"/>
            </w:pPr>
            <w:r>
              <w:t>建设项目名称</w:t>
            </w:r>
          </w:p>
        </w:tc>
        <w:tc>
          <w:tcPr>
            <w:tcW w:w="4322" w:type="pct"/>
            <w:gridSpan w:val="3"/>
            <w:vAlign w:val="center"/>
          </w:tcPr>
          <w:p w14:paraId="71CD0CFD">
            <w:pPr>
              <w:spacing w:line="240" w:lineRule="auto"/>
              <w:ind w:firstLine="0" w:firstLineChars="0"/>
              <w:jc w:val="center"/>
            </w:pPr>
            <w:r>
              <w:rPr>
                <w:rFonts w:hint="eastAsia"/>
              </w:rPr>
              <w:t>宝鸡市陈仓区梨树沟冶金用脉石英矿生产项目</w:t>
            </w:r>
          </w:p>
        </w:tc>
      </w:tr>
      <w:tr w14:paraId="57FFD492">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677" w:type="pct"/>
            <w:tcMar>
              <w:top w:w="16" w:type="dxa"/>
              <w:left w:w="16" w:type="dxa"/>
              <w:right w:w="16" w:type="dxa"/>
            </w:tcMar>
            <w:vAlign w:val="center"/>
          </w:tcPr>
          <w:p w14:paraId="3B9F52DA">
            <w:pPr>
              <w:spacing w:line="240" w:lineRule="auto"/>
              <w:ind w:firstLine="0" w:firstLineChars="0"/>
              <w:jc w:val="center"/>
            </w:pPr>
            <w:r>
              <w:t>项目代码</w:t>
            </w:r>
          </w:p>
        </w:tc>
        <w:tc>
          <w:tcPr>
            <w:tcW w:w="4322" w:type="pct"/>
            <w:gridSpan w:val="3"/>
            <w:vAlign w:val="center"/>
          </w:tcPr>
          <w:p w14:paraId="6A3A41EB">
            <w:pPr>
              <w:spacing w:line="240" w:lineRule="auto"/>
              <w:ind w:firstLine="0" w:firstLineChars="0"/>
              <w:jc w:val="center"/>
            </w:pPr>
            <w:r>
              <w:rPr>
                <w:rFonts w:hint="eastAsia"/>
              </w:rPr>
              <w:t>2411-610304-04-01-306586</w:t>
            </w:r>
          </w:p>
        </w:tc>
      </w:tr>
      <w:tr w14:paraId="57D16874">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677" w:type="pct"/>
            <w:tcMar>
              <w:top w:w="16" w:type="dxa"/>
              <w:left w:w="16" w:type="dxa"/>
              <w:right w:w="16" w:type="dxa"/>
            </w:tcMar>
            <w:vAlign w:val="center"/>
          </w:tcPr>
          <w:p w14:paraId="5905FA77">
            <w:pPr>
              <w:spacing w:line="240" w:lineRule="auto"/>
              <w:ind w:firstLine="0" w:firstLineChars="0"/>
              <w:jc w:val="center"/>
            </w:pPr>
            <w:bookmarkStart w:id="4" w:name="_GoBack"/>
            <w:bookmarkEnd w:id="4"/>
            <w:r>
              <w:t>建设地点</w:t>
            </w:r>
          </w:p>
        </w:tc>
        <w:tc>
          <w:tcPr>
            <w:tcW w:w="4322" w:type="pct"/>
            <w:gridSpan w:val="3"/>
            <w:vAlign w:val="center"/>
          </w:tcPr>
          <w:p w14:paraId="55667CDF">
            <w:pPr>
              <w:spacing w:line="240" w:lineRule="auto"/>
              <w:ind w:firstLine="0" w:firstLineChars="0"/>
              <w:jc w:val="center"/>
            </w:pPr>
            <w:r>
              <w:t>陕西省宝鸡市陈仓区</w:t>
            </w:r>
            <w:r>
              <w:rPr>
                <w:rFonts w:hint="eastAsia"/>
              </w:rPr>
              <w:t>香泉镇梨树沟</w:t>
            </w:r>
          </w:p>
        </w:tc>
      </w:tr>
      <w:tr w14:paraId="7F02CFBA">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677" w:type="pct"/>
            <w:tcMar>
              <w:top w:w="16" w:type="dxa"/>
              <w:left w:w="16" w:type="dxa"/>
              <w:right w:w="16" w:type="dxa"/>
            </w:tcMar>
            <w:vAlign w:val="center"/>
          </w:tcPr>
          <w:p w14:paraId="17A10422">
            <w:pPr>
              <w:spacing w:line="240" w:lineRule="auto"/>
              <w:ind w:firstLine="0" w:firstLineChars="0"/>
              <w:jc w:val="center"/>
            </w:pPr>
            <w:r>
              <w:t>地理坐标</w:t>
            </w:r>
          </w:p>
        </w:tc>
        <w:tc>
          <w:tcPr>
            <w:tcW w:w="4322" w:type="pct"/>
            <w:gridSpan w:val="3"/>
            <w:vAlign w:val="center"/>
          </w:tcPr>
          <w:p w14:paraId="17284599">
            <w:pPr>
              <w:spacing w:line="240" w:lineRule="auto"/>
              <w:ind w:firstLine="0" w:firstLineChars="0"/>
              <w:jc w:val="center"/>
            </w:pPr>
            <w:r>
              <w:rPr>
                <w:rFonts w:hint="eastAsia"/>
              </w:rPr>
              <w:t>矿区中心坐标</w:t>
            </w:r>
            <w:r>
              <w:t>（</w:t>
            </w:r>
            <w:r>
              <w:rPr>
                <w:u w:val="single"/>
              </w:rPr>
              <w:t>106</w:t>
            </w:r>
            <w:r>
              <w:t>度</w:t>
            </w:r>
            <w:r>
              <w:rPr>
                <w:u w:val="single"/>
              </w:rPr>
              <w:t>4</w:t>
            </w:r>
            <w:r>
              <w:rPr>
                <w:rFonts w:hint="eastAsia"/>
                <w:u w:val="single"/>
              </w:rPr>
              <w:t>8</w:t>
            </w:r>
            <w:r>
              <w:t>分</w:t>
            </w:r>
            <w:r>
              <w:rPr>
                <w:rFonts w:hint="eastAsia"/>
              </w:rPr>
              <w:t>48.090</w:t>
            </w:r>
            <w:r>
              <w:t>秒，</w:t>
            </w:r>
            <w:r>
              <w:rPr>
                <w:u w:val="single"/>
              </w:rPr>
              <w:t>34</w:t>
            </w:r>
            <w:r>
              <w:t>度</w:t>
            </w:r>
            <w:r>
              <w:rPr>
                <w:rFonts w:hint="eastAsia"/>
                <w:u w:val="single"/>
              </w:rPr>
              <w:t>35</w:t>
            </w:r>
            <w:r>
              <w:t>分</w:t>
            </w:r>
            <w:r>
              <w:rPr>
                <w:rFonts w:hint="eastAsia"/>
                <w:u w:val="single"/>
              </w:rPr>
              <w:t>13.100</w:t>
            </w:r>
            <w:r>
              <w:t>秒）</w:t>
            </w:r>
          </w:p>
        </w:tc>
      </w:tr>
      <w:tr w14:paraId="2AEB677C">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677" w:type="pct"/>
            <w:tcMar>
              <w:top w:w="16" w:type="dxa"/>
              <w:left w:w="16" w:type="dxa"/>
              <w:right w:w="16" w:type="dxa"/>
            </w:tcMar>
            <w:vAlign w:val="center"/>
          </w:tcPr>
          <w:p w14:paraId="29E807E9">
            <w:pPr>
              <w:spacing w:line="240" w:lineRule="auto"/>
              <w:ind w:firstLine="0" w:firstLineChars="0"/>
              <w:jc w:val="center"/>
              <w:rPr>
                <w:kern w:val="0"/>
              </w:rPr>
            </w:pPr>
            <w:r>
              <w:rPr>
                <w:kern w:val="0"/>
              </w:rPr>
              <w:t>建设项目</w:t>
            </w:r>
          </w:p>
          <w:p w14:paraId="45843A81">
            <w:pPr>
              <w:spacing w:line="240" w:lineRule="auto"/>
              <w:ind w:firstLine="0" w:firstLineChars="0"/>
              <w:jc w:val="center"/>
              <w:rPr>
                <w:kern w:val="0"/>
              </w:rPr>
            </w:pPr>
            <w:r>
              <w:rPr>
                <w:kern w:val="0"/>
              </w:rPr>
              <w:t>行业类别</w:t>
            </w:r>
          </w:p>
        </w:tc>
        <w:tc>
          <w:tcPr>
            <w:tcW w:w="1806" w:type="pct"/>
            <w:vAlign w:val="center"/>
          </w:tcPr>
          <w:p w14:paraId="7CC53DED">
            <w:pPr>
              <w:spacing w:line="240" w:lineRule="auto"/>
              <w:ind w:firstLine="0" w:firstLineChars="0"/>
              <w:jc w:val="left"/>
              <w:rPr>
                <w:kern w:val="0"/>
              </w:rPr>
            </w:pPr>
            <w:r>
              <w:rPr>
                <w:kern w:val="0"/>
              </w:rPr>
              <w:t>八、非金属矿采选业 1011土砂石开采 101（不含河道采砂项目）</w:t>
            </w:r>
          </w:p>
        </w:tc>
        <w:tc>
          <w:tcPr>
            <w:tcW w:w="1007" w:type="pct"/>
            <w:vAlign w:val="center"/>
          </w:tcPr>
          <w:p w14:paraId="35E5AFD9">
            <w:pPr>
              <w:spacing w:line="240" w:lineRule="auto"/>
              <w:ind w:firstLine="0" w:firstLineChars="0"/>
              <w:jc w:val="center"/>
              <w:rPr>
                <w:color w:val="0000FF"/>
              </w:rPr>
            </w:pPr>
            <w:r>
              <w:rPr>
                <w:color w:val="0000FF"/>
              </w:rPr>
              <w:t>用地（用海）面积（m</w:t>
            </w:r>
            <w:r>
              <w:rPr>
                <w:color w:val="0000FF"/>
                <w:vertAlign w:val="superscript"/>
              </w:rPr>
              <w:t>2</w:t>
            </w:r>
            <w:r>
              <w:rPr>
                <w:color w:val="0000FF"/>
              </w:rPr>
              <w:t>）/长度（km）</w:t>
            </w:r>
          </w:p>
        </w:tc>
        <w:tc>
          <w:tcPr>
            <w:tcW w:w="1508" w:type="pct"/>
            <w:vAlign w:val="center"/>
          </w:tcPr>
          <w:p w14:paraId="4797F052">
            <w:pPr>
              <w:pStyle w:val="7"/>
              <w:spacing w:line="240" w:lineRule="auto"/>
              <w:ind w:firstLine="0" w:firstLineChars="0"/>
              <w:jc w:val="center"/>
              <w:rPr>
                <w:rFonts w:hint="eastAsia" w:eastAsia="宋体"/>
                <w:color w:val="0000FF"/>
                <w:sz w:val="24"/>
                <w:vertAlign w:val="superscript"/>
                <w:lang w:eastAsia="zh-CN"/>
              </w:rPr>
            </w:pPr>
            <w:r>
              <w:rPr>
                <w:color w:val="0000FF"/>
                <w:kern w:val="44"/>
                <w:sz w:val="24"/>
              </w:rPr>
              <w:t>288.6hm</w:t>
            </w:r>
            <w:r>
              <w:rPr>
                <w:color w:val="0000FF"/>
                <w:kern w:val="44"/>
                <w:sz w:val="24"/>
                <w:vertAlign w:val="superscript"/>
              </w:rPr>
              <w:t>2</w:t>
            </w:r>
            <w:r>
              <w:rPr>
                <w:rFonts w:hint="eastAsia" w:ascii="Times New Roman" w:hAnsi="Times New Roman" w:eastAsia="宋体" w:cs="Times New Roman"/>
                <w:color w:val="0000FF"/>
                <w:kern w:val="2"/>
                <w:sz w:val="24"/>
                <w:szCs w:val="24"/>
                <w:lang w:val="en-US" w:eastAsia="zh-CN" w:bidi="ar-SA"/>
              </w:rPr>
              <w:t>（永久占地约284.9427</w:t>
            </w:r>
            <w:r>
              <w:rPr>
                <w:rFonts w:ascii="Times New Roman" w:hAnsi="Times New Roman" w:eastAsia="宋体" w:cs="Times New Roman"/>
                <w:color w:val="0000FF"/>
                <w:kern w:val="2"/>
                <w:sz w:val="24"/>
                <w:szCs w:val="24"/>
                <w:lang w:val="en-US" w:eastAsia="zh-CN" w:bidi="ar-SA"/>
              </w:rPr>
              <w:t>hm</w:t>
            </w:r>
            <w:r>
              <w:rPr>
                <w:rFonts w:ascii="Times New Roman" w:hAnsi="Times New Roman" w:eastAsia="宋体" w:cs="Times New Roman"/>
                <w:color w:val="0000FF"/>
                <w:kern w:val="2"/>
                <w:sz w:val="24"/>
                <w:szCs w:val="24"/>
                <w:vertAlign w:val="superscript"/>
                <w:lang w:val="en-US" w:eastAsia="zh-CN" w:bidi="ar-SA"/>
              </w:rPr>
              <w:t>2</w:t>
            </w:r>
            <w:r>
              <w:rPr>
                <w:rFonts w:hint="eastAsia" w:ascii="Times New Roman" w:hAnsi="Times New Roman" w:eastAsia="宋体" w:cs="Times New Roman"/>
                <w:color w:val="0000FF"/>
                <w:kern w:val="2"/>
                <w:sz w:val="24"/>
                <w:szCs w:val="24"/>
                <w:lang w:val="en-US" w:eastAsia="zh-CN" w:bidi="ar-SA"/>
              </w:rPr>
              <w:t>、临时占地约3.6573</w:t>
            </w:r>
            <w:r>
              <w:rPr>
                <w:rFonts w:ascii="Times New Roman" w:hAnsi="Times New Roman" w:eastAsia="宋体" w:cs="Times New Roman"/>
                <w:color w:val="0000FF"/>
                <w:kern w:val="2"/>
                <w:sz w:val="24"/>
                <w:szCs w:val="24"/>
                <w:lang w:val="en-US" w:eastAsia="zh-CN" w:bidi="ar-SA"/>
              </w:rPr>
              <w:t>hm</w:t>
            </w:r>
            <w:r>
              <w:rPr>
                <w:rFonts w:ascii="Times New Roman" w:hAnsi="Times New Roman" w:eastAsia="宋体" w:cs="Times New Roman"/>
                <w:color w:val="0000FF"/>
                <w:kern w:val="2"/>
                <w:sz w:val="24"/>
                <w:szCs w:val="24"/>
                <w:vertAlign w:val="superscript"/>
                <w:lang w:val="en-US" w:eastAsia="zh-CN" w:bidi="ar-SA"/>
              </w:rPr>
              <w:t>2</w:t>
            </w:r>
            <w:r>
              <w:rPr>
                <w:rFonts w:hint="eastAsia" w:ascii="Times New Roman" w:hAnsi="Times New Roman" w:eastAsia="宋体" w:cs="Times New Roman"/>
                <w:color w:val="0000FF"/>
                <w:kern w:val="2"/>
                <w:sz w:val="24"/>
                <w:szCs w:val="24"/>
                <w:lang w:val="en-US" w:eastAsia="zh-CN" w:bidi="ar-SA"/>
              </w:rPr>
              <w:t>）</w:t>
            </w:r>
          </w:p>
        </w:tc>
      </w:tr>
      <w:tr w14:paraId="02000B24">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677" w:type="pct"/>
            <w:tcMar>
              <w:top w:w="16" w:type="dxa"/>
              <w:left w:w="16" w:type="dxa"/>
              <w:right w:w="16" w:type="dxa"/>
            </w:tcMar>
            <w:vAlign w:val="center"/>
          </w:tcPr>
          <w:p w14:paraId="23EDD6E4">
            <w:pPr>
              <w:spacing w:line="240" w:lineRule="auto"/>
              <w:ind w:firstLine="0" w:firstLineChars="0"/>
              <w:jc w:val="center"/>
            </w:pPr>
            <w:r>
              <w:t>建设性质</w:t>
            </w:r>
          </w:p>
        </w:tc>
        <w:tc>
          <w:tcPr>
            <w:tcW w:w="1806" w:type="pct"/>
            <w:vAlign w:val="center"/>
          </w:tcPr>
          <w:p w14:paraId="7659B04F">
            <w:pPr>
              <w:spacing w:line="240" w:lineRule="auto"/>
              <w:ind w:firstLine="240" w:firstLineChars="100"/>
              <w:jc w:val="left"/>
            </w:pPr>
            <w:r>
              <w:rPr>
                <w:rFonts w:hint="eastAsia"/>
              </w:rPr>
              <w:t>☑</w:t>
            </w:r>
            <w:r>
              <w:t>新建（迁建）</w:t>
            </w:r>
          </w:p>
          <w:p w14:paraId="69CDAB7A">
            <w:pPr>
              <w:spacing w:line="240" w:lineRule="auto"/>
              <w:ind w:firstLine="240" w:firstLineChars="100"/>
              <w:jc w:val="left"/>
            </w:pPr>
            <w:r>
              <w:t>□改建</w:t>
            </w:r>
          </w:p>
          <w:p w14:paraId="12384D00">
            <w:pPr>
              <w:spacing w:line="240" w:lineRule="auto"/>
              <w:ind w:firstLine="240" w:firstLineChars="100"/>
              <w:jc w:val="left"/>
            </w:pPr>
            <w:r>
              <w:t>□扩建</w:t>
            </w:r>
          </w:p>
          <w:p w14:paraId="14EEBF23">
            <w:pPr>
              <w:spacing w:line="240" w:lineRule="auto"/>
              <w:ind w:firstLine="240" w:firstLineChars="100"/>
              <w:jc w:val="left"/>
            </w:pPr>
            <w:r>
              <w:t>□技术改造</w:t>
            </w:r>
          </w:p>
        </w:tc>
        <w:tc>
          <w:tcPr>
            <w:tcW w:w="1007" w:type="pct"/>
            <w:vAlign w:val="center"/>
          </w:tcPr>
          <w:p w14:paraId="262755CB">
            <w:pPr>
              <w:spacing w:line="240" w:lineRule="auto"/>
              <w:ind w:firstLine="0" w:firstLineChars="0"/>
              <w:jc w:val="center"/>
            </w:pPr>
            <w:r>
              <w:t>建设项目</w:t>
            </w:r>
          </w:p>
          <w:p w14:paraId="4E130970">
            <w:pPr>
              <w:spacing w:line="240" w:lineRule="auto"/>
              <w:ind w:firstLine="0" w:firstLineChars="0"/>
              <w:jc w:val="center"/>
            </w:pPr>
            <w:r>
              <w:t>申报情形</w:t>
            </w:r>
          </w:p>
        </w:tc>
        <w:tc>
          <w:tcPr>
            <w:tcW w:w="1508" w:type="pct"/>
            <w:vAlign w:val="center"/>
          </w:tcPr>
          <w:p w14:paraId="4B5DEC79">
            <w:pPr>
              <w:spacing w:line="240" w:lineRule="auto"/>
              <w:ind w:firstLine="0" w:firstLineChars="0"/>
              <w:jc w:val="left"/>
            </w:pPr>
            <w:r>
              <w:t>☑首次申报项目</w:t>
            </w:r>
          </w:p>
          <w:p w14:paraId="6D45AF2D">
            <w:pPr>
              <w:spacing w:line="240" w:lineRule="auto"/>
              <w:ind w:firstLine="0" w:firstLineChars="0"/>
              <w:jc w:val="left"/>
            </w:pPr>
            <w:r>
              <w:t>□不予批准后再次申报项目</w:t>
            </w:r>
          </w:p>
          <w:p w14:paraId="255E4DA8">
            <w:pPr>
              <w:spacing w:line="240" w:lineRule="auto"/>
              <w:ind w:firstLine="0" w:firstLineChars="0"/>
              <w:jc w:val="left"/>
            </w:pPr>
            <w:r>
              <w:t>□超五年重新审核项目</w:t>
            </w:r>
          </w:p>
          <w:p w14:paraId="2DD5E6B2">
            <w:pPr>
              <w:spacing w:line="240" w:lineRule="auto"/>
              <w:ind w:firstLine="0" w:firstLineChars="0"/>
            </w:pPr>
            <w:r>
              <w:t>□重大变动重新报批项目</w:t>
            </w:r>
          </w:p>
        </w:tc>
      </w:tr>
      <w:tr w14:paraId="197207B8">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677" w:type="pct"/>
            <w:shd w:val="clear" w:color="auto" w:fill="auto"/>
            <w:tcMar>
              <w:top w:w="16" w:type="dxa"/>
              <w:left w:w="16" w:type="dxa"/>
              <w:right w:w="16" w:type="dxa"/>
            </w:tcMar>
            <w:vAlign w:val="center"/>
          </w:tcPr>
          <w:p w14:paraId="56B81AB3">
            <w:pPr>
              <w:spacing w:line="240" w:lineRule="auto"/>
              <w:ind w:firstLine="0" w:firstLineChars="0"/>
              <w:jc w:val="center"/>
            </w:pPr>
            <w:r>
              <w:t>项目审批（核准/备案）部门（选填）</w:t>
            </w:r>
          </w:p>
        </w:tc>
        <w:tc>
          <w:tcPr>
            <w:tcW w:w="1806" w:type="pct"/>
            <w:shd w:val="clear" w:color="auto" w:fill="auto"/>
            <w:vAlign w:val="center"/>
          </w:tcPr>
          <w:p w14:paraId="6FE52ED3">
            <w:pPr>
              <w:spacing w:line="240" w:lineRule="auto"/>
              <w:ind w:firstLine="0" w:firstLineChars="0"/>
              <w:jc w:val="center"/>
            </w:pPr>
            <w:r>
              <w:rPr>
                <w:rFonts w:hint="eastAsia"/>
              </w:rPr>
              <w:t>宝鸡市</w:t>
            </w:r>
            <w:r>
              <w:t>陈仓区发展和改革局</w:t>
            </w:r>
          </w:p>
        </w:tc>
        <w:tc>
          <w:tcPr>
            <w:tcW w:w="1007" w:type="pct"/>
            <w:shd w:val="clear" w:color="auto" w:fill="auto"/>
            <w:vAlign w:val="center"/>
          </w:tcPr>
          <w:p w14:paraId="464257C7">
            <w:pPr>
              <w:spacing w:line="240" w:lineRule="auto"/>
              <w:ind w:firstLine="0" w:firstLineChars="0"/>
              <w:jc w:val="center"/>
            </w:pPr>
            <w:r>
              <w:t>项目审批（核准/</w:t>
            </w:r>
          </w:p>
          <w:p w14:paraId="7A2E4255">
            <w:pPr>
              <w:spacing w:line="240" w:lineRule="auto"/>
              <w:ind w:firstLine="0" w:firstLineChars="0"/>
              <w:jc w:val="center"/>
            </w:pPr>
            <w:r>
              <w:t>备案）文号（选填）</w:t>
            </w:r>
          </w:p>
        </w:tc>
        <w:tc>
          <w:tcPr>
            <w:tcW w:w="1508" w:type="pct"/>
            <w:vAlign w:val="center"/>
          </w:tcPr>
          <w:p w14:paraId="5BB3BD4D">
            <w:pPr>
              <w:spacing w:line="240" w:lineRule="auto"/>
              <w:ind w:firstLine="0" w:firstLineChars="0"/>
              <w:jc w:val="center"/>
            </w:pPr>
            <w:r>
              <w:t>/</w:t>
            </w:r>
          </w:p>
        </w:tc>
      </w:tr>
      <w:tr w14:paraId="7790CBED">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677" w:type="pct"/>
            <w:tcMar>
              <w:top w:w="16" w:type="dxa"/>
              <w:left w:w="16" w:type="dxa"/>
              <w:right w:w="16" w:type="dxa"/>
            </w:tcMar>
            <w:vAlign w:val="center"/>
          </w:tcPr>
          <w:p w14:paraId="469EE207">
            <w:pPr>
              <w:spacing w:line="240" w:lineRule="auto"/>
              <w:ind w:firstLine="0" w:firstLineChars="0"/>
              <w:jc w:val="center"/>
            </w:pPr>
            <w:r>
              <w:t>总投资（万元）</w:t>
            </w:r>
          </w:p>
        </w:tc>
        <w:tc>
          <w:tcPr>
            <w:tcW w:w="1806" w:type="pct"/>
            <w:vAlign w:val="center"/>
          </w:tcPr>
          <w:p w14:paraId="58520B9F">
            <w:pPr>
              <w:spacing w:line="240" w:lineRule="auto"/>
              <w:ind w:firstLine="0" w:firstLineChars="0"/>
              <w:jc w:val="center"/>
            </w:pPr>
            <w:r>
              <w:rPr>
                <w:rFonts w:hint="eastAsia"/>
              </w:rPr>
              <w:t>10000</w:t>
            </w:r>
          </w:p>
        </w:tc>
        <w:tc>
          <w:tcPr>
            <w:tcW w:w="1007" w:type="pct"/>
            <w:tcMar>
              <w:top w:w="16" w:type="dxa"/>
              <w:left w:w="16" w:type="dxa"/>
              <w:right w:w="16" w:type="dxa"/>
            </w:tcMar>
            <w:vAlign w:val="center"/>
          </w:tcPr>
          <w:p w14:paraId="5E94ADDF">
            <w:pPr>
              <w:spacing w:line="240" w:lineRule="auto"/>
              <w:ind w:firstLine="0" w:firstLineChars="0"/>
              <w:jc w:val="center"/>
            </w:pPr>
            <w:r>
              <w:t>环保投资（万元）</w:t>
            </w:r>
          </w:p>
        </w:tc>
        <w:tc>
          <w:tcPr>
            <w:tcW w:w="1508" w:type="pct"/>
            <w:vAlign w:val="center"/>
          </w:tcPr>
          <w:p w14:paraId="08DF3F6C">
            <w:pPr>
              <w:spacing w:line="240" w:lineRule="auto"/>
              <w:ind w:firstLine="0" w:firstLineChars="0"/>
              <w:jc w:val="center"/>
            </w:pPr>
            <w:r>
              <w:rPr>
                <w:rFonts w:hint="eastAsia"/>
              </w:rPr>
              <w:t>100</w:t>
            </w:r>
          </w:p>
        </w:tc>
      </w:tr>
      <w:tr w14:paraId="73BCA7EE">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677" w:type="pct"/>
            <w:tcMar>
              <w:top w:w="16" w:type="dxa"/>
              <w:left w:w="16" w:type="dxa"/>
              <w:right w:w="16" w:type="dxa"/>
            </w:tcMar>
            <w:vAlign w:val="center"/>
          </w:tcPr>
          <w:p w14:paraId="08EC3E0F">
            <w:pPr>
              <w:spacing w:line="240" w:lineRule="auto"/>
              <w:ind w:firstLine="0" w:firstLineChars="0"/>
              <w:jc w:val="center"/>
            </w:pPr>
            <w:r>
              <w:t>环保投资占比（%）</w:t>
            </w:r>
          </w:p>
        </w:tc>
        <w:tc>
          <w:tcPr>
            <w:tcW w:w="1806" w:type="pct"/>
            <w:vAlign w:val="center"/>
          </w:tcPr>
          <w:p w14:paraId="6A157BC5">
            <w:pPr>
              <w:spacing w:line="240" w:lineRule="auto"/>
              <w:ind w:firstLine="0" w:firstLineChars="0"/>
              <w:jc w:val="center"/>
            </w:pPr>
            <w:r>
              <w:rPr>
                <w:rFonts w:hint="eastAsia"/>
              </w:rPr>
              <w:t>1</w:t>
            </w:r>
          </w:p>
        </w:tc>
        <w:tc>
          <w:tcPr>
            <w:tcW w:w="1007" w:type="pct"/>
            <w:tcMar>
              <w:top w:w="16" w:type="dxa"/>
              <w:left w:w="16" w:type="dxa"/>
              <w:right w:w="16" w:type="dxa"/>
            </w:tcMar>
            <w:vAlign w:val="center"/>
          </w:tcPr>
          <w:p w14:paraId="553A28DB">
            <w:pPr>
              <w:spacing w:line="240" w:lineRule="auto"/>
              <w:ind w:firstLine="0" w:firstLineChars="0"/>
              <w:jc w:val="center"/>
              <w:rPr>
                <w:color w:val="0000FF"/>
              </w:rPr>
            </w:pPr>
            <w:r>
              <w:rPr>
                <w:color w:val="0000FF"/>
              </w:rPr>
              <w:t>施工工期</w:t>
            </w:r>
          </w:p>
        </w:tc>
        <w:tc>
          <w:tcPr>
            <w:tcW w:w="1508" w:type="pct"/>
            <w:vAlign w:val="center"/>
          </w:tcPr>
          <w:p w14:paraId="333E2FCD">
            <w:pPr>
              <w:spacing w:line="240" w:lineRule="auto"/>
              <w:ind w:firstLine="0" w:firstLineChars="0"/>
              <w:jc w:val="center"/>
              <w:rPr>
                <w:color w:val="0000FF"/>
              </w:rPr>
            </w:pPr>
            <w:r>
              <w:rPr>
                <w:rFonts w:hint="eastAsia"/>
                <w:color w:val="0000FF"/>
              </w:rPr>
              <w:t>5</w:t>
            </w:r>
            <w:r>
              <w:rPr>
                <w:color w:val="0000FF"/>
              </w:rPr>
              <w:t>个月</w:t>
            </w:r>
          </w:p>
        </w:tc>
      </w:tr>
      <w:tr w14:paraId="2C1E50D1">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677" w:type="pct"/>
            <w:tcMar>
              <w:top w:w="16" w:type="dxa"/>
              <w:left w:w="16" w:type="dxa"/>
              <w:right w:w="16" w:type="dxa"/>
            </w:tcMar>
            <w:vAlign w:val="center"/>
          </w:tcPr>
          <w:p w14:paraId="27835B36">
            <w:pPr>
              <w:spacing w:line="240" w:lineRule="auto"/>
              <w:ind w:firstLine="0" w:firstLineChars="0"/>
              <w:jc w:val="center"/>
            </w:pPr>
            <w:r>
              <w:t>是否开工建设</w:t>
            </w:r>
          </w:p>
        </w:tc>
        <w:tc>
          <w:tcPr>
            <w:tcW w:w="4322" w:type="pct"/>
            <w:gridSpan w:val="3"/>
            <w:vAlign w:val="center"/>
          </w:tcPr>
          <w:p w14:paraId="754EE2EE">
            <w:pPr>
              <w:spacing w:line="240" w:lineRule="auto"/>
              <w:ind w:firstLine="240" w:firstLineChars="100"/>
              <w:jc w:val="left"/>
            </w:pPr>
            <w:r>
              <w:t>☑否</w:t>
            </w:r>
          </w:p>
          <w:p w14:paraId="6E64CD21">
            <w:pPr>
              <w:spacing w:line="240" w:lineRule="auto"/>
              <w:ind w:firstLine="240" w:firstLineChars="100"/>
              <w:jc w:val="left"/>
            </w:pPr>
            <w:r>
              <w:t>□是：</w:t>
            </w:r>
            <w:r>
              <w:rPr>
                <w:u w:val="single"/>
              </w:rPr>
              <w:t xml:space="preserve">                           </w:t>
            </w:r>
          </w:p>
        </w:tc>
      </w:tr>
      <w:tr w14:paraId="5F0EB704">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77" w:type="pct"/>
            <w:tcMar>
              <w:top w:w="16" w:type="dxa"/>
              <w:left w:w="16" w:type="dxa"/>
              <w:right w:w="16" w:type="dxa"/>
            </w:tcMar>
            <w:vAlign w:val="center"/>
          </w:tcPr>
          <w:p w14:paraId="220F3613">
            <w:pPr>
              <w:autoSpaceDE w:val="0"/>
              <w:autoSpaceDN w:val="0"/>
              <w:spacing w:line="240" w:lineRule="auto"/>
              <w:ind w:firstLine="0" w:firstLineChars="0"/>
              <w:jc w:val="center"/>
              <w:rPr>
                <w:kern w:val="0"/>
              </w:rPr>
            </w:pPr>
            <w:r>
              <w:rPr>
                <w:kern w:val="0"/>
              </w:rPr>
              <w:t>专项评价</w:t>
            </w:r>
          </w:p>
          <w:p w14:paraId="3C9A29B4">
            <w:pPr>
              <w:autoSpaceDE w:val="0"/>
              <w:autoSpaceDN w:val="0"/>
              <w:spacing w:line="240" w:lineRule="auto"/>
              <w:ind w:firstLine="0" w:firstLineChars="0"/>
              <w:jc w:val="center"/>
              <w:rPr>
                <w:kern w:val="0"/>
              </w:rPr>
            </w:pPr>
            <w:r>
              <w:rPr>
                <w:kern w:val="0"/>
              </w:rPr>
              <w:t>设置情况</w:t>
            </w:r>
          </w:p>
        </w:tc>
        <w:tc>
          <w:tcPr>
            <w:tcW w:w="4322" w:type="pct"/>
            <w:gridSpan w:val="3"/>
            <w:tcMar>
              <w:top w:w="16" w:type="dxa"/>
              <w:left w:w="16" w:type="dxa"/>
              <w:right w:w="16" w:type="dxa"/>
            </w:tcMar>
            <w:vAlign w:val="center"/>
          </w:tcPr>
          <w:p w14:paraId="013EBE14">
            <w:pPr>
              <w:autoSpaceDE w:val="0"/>
              <w:autoSpaceDN w:val="0"/>
              <w:spacing w:line="240" w:lineRule="auto"/>
              <w:ind w:firstLine="0" w:firstLineChars="0"/>
              <w:jc w:val="center"/>
              <w:rPr>
                <w:kern w:val="0"/>
              </w:rPr>
            </w:pPr>
            <w:r>
              <w:rPr>
                <w:kern w:val="0"/>
              </w:rPr>
              <w:t>无</w:t>
            </w:r>
          </w:p>
        </w:tc>
      </w:tr>
      <w:tr w14:paraId="743E30D1">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93" w:hRule="atLeast"/>
        </w:trPr>
        <w:tc>
          <w:tcPr>
            <w:tcW w:w="677" w:type="pct"/>
            <w:tcMar>
              <w:top w:w="16" w:type="dxa"/>
              <w:left w:w="16" w:type="dxa"/>
              <w:right w:w="16" w:type="dxa"/>
            </w:tcMar>
            <w:vAlign w:val="center"/>
          </w:tcPr>
          <w:p w14:paraId="529005AC">
            <w:pPr>
              <w:autoSpaceDE w:val="0"/>
              <w:autoSpaceDN w:val="0"/>
              <w:spacing w:line="240" w:lineRule="auto"/>
              <w:ind w:firstLine="0" w:firstLineChars="0"/>
              <w:jc w:val="center"/>
              <w:rPr>
                <w:kern w:val="0"/>
              </w:rPr>
            </w:pPr>
            <w:r>
              <w:t>规划情况</w:t>
            </w:r>
          </w:p>
        </w:tc>
        <w:tc>
          <w:tcPr>
            <w:tcW w:w="4322" w:type="pct"/>
            <w:gridSpan w:val="3"/>
            <w:tcMar>
              <w:top w:w="16" w:type="dxa"/>
              <w:left w:w="16" w:type="dxa"/>
              <w:right w:w="16" w:type="dxa"/>
            </w:tcMar>
            <w:vAlign w:val="center"/>
          </w:tcPr>
          <w:p w14:paraId="7A366807">
            <w:pPr>
              <w:widowControl/>
              <w:spacing w:line="240" w:lineRule="auto"/>
              <w:ind w:firstLine="0" w:firstLineChars="0"/>
              <w:jc w:val="left"/>
            </w:pPr>
            <w:r>
              <w:rPr>
                <w:rFonts w:hint="eastAsia"/>
              </w:rPr>
              <w:t>规划名称：《陕西省矿产资源总体规划（2021—2025年）》</w:t>
            </w:r>
          </w:p>
          <w:p w14:paraId="1441DEDD">
            <w:pPr>
              <w:widowControl/>
              <w:spacing w:line="240" w:lineRule="auto"/>
              <w:ind w:firstLine="0" w:firstLineChars="0"/>
              <w:jc w:val="left"/>
            </w:pPr>
            <w:r>
              <w:rPr>
                <w:rFonts w:hint="eastAsia"/>
              </w:rPr>
              <w:t>审批机关：中华人民共和国自然资源部</w:t>
            </w:r>
          </w:p>
          <w:p w14:paraId="3E0F83C0">
            <w:pPr>
              <w:widowControl/>
              <w:spacing w:line="240" w:lineRule="auto"/>
              <w:ind w:firstLine="0" w:firstLineChars="0"/>
              <w:jc w:val="left"/>
            </w:pPr>
            <w:r>
              <w:rPr>
                <w:rFonts w:hint="eastAsia"/>
              </w:rPr>
              <w:t>审批文号：自然资函[2022]345号</w:t>
            </w:r>
          </w:p>
        </w:tc>
      </w:tr>
      <w:tr w14:paraId="7EA6B8EC">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72" w:hRule="atLeast"/>
        </w:trPr>
        <w:tc>
          <w:tcPr>
            <w:tcW w:w="677" w:type="pct"/>
            <w:tcMar>
              <w:top w:w="16" w:type="dxa"/>
              <w:left w:w="16" w:type="dxa"/>
              <w:right w:w="16" w:type="dxa"/>
            </w:tcMar>
            <w:vAlign w:val="center"/>
          </w:tcPr>
          <w:p w14:paraId="4DF3830E">
            <w:pPr>
              <w:autoSpaceDE w:val="0"/>
              <w:autoSpaceDN w:val="0"/>
              <w:adjustRightInd w:val="0"/>
              <w:snapToGrid w:val="0"/>
              <w:spacing w:line="240" w:lineRule="auto"/>
              <w:ind w:firstLine="0" w:firstLineChars="0"/>
              <w:jc w:val="center"/>
              <w:rPr>
                <w:kern w:val="0"/>
              </w:rPr>
            </w:pPr>
            <w:r>
              <w:rPr>
                <w:rFonts w:hint="default" w:eastAsia="宋体"/>
                <w:kern w:val="0"/>
                <w:lang w:val="en-US" w:eastAsia="zh-CN"/>
              </w:rPr>
              <w:t>规划环境影响评价情况</w:t>
            </w:r>
          </w:p>
        </w:tc>
        <w:tc>
          <w:tcPr>
            <w:tcW w:w="4322" w:type="pct"/>
            <w:gridSpan w:val="3"/>
            <w:tcMar>
              <w:top w:w="16" w:type="dxa"/>
              <w:left w:w="16" w:type="dxa"/>
              <w:right w:w="16" w:type="dxa"/>
            </w:tcMar>
            <w:vAlign w:val="center"/>
          </w:tcPr>
          <w:p w14:paraId="105507F7">
            <w:pPr>
              <w:widowControl/>
              <w:spacing w:line="240" w:lineRule="auto"/>
              <w:ind w:firstLine="0" w:firstLineChars="0"/>
              <w:jc w:val="left"/>
            </w:pPr>
            <w:r>
              <w:rPr>
                <w:rFonts w:hint="eastAsia"/>
              </w:rPr>
              <w:t>规划名称：《陕西省矿产资源总体规划（2021—2025年）环境影响报告书》</w:t>
            </w:r>
          </w:p>
          <w:p w14:paraId="5EF3A5F0">
            <w:pPr>
              <w:widowControl/>
              <w:spacing w:line="240" w:lineRule="auto"/>
              <w:ind w:firstLine="0" w:firstLineChars="0"/>
              <w:jc w:val="left"/>
            </w:pPr>
            <w:r>
              <w:rPr>
                <w:rFonts w:hint="eastAsia"/>
              </w:rPr>
              <w:t>审批机关：陕西省生态环境厅</w:t>
            </w:r>
          </w:p>
          <w:p w14:paraId="134F3D65">
            <w:pPr>
              <w:spacing w:line="240" w:lineRule="auto"/>
              <w:ind w:firstLine="0" w:firstLineChars="0"/>
              <w:jc w:val="left"/>
              <w:rPr>
                <w:rFonts w:hint="eastAsia"/>
              </w:rPr>
            </w:pPr>
            <w:r>
              <w:rPr>
                <w:rFonts w:hint="eastAsia"/>
              </w:rPr>
              <w:t>审批文号：环境保护部《关于陕西省矿产资源总体规划（2021- 2025）环境影响报告书审查意见》文号：环审[2022]123号</w:t>
            </w:r>
          </w:p>
        </w:tc>
      </w:tr>
      <w:tr w14:paraId="59379334">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72" w:hRule="atLeast"/>
        </w:trPr>
        <w:tc>
          <w:tcPr>
            <w:tcW w:w="677" w:type="pct"/>
            <w:tcMar>
              <w:top w:w="16" w:type="dxa"/>
              <w:left w:w="16" w:type="dxa"/>
              <w:right w:w="16" w:type="dxa"/>
            </w:tcMar>
            <w:vAlign w:val="center"/>
          </w:tcPr>
          <w:p w14:paraId="10E3BA7D">
            <w:pPr>
              <w:autoSpaceDE w:val="0"/>
              <w:autoSpaceDN w:val="0"/>
              <w:adjustRightInd w:val="0"/>
              <w:snapToGrid w:val="0"/>
              <w:spacing w:line="240" w:lineRule="auto"/>
              <w:ind w:firstLine="0" w:firstLineChars="0"/>
              <w:jc w:val="center"/>
            </w:pPr>
            <w:r>
              <w:rPr>
                <w:kern w:val="0"/>
              </w:rPr>
              <w:t>规划及规划环境影响评价符合性分析</w:t>
            </w:r>
          </w:p>
        </w:tc>
        <w:tc>
          <w:tcPr>
            <w:tcW w:w="4322" w:type="pct"/>
            <w:gridSpan w:val="3"/>
            <w:tcMar>
              <w:top w:w="16" w:type="dxa"/>
              <w:left w:w="16" w:type="dxa"/>
              <w:right w:w="16" w:type="dxa"/>
            </w:tcMar>
            <w:vAlign w:val="center"/>
          </w:tcPr>
          <w:p w14:paraId="2CEF8D9D">
            <w:pPr>
              <w:widowControl/>
              <w:kinsoku w:val="0"/>
              <w:autoSpaceDE w:val="0"/>
              <w:autoSpaceDN w:val="0"/>
              <w:adjustRightInd w:val="0"/>
              <w:snapToGrid w:val="0"/>
              <w:spacing w:line="240" w:lineRule="auto"/>
              <w:ind w:left="0" w:leftChars="0" w:firstLine="0" w:firstLineChars="0"/>
              <w:jc w:val="center"/>
              <w:textAlignment w:val="baseline"/>
              <w:rPr>
                <w:b/>
                <w:bCs/>
                <w:color w:val="0000FF"/>
                <w:spacing w:val="-2"/>
              </w:rPr>
            </w:pPr>
            <w:r>
              <w:rPr>
                <w:rFonts w:hint="eastAsia" w:ascii="Times New Roman" w:hAnsi="Times New Roman" w:eastAsia="宋体" w:cs="Times New Roman"/>
                <w:color w:val="0000FF"/>
                <w:kern w:val="0"/>
                <w:sz w:val="24"/>
                <w:szCs w:val="24"/>
                <w:lang w:val="en-US" w:eastAsia="zh-CN" w:bidi="ar"/>
              </w:rPr>
              <w:t>项目与陕西省矿产资源总体规划及规划环评相符性分析见下表：</w:t>
            </w:r>
          </w:p>
          <w:p w14:paraId="1E956DC6">
            <w:pPr>
              <w:widowControl/>
              <w:kinsoku w:val="0"/>
              <w:autoSpaceDE w:val="0"/>
              <w:autoSpaceDN w:val="0"/>
              <w:adjustRightInd w:val="0"/>
              <w:snapToGrid w:val="0"/>
              <w:spacing w:line="240" w:lineRule="auto"/>
              <w:ind w:left="0" w:leftChars="0" w:firstLine="0" w:firstLineChars="0"/>
              <w:jc w:val="center"/>
              <w:textAlignment w:val="baseline"/>
              <w:rPr>
                <w:color w:val="0000FF"/>
              </w:rPr>
            </w:pPr>
            <w:r>
              <w:rPr>
                <w:b/>
                <w:bCs/>
                <w:color w:val="0000FF"/>
                <w:spacing w:val="-2"/>
              </w:rPr>
              <w:t>表</w:t>
            </w:r>
            <w:r>
              <w:rPr>
                <w:color w:val="0000FF"/>
                <w:spacing w:val="-27"/>
              </w:rPr>
              <w:t xml:space="preserve"> </w:t>
            </w:r>
            <w:r>
              <w:rPr>
                <w:b/>
                <w:bCs/>
                <w:color w:val="0000FF"/>
                <w:spacing w:val="-2"/>
              </w:rPr>
              <w:t>1</w:t>
            </w:r>
            <w:r>
              <w:rPr>
                <w:rFonts w:hint="eastAsia"/>
                <w:b/>
                <w:bCs/>
                <w:color w:val="0000FF"/>
                <w:spacing w:val="-2"/>
              </w:rPr>
              <w:t>-</w:t>
            </w:r>
            <w:r>
              <w:rPr>
                <w:rFonts w:hint="eastAsia"/>
                <w:b/>
                <w:bCs/>
                <w:color w:val="0000FF"/>
                <w:spacing w:val="-2"/>
                <w:lang w:val="en-US" w:eastAsia="zh-CN"/>
              </w:rPr>
              <w:t>1</w:t>
            </w:r>
            <w:r>
              <w:rPr>
                <w:b/>
                <w:bCs/>
                <w:color w:val="0000FF"/>
                <w:spacing w:val="-2"/>
              </w:rPr>
              <w:t xml:space="preserve"> </w:t>
            </w:r>
            <w:r>
              <w:rPr>
                <w:rFonts w:hint="eastAsia"/>
                <w:b/>
                <w:bCs/>
                <w:color w:val="0000FF"/>
                <w:spacing w:val="-2"/>
              </w:rPr>
              <w:t>与《陕西省矿产资源总体规划（2021—2025年）》符合性分析</w:t>
            </w:r>
          </w:p>
          <w:tbl>
            <w:tblPr>
              <w:tblStyle w:val="73"/>
              <w:tblW w:w="4976" w:type="pct"/>
              <w:jc w:val="center"/>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Layout w:type="autofit"/>
              <w:tblCellMar>
                <w:top w:w="0" w:type="dxa"/>
                <w:left w:w="0" w:type="dxa"/>
                <w:bottom w:w="0" w:type="dxa"/>
                <w:right w:w="0" w:type="dxa"/>
              </w:tblCellMar>
            </w:tblPr>
            <w:tblGrid>
              <w:gridCol w:w="964"/>
              <w:gridCol w:w="1113"/>
              <w:gridCol w:w="3061"/>
              <w:gridCol w:w="1768"/>
              <w:gridCol w:w="578"/>
            </w:tblGrid>
            <w:tr w14:paraId="03F56590">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jc w:val="center"/>
              </w:trPr>
              <w:tc>
                <w:tcPr>
                  <w:tcW w:w="643" w:type="pct"/>
                  <w:tcBorders>
                    <w:top w:val="single" w:color="000000" w:sz="2" w:space="0"/>
                    <w:left w:val="single" w:color="auto" w:sz="0" w:space="0"/>
                  </w:tcBorders>
                  <w:vAlign w:val="center"/>
                </w:tcPr>
                <w:p w14:paraId="6D694DD9">
                  <w:pPr>
                    <w:pStyle w:val="72"/>
                    <w:spacing w:line="240" w:lineRule="auto"/>
                    <w:ind w:firstLine="0" w:firstLineChars="0"/>
                    <w:jc w:val="center"/>
                    <w:rPr>
                      <w:rFonts w:ascii="Times New Roman" w:hAnsi="Times New Roman" w:cs="Times New Roman"/>
                      <w:b/>
                      <w:bCs/>
                      <w:color w:val="0000FF"/>
                      <w:lang w:eastAsia="zh-CN"/>
                    </w:rPr>
                  </w:pPr>
                  <w:r>
                    <w:rPr>
                      <w:rFonts w:hint="eastAsia" w:ascii="Times New Roman" w:hAnsi="Times New Roman" w:cs="Times New Roman"/>
                      <w:b/>
                      <w:bCs/>
                      <w:color w:val="0000FF"/>
                      <w:lang w:eastAsia="zh-CN"/>
                    </w:rPr>
                    <w:t>规划章节</w:t>
                  </w:r>
                </w:p>
              </w:tc>
              <w:tc>
                <w:tcPr>
                  <w:tcW w:w="744" w:type="pct"/>
                  <w:tcBorders>
                    <w:top w:val="single" w:color="000000" w:sz="2" w:space="0"/>
                  </w:tcBorders>
                  <w:vAlign w:val="center"/>
                </w:tcPr>
                <w:p w14:paraId="51899B09">
                  <w:pPr>
                    <w:pStyle w:val="72"/>
                    <w:spacing w:line="240" w:lineRule="auto"/>
                    <w:ind w:firstLine="0" w:firstLineChars="0"/>
                    <w:jc w:val="center"/>
                    <w:rPr>
                      <w:rFonts w:ascii="Times New Roman" w:hAnsi="Times New Roman" w:cs="Times New Roman"/>
                      <w:b/>
                      <w:bCs/>
                      <w:color w:val="0000FF"/>
                      <w:lang w:eastAsia="zh-CN"/>
                    </w:rPr>
                  </w:pPr>
                  <w:r>
                    <w:rPr>
                      <w:rFonts w:hint="eastAsia" w:ascii="Times New Roman" w:hAnsi="Times New Roman" w:cs="Times New Roman"/>
                      <w:b/>
                      <w:bCs/>
                      <w:color w:val="0000FF"/>
                      <w:lang w:eastAsia="zh-CN"/>
                    </w:rPr>
                    <w:t>内容主题</w:t>
                  </w:r>
                </w:p>
              </w:tc>
              <w:tc>
                <w:tcPr>
                  <w:tcW w:w="2044" w:type="pct"/>
                  <w:tcBorders>
                    <w:top w:val="single" w:color="000000" w:sz="2" w:space="0"/>
                  </w:tcBorders>
                  <w:vAlign w:val="center"/>
                </w:tcPr>
                <w:p w14:paraId="2429EFFA">
                  <w:pPr>
                    <w:pStyle w:val="72"/>
                    <w:spacing w:line="240" w:lineRule="auto"/>
                    <w:ind w:firstLine="422"/>
                    <w:jc w:val="center"/>
                    <w:rPr>
                      <w:rFonts w:ascii="Times New Roman" w:hAnsi="Times New Roman" w:cs="Times New Roman"/>
                      <w:b/>
                      <w:bCs/>
                      <w:color w:val="0000FF"/>
                      <w:lang w:eastAsia="zh-CN"/>
                    </w:rPr>
                  </w:pPr>
                  <w:r>
                    <w:rPr>
                      <w:rFonts w:hint="eastAsia" w:ascii="Times New Roman" w:hAnsi="Times New Roman" w:cs="Times New Roman"/>
                      <w:b/>
                      <w:bCs/>
                      <w:color w:val="0000FF"/>
                      <w:lang w:eastAsia="zh-CN"/>
                    </w:rPr>
                    <w:t>具体要求</w:t>
                  </w:r>
                </w:p>
              </w:tc>
              <w:tc>
                <w:tcPr>
                  <w:tcW w:w="1181" w:type="pct"/>
                  <w:tcBorders>
                    <w:top w:val="single" w:color="000000" w:sz="2" w:space="0"/>
                  </w:tcBorders>
                  <w:vAlign w:val="center"/>
                </w:tcPr>
                <w:p w14:paraId="304D8A85">
                  <w:pPr>
                    <w:pStyle w:val="72"/>
                    <w:spacing w:line="240" w:lineRule="auto"/>
                    <w:ind w:firstLine="422"/>
                    <w:jc w:val="center"/>
                    <w:rPr>
                      <w:rFonts w:ascii="Times New Roman" w:hAnsi="Times New Roman" w:cs="Times New Roman"/>
                      <w:b/>
                      <w:bCs/>
                      <w:color w:val="0000FF"/>
                      <w:lang w:eastAsia="zh-CN"/>
                    </w:rPr>
                  </w:pPr>
                  <w:r>
                    <w:rPr>
                      <w:rFonts w:hint="eastAsia" w:ascii="Times New Roman" w:hAnsi="Times New Roman" w:cs="Times New Roman"/>
                      <w:b/>
                      <w:bCs/>
                      <w:color w:val="0000FF"/>
                      <w:lang w:eastAsia="zh-CN"/>
                    </w:rPr>
                    <w:t>本项目情况</w:t>
                  </w:r>
                </w:p>
              </w:tc>
              <w:tc>
                <w:tcPr>
                  <w:tcW w:w="386" w:type="pct"/>
                  <w:tcBorders>
                    <w:top w:val="single" w:color="000000" w:sz="2" w:space="0"/>
                    <w:right w:val="single" w:color="000000" w:sz="2" w:space="0"/>
                  </w:tcBorders>
                  <w:vAlign w:val="center"/>
                </w:tcPr>
                <w:p w14:paraId="01E53FAF">
                  <w:pPr>
                    <w:pStyle w:val="72"/>
                    <w:spacing w:line="240" w:lineRule="auto"/>
                    <w:ind w:firstLine="0" w:firstLineChars="0"/>
                    <w:jc w:val="center"/>
                    <w:rPr>
                      <w:rFonts w:ascii="Times New Roman" w:hAnsi="Times New Roman" w:cs="Times New Roman"/>
                      <w:b/>
                      <w:bCs/>
                      <w:color w:val="0000FF"/>
                      <w:lang w:eastAsia="zh-CN"/>
                    </w:rPr>
                  </w:pPr>
                  <w:r>
                    <w:rPr>
                      <w:rFonts w:hint="eastAsia" w:ascii="Times New Roman" w:hAnsi="Times New Roman" w:cs="Times New Roman"/>
                      <w:b/>
                      <w:bCs/>
                      <w:color w:val="0000FF"/>
                      <w:lang w:eastAsia="zh-CN"/>
                    </w:rPr>
                    <w:t>符合性</w:t>
                  </w:r>
                </w:p>
              </w:tc>
            </w:tr>
            <w:tr w14:paraId="5FDFC62E">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jc w:val="center"/>
              </w:trPr>
              <w:tc>
                <w:tcPr>
                  <w:tcW w:w="643" w:type="pct"/>
                  <w:tcBorders>
                    <w:left w:val="single" w:color="000000" w:sz="4" w:space="0"/>
                  </w:tcBorders>
                  <w:vAlign w:val="center"/>
                </w:tcPr>
                <w:p w14:paraId="1F86ECAF">
                  <w:pPr>
                    <w:pStyle w:val="72"/>
                    <w:spacing w:line="240" w:lineRule="auto"/>
                    <w:ind w:firstLine="0" w:firstLineChars="0"/>
                    <w:rPr>
                      <w:rFonts w:ascii="Times New Roman" w:hAnsi="Times New Roman" w:cs="Times New Roman"/>
                      <w:color w:val="0000FF"/>
                      <w:lang w:eastAsia="zh-CN"/>
                    </w:rPr>
                  </w:pPr>
                  <w:r>
                    <w:rPr>
                      <w:rFonts w:hint="eastAsia" w:ascii="Times New Roman" w:hAnsi="Times New Roman" w:cs="Times New Roman"/>
                      <w:color w:val="0000FF"/>
                      <w:lang w:eastAsia="zh-CN"/>
                    </w:rPr>
                    <w:t>三、矿产勘查开发保护总体布局</w:t>
                  </w:r>
                </w:p>
              </w:tc>
              <w:tc>
                <w:tcPr>
                  <w:tcW w:w="744" w:type="pct"/>
                  <w:vAlign w:val="center"/>
                </w:tcPr>
                <w:p w14:paraId="5A6643B8">
                  <w:pPr>
                    <w:pStyle w:val="72"/>
                    <w:spacing w:line="240" w:lineRule="auto"/>
                    <w:ind w:firstLine="0" w:firstLineChars="0"/>
                    <w:jc w:val="left"/>
                    <w:rPr>
                      <w:rFonts w:ascii="Times New Roman" w:hAnsi="Times New Roman" w:cs="Times New Roman"/>
                      <w:color w:val="0000FF"/>
                      <w:lang w:eastAsia="zh-CN"/>
                    </w:rPr>
                  </w:pPr>
                  <w:r>
                    <w:rPr>
                      <w:rFonts w:hint="eastAsia" w:ascii="Times New Roman" w:hAnsi="Times New Roman" w:cs="Times New Roman"/>
                      <w:color w:val="0000FF"/>
                      <w:lang w:eastAsia="zh-CN"/>
                    </w:rPr>
                    <w:t>四、矿产勘查开发差别化管理</w:t>
                  </w:r>
                </w:p>
              </w:tc>
              <w:tc>
                <w:tcPr>
                  <w:tcW w:w="2044" w:type="pct"/>
                  <w:vAlign w:val="center"/>
                </w:tcPr>
                <w:p w14:paraId="14D1F331">
                  <w:pPr>
                    <w:pStyle w:val="72"/>
                    <w:keepNext w:val="0"/>
                    <w:keepLines w:val="0"/>
                    <w:pageBreakBefore w:val="0"/>
                    <w:widowControl w:val="0"/>
                    <w:kinsoku/>
                    <w:wordWrap/>
                    <w:overflowPunct/>
                    <w:topLinePunct w:val="0"/>
                    <w:autoSpaceDE/>
                    <w:autoSpaceDN/>
                    <w:bidi w:val="0"/>
                    <w:adjustRightInd/>
                    <w:snapToGrid/>
                    <w:spacing w:line="240" w:lineRule="auto"/>
                    <w:ind w:firstLine="210" w:firstLineChars="100"/>
                    <w:jc w:val="both"/>
                    <w:textAlignment w:val="auto"/>
                    <w:rPr>
                      <w:rFonts w:ascii="Times New Roman" w:hAnsi="Times New Roman" w:cs="Times New Roman"/>
                      <w:color w:val="0000FF"/>
                      <w:lang w:eastAsia="zh-CN"/>
                    </w:rPr>
                  </w:pPr>
                  <w:r>
                    <w:rPr>
                      <w:rFonts w:hint="eastAsia" w:ascii="Times New Roman" w:hAnsi="Times New Roman" w:cs="Times New Roman"/>
                      <w:color w:val="0000FF"/>
                      <w:lang w:eastAsia="zh-CN"/>
                    </w:rPr>
                    <w:t>强化战略性矿产安全保障，在空间布局、勘查开发方向、准入门槛、总量调控、结构调整等方面加强引导，提高资源安全供应能力和开发利用水平。生态保护红线范围内原则上禁止不符合管控要求的矿产资源勘查开采。生态保护红线内非自然保护地核心保护区的区域，允许因国家重大能源资源安全需要开展战略性能源资源勘查、公益性自然资源调查和地质勘查。对永久基本农田内部分战略性矿产矿业权实施差别化管理，保障资源稳定供应。</w:t>
                  </w:r>
                </w:p>
                <w:p w14:paraId="06E90466">
                  <w:pPr>
                    <w:pStyle w:val="72"/>
                    <w:keepNext w:val="0"/>
                    <w:keepLines w:val="0"/>
                    <w:pageBreakBefore w:val="0"/>
                    <w:widowControl w:val="0"/>
                    <w:kinsoku/>
                    <w:wordWrap/>
                    <w:overflowPunct/>
                    <w:topLinePunct w:val="0"/>
                    <w:autoSpaceDE/>
                    <w:autoSpaceDN/>
                    <w:bidi w:val="0"/>
                    <w:adjustRightInd/>
                    <w:snapToGrid/>
                    <w:spacing w:line="240" w:lineRule="auto"/>
                    <w:ind w:firstLine="420"/>
                    <w:jc w:val="both"/>
                    <w:textAlignment w:val="auto"/>
                    <w:rPr>
                      <w:rFonts w:ascii="Times New Roman" w:hAnsi="Times New Roman" w:cs="Times New Roman"/>
                      <w:color w:val="0000FF"/>
                      <w:lang w:eastAsia="zh-CN"/>
                    </w:rPr>
                  </w:pPr>
                  <w:r>
                    <w:rPr>
                      <w:rFonts w:hint="eastAsia" w:ascii="Times New Roman" w:hAnsi="Times New Roman" w:cs="Times New Roman"/>
                      <w:color w:val="0000FF"/>
                      <w:lang w:eastAsia="zh-CN"/>
                    </w:rPr>
                    <w:t>限制勘查高硫煤、石煤、硫铁矿、石棉，勘查区块投放前应做好论证。围绕国家战略性矿产、我省优势和紧缺矿产，引导项目、资金等要素向国家规划矿区和重点勘查区投入，重点勘查石油、天然气、页岩气、煤层气、煤炭、地热、氦气、铁矿、锰矿、铜矿、镍矿、金矿、钴矿、晶质石墨、萤石等矿产，以上矿种鼓励社会多元资金投资勘查。</w:t>
                  </w:r>
                </w:p>
                <w:p w14:paraId="758E4893">
                  <w:pPr>
                    <w:pStyle w:val="72"/>
                    <w:keepNext w:val="0"/>
                    <w:keepLines w:val="0"/>
                    <w:pageBreakBefore w:val="0"/>
                    <w:widowControl w:val="0"/>
                    <w:kinsoku/>
                    <w:wordWrap/>
                    <w:overflowPunct/>
                    <w:topLinePunct w:val="0"/>
                    <w:autoSpaceDE/>
                    <w:autoSpaceDN/>
                    <w:bidi w:val="0"/>
                    <w:adjustRightInd/>
                    <w:snapToGrid/>
                    <w:spacing w:line="240" w:lineRule="auto"/>
                    <w:ind w:firstLine="420"/>
                    <w:jc w:val="both"/>
                    <w:textAlignment w:val="auto"/>
                    <w:rPr>
                      <w:rFonts w:ascii="Times New Roman" w:hAnsi="Times New Roman" w:cs="Times New Roman"/>
                      <w:color w:val="0000FF"/>
                      <w:lang w:eastAsia="zh-CN"/>
                    </w:rPr>
                  </w:pPr>
                  <w:r>
                    <w:rPr>
                      <w:rFonts w:hint="eastAsia" w:ascii="Times New Roman" w:hAnsi="Times New Roman" w:cs="Times New Roman"/>
                      <w:color w:val="0000FF"/>
                      <w:lang w:eastAsia="zh-CN"/>
                    </w:rPr>
                    <w:t>禁止开采新的原生汞矿、蓝石棉、可耕地的砖瓦用粘土，不得新设采矿权，因共生、伴生矿等情况确需综合回收利用禁止矿种的，应严格论证。禁止开采砷和放射性等有毒有害物质超过规定标准的煤炭项目。限制开采湿地泥炭、陕南地区的煤炭、石煤、硫铁矿、石棉、瓦板岩以及砂金、砂铁等重砂矿物，严格执行开采总量控制、开采准入条件等有关要求，并加强监督管理。不再新建石煤、硫铁矿、汞矿、露天磷矿山，逐步停止硫铁矿、汞矿开采。对石油、天然气、页岩气、煤层气、煤炭、地热、铁矿、锰矿、钒矿、铜矿、钨矿、镍矿、锑矿、金矿、盐矿、重晶石、晶质石墨、萤石等矿产，推进高效利用，在符合开采准入条件和国家有关矿产资源管理政策要求下，有序投放采矿权。合理调控铅矿、锌矿、钼矿、磷矿、水泥用灰岩开发利用强度。保护性开采钨矿，执行国家规定的开采总量指标。</w:t>
                  </w:r>
                </w:p>
              </w:tc>
              <w:tc>
                <w:tcPr>
                  <w:tcW w:w="1181" w:type="pct"/>
                  <w:vAlign w:val="center"/>
                </w:tcPr>
                <w:p w14:paraId="79EE0244">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cs="Times New Roman"/>
                      <w:color w:val="0000FF"/>
                      <w:spacing w:val="2"/>
                      <w:lang w:eastAsia="zh-CN"/>
                    </w:rPr>
                  </w:pPr>
                  <w:r>
                    <w:rPr>
                      <w:rFonts w:hint="eastAsia" w:ascii="Times New Roman" w:hAnsi="Times New Roman" w:cs="Times New Roman"/>
                      <w:color w:val="0000FF"/>
                      <w:spacing w:val="2"/>
                      <w:lang w:eastAsia="zh-CN"/>
                    </w:rPr>
                    <w:t>本项目矿区不涉及生态保护红线，不涉及永久基本农田。本项目为石英矿露天开采，不涉及</w:t>
                  </w:r>
                  <w:r>
                    <w:rPr>
                      <w:rFonts w:hint="eastAsia" w:ascii="Times New Roman" w:hAnsi="Times New Roman" w:cs="Times New Roman"/>
                      <w:color w:val="0000FF"/>
                      <w:lang w:eastAsia="zh-CN"/>
                    </w:rPr>
                    <w:t>高硫煤、石煤、硫铁矿、石棉、石油、天然气、页岩气、煤层气、煤炭、地热、氦气、铁矿、锰矿、铜矿、镍矿、金矿、钴矿、晶质石墨、萤石等矿产。</w:t>
                  </w:r>
                </w:p>
                <w:p w14:paraId="4628CCAD">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cs="Times New Roman"/>
                      <w:color w:val="0000FF"/>
                      <w:lang w:eastAsia="zh-CN"/>
                    </w:rPr>
                  </w:pPr>
                  <w:r>
                    <w:rPr>
                      <w:rFonts w:hint="eastAsia" w:ascii="Times New Roman" w:hAnsi="Times New Roman" w:cs="Times New Roman"/>
                      <w:color w:val="0000FF"/>
                      <w:spacing w:val="2"/>
                      <w:lang w:eastAsia="zh-CN"/>
                    </w:rPr>
                    <w:t>本项目为石英矿露天开采，不涉及</w:t>
                  </w:r>
                  <w:r>
                    <w:rPr>
                      <w:rFonts w:hint="eastAsia" w:ascii="Times New Roman" w:hAnsi="Times New Roman" w:cs="Times New Roman"/>
                      <w:color w:val="0000FF"/>
                      <w:lang w:eastAsia="zh-CN"/>
                    </w:rPr>
                    <w:t>原生汞矿、蓝石棉、可耕地的砖瓦用粘土、湿地泥炭、陕南地区的煤炭、石煤、硫铁矿、石棉、瓦板岩以及砂金、砂铁等矿产。</w:t>
                  </w:r>
                </w:p>
              </w:tc>
              <w:tc>
                <w:tcPr>
                  <w:tcW w:w="386" w:type="pct"/>
                  <w:tcBorders>
                    <w:right w:val="single" w:color="000000" w:sz="2" w:space="0"/>
                  </w:tcBorders>
                  <w:vAlign w:val="center"/>
                </w:tcPr>
                <w:p w14:paraId="6C6FFC21">
                  <w:pPr>
                    <w:pStyle w:val="72"/>
                    <w:spacing w:line="240" w:lineRule="auto"/>
                    <w:ind w:right="124" w:firstLine="0" w:firstLineChars="0"/>
                    <w:jc w:val="center"/>
                    <w:rPr>
                      <w:rFonts w:ascii="Times New Roman" w:hAnsi="Times New Roman" w:cs="Times New Roman"/>
                      <w:color w:val="0000FF"/>
                      <w:lang w:eastAsia="zh-CN"/>
                    </w:rPr>
                  </w:pPr>
                  <w:r>
                    <w:rPr>
                      <w:rFonts w:hint="eastAsia" w:ascii="Times New Roman" w:hAnsi="Times New Roman" w:cs="Times New Roman"/>
                      <w:color w:val="0000FF"/>
                      <w:lang w:eastAsia="zh-CN"/>
                    </w:rPr>
                    <w:t>符合</w:t>
                  </w:r>
                </w:p>
              </w:tc>
            </w:tr>
            <w:tr w14:paraId="4E09DF77">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jc w:val="center"/>
              </w:trPr>
              <w:tc>
                <w:tcPr>
                  <w:tcW w:w="643" w:type="pct"/>
                  <w:vMerge w:val="restart"/>
                  <w:tcBorders>
                    <w:left w:val="single" w:color="000000" w:sz="4" w:space="0"/>
                  </w:tcBorders>
                  <w:vAlign w:val="center"/>
                </w:tcPr>
                <w:p w14:paraId="4E3D0A14">
                  <w:pPr>
                    <w:pStyle w:val="72"/>
                    <w:spacing w:line="240" w:lineRule="auto"/>
                    <w:ind w:firstLine="0" w:firstLineChars="0"/>
                    <w:rPr>
                      <w:rFonts w:ascii="Times New Roman" w:hAnsi="Times New Roman" w:cs="Times New Roman"/>
                      <w:color w:val="0000FF"/>
                      <w:lang w:eastAsia="zh-CN"/>
                    </w:rPr>
                  </w:pPr>
                  <w:r>
                    <w:rPr>
                      <w:rFonts w:hint="eastAsia" w:ascii="Times New Roman" w:hAnsi="Times New Roman" w:cs="Times New Roman"/>
                      <w:color w:val="0000FF"/>
                      <w:lang w:eastAsia="zh-CN"/>
                    </w:rPr>
                    <w:t>五、强化矿产资源开发利用与保护</w:t>
                  </w:r>
                </w:p>
              </w:tc>
              <w:tc>
                <w:tcPr>
                  <w:tcW w:w="744" w:type="pct"/>
                  <w:vAlign w:val="center"/>
                </w:tcPr>
                <w:p w14:paraId="2C3FD3C3">
                  <w:pPr>
                    <w:pStyle w:val="72"/>
                    <w:spacing w:line="240" w:lineRule="auto"/>
                    <w:ind w:firstLine="0" w:firstLineChars="0"/>
                    <w:jc w:val="left"/>
                    <w:rPr>
                      <w:rFonts w:ascii="Times New Roman" w:hAnsi="Times New Roman" w:cs="Times New Roman"/>
                      <w:color w:val="0000FF"/>
                      <w:lang w:eastAsia="zh-CN"/>
                    </w:rPr>
                  </w:pPr>
                  <w:r>
                    <w:rPr>
                      <w:rFonts w:hint="eastAsia" w:ascii="Times New Roman" w:hAnsi="Times New Roman" w:cs="Times New Roman"/>
                      <w:color w:val="0000FF"/>
                      <w:lang w:eastAsia="zh-CN"/>
                    </w:rPr>
                    <w:t>二、调整矿山开发利用结构（二）严格开采规划准入管理</w:t>
                  </w:r>
                </w:p>
              </w:tc>
              <w:tc>
                <w:tcPr>
                  <w:tcW w:w="2044" w:type="pct"/>
                  <w:vAlign w:val="center"/>
                </w:tcPr>
                <w:p w14:paraId="11D4C2AA">
                  <w:pPr>
                    <w:pStyle w:val="72"/>
                    <w:spacing w:line="240" w:lineRule="auto"/>
                    <w:ind w:firstLine="420"/>
                    <w:rPr>
                      <w:rFonts w:ascii="Times New Roman" w:hAnsi="Times New Roman" w:cs="Times New Roman"/>
                      <w:color w:val="0000FF"/>
                      <w:lang w:eastAsia="zh-CN"/>
                    </w:rPr>
                  </w:pPr>
                  <w:r>
                    <w:rPr>
                      <w:rFonts w:ascii="Times New Roman" w:hAnsi="Times New Roman" w:cs="Times New Roman"/>
                      <w:color w:val="0000FF"/>
                      <w:lang w:eastAsia="zh-CN"/>
                    </w:rPr>
                    <w:t>按照矿山开采规模与矿区资源储量规模、矿山服务年限相适应的要求，新立采矿权实施新建矿山最低开采规模的规定。已有采矿权矿山企业应当通过设备改造和技术升级，达到保留或技改矿山最低规模要求。商洛市洛南县、山阳县新改扩和整合的铁、铜、铅、锌、钼、金地下矿山及露天采石场规模不低于国家矿山安全监察局规定的非煤矿山重点地区安全生产有关要求。其他地区砂石土类矿产的最低开采规模可结合各市、县资源禀赋和市场供需实际，在充分论证的基础上合理确定，但不得低于上级规划。</w:t>
                  </w:r>
                </w:p>
              </w:tc>
              <w:tc>
                <w:tcPr>
                  <w:tcW w:w="1181" w:type="pct"/>
                  <w:vAlign w:val="center"/>
                </w:tcPr>
                <w:p w14:paraId="6699DD37">
                  <w:pPr>
                    <w:pStyle w:val="72"/>
                    <w:spacing w:line="240" w:lineRule="auto"/>
                    <w:ind w:firstLine="428"/>
                    <w:jc w:val="left"/>
                    <w:rPr>
                      <w:rFonts w:ascii="Times New Roman" w:hAnsi="Times New Roman" w:cs="Times New Roman"/>
                      <w:color w:val="0000FF"/>
                      <w:spacing w:val="2"/>
                      <w:lang w:eastAsia="zh-CN"/>
                    </w:rPr>
                  </w:pPr>
                  <w:r>
                    <w:rPr>
                      <w:rFonts w:hint="eastAsia" w:ascii="Times New Roman" w:hAnsi="Times New Roman" w:cs="Times New Roman"/>
                      <w:color w:val="0000FF"/>
                      <w:spacing w:val="2"/>
                      <w:lang w:eastAsia="zh-CN"/>
                    </w:rPr>
                    <w:t>本项目在宝鸡市陈仓区梨树沟露天开采石英矿，产量为40万t/a，石英矿开采规模无具体要求。</w:t>
                  </w:r>
                </w:p>
              </w:tc>
              <w:tc>
                <w:tcPr>
                  <w:tcW w:w="386" w:type="pct"/>
                  <w:tcBorders>
                    <w:right w:val="single" w:color="000000" w:sz="2" w:space="0"/>
                  </w:tcBorders>
                  <w:vAlign w:val="center"/>
                </w:tcPr>
                <w:p w14:paraId="2AB263C6">
                  <w:pPr>
                    <w:pStyle w:val="72"/>
                    <w:spacing w:line="240" w:lineRule="auto"/>
                    <w:ind w:right="124" w:firstLine="0" w:firstLineChars="0"/>
                    <w:jc w:val="center"/>
                    <w:rPr>
                      <w:rFonts w:ascii="Times New Roman" w:hAnsi="Times New Roman" w:cs="Times New Roman"/>
                      <w:color w:val="0000FF"/>
                      <w:lang w:eastAsia="zh-CN"/>
                    </w:rPr>
                  </w:pPr>
                  <w:r>
                    <w:rPr>
                      <w:rFonts w:hint="eastAsia" w:ascii="Times New Roman" w:hAnsi="Times New Roman" w:cs="Times New Roman"/>
                      <w:color w:val="0000FF"/>
                      <w:lang w:eastAsia="zh-CN"/>
                    </w:rPr>
                    <w:t>符合</w:t>
                  </w:r>
                </w:p>
              </w:tc>
            </w:tr>
            <w:tr w14:paraId="3571D45F">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jc w:val="center"/>
              </w:trPr>
              <w:tc>
                <w:tcPr>
                  <w:tcW w:w="643" w:type="pct"/>
                  <w:vMerge w:val="continue"/>
                  <w:tcBorders>
                    <w:left w:val="single" w:color="000000" w:sz="4" w:space="0"/>
                  </w:tcBorders>
                  <w:vAlign w:val="center"/>
                </w:tcPr>
                <w:p w14:paraId="017CFCD5">
                  <w:pPr>
                    <w:pStyle w:val="72"/>
                    <w:spacing w:line="240" w:lineRule="auto"/>
                    <w:ind w:firstLine="420"/>
                    <w:jc w:val="center"/>
                    <w:rPr>
                      <w:rFonts w:ascii="Times New Roman" w:hAnsi="Times New Roman" w:cs="Times New Roman"/>
                      <w:color w:val="0000FF"/>
                      <w:lang w:eastAsia="zh-CN"/>
                    </w:rPr>
                  </w:pPr>
                </w:p>
              </w:tc>
              <w:tc>
                <w:tcPr>
                  <w:tcW w:w="744" w:type="pct"/>
                  <w:vAlign w:val="center"/>
                </w:tcPr>
                <w:p w14:paraId="5DA64897">
                  <w:pPr>
                    <w:pStyle w:val="72"/>
                    <w:spacing w:line="240" w:lineRule="auto"/>
                    <w:ind w:firstLine="0" w:firstLineChars="0"/>
                    <w:jc w:val="left"/>
                    <w:rPr>
                      <w:rFonts w:ascii="Times New Roman" w:hAnsi="Times New Roman" w:cs="Times New Roman"/>
                      <w:color w:val="0000FF"/>
                      <w:lang w:eastAsia="zh-CN"/>
                    </w:rPr>
                  </w:pPr>
                  <w:r>
                    <w:rPr>
                      <w:rFonts w:hint="eastAsia" w:ascii="Times New Roman" w:hAnsi="Times New Roman" w:cs="Times New Roman"/>
                      <w:color w:val="0000FF"/>
                      <w:lang w:eastAsia="zh-CN"/>
                    </w:rPr>
                    <w:t>二、调整矿山开发利用结构（三）强化空间管控约束</w:t>
                  </w:r>
                </w:p>
              </w:tc>
              <w:tc>
                <w:tcPr>
                  <w:tcW w:w="2044" w:type="pct"/>
                  <w:vAlign w:val="center"/>
                </w:tcPr>
                <w:p w14:paraId="5CBCB41E">
                  <w:pPr>
                    <w:pStyle w:val="72"/>
                    <w:spacing w:line="240" w:lineRule="auto"/>
                    <w:ind w:firstLine="420"/>
                    <w:rPr>
                      <w:rFonts w:ascii="Times New Roman" w:hAnsi="Times New Roman" w:cs="Times New Roman"/>
                      <w:color w:val="0000FF"/>
                      <w:lang w:eastAsia="zh-CN"/>
                    </w:rPr>
                  </w:pPr>
                  <w:r>
                    <w:rPr>
                      <w:rFonts w:hint="eastAsia" w:ascii="Times New Roman" w:hAnsi="Times New Roman" w:cs="Times New Roman"/>
                      <w:color w:val="0000FF"/>
                      <w:lang w:eastAsia="zh-CN"/>
                    </w:rPr>
                    <w:t>严格实施国土空间管控措施，衔接落实区域“三线一单”（生态保护红线、环境质量底线、资源利用上线和生态环境准入清单）生态环境分区管控要求。衔接落实陕西省秦岭生态环境保护总体规划，在秦岭核心保护区和重点保护区内禁止新设采矿权，秦岭主梁以北、封山育林区、禁牧区内禁止新设采石采矿权，严格控制和规范在秦岭一般保护区的露天采矿活动。</w:t>
                  </w:r>
                </w:p>
                <w:p w14:paraId="00C996D1">
                  <w:pPr>
                    <w:pStyle w:val="72"/>
                    <w:spacing w:line="240" w:lineRule="auto"/>
                    <w:ind w:firstLine="420"/>
                    <w:rPr>
                      <w:rFonts w:ascii="Times New Roman" w:hAnsi="Times New Roman" w:cs="Times New Roman"/>
                      <w:color w:val="0000FF"/>
                      <w:lang w:eastAsia="zh-CN"/>
                    </w:rPr>
                  </w:pPr>
                  <w:r>
                    <w:rPr>
                      <w:rFonts w:hint="eastAsia" w:ascii="Times New Roman" w:hAnsi="Times New Roman" w:cs="Times New Roman"/>
                      <w:color w:val="0000FF"/>
                      <w:lang w:eastAsia="zh-CN"/>
                    </w:rPr>
                    <w:t>严格执行环境影响评价制度，在允许矿产开发的区域新建、扩建、改建矿产资源开采项目和秦岭主梁以南的一般保护区开山采石，应进行环境影响评价。执行陕西国家重点生态功能区产业准入负面清单（试行）、秦岭重点保护区和一般保护区产业准入清单（试行）和产业政策有关规定。生态保护红线及差别化管理政策批准或调整后，勘查开采规划区块出让要依法依规避让生态保护红线。科学编制矿山地质环境保护与土地复垦方案。矿产资源开发可能造成水土流失的，应当制定水土流失预防和治理的对策和措施。</w:t>
                  </w:r>
                </w:p>
              </w:tc>
              <w:tc>
                <w:tcPr>
                  <w:tcW w:w="1181" w:type="pct"/>
                  <w:vAlign w:val="center"/>
                </w:tcPr>
                <w:p w14:paraId="63CE6265">
                  <w:pPr>
                    <w:pStyle w:val="72"/>
                    <w:spacing w:line="240" w:lineRule="auto"/>
                    <w:ind w:firstLine="428"/>
                    <w:rPr>
                      <w:rFonts w:ascii="Times New Roman" w:hAnsi="Times New Roman" w:cs="Times New Roman"/>
                      <w:color w:val="0000FF"/>
                      <w:lang w:eastAsia="zh-CN"/>
                    </w:rPr>
                  </w:pPr>
                  <w:r>
                    <w:rPr>
                      <w:rFonts w:hint="eastAsia" w:ascii="Times New Roman" w:hAnsi="Times New Roman" w:cs="Times New Roman"/>
                      <w:color w:val="0000FF"/>
                      <w:spacing w:val="2"/>
                      <w:lang w:eastAsia="zh-CN"/>
                    </w:rPr>
                    <w:t>本项目</w:t>
                  </w:r>
                  <w:r>
                    <w:rPr>
                      <w:rFonts w:hint="eastAsia" w:ascii="Times New Roman" w:hAnsi="Times New Roman" w:cs="Times New Roman"/>
                      <w:color w:val="0000FF"/>
                      <w:lang w:eastAsia="zh-CN"/>
                    </w:rPr>
                    <w:t>严格实施国土空间管控措施，满足陕西省、关中地区及宝鸡市“三线一单”具体要求。</w:t>
                  </w:r>
                </w:p>
                <w:p w14:paraId="2DEB9CA0">
                  <w:pPr>
                    <w:pStyle w:val="72"/>
                    <w:spacing w:line="240" w:lineRule="auto"/>
                    <w:ind w:firstLine="420"/>
                    <w:rPr>
                      <w:rFonts w:ascii="Times New Roman" w:hAnsi="Times New Roman" w:cs="Times New Roman"/>
                      <w:color w:val="0000FF"/>
                      <w:lang w:eastAsia="zh-CN"/>
                    </w:rPr>
                  </w:pPr>
                  <w:r>
                    <w:rPr>
                      <w:rFonts w:hint="eastAsia" w:ascii="Times New Roman" w:hAnsi="Times New Roman" w:cs="Times New Roman"/>
                      <w:color w:val="0000FF"/>
                      <w:lang w:eastAsia="zh-CN"/>
                    </w:rPr>
                    <w:t>本项目开采区属于陇山山系关山余脉，不属于秦岭核心保护区和重点保护区。</w:t>
                  </w:r>
                </w:p>
                <w:p w14:paraId="621C5BF7">
                  <w:pPr>
                    <w:pStyle w:val="72"/>
                    <w:spacing w:line="240" w:lineRule="auto"/>
                    <w:ind w:firstLine="420"/>
                    <w:rPr>
                      <w:rFonts w:ascii="Times New Roman" w:hAnsi="Times New Roman" w:cs="Times New Roman"/>
                      <w:color w:val="0000FF"/>
                      <w:lang w:eastAsia="zh-CN"/>
                    </w:rPr>
                  </w:pPr>
                  <w:r>
                    <w:rPr>
                      <w:rFonts w:hint="eastAsia" w:ascii="Times New Roman" w:hAnsi="Times New Roman" w:cs="Times New Roman"/>
                      <w:color w:val="0000FF"/>
                      <w:lang w:eastAsia="zh-CN"/>
                    </w:rPr>
                    <w:t>本项目已编制了矿山地质环境保护与土地复垦方案，并以通过审查，水土保持方案编制中。</w:t>
                  </w:r>
                </w:p>
              </w:tc>
              <w:tc>
                <w:tcPr>
                  <w:tcW w:w="386" w:type="pct"/>
                  <w:tcBorders>
                    <w:right w:val="single" w:color="000000" w:sz="2" w:space="0"/>
                  </w:tcBorders>
                  <w:vAlign w:val="center"/>
                </w:tcPr>
                <w:p w14:paraId="27C164FA">
                  <w:pPr>
                    <w:pStyle w:val="72"/>
                    <w:spacing w:line="240" w:lineRule="auto"/>
                    <w:ind w:right="124" w:firstLine="0" w:firstLineChars="0"/>
                    <w:jc w:val="center"/>
                    <w:rPr>
                      <w:rFonts w:ascii="Times New Roman" w:hAnsi="Times New Roman" w:cs="Times New Roman"/>
                      <w:color w:val="0000FF"/>
                      <w:lang w:eastAsia="zh-CN"/>
                    </w:rPr>
                  </w:pPr>
                  <w:r>
                    <w:rPr>
                      <w:rFonts w:hint="eastAsia" w:ascii="Times New Roman" w:hAnsi="Times New Roman" w:cs="Times New Roman"/>
                      <w:color w:val="0000FF"/>
                      <w:lang w:eastAsia="zh-CN"/>
                    </w:rPr>
                    <w:t>符合</w:t>
                  </w:r>
                </w:p>
              </w:tc>
            </w:tr>
            <w:tr w14:paraId="4E1CBBB8">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jc w:val="center"/>
              </w:trPr>
              <w:tc>
                <w:tcPr>
                  <w:tcW w:w="643" w:type="pct"/>
                  <w:tcBorders>
                    <w:left w:val="single" w:color="000000" w:sz="4" w:space="0"/>
                  </w:tcBorders>
                  <w:vAlign w:val="center"/>
                </w:tcPr>
                <w:p w14:paraId="4903C963">
                  <w:pPr>
                    <w:pStyle w:val="72"/>
                    <w:spacing w:line="240" w:lineRule="auto"/>
                    <w:ind w:firstLine="0" w:firstLineChars="0"/>
                    <w:rPr>
                      <w:rFonts w:ascii="Times New Roman" w:hAnsi="Times New Roman" w:cs="Times New Roman"/>
                      <w:color w:val="0000FF"/>
                      <w:lang w:eastAsia="zh-CN"/>
                    </w:rPr>
                  </w:pPr>
                  <w:r>
                    <w:rPr>
                      <w:rFonts w:hint="eastAsia" w:ascii="Times New Roman" w:hAnsi="Times New Roman" w:cs="Times New Roman"/>
                      <w:color w:val="0000FF"/>
                      <w:lang w:eastAsia="zh-CN"/>
                    </w:rPr>
                    <w:t>七、推动矿业绿色发展</w:t>
                  </w:r>
                </w:p>
              </w:tc>
              <w:tc>
                <w:tcPr>
                  <w:tcW w:w="744" w:type="pct"/>
                  <w:vAlign w:val="center"/>
                </w:tcPr>
                <w:p w14:paraId="2A2C6A28">
                  <w:pPr>
                    <w:pStyle w:val="72"/>
                    <w:spacing w:line="240" w:lineRule="auto"/>
                    <w:ind w:firstLine="0" w:firstLineChars="0"/>
                    <w:rPr>
                      <w:rFonts w:ascii="Times New Roman" w:hAnsi="Times New Roman" w:cs="Times New Roman"/>
                      <w:color w:val="0000FF"/>
                      <w:lang w:eastAsia="zh-CN"/>
                    </w:rPr>
                  </w:pPr>
                  <w:r>
                    <w:rPr>
                      <w:rFonts w:hint="eastAsia" w:ascii="Times New Roman" w:hAnsi="Times New Roman" w:cs="Times New Roman"/>
                      <w:color w:val="0000FF"/>
                      <w:lang w:eastAsia="zh-CN"/>
                    </w:rPr>
                    <w:t>三、加大矿山生态保护与修复</w:t>
                  </w:r>
                </w:p>
              </w:tc>
              <w:tc>
                <w:tcPr>
                  <w:tcW w:w="2044" w:type="pct"/>
                  <w:vAlign w:val="center"/>
                </w:tcPr>
                <w:p w14:paraId="618BD0D5">
                  <w:pPr>
                    <w:pStyle w:val="72"/>
                    <w:spacing w:line="240" w:lineRule="auto"/>
                    <w:ind w:firstLine="420"/>
                    <w:rPr>
                      <w:rFonts w:ascii="Times New Roman" w:hAnsi="Times New Roman" w:cs="Times New Roman"/>
                      <w:color w:val="0000FF"/>
                      <w:lang w:eastAsia="zh-CN"/>
                    </w:rPr>
                  </w:pPr>
                  <w:r>
                    <w:rPr>
                      <w:rFonts w:hint="eastAsia" w:ascii="Times New Roman" w:hAnsi="Times New Roman" w:cs="Times New Roman"/>
                      <w:color w:val="0000FF"/>
                      <w:lang w:eastAsia="zh-CN"/>
                    </w:rPr>
                    <w:t>加强源头预防和过程控制。落实省级国土空间生态修复规划，督促矿山企业科学编制并严格实施矿山开发利用方案、矿山地质环境保护与土地复垦方案，实现边开采、边保护、边治理，切实履行矿山地质环境治理恢复和土地复垦义务。完善制度和措施，引导和支持社会资本参与矿山生态修复，统筹推进黄河流域采煤沉陷区、历史遗留矿山综合治理，开展矿山生态修复试点示范，持续推进渭北、秦岭北麓关闭退出采石矿山地质环境恢复治理，改善区域生态环境。</w:t>
                  </w:r>
                </w:p>
                <w:p w14:paraId="44A6560A">
                  <w:pPr>
                    <w:pStyle w:val="72"/>
                    <w:spacing w:line="240" w:lineRule="auto"/>
                    <w:ind w:firstLine="0" w:firstLineChars="0"/>
                    <w:rPr>
                      <w:rFonts w:ascii="Times New Roman" w:hAnsi="Times New Roman" w:cs="Times New Roman"/>
                      <w:color w:val="0000FF"/>
                      <w:lang w:eastAsia="zh-CN"/>
                    </w:rPr>
                  </w:pPr>
                  <w:r>
                    <w:rPr>
                      <w:rFonts w:hint="eastAsia" w:ascii="Times New Roman" w:hAnsi="Times New Roman" w:cs="Times New Roman"/>
                      <w:color w:val="0000FF"/>
                      <w:lang w:eastAsia="zh-CN"/>
                    </w:rPr>
                    <w:t>落实矿山企业生态保护主体责任。新建矿山应符合本规划管控要求，编制矿山地质环境保护与土地复垦方案。生产矿山要坚持“边开采、边治理”，切实履行矿山生态修复责任，鼓励矿山企业实施开发式治理，提高矿山生态修复的综合效益。退出矿山要履行矿山地质环境保护与治理有关规定，按照“谁开发、谁保护，谁破坏、谁恢复”的原则，全面履行矿山地质环境保护与土地复垦责任。</w:t>
                  </w:r>
                </w:p>
              </w:tc>
              <w:tc>
                <w:tcPr>
                  <w:tcW w:w="1181" w:type="pct"/>
                  <w:vAlign w:val="center"/>
                </w:tcPr>
                <w:p w14:paraId="03C10CFF">
                  <w:pPr>
                    <w:pStyle w:val="72"/>
                    <w:spacing w:line="240" w:lineRule="auto"/>
                    <w:ind w:firstLine="420"/>
                    <w:rPr>
                      <w:rFonts w:ascii="Times New Roman" w:hAnsi="Times New Roman" w:cs="Times New Roman"/>
                      <w:color w:val="0000FF"/>
                      <w:lang w:eastAsia="zh-CN"/>
                    </w:rPr>
                  </w:pPr>
                  <w:r>
                    <w:rPr>
                      <w:rFonts w:hint="eastAsia" w:ascii="Times New Roman" w:hAnsi="Times New Roman" w:cs="Times New Roman"/>
                      <w:color w:val="0000FF"/>
                      <w:lang w:eastAsia="zh-CN"/>
                    </w:rPr>
                    <w:t>本项目已编制了矿山地质环境保护与土地复垦方案，在开采过程中及闭矿期对矿山地质环境进行治理恢复及土地复垦。</w:t>
                  </w:r>
                </w:p>
              </w:tc>
              <w:tc>
                <w:tcPr>
                  <w:tcW w:w="386" w:type="pct"/>
                  <w:tcBorders>
                    <w:right w:val="single" w:color="000000" w:sz="2" w:space="0"/>
                  </w:tcBorders>
                  <w:vAlign w:val="center"/>
                </w:tcPr>
                <w:p w14:paraId="558B4DAC">
                  <w:pPr>
                    <w:pStyle w:val="72"/>
                    <w:spacing w:line="240" w:lineRule="auto"/>
                    <w:ind w:right="124" w:firstLine="0" w:firstLineChars="0"/>
                    <w:jc w:val="center"/>
                    <w:rPr>
                      <w:rFonts w:ascii="Times New Roman" w:hAnsi="Times New Roman" w:cs="Times New Roman"/>
                      <w:color w:val="0000FF"/>
                      <w:lang w:eastAsia="zh-CN"/>
                    </w:rPr>
                  </w:pPr>
                  <w:r>
                    <w:rPr>
                      <w:rFonts w:hint="eastAsia" w:ascii="Times New Roman" w:hAnsi="Times New Roman" w:cs="Times New Roman"/>
                      <w:color w:val="0000FF"/>
                      <w:lang w:eastAsia="zh-CN"/>
                    </w:rPr>
                    <w:t>符合</w:t>
                  </w:r>
                </w:p>
              </w:tc>
            </w:tr>
            <w:tr w14:paraId="198A221A">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jc w:val="center"/>
              </w:trPr>
              <w:tc>
                <w:tcPr>
                  <w:tcW w:w="643" w:type="pct"/>
                  <w:vMerge w:val="restart"/>
                  <w:tcBorders>
                    <w:left w:val="single" w:color="000000" w:sz="4" w:space="0"/>
                  </w:tcBorders>
                  <w:vAlign w:val="center"/>
                </w:tcPr>
                <w:p w14:paraId="2EF2EA89">
                  <w:pPr>
                    <w:pStyle w:val="72"/>
                    <w:spacing w:line="240" w:lineRule="auto"/>
                    <w:ind w:firstLine="0" w:firstLineChars="0"/>
                    <w:rPr>
                      <w:rFonts w:hint="eastAsia" w:ascii="Times New Roman" w:hAnsi="Times New Roman" w:cs="Times New Roman"/>
                      <w:color w:val="0000FF"/>
                      <w:lang w:eastAsia="zh-CN"/>
                    </w:rPr>
                  </w:pPr>
                  <w:r>
                    <w:rPr>
                      <w:rFonts w:hint="eastAsia" w:ascii="Times New Roman" w:hAnsi="Times New Roman" w:cs="Times New Roman"/>
                      <w:color w:val="0000FF"/>
                      <w:lang w:eastAsia="zh-CN"/>
                    </w:rPr>
                    <w:t>《陕西省矿产资源总体规划（2021~20</w:t>
                  </w:r>
                </w:p>
                <w:p w14:paraId="1F794FAC">
                  <w:pPr>
                    <w:pStyle w:val="72"/>
                    <w:spacing w:line="240" w:lineRule="auto"/>
                    <w:ind w:firstLine="0" w:firstLineChars="0"/>
                    <w:rPr>
                      <w:rFonts w:hint="eastAsia" w:ascii="Times New Roman" w:hAnsi="Times New Roman" w:cs="Times New Roman"/>
                      <w:color w:val="0000FF"/>
                      <w:lang w:eastAsia="zh-CN"/>
                    </w:rPr>
                  </w:pPr>
                  <w:r>
                    <w:rPr>
                      <w:rFonts w:hint="eastAsia" w:ascii="Times New Roman" w:hAnsi="Times New Roman" w:cs="Times New Roman"/>
                      <w:color w:val="0000FF"/>
                      <w:lang w:eastAsia="zh-CN"/>
                    </w:rPr>
                    <w:t>25年）环境影响报告书》及审查意见</w:t>
                  </w:r>
                </w:p>
              </w:tc>
              <w:tc>
                <w:tcPr>
                  <w:tcW w:w="2788" w:type="pct"/>
                  <w:gridSpan w:val="2"/>
                  <w:vAlign w:val="center"/>
                </w:tcPr>
                <w:p w14:paraId="22DE3E1A">
                  <w:pPr>
                    <w:pStyle w:val="72"/>
                    <w:spacing w:line="240" w:lineRule="auto"/>
                    <w:ind w:firstLine="0" w:firstLineChars="0"/>
                    <w:rPr>
                      <w:rFonts w:hint="eastAsia" w:ascii="Times New Roman" w:hAnsi="Times New Roman" w:cs="Times New Roman"/>
                      <w:color w:val="0000FF"/>
                      <w:lang w:eastAsia="zh-CN"/>
                    </w:rPr>
                  </w:pPr>
                  <w:r>
                    <w:rPr>
                      <w:rFonts w:hint="eastAsia" w:ascii="Times New Roman" w:hAnsi="Times New Roman" w:cs="Times New Roman"/>
                      <w:color w:val="0000FF"/>
                      <w:lang w:eastAsia="zh-CN"/>
                    </w:rPr>
                    <w:t>加强环境管理，使建设项目运行过程中产生的大气污染物、噪声达标排放，水污染物达标排放或零排放，固体废物进行综合利用或妥善处理处置</w:t>
                  </w:r>
                </w:p>
              </w:tc>
              <w:tc>
                <w:tcPr>
                  <w:tcW w:w="1181" w:type="pct"/>
                  <w:vAlign w:val="center"/>
                </w:tcPr>
                <w:p w14:paraId="01074F16">
                  <w:pPr>
                    <w:pStyle w:val="72"/>
                    <w:spacing w:line="240" w:lineRule="auto"/>
                    <w:ind w:left="0" w:leftChars="0" w:firstLine="0" w:firstLineChars="0"/>
                    <w:rPr>
                      <w:rFonts w:hint="eastAsia" w:ascii="Times New Roman" w:hAnsi="Times New Roman" w:cs="Times New Roman"/>
                      <w:color w:val="0000FF"/>
                      <w:lang w:eastAsia="zh-CN"/>
                    </w:rPr>
                  </w:pPr>
                  <w:r>
                    <w:rPr>
                      <w:rFonts w:hint="eastAsia" w:ascii="Times New Roman" w:hAnsi="Times New Roman" w:cs="Times New Roman"/>
                      <w:color w:val="0000FF"/>
                      <w:lang w:eastAsia="zh-CN"/>
                    </w:rPr>
                    <w:t>本项目加强环境管理，施工期和运营期各类废气排放均符合标准要求，噪声采取措施后对周围声环境影响较小，废水不外排，固废处置率达到100%。</w:t>
                  </w:r>
                </w:p>
              </w:tc>
              <w:tc>
                <w:tcPr>
                  <w:tcW w:w="386" w:type="pct"/>
                  <w:tcBorders>
                    <w:right w:val="single" w:color="000000" w:sz="2" w:space="0"/>
                  </w:tcBorders>
                  <w:vAlign w:val="center"/>
                </w:tcPr>
                <w:p w14:paraId="25EB5871">
                  <w:pPr>
                    <w:spacing w:line="240" w:lineRule="auto"/>
                    <w:ind w:left="0" w:leftChars="0" w:right="124" w:firstLine="0" w:firstLineChars="0"/>
                    <w:jc w:val="center"/>
                    <w:rPr>
                      <w:rFonts w:hint="eastAsia"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符合</w:t>
                  </w:r>
                </w:p>
              </w:tc>
            </w:tr>
            <w:tr w14:paraId="2B6536DF">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jc w:val="center"/>
              </w:trPr>
              <w:tc>
                <w:tcPr>
                  <w:tcW w:w="643" w:type="pct"/>
                  <w:vMerge w:val="continue"/>
                  <w:tcBorders>
                    <w:left w:val="single" w:color="000000" w:sz="4" w:space="0"/>
                  </w:tcBorders>
                  <w:vAlign w:val="center"/>
                </w:tcPr>
                <w:p w14:paraId="1B4259DD">
                  <w:pPr>
                    <w:pStyle w:val="72"/>
                    <w:spacing w:line="240" w:lineRule="auto"/>
                    <w:ind w:firstLine="0" w:firstLineChars="0"/>
                    <w:rPr>
                      <w:rFonts w:hint="eastAsia" w:ascii="Times New Roman" w:hAnsi="Times New Roman" w:cs="Times New Roman"/>
                      <w:color w:val="0000FF"/>
                      <w:lang w:eastAsia="zh-CN"/>
                    </w:rPr>
                  </w:pPr>
                </w:p>
              </w:tc>
              <w:tc>
                <w:tcPr>
                  <w:tcW w:w="2788" w:type="pct"/>
                  <w:gridSpan w:val="2"/>
                  <w:vAlign w:val="center"/>
                </w:tcPr>
                <w:p w14:paraId="6B739813">
                  <w:pPr>
                    <w:pStyle w:val="72"/>
                    <w:spacing w:line="240" w:lineRule="auto"/>
                    <w:ind w:firstLine="0" w:firstLineChars="0"/>
                    <w:rPr>
                      <w:rFonts w:hint="eastAsia" w:ascii="Times New Roman" w:hAnsi="Times New Roman" w:cs="Times New Roman"/>
                      <w:color w:val="0000FF"/>
                      <w:lang w:eastAsia="zh-CN"/>
                    </w:rPr>
                  </w:pPr>
                  <w:r>
                    <w:rPr>
                      <w:rFonts w:hint="eastAsia" w:ascii="Times New Roman" w:hAnsi="Times New Roman" w:cs="Times New Roman"/>
                      <w:color w:val="0000FF"/>
                      <w:lang w:eastAsia="zh-CN"/>
                    </w:rPr>
                    <w:t>要求新、改、扩建（在建）矿产资源开发项目</w:t>
                  </w:r>
                </w:p>
                <w:p w14:paraId="5C503BB4">
                  <w:pPr>
                    <w:pStyle w:val="72"/>
                    <w:spacing w:line="240" w:lineRule="auto"/>
                    <w:ind w:firstLine="0" w:firstLineChars="0"/>
                    <w:rPr>
                      <w:rFonts w:hint="eastAsia" w:ascii="Times New Roman" w:hAnsi="Times New Roman" w:cs="Times New Roman"/>
                      <w:color w:val="0000FF"/>
                      <w:lang w:eastAsia="zh-CN"/>
                    </w:rPr>
                  </w:pPr>
                  <w:r>
                    <w:rPr>
                      <w:rFonts w:hint="eastAsia" w:ascii="Times New Roman" w:hAnsi="Times New Roman" w:cs="Times New Roman"/>
                      <w:color w:val="0000FF"/>
                      <w:lang w:eastAsia="zh-CN"/>
                    </w:rPr>
                    <w:t>按照绿色矿山建设标准开展作业，勘查工作严</w:t>
                  </w:r>
                </w:p>
                <w:p w14:paraId="7B4CBE63">
                  <w:pPr>
                    <w:pStyle w:val="72"/>
                    <w:spacing w:line="240" w:lineRule="auto"/>
                    <w:ind w:firstLine="0" w:firstLineChars="0"/>
                    <w:rPr>
                      <w:rFonts w:hint="eastAsia" w:ascii="Times New Roman" w:hAnsi="Times New Roman" w:cs="Times New Roman"/>
                      <w:color w:val="0000FF"/>
                      <w:lang w:eastAsia="zh-CN"/>
                    </w:rPr>
                  </w:pPr>
                  <w:r>
                    <w:rPr>
                      <w:rFonts w:hint="eastAsia" w:ascii="Times New Roman" w:hAnsi="Times New Roman" w:cs="Times New Roman"/>
                      <w:color w:val="0000FF"/>
                      <w:lang w:eastAsia="zh-CN"/>
                    </w:rPr>
                    <w:t>格执行《绿色地质勘查工作规范》、《绿色勘</w:t>
                  </w:r>
                </w:p>
                <w:p w14:paraId="57BB4C48">
                  <w:pPr>
                    <w:pStyle w:val="72"/>
                    <w:spacing w:line="240" w:lineRule="auto"/>
                    <w:ind w:firstLine="0" w:firstLineChars="0"/>
                    <w:rPr>
                      <w:rFonts w:hint="eastAsia" w:ascii="Times New Roman" w:hAnsi="Times New Roman" w:cs="Times New Roman"/>
                      <w:color w:val="0000FF"/>
                      <w:lang w:eastAsia="zh-CN"/>
                    </w:rPr>
                  </w:pPr>
                  <w:r>
                    <w:rPr>
                      <w:rFonts w:hint="eastAsia" w:ascii="Times New Roman" w:hAnsi="Times New Roman" w:cs="Times New Roman"/>
                      <w:color w:val="0000FF"/>
                      <w:lang w:eastAsia="zh-CN"/>
                    </w:rPr>
                    <w:t>查指南》等文件要求，减少对矿区生态环境的</w:t>
                  </w:r>
                </w:p>
                <w:p w14:paraId="148271C2">
                  <w:pPr>
                    <w:pStyle w:val="72"/>
                    <w:spacing w:line="240" w:lineRule="auto"/>
                    <w:ind w:firstLine="0" w:firstLineChars="0"/>
                    <w:rPr>
                      <w:rFonts w:hint="eastAsia" w:ascii="Times New Roman" w:hAnsi="Times New Roman" w:cs="Times New Roman"/>
                      <w:color w:val="0000FF"/>
                      <w:lang w:eastAsia="zh-CN"/>
                    </w:rPr>
                  </w:pPr>
                  <w:r>
                    <w:rPr>
                      <w:rFonts w:hint="eastAsia" w:ascii="Times New Roman" w:hAnsi="Times New Roman" w:cs="Times New Roman"/>
                      <w:color w:val="0000FF"/>
                      <w:lang w:eastAsia="zh-CN"/>
                    </w:rPr>
                    <w:t>扰动，从源头上控制对矿区生态环境的影响。</w:t>
                  </w:r>
                </w:p>
              </w:tc>
              <w:tc>
                <w:tcPr>
                  <w:tcW w:w="1181" w:type="pct"/>
                  <w:vAlign w:val="center"/>
                </w:tcPr>
                <w:p w14:paraId="21A4D691">
                  <w:pPr>
                    <w:pStyle w:val="72"/>
                    <w:spacing w:line="240" w:lineRule="auto"/>
                    <w:ind w:left="0" w:leftChars="0" w:firstLine="0" w:firstLineChars="0"/>
                    <w:rPr>
                      <w:rFonts w:hint="eastAsia" w:ascii="Times New Roman" w:hAnsi="Times New Roman" w:cs="Times New Roman"/>
                      <w:color w:val="0000FF"/>
                      <w:lang w:eastAsia="zh-CN"/>
                    </w:rPr>
                  </w:pPr>
                  <w:r>
                    <w:rPr>
                      <w:rFonts w:hint="eastAsia" w:ascii="Times New Roman" w:hAnsi="Times New Roman" w:cs="Times New Roman"/>
                      <w:color w:val="0000FF"/>
                      <w:lang w:eastAsia="zh-CN"/>
                    </w:rPr>
                    <w:t>本项目主要开采石英矿，项目勘查工作应当严格执行《绿色地质勘查工作规范》、《绿色勘查指南》等文件要求，减少对矿区生态环境的扰动，从源头上控制对矿区生态环境的影响</w:t>
                  </w:r>
                </w:p>
              </w:tc>
              <w:tc>
                <w:tcPr>
                  <w:tcW w:w="386" w:type="pct"/>
                  <w:tcBorders>
                    <w:right w:val="single" w:color="000000" w:sz="2" w:space="0"/>
                  </w:tcBorders>
                  <w:vAlign w:val="center"/>
                </w:tcPr>
                <w:p w14:paraId="71E07949">
                  <w:pPr>
                    <w:spacing w:line="240" w:lineRule="auto"/>
                    <w:ind w:left="0" w:leftChars="0" w:right="124" w:firstLine="0" w:firstLineChars="0"/>
                    <w:jc w:val="center"/>
                    <w:rPr>
                      <w:rFonts w:hint="eastAsia"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符合</w:t>
                  </w:r>
                </w:p>
              </w:tc>
            </w:tr>
            <w:tr w14:paraId="4A0DF819">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jc w:val="center"/>
              </w:trPr>
              <w:tc>
                <w:tcPr>
                  <w:tcW w:w="643" w:type="pct"/>
                  <w:vMerge w:val="continue"/>
                  <w:tcBorders>
                    <w:left w:val="single" w:color="000000" w:sz="4" w:space="0"/>
                  </w:tcBorders>
                  <w:vAlign w:val="center"/>
                </w:tcPr>
                <w:p w14:paraId="26D59230">
                  <w:pPr>
                    <w:pStyle w:val="72"/>
                    <w:spacing w:line="240" w:lineRule="auto"/>
                    <w:ind w:firstLine="0" w:firstLineChars="0"/>
                    <w:rPr>
                      <w:rFonts w:hint="eastAsia" w:ascii="Times New Roman" w:hAnsi="Times New Roman" w:cs="Times New Roman"/>
                      <w:color w:val="0000FF"/>
                      <w:lang w:eastAsia="zh-CN"/>
                    </w:rPr>
                  </w:pPr>
                </w:p>
              </w:tc>
              <w:tc>
                <w:tcPr>
                  <w:tcW w:w="2788" w:type="pct"/>
                  <w:gridSpan w:val="2"/>
                  <w:vAlign w:val="center"/>
                </w:tcPr>
                <w:p w14:paraId="6D2E6495">
                  <w:pPr>
                    <w:pStyle w:val="72"/>
                    <w:spacing w:line="240" w:lineRule="auto"/>
                    <w:ind w:firstLine="0" w:firstLineChars="0"/>
                    <w:rPr>
                      <w:rFonts w:hint="eastAsia" w:ascii="Times New Roman" w:hAnsi="Times New Roman" w:cs="Times New Roman"/>
                      <w:color w:val="0000FF"/>
                      <w:lang w:eastAsia="zh-CN"/>
                    </w:rPr>
                  </w:pPr>
                  <w:r>
                    <w:rPr>
                      <w:rFonts w:hint="eastAsia" w:ascii="Times New Roman" w:hAnsi="Times New Roman" w:cs="Times New Roman"/>
                      <w:color w:val="0000FF"/>
                      <w:lang w:eastAsia="zh-CN"/>
                    </w:rPr>
                    <w:t>坚持生态优先、绿色发展。坚持以习近平生态文明思想为指导，严格落实绿水青山就是金山银山理念，立足于生态系统稳定和生态环境质量改善，处理好生态环境保护与矿产资源开发的关系，合理控制矿产资源开发规模与强度，不得占用依法应当禁止开发的区域，优先避让生态环境敏感区域。</w:t>
                  </w:r>
                </w:p>
              </w:tc>
              <w:tc>
                <w:tcPr>
                  <w:tcW w:w="1181" w:type="pct"/>
                  <w:vMerge w:val="restart"/>
                  <w:vAlign w:val="center"/>
                </w:tcPr>
                <w:p w14:paraId="0FAD2D48">
                  <w:pPr>
                    <w:pStyle w:val="72"/>
                    <w:spacing w:line="240" w:lineRule="auto"/>
                    <w:ind w:left="0" w:leftChars="0" w:firstLine="0" w:firstLineChars="0"/>
                    <w:rPr>
                      <w:rFonts w:hint="eastAsia" w:ascii="Times New Roman" w:hAnsi="Times New Roman" w:cs="Times New Roman"/>
                      <w:color w:val="0000FF"/>
                      <w:lang w:eastAsia="zh-CN"/>
                    </w:rPr>
                  </w:pPr>
                  <w:r>
                    <w:rPr>
                      <w:rFonts w:hint="eastAsia" w:ascii="Times New Roman" w:hAnsi="Times New Roman" w:cs="Times New Roman"/>
                      <w:color w:val="0000FF"/>
                      <w:lang w:eastAsia="zh-CN"/>
                    </w:rPr>
                    <w:t>本项目占地类型为林地，不占用基本农田和生态红线，不涉及饮用水水源保护区、自然保护区、风景名胜区等环境敏感区域。</w:t>
                  </w:r>
                </w:p>
              </w:tc>
              <w:tc>
                <w:tcPr>
                  <w:tcW w:w="386" w:type="pct"/>
                  <w:tcBorders>
                    <w:right w:val="single" w:color="000000" w:sz="2" w:space="0"/>
                  </w:tcBorders>
                  <w:vAlign w:val="center"/>
                </w:tcPr>
                <w:p w14:paraId="1131506C">
                  <w:pPr>
                    <w:spacing w:line="240" w:lineRule="auto"/>
                    <w:ind w:left="0" w:leftChars="0" w:right="124" w:firstLine="0" w:firstLineChars="0"/>
                    <w:jc w:val="center"/>
                    <w:rPr>
                      <w:rFonts w:hint="eastAsia"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符合</w:t>
                  </w:r>
                </w:p>
              </w:tc>
            </w:tr>
            <w:tr w14:paraId="74B32873">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jc w:val="center"/>
              </w:trPr>
              <w:tc>
                <w:tcPr>
                  <w:tcW w:w="643" w:type="pct"/>
                  <w:vMerge w:val="continue"/>
                  <w:tcBorders>
                    <w:left w:val="single" w:color="000000" w:sz="4" w:space="0"/>
                  </w:tcBorders>
                  <w:vAlign w:val="center"/>
                </w:tcPr>
                <w:p w14:paraId="7E5D878F">
                  <w:pPr>
                    <w:pStyle w:val="72"/>
                    <w:spacing w:line="240" w:lineRule="auto"/>
                    <w:ind w:firstLine="0" w:firstLineChars="0"/>
                    <w:rPr>
                      <w:rFonts w:hint="eastAsia" w:ascii="Times New Roman" w:hAnsi="Times New Roman" w:cs="Times New Roman"/>
                      <w:color w:val="0000FF"/>
                      <w:lang w:eastAsia="zh-CN"/>
                    </w:rPr>
                  </w:pPr>
                </w:p>
              </w:tc>
              <w:tc>
                <w:tcPr>
                  <w:tcW w:w="2788" w:type="pct"/>
                  <w:gridSpan w:val="2"/>
                  <w:vAlign w:val="center"/>
                </w:tcPr>
                <w:p w14:paraId="41012634">
                  <w:pPr>
                    <w:pStyle w:val="72"/>
                    <w:spacing w:line="240" w:lineRule="auto"/>
                    <w:ind w:firstLine="0" w:firstLineChars="0"/>
                    <w:rPr>
                      <w:rFonts w:hint="eastAsia" w:ascii="Times New Roman" w:hAnsi="Times New Roman" w:cs="Times New Roman"/>
                      <w:color w:val="0000FF"/>
                      <w:lang w:eastAsia="zh-CN"/>
                    </w:rPr>
                  </w:pPr>
                  <w:r>
                    <w:rPr>
                      <w:rFonts w:hint="eastAsia" w:ascii="Times New Roman" w:hAnsi="Times New Roman" w:cs="Times New Roman"/>
                      <w:color w:val="0000FF"/>
                      <w:lang w:eastAsia="zh-CN"/>
                    </w:rPr>
                    <w:t>严格保护生态空间，优化《规划》布局。将生</w:t>
                  </w:r>
                </w:p>
                <w:p w14:paraId="307981B4">
                  <w:pPr>
                    <w:pStyle w:val="72"/>
                    <w:spacing w:line="240" w:lineRule="auto"/>
                    <w:ind w:firstLine="0" w:firstLineChars="0"/>
                    <w:rPr>
                      <w:rFonts w:hint="eastAsia" w:ascii="Times New Roman" w:hAnsi="Times New Roman" w:cs="Times New Roman"/>
                      <w:color w:val="0000FF"/>
                      <w:lang w:eastAsia="zh-CN"/>
                    </w:rPr>
                  </w:pPr>
                  <w:r>
                    <w:rPr>
                      <w:rFonts w:hint="eastAsia" w:ascii="Times New Roman" w:hAnsi="Times New Roman" w:cs="Times New Roman"/>
                      <w:color w:val="0000FF"/>
                      <w:lang w:eastAsia="zh-CN"/>
                    </w:rPr>
                    <w:t>态保护红线作为保障和维护区域生态安全的底线，应进一步优化矿业权设置和空间布局，依法依规对生态空间实施严格保护</w:t>
                  </w:r>
                </w:p>
              </w:tc>
              <w:tc>
                <w:tcPr>
                  <w:tcW w:w="1181" w:type="pct"/>
                  <w:vMerge w:val="continue"/>
                  <w:vAlign w:val="center"/>
                </w:tcPr>
                <w:p w14:paraId="453BA355">
                  <w:pPr>
                    <w:pStyle w:val="72"/>
                    <w:spacing w:line="240" w:lineRule="auto"/>
                    <w:ind w:firstLine="420"/>
                    <w:rPr>
                      <w:rFonts w:hint="eastAsia" w:ascii="Times New Roman" w:hAnsi="Times New Roman" w:cs="Times New Roman"/>
                      <w:color w:val="0000FF"/>
                      <w:lang w:eastAsia="zh-CN"/>
                    </w:rPr>
                  </w:pPr>
                </w:p>
              </w:tc>
              <w:tc>
                <w:tcPr>
                  <w:tcW w:w="386" w:type="pct"/>
                  <w:tcBorders>
                    <w:right w:val="single" w:color="000000" w:sz="2" w:space="0"/>
                  </w:tcBorders>
                  <w:vAlign w:val="center"/>
                </w:tcPr>
                <w:p w14:paraId="59F5A878">
                  <w:pPr>
                    <w:spacing w:line="240" w:lineRule="auto"/>
                    <w:ind w:left="0" w:leftChars="0" w:right="124" w:firstLine="0" w:firstLineChars="0"/>
                    <w:jc w:val="center"/>
                    <w:rPr>
                      <w:rFonts w:hint="eastAsia"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符合</w:t>
                  </w:r>
                </w:p>
              </w:tc>
            </w:tr>
            <w:tr w14:paraId="7C4E00A3">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jc w:val="center"/>
              </w:trPr>
              <w:tc>
                <w:tcPr>
                  <w:tcW w:w="643" w:type="pct"/>
                  <w:vMerge w:val="continue"/>
                  <w:tcBorders>
                    <w:left w:val="single" w:color="000000" w:sz="4" w:space="0"/>
                  </w:tcBorders>
                  <w:vAlign w:val="center"/>
                </w:tcPr>
                <w:p w14:paraId="1F54F92A">
                  <w:pPr>
                    <w:pStyle w:val="72"/>
                    <w:spacing w:line="240" w:lineRule="auto"/>
                    <w:ind w:firstLine="0" w:firstLineChars="0"/>
                    <w:rPr>
                      <w:rFonts w:hint="eastAsia" w:ascii="Times New Roman" w:hAnsi="Times New Roman" w:cs="Times New Roman"/>
                      <w:color w:val="0000FF"/>
                      <w:lang w:eastAsia="zh-CN"/>
                    </w:rPr>
                  </w:pPr>
                </w:p>
              </w:tc>
              <w:tc>
                <w:tcPr>
                  <w:tcW w:w="2788" w:type="pct"/>
                  <w:gridSpan w:val="2"/>
                  <w:vAlign w:val="center"/>
                </w:tcPr>
                <w:p w14:paraId="5FD9C3AE">
                  <w:pPr>
                    <w:pStyle w:val="72"/>
                    <w:spacing w:line="240" w:lineRule="auto"/>
                    <w:ind w:firstLine="0" w:firstLineChars="0"/>
                    <w:rPr>
                      <w:rFonts w:hint="eastAsia" w:ascii="Times New Roman" w:hAnsi="Times New Roman" w:cs="Times New Roman"/>
                      <w:color w:val="0000FF"/>
                      <w:lang w:eastAsia="zh-CN"/>
                    </w:rPr>
                  </w:pPr>
                  <w:r>
                    <w:rPr>
                      <w:rFonts w:hint="eastAsia" w:ascii="Times New Roman" w:hAnsi="Times New Roman" w:cs="Times New Roman"/>
                      <w:color w:val="0000FF"/>
                      <w:lang w:eastAsia="zh-CN"/>
                    </w:rPr>
                    <w:t>严格产业准入，合理控制矿山开采种类和规模。不再规划新建汞矿山；禁止开采蓝石棉、可耕地的砖瓦用粘土，以及砷和放射性等有毒有害物质超过标准的煤炭；限制开采湿地泥炭、陕南地区煤炭、石煤、硫铁矿、石棉、瓦板岩以及砂金、砂铁等重砂矿物。</w:t>
                  </w:r>
                </w:p>
              </w:tc>
              <w:tc>
                <w:tcPr>
                  <w:tcW w:w="1181" w:type="pct"/>
                  <w:vAlign w:val="center"/>
                </w:tcPr>
                <w:p w14:paraId="426496F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项目</w:t>
                  </w:r>
                  <w:r>
                    <w:rPr>
                      <w:rFonts w:hint="eastAsia" w:cs="Times New Roman"/>
                      <w:color w:val="0000FF"/>
                      <w:kern w:val="2"/>
                      <w:sz w:val="21"/>
                      <w:szCs w:val="21"/>
                      <w:lang w:val="en-US" w:eastAsia="zh-CN" w:bidi="ar-SA"/>
                    </w:rPr>
                    <w:t>主要开采石英矿</w:t>
                  </w:r>
                  <w:r>
                    <w:rPr>
                      <w:rFonts w:hint="eastAsia" w:ascii="Times New Roman" w:hAnsi="Times New Roman" w:eastAsia="宋体" w:cs="Times New Roman"/>
                      <w:color w:val="0000FF"/>
                      <w:kern w:val="2"/>
                      <w:sz w:val="21"/>
                      <w:szCs w:val="21"/>
                      <w:lang w:val="en-US" w:eastAsia="zh-CN" w:bidi="ar-SA"/>
                    </w:rPr>
                    <w:t>，不属于禁止和限制类</w:t>
                  </w:r>
                  <w:r>
                    <w:rPr>
                      <w:rFonts w:hint="eastAsia" w:cs="Times New Roman"/>
                      <w:color w:val="0000FF"/>
                      <w:kern w:val="2"/>
                      <w:sz w:val="21"/>
                      <w:szCs w:val="21"/>
                      <w:lang w:val="en-US" w:eastAsia="zh-CN" w:bidi="ar-SA"/>
                    </w:rPr>
                    <w:t>。</w:t>
                  </w:r>
                </w:p>
              </w:tc>
              <w:tc>
                <w:tcPr>
                  <w:tcW w:w="386" w:type="pct"/>
                  <w:tcBorders>
                    <w:right w:val="single" w:color="000000" w:sz="2" w:space="0"/>
                  </w:tcBorders>
                  <w:vAlign w:val="center"/>
                </w:tcPr>
                <w:p w14:paraId="1A16FC07">
                  <w:pPr>
                    <w:spacing w:line="240" w:lineRule="auto"/>
                    <w:ind w:left="0" w:leftChars="0" w:right="124" w:firstLine="0" w:firstLineChars="0"/>
                    <w:jc w:val="center"/>
                    <w:rPr>
                      <w:rFonts w:hint="eastAsia"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符合</w:t>
                  </w:r>
                </w:p>
              </w:tc>
            </w:tr>
            <w:tr w14:paraId="52C68C54">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jc w:val="center"/>
              </w:trPr>
              <w:tc>
                <w:tcPr>
                  <w:tcW w:w="643" w:type="pct"/>
                  <w:vMerge w:val="continue"/>
                  <w:tcBorders>
                    <w:left w:val="single" w:color="000000" w:sz="4" w:space="0"/>
                  </w:tcBorders>
                  <w:vAlign w:val="center"/>
                </w:tcPr>
                <w:p w14:paraId="3478A321">
                  <w:pPr>
                    <w:pStyle w:val="72"/>
                    <w:spacing w:line="240" w:lineRule="auto"/>
                    <w:ind w:firstLine="0" w:firstLineChars="0"/>
                    <w:rPr>
                      <w:rFonts w:hint="eastAsia" w:ascii="Times New Roman" w:hAnsi="Times New Roman" w:cs="Times New Roman"/>
                      <w:color w:val="0000FF"/>
                      <w:lang w:eastAsia="zh-CN"/>
                    </w:rPr>
                  </w:pPr>
                </w:p>
              </w:tc>
              <w:tc>
                <w:tcPr>
                  <w:tcW w:w="2788" w:type="pct"/>
                  <w:gridSpan w:val="2"/>
                  <w:vAlign w:val="center"/>
                </w:tcPr>
                <w:p w14:paraId="4E765A19">
                  <w:pPr>
                    <w:pStyle w:val="72"/>
                    <w:spacing w:line="240" w:lineRule="auto"/>
                    <w:ind w:firstLine="0" w:firstLineChars="0"/>
                    <w:rPr>
                      <w:rFonts w:hint="eastAsia" w:ascii="Times New Roman" w:hAnsi="Times New Roman" w:cs="Times New Roman"/>
                      <w:color w:val="0000FF"/>
                      <w:lang w:eastAsia="zh-CN"/>
                    </w:rPr>
                  </w:pPr>
                  <w:r>
                    <w:rPr>
                      <w:rFonts w:hint="eastAsia" w:ascii="Times New Roman" w:hAnsi="Times New Roman" w:cs="Times New Roman"/>
                      <w:color w:val="0000FF"/>
                      <w:lang w:eastAsia="zh-CN"/>
                    </w:rPr>
                    <w:t>严格环境准入，保护区域生态功能。</w:t>
                  </w:r>
                </w:p>
                <w:p w14:paraId="4230A4C1">
                  <w:pPr>
                    <w:pStyle w:val="72"/>
                    <w:spacing w:line="240" w:lineRule="auto"/>
                    <w:ind w:firstLine="0" w:firstLineChars="0"/>
                    <w:rPr>
                      <w:rFonts w:hint="eastAsia" w:ascii="Times New Roman" w:hAnsi="Times New Roman" w:cs="Times New Roman"/>
                      <w:color w:val="0000FF"/>
                      <w:lang w:eastAsia="zh-CN"/>
                    </w:rPr>
                  </w:pPr>
                  <w:r>
                    <w:rPr>
                      <w:rFonts w:hint="eastAsia" w:ascii="Times New Roman" w:hAnsi="Times New Roman" w:cs="Times New Roman"/>
                      <w:color w:val="0000FF"/>
                      <w:lang w:eastAsia="zh-CN"/>
                    </w:rPr>
                    <w:t>按照陕西省生态环境分区管控方案、生态环境</w:t>
                  </w:r>
                </w:p>
                <w:p w14:paraId="41F56387">
                  <w:pPr>
                    <w:pStyle w:val="72"/>
                    <w:spacing w:line="240" w:lineRule="auto"/>
                    <w:ind w:firstLine="0" w:firstLineChars="0"/>
                    <w:rPr>
                      <w:rFonts w:hint="eastAsia" w:ascii="Times New Roman" w:hAnsi="Times New Roman" w:cs="Times New Roman"/>
                      <w:color w:val="0000FF"/>
                      <w:lang w:eastAsia="zh-CN"/>
                    </w:rPr>
                  </w:pPr>
                  <w:r>
                    <w:rPr>
                      <w:rFonts w:hint="eastAsia" w:ascii="Times New Roman" w:hAnsi="Times New Roman" w:cs="Times New Roman"/>
                      <w:color w:val="0000FF"/>
                      <w:lang w:eastAsia="zh-CN"/>
                    </w:rPr>
                    <w:t>保护规划等新要求，与大气环境优先保护区、</w:t>
                  </w:r>
                </w:p>
                <w:p w14:paraId="69EE5B28">
                  <w:pPr>
                    <w:pStyle w:val="72"/>
                    <w:spacing w:line="240" w:lineRule="auto"/>
                    <w:ind w:firstLine="0" w:firstLineChars="0"/>
                    <w:rPr>
                      <w:rFonts w:hint="eastAsia" w:ascii="Times New Roman" w:hAnsi="Times New Roman" w:cs="Times New Roman"/>
                      <w:color w:val="0000FF"/>
                      <w:lang w:eastAsia="zh-CN"/>
                    </w:rPr>
                  </w:pPr>
                  <w:r>
                    <w:rPr>
                      <w:rFonts w:hint="eastAsia" w:ascii="Times New Roman" w:hAnsi="Times New Roman" w:cs="Times New Roman"/>
                      <w:color w:val="0000FF"/>
                      <w:lang w:eastAsia="zh-CN"/>
                    </w:rPr>
                    <w:t>水环境优先保护区、农用地优先保护区等存在</w:t>
                  </w:r>
                </w:p>
                <w:p w14:paraId="6A5CC7B6">
                  <w:pPr>
                    <w:pStyle w:val="72"/>
                    <w:spacing w:line="240" w:lineRule="auto"/>
                    <w:ind w:firstLine="0" w:firstLineChars="0"/>
                    <w:rPr>
                      <w:rFonts w:hint="eastAsia" w:ascii="Times New Roman" w:hAnsi="Times New Roman" w:cs="Times New Roman"/>
                      <w:color w:val="0000FF"/>
                      <w:lang w:eastAsia="zh-CN"/>
                    </w:rPr>
                  </w:pPr>
                  <w:r>
                    <w:rPr>
                      <w:rFonts w:hint="eastAsia" w:ascii="Times New Roman" w:hAnsi="Times New Roman" w:cs="Times New Roman"/>
                      <w:color w:val="0000FF"/>
                      <w:lang w:eastAsia="zh-CN"/>
                    </w:rPr>
                    <w:t>空间重叠的现有矿业权、勘查规划区块、开采</w:t>
                  </w:r>
                </w:p>
                <w:p w14:paraId="607AE793">
                  <w:pPr>
                    <w:pStyle w:val="72"/>
                    <w:spacing w:line="240" w:lineRule="auto"/>
                    <w:ind w:firstLine="0" w:firstLineChars="0"/>
                    <w:rPr>
                      <w:rFonts w:hint="eastAsia" w:ascii="Times New Roman" w:hAnsi="Times New Roman" w:cs="Times New Roman"/>
                      <w:color w:val="0000FF"/>
                      <w:lang w:eastAsia="zh-CN"/>
                    </w:rPr>
                  </w:pPr>
                  <w:r>
                    <w:rPr>
                      <w:rFonts w:hint="eastAsia" w:ascii="Times New Roman" w:hAnsi="Times New Roman" w:cs="Times New Roman"/>
                      <w:color w:val="0000FF"/>
                      <w:lang w:eastAsia="zh-CN"/>
                    </w:rPr>
                    <w:t>规划区块等，应严格执行相应管控要求，控制</w:t>
                  </w:r>
                </w:p>
                <w:p w14:paraId="39294FB8">
                  <w:pPr>
                    <w:pStyle w:val="72"/>
                    <w:spacing w:line="240" w:lineRule="auto"/>
                    <w:ind w:firstLine="0" w:firstLineChars="0"/>
                    <w:rPr>
                      <w:rFonts w:hint="eastAsia" w:ascii="Times New Roman" w:hAnsi="Times New Roman" w:cs="Times New Roman"/>
                      <w:color w:val="0000FF"/>
                      <w:lang w:eastAsia="zh-CN"/>
                    </w:rPr>
                  </w:pPr>
                  <w:r>
                    <w:rPr>
                      <w:rFonts w:hint="eastAsia" w:ascii="Times New Roman" w:hAnsi="Times New Roman" w:cs="Times New Roman"/>
                      <w:color w:val="0000FF"/>
                      <w:lang w:eastAsia="zh-CN"/>
                    </w:rPr>
                    <w:t>勘查、开采活动范围和强度，严格执行绿色勘</w:t>
                  </w:r>
                </w:p>
                <w:p w14:paraId="6151BCB4">
                  <w:pPr>
                    <w:pStyle w:val="72"/>
                    <w:spacing w:line="240" w:lineRule="auto"/>
                    <w:ind w:firstLine="0" w:firstLineChars="0"/>
                    <w:rPr>
                      <w:rFonts w:hint="eastAsia" w:ascii="Times New Roman" w:hAnsi="Times New Roman" w:cs="Times New Roman"/>
                      <w:color w:val="0000FF"/>
                      <w:lang w:eastAsia="zh-CN"/>
                    </w:rPr>
                  </w:pPr>
                  <w:r>
                    <w:rPr>
                      <w:rFonts w:hint="eastAsia" w:ascii="Times New Roman" w:hAnsi="Times New Roman" w:cs="Times New Roman"/>
                      <w:color w:val="0000FF"/>
                      <w:lang w:eastAsia="zh-CN"/>
                    </w:rPr>
                    <w:t>查、绿色开采及矿山生态保护修复相关要求，</w:t>
                  </w:r>
                </w:p>
                <w:p w14:paraId="4BB2FC1C">
                  <w:pPr>
                    <w:pStyle w:val="72"/>
                    <w:spacing w:line="240" w:lineRule="auto"/>
                    <w:ind w:firstLine="0" w:firstLineChars="0"/>
                    <w:rPr>
                      <w:rFonts w:hint="eastAsia" w:ascii="Times New Roman" w:hAnsi="Times New Roman" w:cs="Times New Roman"/>
                      <w:color w:val="0000FF"/>
                      <w:lang w:eastAsia="zh-CN"/>
                    </w:rPr>
                  </w:pPr>
                  <w:r>
                    <w:rPr>
                      <w:rFonts w:hint="eastAsia" w:ascii="Times New Roman" w:hAnsi="Times New Roman" w:cs="Times New Roman"/>
                      <w:color w:val="0000FF"/>
                      <w:lang w:eastAsia="zh-CN"/>
                    </w:rPr>
                    <w:t>确保生态系统结构和主要功能不受破坏。严格</w:t>
                  </w:r>
                </w:p>
                <w:p w14:paraId="7097ED2E">
                  <w:pPr>
                    <w:pStyle w:val="72"/>
                    <w:spacing w:line="240" w:lineRule="auto"/>
                    <w:ind w:firstLine="0" w:firstLineChars="0"/>
                    <w:rPr>
                      <w:rFonts w:hint="eastAsia" w:ascii="Times New Roman" w:hAnsi="Times New Roman" w:cs="Times New Roman"/>
                      <w:color w:val="0000FF"/>
                      <w:lang w:eastAsia="zh-CN"/>
                    </w:rPr>
                  </w:pPr>
                  <w:r>
                    <w:rPr>
                      <w:rFonts w:hint="eastAsia" w:ascii="Times New Roman" w:hAnsi="Times New Roman" w:cs="Times New Roman"/>
                      <w:color w:val="0000FF"/>
                      <w:lang w:eastAsia="zh-CN"/>
                    </w:rPr>
                    <w:t>控制涉及生物多样性优先保护区域、国家重点</w:t>
                  </w:r>
                </w:p>
                <w:p w14:paraId="6F9578DE">
                  <w:pPr>
                    <w:pStyle w:val="72"/>
                    <w:spacing w:line="240" w:lineRule="auto"/>
                    <w:ind w:firstLine="0" w:firstLineChars="0"/>
                    <w:rPr>
                      <w:rFonts w:hint="eastAsia" w:ascii="Times New Roman" w:hAnsi="Times New Roman" w:cs="Times New Roman"/>
                      <w:color w:val="0000FF"/>
                      <w:lang w:eastAsia="zh-CN"/>
                    </w:rPr>
                  </w:pPr>
                  <w:r>
                    <w:rPr>
                      <w:rFonts w:hint="eastAsia" w:ascii="Times New Roman" w:hAnsi="Times New Roman" w:cs="Times New Roman"/>
                      <w:color w:val="0000FF"/>
                      <w:lang w:eastAsia="zh-CN"/>
                    </w:rPr>
                    <w:t>生态功能区、国家重要生态功能区、水源涵养</w:t>
                  </w:r>
                </w:p>
                <w:p w14:paraId="77471438">
                  <w:pPr>
                    <w:pStyle w:val="72"/>
                    <w:spacing w:line="240" w:lineRule="auto"/>
                    <w:ind w:firstLine="0" w:firstLineChars="0"/>
                    <w:rPr>
                      <w:rFonts w:hint="eastAsia" w:ascii="Times New Roman" w:hAnsi="Times New Roman" w:cs="Times New Roman"/>
                      <w:color w:val="0000FF"/>
                      <w:lang w:eastAsia="zh-CN"/>
                    </w:rPr>
                  </w:pPr>
                  <w:r>
                    <w:rPr>
                      <w:rFonts w:hint="eastAsia" w:ascii="Times New Roman" w:hAnsi="Times New Roman" w:cs="Times New Roman"/>
                      <w:color w:val="0000FF"/>
                      <w:lang w:eastAsia="zh-CN"/>
                    </w:rPr>
                    <w:t>区、水土流失重点预防区等区域矿产资源开发</w:t>
                  </w:r>
                </w:p>
                <w:p w14:paraId="314388D3">
                  <w:pPr>
                    <w:pStyle w:val="72"/>
                    <w:spacing w:line="240" w:lineRule="auto"/>
                    <w:ind w:firstLine="0" w:firstLineChars="0"/>
                    <w:rPr>
                      <w:rFonts w:hint="eastAsia" w:ascii="Times New Roman" w:hAnsi="Times New Roman" w:cs="Times New Roman"/>
                      <w:color w:val="0000FF"/>
                      <w:lang w:eastAsia="zh-CN"/>
                    </w:rPr>
                  </w:pPr>
                  <w:r>
                    <w:rPr>
                      <w:rFonts w:hint="eastAsia" w:ascii="Times New Roman" w:hAnsi="Times New Roman" w:cs="Times New Roman"/>
                      <w:color w:val="0000FF"/>
                      <w:lang w:eastAsia="zh-CN"/>
                    </w:rPr>
                    <w:t>活动，并采取相应保护措施，防止加剧对有关</w:t>
                  </w:r>
                </w:p>
                <w:p w14:paraId="3DE8BCB4">
                  <w:pPr>
                    <w:pStyle w:val="72"/>
                    <w:spacing w:line="240" w:lineRule="auto"/>
                    <w:ind w:firstLine="0" w:firstLineChars="0"/>
                    <w:rPr>
                      <w:rFonts w:hint="eastAsia" w:ascii="Times New Roman" w:hAnsi="Times New Roman" w:cs="Times New Roman"/>
                      <w:color w:val="0000FF"/>
                      <w:lang w:eastAsia="zh-CN"/>
                    </w:rPr>
                  </w:pPr>
                  <w:r>
                    <w:rPr>
                      <w:rFonts w:hint="eastAsia" w:ascii="Times New Roman" w:hAnsi="Times New Roman" w:cs="Times New Roman"/>
                      <w:color w:val="0000FF"/>
                      <w:lang w:eastAsia="zh-CN"/>
                    </w:rPr>
                    <w:t>生态功能区的不良环境影响。</w:t>
                  </w:r>
                </w:p>
              </w:tc>
              <w:tc>
                <w:tcPr>
                  <w:tcW w:w="1181" w:type="pct"/>
                  <w:vAlign w:val="center"/>
                </w:tcPr>
                <w:p w14:paraId="68A0DB8E">
                  <w:pPr>
                    <w:pStyle w:val="72"/>
                    <w:spacing w:line="240" w:lineRule="auto"/>
                    <w:ind w:left="0" w:leftChars="0" w:firstLine="0" w:firstLineChars="0"/>
                    <w:rPr>
                      <w:rFonts w:hint="eastAsia"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本项目占地类型为林地，不占用基本农田和生态红线，不涉及饮用水水源保护区、自然保护区、风景名胜区等环境敏感区域。</w:t>
                  </w:r>
                </w:p>
              </w:tc>
              <w:tc>
                <w:tcPr>
                  <w:tcW w:w="386" w:type="pct"/>
                  <w:tcBorders>
                    <w:right w:val="single" w:color="000000" w:sz="2" w:space="0"/>
                  </w:tcBorders>
                  <w:vAlign w:val="center"/>
                </w:tcPr>
                <w:p w14:paraId="149977BE">
                  <w:pPr>
                    <w:spacing w:line="240" w:lineRule="auto"/>
                    <w:ind w:left="0" w:leftChars="0" w:right="124" w:firstLine="0" w:firstLineChars="0"/>
                    <w:jc w:val="center"/>
                    <w:rPr>
                      <w:rFonts w:hint="eastAsia"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符合</w:t>
                  </w:r>
                </w:p>
              </w:tc>
            </w:tr>
          </w:tbl>
          <w:p w14:paraId="0F7A4C9E">
            <w:pPr>
              <w:spacing w:line="240" w:lineRule="auto"/>
              <w:ind w:firstLine="0" w:firstLineChars="0"/>
              <w:jc w:val="left"/>
            </w:pPr>
          </w:p>
        </w:tc>
      </w:tr>
      <w:tr w14:paraId="31C55982">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77" w:type="pct"/>
            <w:tcMar>
              <w:top w:w="16" w:type="dxa"/>
              <w:left w:w="16" w:type="dxa"/>
              <w:right w:w="16" w:type="dxa"/>
            </w:tcMar>
            <w:vAlign w:val="center"/>
          </w:tcPr>
          <w:p w14:paraId="405041C1">
            <w:pPr>
              <w:autoSpaceDE w:val="0"/>
              <w:autoSpaceDN w:val="0"/>
              <w:adjustRightInd w:val="0"/>
              <w:snapToGrid w:val="0"/>
              <w:spacing w:line="240" w:lineRule="auto"/>
              <w:ind w:firstLine="0" w:firstLineChars="0"/>
              <w:jc w:val="center"/>
              <w:rPr>
                <w:kern w:val="0"/>
              </w:rPr>
            </w:pPr>
          </w:p>
          <w:p w14:paraId="239B7670">
            <w:pPr>
              <w:autoSpaceDE w:val="0"/>
              <w:autoSpaceDN w:val="0"/>
              <w:adjustRightInd w:val="0"/>
              <w:snapToGrid w:val="0"/>
              <w:spacing w:line="240" w:lineRule="auto"/>
              <w:ind w:firstLine="0" w:firstLineChars="0"/>
              <w:jc w:val="center"/>
              <w:rPr>
                <w:kern w:val="0"/>
              </w:rPr>
            </w:pPr>
          </w:p>
          <w:p w14:paraId="7665BB11">
            <w:pPr>
              <w:autoSpaceDE w:val="0"/>
              <w:autoSpaceDN w:val="0"/>
              <w:adjustRightInd w:val="0"/>
              <w:snapToGrid w:val="0"/>
              <w:spacing w:line="240" w:lineRule="auto"/>
              <w:ind w:firstLine="0" w:firstLineChars="0"/>
              <w:jc w:val="center"/>
              <w:rPr>
                <w:kern w:val="0"/>
              </w:rPr>
            </w:pPr>
          </w:p>
          <w:p w14:paraId="44BE5CA2">
            <w:pPr>
              <w:autoSpaceDE w:val="0"/>
              <w:autoSpaceDN w:val="0"/>
              <w:adjustRightInd w:val="0"/>
              <w:snapToGrid w:val="0"/>
              <w:spacing w:line="240" w:lineRule="auto"/>
              <w:ind w:firstLine="0" w:firstLineChars="0"/>
              <w:jc w:val="center"/>
              <w:rPr>
                <w:kern w:val="0"/>
              </w:rPr>
            </w:pPr>
          </w:p>
          <w:p w14:paraId="18739751">
            <w:pPr>
              <w:autoSpaceDE w:val="0"/>
              <w:autoSpaceDN w:val="0"/>
              <w:adjustRightInd w:val="0"/>
              <w:snapToGrid w:val="0"/>
              <w:spacing w:line="240" w:lineRule="auto"/>
              <w:ind w:firstLine="0" w:firstLineChars="0"/>
              <w:jc w:val="center"/>
              <w:rPr>
                <w:kern w:val="0"/>
              </w:rPr>
            </w:pPr>
          </w:p>
          <w:p w14:paraId="600E6136">
            <w:pPr>
              <w:autoSpaceDE w:val="0"/>
              <w:autoSpaceDN w:val="0"/>
              <w:adjustRightInd w:val="0"/>
              <w:snapToGrid w:val="0"/>
              <w:spacing w:line="240" w:lineRule="auto"/>
              <w:ind w:firstLine="0" w:firstLineChars="0"/>
              <w:jc w:val="center"/>
              <w:rPr>
                <w:kern w:val="0"/>
              </w:rPr>
            </w:pPr>
          </w:p>
          <w:p w14:paraId="50FC2276">
            <w:pPr>
              <w:autoSpaceDE w:val="0"/>
              <w:autoSpaceDN w:val="0"/>
              <w:adjustRightInd w:val="0"/>
              <w:snapToGrid w:val="0"/>
              <w:spacing w:line="240" w:lineRule="auto"/>
              <w:ind w:firstLine="0" w:firstLineChars="0"/>
              <w:jc w:val="center"/>
              <w:rPr>
                <w:kern w:val="0"/>
              </w:rPr>
            </w:pPr>
          </w:p>
          <w:p w14:paraId="6D07E9D2">
            <w:pPr>
              <w:autoSpaceDE w:val="0"/>
              <w:autoSpaceDN w:val="0"/>
              <w:adjustRightInd w:val="0"/>
              <w:snapToGrid w:val="0"/>
              <w:spacing w:line="240" w:lineRule="auto"/>
              <w:ind w:firstLine="0" w:firstLineChars="0"/>
              <w:jc w:val="center"/>
              <w:rPr>
                <w:kern w:val="0"/>
              </w:rPr>
            </w:pPr>
          </w:p>
          <w:p w14:paraId="58DD42C0">
            <w:pPr>
              <w:autoSpaceDE w:val="0"/>
              <w:autoSpaceDN w:val="0"/>
              <w:adjustRightInd w:val="0"/>
              <w:snapToGrid w:val="0"/>
              <w:spacing w:line="240" w:lineRule="auto"/>
              <w:ind w:firstLine="0" w:firstLineChars="0"/>
              <w:jc w:val="center"/>
              <w:rPr>
                <w:kern w:val="0"/>
              </w:rPr>
            </w:pPr>
          </w:p>
          <w:p w14:paraId="134944A2">
            <w:pPr>
              <w:autoSpaceDE w:val="0"/>
              <w:autoSpaceDN w:val="0"/>
              <w:adjustRightInd w:val="0"/>
              <w:snapToGrid w:val="0"/>
              <w:spacing w:line="240" w:lineRule="auto"/>
              <w:ind w:firstLine="0" w:firstLineChars="0"/>
              <w:jc w:val="center"/>
              <w:rPr>
                <w:kern w:val="0"/>
              </w:rPr>
            </w:pPr>
          </w:p>
          <w:p w14:paraId="7D8A4D04">
            <w:pPr>
              <w:autoSpaceDE w:val="0"/>
              <w:autoSpaceDN w:val="0"/>
              <w:adjustRightInd w:val="0"/>
              <w:snapToGrid w:val="0"/>
              <w:spacing w:line="240" w:lineRule="auto"/>
              <w:ind w:firstLine="0" w:firstLineChars="0"/>
              <w:jc w:val="center"/>
              <w:rPr>
                <w:kern w:val="0"/>
              </w:rPr>
            </w:pPr>
          </w:p>
          <w:p w14:paraId="3C25A178">
            <w:pPr>
              <w:autoSpaceDE w:val="0"/>
              <w:autoSpaceDN w:val="0"/>
              <w:adjustRightInd w:val="0"/>
              <w:snapToGrid w:val="0"/>
              <w:spacing w:line="240" w:lineRule="auto"/>
              <w:ind w:firstLine="0" w:firstLineChars="0"/>
              <w:jc w:val="center"/>
              <w:rPr>
                <w:kern w:val="0"/>
              </w:rPr>
            </w:pPr>
          </w:p>
          <w:p w14:paraId="19434869">
            <w:pPr>
              <w:autoSpaceDE w:val="0"/>
              <w:autoSpaceDN w:val="0"/>
              <w:adjustRightInd w:val="0"/>
              <w:snapToGrid w:val="0"/>
              <w:spacing w:line="240" w:lineRule="auto"/>
              <w:ind w:firstLine="0" w:firstLineChars="0"/>
              <w:jc w:val="center"/>
              <w:rPr>
                <w:kern w:val="0"/>
              </w:rPr>
            </w:pPr>
          </w:p>
          <w:p w14:paraId="44171878">
            <w:pPr>
              <w:autoSpaceDE w:val="0"/>
              <w:autoSpaceDN w:val="0"/>
              <w:adjustRightInd w:val="0"/>
              <w:snapToGrid w:val="0"/>
              <w:spacing w:line="240" w:lineRule="auto"/>
              <w:ind w:firstLine="0" w:firstLineChars="0"/>
              <w:jc w:val="center"/>
              <w:rPr>
                <w:sz w:val="21"/>
                <w:szCs w:val="21"/>
              </w:rPr>
            </w:pPr>
            <w:r>
              <w:rPr>
                <w:kern w:val="0"/>
              </w:rPr>
              <w:t>其他符合性分析</w:t>
            </w:r>
          </w:p>
        </w:tc>
        <w:tc>
          <w:tcPr>
            <w:tcW w:w="4322" w:type="pct"/>
            <w:gridSpan w:val="3"/>
            <w:tcMar>
              <w:top w:w="16" w:type="dxa"/>
              <w:left w:w="16" w:type="dxa"/>
              <w:right w:w="16" w:type="dxa"/>
            </w:tcMar>
          </w:tcPr>
          <w:p w14:paraId="4512809F">
            <w:pPr>
              <w:wordWrap w:val="0"/>
              <w:autoSpaceDE w:val="0"/>
              <w:autoSpaceDN w:val="0"/>
              <w:adjustRightInd w:val="0"/>
              <w:snapToGrid w:val="0"/>
              <w:ind w:firstLine="482"/>
              <w:textAlignment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1、产业政策符合性分析</w:t>
            </w:r>
          </w:p>
          <w:p w14:paraId="71DD231C">
            <w:pPr>
              <w:wordWrap w:val="0"/>
              <w:autoSpaceDE w:val="0"/>
              <w:autoSpaceDN w:val="0"/>
              <w:adjustRightInd w:val="0"/>
              <w:snapToGrid w:val="0"/>
              <w:ind w:firstLine="480"/>
              <w:textAlignment w:val="center"/>
              <w:rPr>
                <w:color w:val="000000" w:themeColor="text1"/>
                <w14:textFill>
                  <w14:solidFill>
                    <w14:schemeClr w14:val="tx1"/>
                  </w14:solidFill>
                </w14:textFill>
              </w:rPr>
            </w:pPr>
            <w:r>
              <w:rPr>
                <w:rFonts w:hint="eastAsia"/>
              </w:rPr>
              <w:t>本项目为冶金用脉石英矿生产项目，根据《产业结构调整指导目录》（2024年本），不属于“鼓励类”、“淘汰类”和“限制类”范围，视为允许类建设项目，</w:t>
            </w:r>
            <w:r>
              <w:rPr>
                <w:rFonts w:hint="eastAsia"/>
                <w:color w:val="000000" w:themeColor="text1"/>
                <w14:textFill>
                  <w14:solidFill>
                    <w14:schemeClr w14:val="tx1"/>
                  </w14:solidFill>
                </w14:textFill>
              </w:rPr>
              <w:t>项目不属于国家发展改革委、商务部关于印发《市场准入负面清单（2025年版）》（发改体改规[2025]466号）中所列事项。</w:t>
            </w:r>
          </w:p>
          <w:p w14:paraId="4B98D0B9">
            <w:pPr>
              <w:wordWrap w:val="0"/>
              <w:autoSpaceDE w:val="0"/>
              <w:autoSpaceDN w:val="0"/>
              <w:adjustRightInd w:val="0"/>
              <w:snapToGrid w:val="0"/>
              <w:ind w:firstLine="480"/>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2024年12月23日，</w:t>
            </w:r>
            <w:r>
              <w:rPr>
                <w:rFonts w:hint="eastAsia"/>
                <w:color w:val="000000" w:themeColor="text1"/>
                <w:lang w:eastAsia="zh-CN"/>
                <w14:textFill>
                  <w14:solidFill>
                    <w14:schemeClr w14:val="tx1"/>
                  </w14:solidFill>
                </w14:textFill>
              </w:rPr>
              <w:t>本项目</w:t>
            </w:r>
            <w:r>
              <w:rPr>
                <w:rFonts w:hint="eastAsia"/>
                <w:color w:val="000000" w:themeColor="text1"/>
                <w14:textFill>
                  <w14:solidFill>
                    <w14:schemeClr w14:val="tx1"/>
                  </w14:solidFill>
                </w14:textFill>
              </w:rPr>
              <w:t>取得了陕西省企业投资项目备案确认书，项目代码为：2411-610304-04-01-306586（见附件1）。</w:t>
            </w:r>
          </w:p>
          <w:p w14:paraId="408C243F">
            <w:pPr>
              <w:wordWrap w:val="0"/>
              <w:autoSpaceDE w:val="0"/>
              <w:autoSpaceDN w:val="0"/>
              <w:adjustRightInd w:val="0"/>
              <w:snapToGrid w:val="0"/>
              <w:ind w:firstLine="480"/>
              <w:textAlignment w:val="center"/>
              <w:rPr>
                <w:b/>
                <w:bCs/>
                <w:color w:val="000000" w:themeColor="text1"/>
                <w14:textFill>
                  <w14:solidFill>
                    <w14:schemeClr w14:val="tx1"/>
                  </w14:solidFill>
                </w14:textFill>
              </w:rPr>
            </w:pPr>
            <w:r>
              <w:rPr>
                <w:rFonts w:hint="eastAsia"/>
                <w:color w:val="000000" w:themeColor="text1"/>
                <w14:textFill>
                  <w14:solidFill>
                    <w14:schemeClr w14:val="tx1"/>
                  </w14:solidFill>
                </w14:textFill>
              </w:rPr>
              <w:t>因此，项目建设符合国家和地方产业政策</w:t>
            </w:r>
          </w:p>
          <w:p w14:paraId="5B5752F6">
            <w:pPr>
              <w:wordWrap w:val="0"/>
              <w:autoSpaceDE w:val="0"/>
              <w:autoSpaceDN w:val="0"/>
              <w:adjustRightInd w:val="0"/>
              <w:snapToGrid w:val="0"/>
              <w:ind w:firstLine="482"/>
              <w:textAlignment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b/>
                <w:bCs/>
                <w:color w:val="000000" w:themeColor="text1"/>
                <w14:textFill>
                  <w14:solidFill>
                    <w14:schemeClr w14:val="tx1"/>
                  </w14:solidFill>
                </w14:textFill>
              </w:rPr>
              <w:t>项目与宝鸡市“三线一单”生态环境分区管控方案符合性分析</w:t>
            </w:r>
          </w:p>
          <w:p w14:paraId="40168B8C">
            <w:pPr>
              <w:wordWrap w:val="0"/>
              <w:autoSpaceDE w:val="0"/>
              <w:autoSpaceDN w:val="0"/>
              <w:ind w:firstLine="480"/>
              <w:textAlignment w:val="center"/>
            </w:pPr>
            <w:r>
              <w:t>①本项目与宝鸡市生态环境管控单元分析示意图</w:t>
            </w:r>
          </w:p>
          <w:p w14:paraId="3BF44E14">
            <w:pPr>
              <w:widowControl/>
              <w:ind w:firstLine="480"/>
              <w:rPr>
                <w:color w:val="000000" w:themeColor="text1"/>
                <w14:textFill>
                  <w14:solidFill>
                    <w14:schemeClr w14:val="tx1"/>
                  </w14:solidFill>
                </w14:textFill>
              </w:rPr>
            </w:pPr>
            <w:r>
              <w:rPr>
                <w:rFonts w:hint="eastAsia"/>
              </w:rPr>
              <w:t>经</w:t>
            </w:r>
            <w:r>
              <w:t>陕西省“三线一单”数据应用系统冲突分析导出的</w:t>
            </w:r>
            <w:r>
              <w:rPr>
                <w:rFonts w:hint="eastAsia"/>
              </w:rPr>
              <w:t>宝鸡市</w:t>
            </w:r>
            <w:r>
              <w:rPr>
                <w:lang w:val="en-GB"/>
              </w:rPr>
              <w:t>“三线一单”生态环境管控单元对照分析报告</w:t>
            </w:r>
            <w:r>
              <w:t>可知，</w:t>
            </w:r>
            <w:r>
              <w:rPr>
                <w:color w:val="0000FF"/>
              </w:rPr>
              <w:t>本</w:t>
            </w:r>
            <w:r>
              <w:rPr>
                <w:rFonts w:hint="eastAsia"/>
                <w:color w:val="0000FF"/>
              </w:rPr>
              <w:t>项目</w:t>
            </w:r>
            <w:r>
              <w:rPr>
                <w:color w:val="0000FF"/>
              </w:rPr>
              <w:t>位于陈仓区</w:t>
            </w:r>
            <w:r>
              <w:rPr>
                <w:rFonts w:hint="eastAsia"/>
                <w:color w:val="0000FF"/>
              </w:rPr>
              <w:t>优先保护</w:t>
            </w:r>
            <w:r>
              <w:rPr>
                <w:color w:val="0000FF"/>
              </w:rPr>
              <w:t>单元</w:t>
            </w:r>
            <w:r>
              <w:rPr>
                <w:rFonts w:hint="eastAsia"/>
                <w:color w:val="0000FF"/>
                <w:lang w:val="en-US" w:eastAsia="zh-CN"/>
              </w:rPr>
              <w:t>2-一般生态空间-国家二级公益林</w:t>
            </w:r>
            <w:r>
              <w:rPr>
                <w:kern w:val="0"/>
                <w:lang w:bidi="ar"/>
              </w:rPr>
              <w:t>。</w:t>
            </w:r>
            <w:r>
              <w:t>项目不涉及饮用水水源保护区、自然保护区、自然公园、</w:t>
            </w:r>
            <w:r>
              <w:rPr>
                <w:kern w:val="0"/>
                <w:lang w:bidi="ar"/>
              </w:rPr>
              <w:t>水产种质资源保护区、生态功能重要区域、水环境优先保护区、秦岭重点保护区、秦岭核心保护区等环境敏感区。</w:t>
            </w:r>
            <w:r>
              <w:t>项目与宝鸡</w:t>
            </w:r>
            <w:r>
              <w:rPr>
                <w:color w:val="000000" w:themeColor="text1"/>
                <w14:textFill>
                  <w14:solidFill>
                    <w14:schemeClr w14:val="tx1"/>
                  </w14:solidFill>
                </w14:textFill>
              </w:rPr>
              <w:t>市生态环境管控单元分析示意图见图1-1。</w:t>
            </w:r>
          </w:p>
          <w:p w14:paraId="26643567">
            <w:pPr>
              <w:wordWrap w:val="0"/>
              <w:autoSpaceDE w:val="0"/>
              <w:autoSpaceDN w:val="0"/>
              <w:adjustRightInd w:val="0"/>
              <w:snapToGrid w:val="0"/>
              <w:spacing w:line="240" w:lineRule="auto"/>
              <w:ind w:firstLine="0" w:firstLineChars="0"/>
              <w:jc w:val="center"/>
              <w:textAlignment w:val="center"/>
              <w:rPr>
                <w:color w:val="000000" w:themeColor="text1"/>
                <w:highlight w:val="yellow"/>
                <w14:textFill>
                  <w14:solidFill>
                    <w14:schemeClr w14:val="tx1"/>
                  </w14:solidFill>
                </w14:textFill>
              </w:rPr>
            </w:pPr>
            <w:r>
              <w:drawing>
                <wp:inline distT="0" distB="0" distL="114300" distR="114300">
                  <wp:extent cx="3943350" cy="66008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3943350" cy="6600825"/>
                          </a:xfrm>
                          <a:prstGeom prst="rect">
                            <a:avLst/>
                          </a:prstGeom>
                          <a:noFill/>
                          <a:ln>
                            <a:noFill/>
                          </a:ln>
                        </pic:spPr>
                      </pic:pic>
                    </a:graphicData>
                  </a:graphic>
                </wp:inline>
              </w:drawing>
            </w:r>
          </w:p>
          <w:p w14:paraId="6D61659D">
            <w:pPr>
              <w:pStyle w:val="23"/>
              <w:spacing w:after="0"/>
              <w:ind w:left="0" w:leftChars="0" w:firstLine="0" w:firstLineChars="0"/>
              <w:jc w:val="center"/>
              <w:rPr>
                <w:b/>
                <w:bCs/>
                <w:color w:val="000000" w:themeColor="text1"/>
                <w:sz w:val="21"/>
                <w:szCs w:val="21"/>
                <w14:textFill>
                  <w14:solidFill>
                    <w14:schemeClr w14:val="tx1"/>
                  </w14:solidFill>
                </w14:textFill>
              </w:rPr>
            </w:pPr>
            <w:r>
              <w:rPr>
                <w:b/>
                <w:bCs/>
                <w:color w:val="000000" w:themeColor="text1"/>
                <w14:textFill>
                  <w14:solidFill>
                    <w14:schemeClr w14:val="tx1"/>
                  </w14:solidFill>
                </w14:textFill>
              </w:rPr>
              <w:t>图1-1</w:t>
            </w:r>
            <w:r>
              <w:rPr>
                <w:rFonts w:hint="eastAsia"/>
                <w:b/>
                <w:bCs/>
                <w:color w:val="000000" w:themeColor="text1"/>
                <w14:textFill>
                  <w14:solidFill>
                    <w14:schemeClr w14:val="tx1"/>
                  </w14:solidFill>
                </w14:textFill>
              </w:rPr>
              <w:t xml:space="preserve">  </w:t>
            </w:r>
            <w:r>
              <w:rPr>
                <w:b/>
                <w:bCs/>
                <w:color w:val="000000" w:themeColor="text1"/>
                <w:sz w:val="21"/>
                <w:szCs w:val="21"/>
                <w14:textFill>
                  <w14:solidFill>
                    <w14:schemeClr w14:val="tx1"/>
                  </w14:solidFill>
                </w14:textFill>
              </w:rPr>
              <w:t>项目与宝鸡市生态环境管控单元分析示意图</w:t>
            </w:r>
          </w:p>
          <w:p w14:paraId="4C8436E3">
            <w:pPr>
              <w:wordWrap w:val="0"/>
              <w:autoSpaceDE w:val="0"/>
              <w:autoSpaceDN w:val="0"/>
              <w:ind w:firstLine="480"/>
              <w:textAlignment w:val="center"/>
            </w:pPr>
            <w:r>
              <w:t>宝鸡市</w:t>
            </w:r>
            <w:r>
              <w:rPr>
                <w:rFonts w:hint="eastAsia"/>
              </w:rPr>
              <w:t>陈仓区人民政府2023</w:t>
            </w:r>
            <w:r>
              <w:t>年</w:t>
            </w:r>
            <w:r>
              <w:rPr>
                <w:rFonts w:hint="eastAsia"/>
              </w:rPr>
              <w:t>12月16日出具了关于陕西省宝鸡市陈仓区-陇县梨树沟-中南沟脉石英矿探矿权（陈仓区部分）出让意见的函（见附件6），认为该探矿权（陈仓区部分）设置合理，且符合</w:t>
            </w:r>
            <w:r>
              <w:t>“三区三线”</w:t>
            </w:r>
            <w:r>
              <w:rPr>
                <w:rFonts w:hint="eastAsia"/>
              </w:rPr>
              <w:t>管控要求。</w:t>
            </w:r>
          </w:p>
          <w:p w14:paraId="073A903D">
            <w:pPr>
              <w:wordWrap w:val="0"/>
              <w:autoSpaceDE w:val="0"/>
              <w:autoSpaceDN w:val="0"/>
              <w:adjustRightInd w:val="0"/>
              <w:snapToGrid w:val="0"/>
              <w:ind w:firstLine="480"/>
              <w:textAlignment w:val="center"/>
            </w:pPr>
            <w:r>
              <w:rPr>
                <w:rFonts w:hint="eastAsia"/>
              </w:rPr>
              <w:t>对照宝鸡市陈仓区林业局文件（宝陈林字【2025】83号）中（见附件7）：宝鸡市陈仓区林业局派专人于7月21日至22日，对拟占用林地现场进行了勘验，经勘查该项目拟实施区域不在秦岭区域，不涉及国家公园、自然保护区、风景名胜区、地质公园、森林公园、湿地公园、沙漠公园、沙化土地封禁保护区、城市规划区、重要湿地、古树名木</w:t>
            </w:r>
            <w:r>
              <w:rPr>
                <w:rFonts w:hint="eastAsia"/>
                <w:lang w:eastAsia="zh-CN"/>
              </w:rPr>
              <w:t>等</w:t>
            </w:r>
            <w:r>
              <w:rPr>
                <w:rFonts w:hint="eastAsia"/>
              </w:rPr>
              <w:t>。</w:t>
            </w:r>
          </w:p>
          <w:p w14:paraId="6CBC2B9B">
            <w:pPr>
              <w:wordWrap w:val="0"/>
              <w:autoSpaceDE w:val="0"/>
              <w:autoSpaceDN w:val="0"/>
              <w:adjustRightInd w:val="0"/>
              <w:snapToGrid w:val="0"/>
              <w:ind w:firstLine="480"/>
              <w:textAlignment w:val="center"/>
              <w:rPr>
                <w:color w:val="000000" w:themeColor="text1"/>
                <w14:textFill>
                  <w14:solidFill>
                    <w14:schemeClr w14:val="tx1"/>
                  </w14:solidFill>
                </w14:textFill>
              </w:rPr>
            </w:pPr>
            <w:r>
              <w:rPr>
                <w:color w:val="000000" w:themeColor="text1"/>
                <w14:textFill>
                  <w14:solidFill>
                    <w14:schemeClr w14:val="tx1"/>
                  </w14:solidFill>
                </w14:textFill>
              </w:rPr>
              <w:t>②项目涉及的环境管控单元准入清单分析</w:t>
            </w:r>
          </w:p>
          <w:p w14:paraId="09E1C309">
            <w:pPr>
              <w:wordWrap w:val="0"/>
              <w:autoSpaceDE w:val="0"/>
              <w:autoSpaceDN w:val="0"/>
              <w:adjustRightInd w:val="0"/>
              <w:snapToGrid w:val="0"/>
              <w:ind w:firstLine="480"/>
              <w:textAlignment w:val="center"/>
            </w:pPr>
            <w:r>
              <w:rPr>
                <w:rFonts w:hint="eastAsia"/>
              </w:rPr>
              <w:t>本项目建设地位于</w:t>
            </w:r>
            <w:r>
              <w:t>“</w:t>
            </w:r>
            <w:r>
              <w:rPr>
                <w:color w:val="0000FF"/>
              </w:rPr>
              <w:t>陈仓区</w:t>
            </w:r>
            <w:r>
              <w:rPr>
                <w:rFonts w:hint="eastAsia"/>
                <w:color w:val="0000FF"/>
              </w:rPr>
              <w:t>优先保护</w:t>
            </w:r>
            <w:r>
              <w:rPr>
                <w:color w:val="0000FF"/>
              </w:rPr>
              <w:t>单元</w:t>
            </w:r>
            <w:r>
              <w:rPr>
                <w:rFonts w:hint="eastAsia"/>
                <w:color w:val="0000FF"/>
                <w:lang w:val="en-US" w:eastAsia="zh-CN"/>
              </w:rPr>
              <w:t>2-一般生态空间-国家二级公益林</w:t>
            </w:r>
            <w:r>
              <w:rPr>
                <w:kern w:val="0"/>
                <w:lang w:bidi="ar"/>
              </w:rPr>
              <w:t>。</w:t>
            </w:r>
            <w:r>
              <w:t>”</w:t>
            </w:r>
            <w:r>
              <w:rPr>
                <w:rFonts w:hint="eastAsia"/>
              </w:rPr>
              <w:t>，该管控单元准入清单详见表</w:t>
            </w:r>
            <w:r>
              <w:t>1</w:t>
            </w:r>
            <w:r>
              <w:rPr>
                <w:rFonts w:hint="eastAsia"/>
              </w:rPr>
              <w:t>－</w:t>
            </w:r>
            <w:r>
              <w:rPr>
                <w:rFonts w:hint="eastAsia"/>
                <w:lang w:val="en-US" w:eastAsia="zh-CN"/>
              </w:rPr>
              <w:t>2</w:t>
            </w:r>
            <w:r>
              <w:rPr>
                <w:rFonts w:hint="eastAsia"/>
              </w:rPr>
              <w:t>。</w:t>
            </w:r>
          </w:p>
          <w:p w14:paraId="3503EF23">
            <w:pPr>
              <w:spacing w:line="240" w:lineRule="auto"/>
              <w:ind w:firstLine="482"/>
              <w:jc w:val="center"/>
              <w:rPr>
                <w:b/>
                <w:bCs/>
              </w:rPr>
            </w:pPr>
            <w:r>
              <w:rPr>
                <w:b/>
                <w:bCs/>
                <w:color w:val="000000" w:themeColor="text1"/>
                <w14:textFill>
                  <w14:solidFill>
                    <w14:schemeClr w14:val="tx1"/>
                  </w14:solidFill>
                </w14:textFill>
              </w:rPr>
              <w:t>表1-</w:t>
            </w:r>
            <w:r>
              <w:rPr>
                <w:rFonts w:hint="eastAsia"/>
                <w:b/>
                <w:bCs/>
                <w:color w:val="000000" w:themeColor="text1"/>
                <w:lang w:val="en-US" w:eastAsia="zh-CN"/>
                <w14:textFill>
                  <w14:solidFill>
                    <w14:schemeClr w14:val="tx1"/>
                  </w14:solidFill>
                </w14:textFill>
              </w:rPr>
              <w:t>2</w:t>
            </w:r>
            <w:r>
              <w:rPr>
                <w:rFonts w:hint="eastAsia"/>
                <w:b/>
                <w:bCs/>
                <w:color w:val="000000" w:themeColor="text1"/>
                <w14:textFill>
                  <w14:solidFill>
                    <w14:schemeClr w14:val="tx1"/>
                  </w14:solidFill>
                </w14:textFill>
              </w:rPr>
              <w:t xml:space="preserve">  </w:t>
            </w:r>
            <w:r>
              <w:rPr>
                <w:b/>
                <w:bCs/>
                <w:color w:val="000000" w:themeColor="text1"/>
                <w14:textFill>
                  <w14:solidFill>
                    <w14:schemeClr w14:val="tx1"/>
                  </w14:solidFill>
                </w14:textFill>
              </w:rPr>
              <w:t>本项目环境管控单元准入清单分析</w:t>
            </w:r>
          </w:p>
          <w:tbl>
            <w:tblPr>
              <w:tblStyle w:val="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427"/>
              <w:gridCol w:w="427"/>
              <w:gridCol w:w="636"/>
              <w:gridCol w:w="738"/>
              <w:gridCol w:w="3232"/>
              <w:gridCol w:w="1064"/>
              <w:gridCol w:w="427"/>
            </w:tblGrid>
            <w:tr w14:paraId="1121D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5" w:type="pct"/>
                  <w:vAlign w:val="center"/>
                </w:tcPr>
                <w:p w14:paraId="72F9D466">
                  <w:pPr>
                    <w:widowControl/>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环境管控单元</w:t>
                  </w:r>
                </w:p>
              </w:tc>
              <w:tc>
                <w:tcPr>
                  <w:tcW w:w="283" w:type="pct"/>
                  <w:vAlign w:val="center"/>
                </w:tcPr>
                <w:p w14:paraId="75564037">
                  <w:pPr>
                    <w:widowControl/>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区县</w:t>
                  </w:r>
                </w:p>
              </w:tc>
              <w:tc>
                <w:tcPr>
                  <w:tcW w:w="283" w:type="pct"/>
                  <w:vAlign w:val="center"/>
                </w:tcPr>
                <w:p w14:paraId="08EA853B">
                  <w:pPr>
                    <w:widowControl/>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市区</w:t>
                  </w:r>
                </w:p>
              </w:tc>
              <w:tc>
                <w:tcPr>
                  <w:tcW w:w="422" w:type="pct"/>
                  <w:vAlign w:val="center"/>
                </w:tcPr>
                <w:p w14:paraId="2805D6AB">
                  <w:pPr>
                    <w:widowControl/>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单元要素属性</w:t>
                  </w:r>
                </w:p>
              </w:tc>
              <w:tc>
                <w:tcPr>
                  <w:tcW w:w="492" w:type="pct"/>
                  <w:vAlign w:val="center"/>
                </w:tcPr>
                <w:p w14:paraId="03091460">
                  <w:pPr>
                    <w:widowControl/>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管控要求分类</w:t>
                  </w:r>
                </w:p>
              </w:tc>
              <w:tc>
                <w:tcPr>
                  <w:tcW w:w="2149" w:type="pct"/>
                  <w:vAlign w:val="center"/>
                </w:tcPr>
                <w:p w14:paraId="0E5F4779">
                  <w:pPr>
                    <w:widowControl/>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管控要求</w:t>
                  </w:r>
                </w:p>
              </w:tc>
              <w:tc>
                <w:tcPr>
                  <w:tcW w:w="708" w:type="pct"/>
                  <w:vAlign w:val="center"/>
                </w:tcPr>
                <w:p w14:paraId="7845A0F5">
                  <w:pPr>
                    <w:widowControl/>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本项目</w:t>
                  </w:r>
                </w:p>
              </w:tc>
              <w:tc>
                <w:tcPr>
                  <w:tcW w:w="283" w:type="pct"/>
                  <w:vAlign w:val="center"/>
                </w:tcPr>
                <w:p w14:paraId="223CCA19">
                  <w:pPr>
                    <w:widowControl/>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符合性</w:t>
                  </w:r>
                </w:p>
              </w:tc>
            </w:tr>
            <w:tr w14:paraId="0625E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5" w:type="pct"/>
                  <w:vMerge w:val="restart"/>
                  <w:vAlign w:val="center"/>
                </w:tcPr>
                <w:p w14:paraId="59E4439F">
                  <w:pPr>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陕 西</w:t>
                  </w:r>
                </w:p>
                <w:p w14:paraId="25030427">
                  <w:pPr>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省 </w:t>
                  </w:r>
                  <w:r>
                    <w:rPr>
                      <w:rFonts w:hint="eastAsia"/>
                      <w:color w:val="000000" w:themeColor="text1"/>
                      <w:sz w:val="21"/>
                      <w:szCs w:val="21"/>
                      <w14:textFill>
                        <w14:solidFill>
                          <w14:schemeClr w14:val="tx1"/>
                        </w14:solidFill>
                      </w14:textFill>
                    </w:rPr>
                    <w:t>宝鸡</w:t>
                  </w:r>
                  <w:r>
                    <w:rPr>
                      <w:color w:val="000000" w:themeColor="text1"/>
                      <w:sz w:val="21"/>
                      <w:szCs w:val="21"/>
                      <w14:textFill>
                        <w14:solidFill>
                          <w14:schemeClr w14:val="tx1"/>
                        </w14:solidFill>
                      </w14:textFill>
                    </w:rPr>
                    <w:t xml:space="preserve"> 市</w:t>
                  </w:r>
                </w:p>
                <w:p w14:paraId="7FC31A64">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陈仓区</w:t>
                  </w:r>
                  <w:r>
                    <w:rPr>
                      <w:color w:val="000000" w:themeColor="text1"/>
                      <w:sz w:val="21"/>
                      <w:szCs w:val="21"/>
                      <w14:textFill>
                        <w14:solidFill>
                          <w14:schemeClr w14:val="tx1"/>
                        </w14:solidFill>
                      </w14:textFill>
                    </w:rPr>
                    <w:t>优 先</w:t>
                  </w:r>
                </w:p>
                <w:p w14:paraId="7AD86071">
                  <w:pPr>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保 护</w:t>
                  </w:r>
                </w:p>
                <w:p w14:paraId="59F8C177">
                  <w:pPr>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单元 2</w:t>
                  </w:r>
                </w:p>
              </w:tc>
              <w:tc>
                <w:tcPr>
                  <w:tcW w:w="283" w:type="pct"/>
                  <w:vMerge w:val="restart"/>
                  <w:vAlign w:val="center"/>
                </w:tcPr>
                <w:p w14:paraId="3722DA28">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宝鸡市</w:t>
                  </w:r>
                </w:p>
              </w:tc>
              <w:tc>
                <w:tcPr>
                  <w:tcW w:w="283" w:type="pct"/>
                  <w:vMerge w:val="restart"/>
                  <w:vAlign w:val="center"/>
                </w:tcPr>
                <w:p w14:paraId="4F1807E6">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陈仓区</w:t>
                  </w:r>
                </w:p>
              </w:tc>
              <w:tc>
                <w:tcPr>
                  <w:tcW w:w="422" w:type="pct"/>
                  <w:vMerge w:val="restart"/>
                  <w:vAlign w:val="center"/>
                </w:tcPr>
                <w:p w14:paraId="67F3D473">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 般</w:t>
                  </w:r>
                </w:p>
                <w:p w14:paraId="102A2E13">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 态</w:t>
                  </w:r>
                </w:p>
                <w:p w14:paraId="3D3650C4">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空间、</w:t>
                  </w:r>
                </w:p>
                <w:p w14:paraId="67C53C14">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 般</w:t>
                  </w:r>
                </w:p>
                <w:p w14:paraId="149EB30B">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 态</w:t>
                  </w:r>
                </w:p>
                <w:p w14:paraId="2747766D">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空 间- 国 家</w:t>
                  </w:r>
                </w:p>
                <w:p w14:paraId="7B970DBC">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二 级</w:t>
                  </w:r>
                </w:p>
                <w:p w14:paraId="6CF6D2D7">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公 益</w:t>
                  </w:r>
                </w:p>
                <w:p w14:paraId="54037186">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林</w:t>
                  </w:r>
                </w:p>
              </w:tc>
              <w:tc>
                <w:tcPr>
                  <w:tcW w:w="492" w:type="pct"/>
                  <w:vAlign w:val="center"/>
                </w:tcPr>
                <w:p w14:paraId="2326FF6B">
                  <w:pPr>
                    <w:widowControl/>
                    <w:spacing w:line="240" w:lineRule="auto"/>
                    <w:ind w:firstLine="0" w:firstLineChars="0"/>
                    <w:jc w:val="center"/>
                    <w:rPr>
                      <w:color w:val="0000FF"/>
                      <w:sz w:val="21"/>
                      <w:szCs w:val="21"/>
                    </w:rPr>
                  </w:pPr>
                  <w:r>
                    <w:rPr>
                      <w:rFonts w:hint="eastAsia"/>
                      <w:color w:val="0000FF"/>
                      <w:sz w:val="21"/>
                      <w:szCs w:val="21"/>
                    </w:rPr>
                    <w:t>空间约束布局</w:t>
                  </w:r>
                </w:p>
              </w:tc>
              <w:tc>
                <w:tcPr>
                  <w:tcW w:w="2149" w:type="pct"/>
                  <w:vAlign w:val="center"/>
                </w:tcPr>
                <w:p w14:paraId="2A216844">
                  <w:pPr>
                    <w:widowControl/>
                    <w:spacing w:line="240" w:lineRule="auto"/>
                    <w:ind w:firstLine="0" w:firstLineChars="0"/>
                    <w:jc w:val="left"/>
                    <w:rPr>
                      <w:color w:val="0000FF"/>
                      <w:sz w:val="21"/>
                      <w:szCs w:val="21"/>
                    </w:rPr>
                  </w:pPr>
                  <w:r>
                    <w:rPr>
                      <w:color w:val="0000FF"/>
                      <w:sz w:val="21"/>
                      <w:szCs w:val="21"/>
                    </w:rPr>
                    <w:t>一般生态空间：原则上按照限制开发区进行管理。功能属性单一、管控要求明确的一般生态空间，按照生态功能属性的既有规定实施管理；具有多重功能属性、且均有既有管理要求的一般生态空间，按照管控要求的严格程度，从严管理；尚未明确管理要求的一般生态空间，以保护为主，限制有损主导生态服务功能的开发建设活动。一般生态空间-国家二级公益林：按照《国家级公益林管理办法》相关规定进行管控。1.二级国家级公益林在不影响整体森林生态系统功能发挥的前提下，可以按规定开展抚育和更新性质的采伐。在不破坏森林植被的前提下，可以合理利用其林地资源，适度开展林下种植养殖和森林游憩等非木质资源开发与利用，科学发展林下经济。2.国家级公益林的调出，以不影响整体生态功能、保持集中连片为原则，一经调出，不得再次申请补进</w:t>
                  </w:r>
                </w:p>
              </w:tc>
              <w:tc>
                <w:tcPr>
                  <w:tcW w:w="708" w:type="pct"/>
                  <w:vAlign w:val="center"/>
                </w:tcPr>
                <w:p w14:paraId="5EA9BB9D">
                  <w:pPr>
                    <w:widowControl/>
                    <w:spacing w:line="240" w:lineRule="auto"/>
                    <w:ind w:firstLine="0" w:firstLineChars="0"/>
                    <w:jc w:val="left"/>
                    <w:rPr>
                      <w:color w:val="0000FF"/>
                      <w:sz w:val="21"/>
                      <w:szCs w:val="21"/>
                    </w:rPr>
                  </w:pPr>
                  <w:r>
                    <w:rPr>
                      <w:color w:val="0000FF"/>
                      <w:sz w:val="21"/>
                      <w:szCs w:val="21"/>
                    </w:rPr>
                    <w:t>本项目冶金用脉石英矿生产</w:t>
                  </w:r>
                  <w:r>
                    <w:rPr>
                      <w:rFonts w:hint="eastAsia"/>
                      <w:color w:val="0000FF"/>
                      <w:sz w:val="21"/>
                      <w:szCs w:val="21"/>
                    </w:rPr>
                    <w:t>项目</w:t>
                  </w:r>
                  <w:r>
                    <w:rPr>
                      <w:color w:val="0000FF"/>
                      <w:sz w:val="21"/>
                      <w:szCs w:val="21"/>
                    </w:rPr>
                    <w:t>，本项目生态功能属性具有多重功能属性，</w:t>
                  </w:r>
                  <w:r>
                    <w:rPr>
                      <w:rFonts w:hint="eastAsia"/>
                      <w:color w:val="0000FF"/>
                      <w:sz w:val="21"/>
                      <w:szCs w:val="21"/>
                      <w:lang w:eastAsia="zh-CN"/>
                    </w:rPr>
                    <w:t>本项目</w:t>
                  </w:r>
                  <w:r>
                    <w:rPr>
                      <w:color w:val="0000FF"/>
                      <w:sz w:val="21"/>
                      <w:szCs w:val="21"/>
                    </w:rPr>
                    <w:t>按照《国家级公益林管理办法》相关规定进行管控</w:t>
                  </w:r>
                  <w:r>
                    <w:rPr>
                      <w:rFonts w:hint="eastAsia"/>
                      <w:color w:val="0000FF"/>
                      <w:sz w:val="21"/>
                      <w:szCs w:val="21"/>
                      <w:lang w:eastAsia="zh-CN"/>
                    </w:rPr>
                    <w:t>，</w:t>
                  </w:r>
                  <w:r>
                    <w:rPr>
                      <w:color w:val="0000FF"/>
                      <w:sz w:val="21"/>
                      <w:szCs w:val="21"/>
                    </w:rPr>
                    <w:t>按照管控要求从严执行。本项目开采过程中采取相关措施确保不影响整体森林生态系统功能发挥。</w:t>
                  </w:r>
                </w:p>
              </w:tc>
              <w:tc>
                <w:tcPr>
                  <w:tcW w:w="283" w:type="pct"/>
                  <w:vAlign w:val="center"/>
                </w:tcPr>
                <w:p w14:paraId="308F57BE">
                  <w:pPr>
                    <w:widowControl/>
                    <w:spacing w:line="240" w:lineRule="auto"/>
                    <w:ind w:firstLine="0" w:firstLineChars="0"/>
                    <w:jc w:val="center"/>
                    <w:rPr>
                      <w:color w:val="0000FF"/>
                      <w:sz w:val="21"/>
                      <w:szCs w:val="21"/>
                    </w:rPr>
                  </w:pPr>
                  <w:r>
                    <w:rPr>
                      <w:rFonts w:hint="eastAsia"/>
                      <w:color w:val="0000FF"/>
                      <w:sz w:val="21"/>
                      <w:szCs w:val="21"/>
                    </w:rPr>
                    <w:t>符合</w:t>
                  </w:r>
                </w:p>
              </w:tc>
            </w:tr>
            <w:tr w14:paraId="34C73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375" w:type="pct"/>
                  <w:vMerge w:val="continue"/>
                  <w:vAlign w:val="center"/>
                </w:tcPr>
                <w:p w14:paraId="77541244">
                  <w:pPr>
                    <w:widowControl/>
                    <w:spacing w:line="240" w:lineRule="auto"/>
                    <w:ind w:firstLine="0" w:firstLineChars="0"/>
                    <w:jc w:val="center"/>
                    <w:rPr>
                      <w:color w:val="000000" w:themeColor="text1"/>
                      <w:sz w:val="21"/>
                      <w:szCs w:val="21"/>
                      <w14:textFill>
                        <w14:solidFill>
                          <w14:schemeClr w14:val="tx1"/>
                        </w14:solidFill>
                      </w14:textFill>
                    </w:rPr>
                  </w:pPr>
                </w:p>
              </w:tc>
              <w:tc>
                <w:tcPr>
                  <w:tcW w:w="283" w:type="pct"/>
                  <w:vMerge w:val="continue"/>
                  <w:vAlign w:val="center"/>
                </w:tcPr>
                <w:p w14:paraId="6F4DB043">
                  <w:pPr>
                    <w:widowControl/>
                    <w:spacing w:line="240" w:lineRule="auto"/>
                    <w:ind w:firstLine="0" w:firstLineChars="0"/>
                    <w:jc w:val="center"/>
                    <w:rPr>
                      <w:color w:val="000000" w:themeColor="text1"/>
                      <w:sz w:val="21"/>
                      <w:szCs w:val="21"/>
                      <w14:textFill>
                        <w14:solidFill>
                          <w14:schemeClr w14:val="tx1"/>
                        </w14:solidFill>
                      </w14:textFill>
                    </w:rPr>
                  </w:pPr>
                </w:p>
              </w:tc>
              <w:tc>
                <w:tcPr>
                  <w:tcW w:w="283" w:type="pct"/>
                  <w:vMerge w:val="continue"/>
                  <w:vAlign w:val="center"/>
                </w:tcPr>
                <w:p w14:paraId="126FFA65">
                  <w:pPr>
                    <w:widowControl/>
                    <w:spacing w:line="240" w:lineRule="auto"/>
                    <w:ind w:firstLine="0" w:firstLineChars="0"/>
                    <w:jc w:val="center"/>
                    <w:rPr>
                      <w:color w:val="000000" w:themeColor="text1"/>
                      <w:sz w:val="21"/>
                      <w:szCs w:val="21"/>
                      <w14:textFill>
                        <w14:solidFill>
                          <w14:schemeClr w14:val="tx1"/>
                        </w14:solidFill>
                      </w14:textFill>
                    </w:rPr>
                  </w:pPr>
                </w:p>
              </w:tc>
              <w:tc>
                <w:tcPr>
                  <w:tcW w:w="422" w:type="pct"/>
                  <w:vMerge w:val="continue"/>
                  <w:vAlign w:val="center"/>
                </w:tcPr>
                <w:p w14:paraId="6CE5B880">
                  <w:pPr>
                    <w:widowControl/>
                    <w:spacing w:line="240" w:lineRule="auto"/>
                    <w:ind w:firstLine="0" w:firstLineChars="0"/>
                    <w:jc w:val="center"/>
                    <w:rPr>
                      <w:color w:val="000000" w:themeColor="text1"/>
                      <w:sz w:val="21"/>
                      <w:szCs w:val="21"/>
                      <w14:textFill>
                        <w14:solidFill>
                          <w14:schemeClr w14:val="tx1"/>
                        </w14:solidFill>
                      </w14:textFill>
                    </w:rPr>
                  </w:pPr>
                </w:p>
              </w:tc>
              <w:tc>
                <w:tcPr>
                  <w:tcW w:w="492" w:type="pct"/>
                  <w:vAlign w:val="center"/>
                </w:tcPr>
                <w:p w14:paraId="43E3EF1A">
                  <w:pPr>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污染物排放管控</w:t>
                  </w:r>
                </w:p>
              </w:tc>
              <w:tc>
                <w:tcPr>
                  <w:tcW w:w="2149" w:type="pct"/>
                  <w:vAlign w:val="center"/>
                </w:tcPr>
                <w:p w14:paraId="1A5881CE">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708" w:type="pct"/>
                  <w:vAlign w:val="center"/>
                </w:tcPr>
                <w:p w14:paraId="507868A4">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283" w:type="pct"/>
                  <w:vAlign w:val="center"/>
                </w:tcPr>
                <w:p w14:paraId="36534D3F">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14:paraId="63562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375" w:type="pct"/>
                  <w:vMerge w:val="continue"/>
                  <w:vAlign w:val="center"/>
                </w:tcPr>
                <w:p w14:paraId="58E6061D">
                  <w:pPr>
                    <w:widowControl/>
                    <w:spacing w:line="240" w:lineRule="auto"/>
                    <w:ind w:firstLine="0" w:firstLineChars="0"/>
                    <w:jc w:val="center"/>
                    <w:rPr>
                      <w:color w:val="000000" w:themeColor="text1"/>
                      <w:sz w:val="21"/>
                      <w:szCs w:val="21"/>
                      <w14:textFill>
                        <w14:solidFill>
                          <w14:schemeClr w14:val="tx1"/>
                        </w14:solidFill>
                      </w14:textFill>
                    </w:rPr>
                  </w:pPr>
                </w:p>
              </w:tc>
              <w:tc>
                <w:tcPr>
                  <w:tcW w:w="283" w:type="pct"/>
                  <w:vMerge w:val="continue"/>
                  <w:vAlign w:val="center"/>
                </w:tcPr>
                <w:p w14:paraId="0B857F2C">
                  <w:pPr>
                    <w:widowControl/>
                    <w:spacing w:line="240" w:lineRule="auto"/>
                    <w:ind w:firstLine="0" w:firstLineChars="0"/>
                    <w:jc w:val="center"/>
                    <w:rPr>
                      <w:color w:val="000000" w:themeColor="text1"/>
                      <w:sz w:val="21"/>
                      <w:szCs w:val="21"/>
                      <w14:textFill>
                        <w14:solidFill>
                          <w14:schemeClr w14:val="tx1"/>
                        </w14:solidFill>
                      </w14:textFill>
                    </w:rPr>
                  </w:pPr>
                </w:p>
              </w:tc>
              <w:tc>
                <w:tcPr>
                  <w:tcW w:w="283" w:type="pct"/>
                  <w:vMerge w:val="continue"/>
                  <w:vAlign w:val="center"/>
                </w:tcPr>
                <w:p w14:paraId="1B6C7F65">
                  <w:pPr>
                    <w:widowControl/>
                    <w:spacing w:line="240" w:lineRule="auto"/>
                    <w:ind w:firstLine="0" w:firstLineChars="0"/>
                    <w:jc w:val="center"/>
                    <w:rPr>
                      <w:color w:val="000000" w:themeColor="text1"/>
                      <w:sz w:val="21"/>
                      <w:szCs w:val="21"/>
                      <w14:textFill>
                        <w14:solidFill>
                          <w14:schemeClr w14:val="tx1"/>
                        </w14:solidFill>
                      </w14:textFill>
                    </w:rPr>
                  </w:pPr>
                </w:p>
              </w:tc>
              <w:tc>
                <w:tcPr>
                  <w:tcW w:w="422" w:type="pct"/>
                  <w:vMerge w:val="continue"/>
                  <w:vAlign w:val="center"/>
                </w:tcPr>
                <w:p w14:paraId="2C601950">
                  <w:pPr>
                    <w:widowControl/>
                    <w:spacing w:line="240" w:lineRule="auto"/>
                    <w:ind w:firstLine="0" w:firstLineChars="0"/>
                    <w:jc w:val="center"/>
                    <w:rPr>
                      <w:color w:val="000000" w:themeColor="text1"/>
                      <w:sz w:val="21"/>
                      <w:szCs w:val="21"/>
                      <w14:textFill>
                        <w14:solidFill>
                          <w14:schemeClr w14:val="tx1"/>
                        </w14:solidFill>
                      </w14:textFill>
                    </w:rPr>
                  </w:pPr>
                </w:p>
              </w:tc>
              <w:tc>
                <w:tcPr>
                  <w:tcW w:w="492" w:type="pct"/>
                  <w:vAlign w:val="center"/>
                </w:tcPr>
                <w:p w14:paraId="7DB7E0CF">
                  <w:pPr>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环境风险防控</w:t>
                  </w:r>
                </w:p>
              </w:tc>
              <w:tc>
                <w:tcPr>
                  <w:tcW w:w="2149" w:type="pct"/>
                  <w:vAlign w:val="center"/>
                </w:tcPr>
                <w:p w14:paraId="123861BC">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708" w:type="pct"/>
                  <w:vAlign w:val="center"/>
                </w:tcPr>
                <w:p w14:paraId="180A1894">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283" w:type="pct"/>
                  <w:vAlign w:val="center"/>
                </w:tcPr>
                <w:p w14:paraId="565DB0D8">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14:paraId="27904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8" w:hRule="atLeast"/>
              </w:trPr>
              <w:tc>
                <w:tcPr>
                  <w:tcW w:w="375" w:type="pct"/>
                  <w:vMerge w:val="continue"/>
                  <w:vAlign w:val="center"/>
                </w:tcPr>
                <w:p w14:paraId="7B5AF01C">
                  <w:pPr>
                    <w:widowControl/>
                    <w:spacing w:line="240" w:lineRule="auto"/>
                    <w:ind w:firstLine="0" w:firstLineChars="0"/>
                    <w:jc w:val="center"/>
                    <w:rPr>
                      <w:color w:val="000000" w:themeColor="text1"/>
                      <w:sz w:val="21"/>
                      <w:szCs w:val="21"/>
                      <w14:textFill>
                        <w14:solidFill>
                          <w14:schemeClr w14:val="tx1"/>
                        </w14:solidFill>
                      </w14:textFill>
                    </w:rPr>
                  </w:pPr>
                </w:p>
              </w:tc>
              <w:tc>
                <w:tcPr>
                  <w:tcW w:w="283" w:type="pct"/>
                  <w:vMerge w:val="continue"/>
                  <w:vAlign w:val="center"/>
                </w:tcPr>
                <w:p w14:paraId="6ABA59AE">
                  <w:pPr>
                    <w:widowControl/>
                    <w:spacing w:line="240" w:lineRule="auto"/>
                    <w:ind w:firstLine="0" w:firstLineChars="0"/>
                    <w:jc w:val="center"/>
                    <w:rPr>
                      <w:color w:val="000000" w:themeColor="text1"/>
                      <w:sz w:val="21"/>
                      <w:szCs w:val="21"/>
                      <w14:textFill>
                        <w14:solidFill>
                          <w14:schemeClr w14:val="tx1"/>
                        </w14:solidFill>
                      </w14:textFill>
                    </w:rPr>
                  </w:pPr>
                </w:p>
              </w:tc>
              <w:tc>
                <w:tcPr>
                  <w:tcW w:w="283" w:type="pct"/>
                  <w:vMerge w:val="continue"/>
                  <w:vAlign w:val="center"/>
                </w:tcPr>
                <w:p w14:paraId="0A0F5DA1">
                  <w:pPr>
                    <w:widowControl/>
                    <w:spacing w:line="240" w:lineRule="auto"/>
                    <w:ind w:firstLine="0" w:firstLineChars="0"/>
                    <w:jc w:val="center"/>
                    <w:rPr>
                      <w:color w:val="000000" w:themeColor="text1"/>
                      <w:sz w:val="21"/>
                      <w:szCs w:val="21"/>
                      <w14:textFill>
                        <w14:solidFill>
                          <w14:schemeClr w14:val="tx1"/>
                        </w14:solidFill>
                      </w14:textFill>
                    </w:rPr>
                  </w:pPr>
                </w:p>
              </w:tc>
              <w:tc>
                <w:tcPr>
                  <w:tcW w:w="422" w:type="pct"/>
                  <w:vMerge w:val="continue"/>
                  <w:vAlign w:val="center"/>
                </w:tcPr>
                <w:p w14:paraId="0A878ECE">
                  <w:pPr>
                    <w:widowControl/>
                    <w:spacing w:line="240" w:lineRule="auto"/>
                    <w:ind w:firstLine="0" w:firstLineChars="0"/>
                    <w:jc w:val="center"/>
                    <w:rPr>
                      <w:color w:val="000000" w:themeColor="text1"/>
                      <w:sz w:val="21"/>
                      <w:szCs w:val="21"/>
                      <w14:textFill>
                        <w14:solidFill>
                          <w14:schemeClr w14:val="tx1"/>
                        </w14:solidFill>
                      </w14:textFill>
                    </w:rPr>
                  </w:pPr>
                </w:p>
              </w:tc>
              <w:tc>
                <w:tcPr>
                  <w:tcW w:w="492" w:type="pct"/>
                  <w:vAlign w:val="center"/>
                </w:tcPr>
                <w:p w14:paraId="0D7E39D9">
                  <w:pPr>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资源开发效率要求</w:t>
                  </w:r>
                </w:p>
              </w:tc>
              <w:tc>
                <w:tcPr>
                  <w:tcW w:w="2149" w:type="pct"/>
                  <w:vAlign w:val="center"/>
                </w:tcPr>
                <w:p w14:paraId="3E7DF879">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708" w:type="pct"/>
                  <w:vAlign w:val="center"/>
                </w:tcPr>
                <w:p w14:paraId="01B20E1B">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283" w:type="pct"/>
                  <w:vAlign w:val="center"/>
                </w:tcPr>
                <w:p w14:paraId="26D3D49D">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bl>
          <w:p w14:paraId="3F078C7A">
            <w:pPr>
              <w:keepNext w:val="0"/>
              <w:keepLines w:val="0"/>
              <w:pageBreakBefore w:val="0"/>
              <w:widowControl w:val="0"/>
              <w:kinsoku/>
              <w:wordWrap/>
              <w:overflowPunct/>
              <w:topLinePunct w:val="0"/>
              <w:autoSpaceDE/>
              <w:autoSpaceDN/>
              <w:bidi w:val="0"/>
              <w:adjustRightInd w:val="0"/>
              <w:snapToGrid w:val="0"/>
              <w:ind w:left="0" w:leftChars="0" w:firstLine="482" w:firstLineChars="200"/>
              <w:textAlignment w:val="auto"/>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3、其他符合性分析</w:t>
            </w:r>
          </w:p>
          <w:p w14:paraId="33E01480">
            <w:pPr>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项目与相关政策的符合性分析见下表：</w:t>
            </w:r>
          </w:p>
          <w:p w14:paraId="74308E61">
            <w:pPr>
              <w:widowControl/>
              <w:kinsoku w:val="0"/>
              <w:autoSpaceDE w:val="0"/>
              <w:autoSpaceDN w:val="0"/>
              <w:adjustRightInd w:val="0"/>
              <w:snapToGrid w:val="0"/>
              <w:spacing w:line="240" w:lineRule="auto"/>
              <w:ind w:firstLine="0" w:firstLineChars="0"/>
              <w:jc w:val="center"/>
              <w:textAlignment w:val="baseline"/>
            </w:pPr>
            <w:r>
              <w:rPr>
                <w:b/>
                <w:bCs/>
                <w:spacing w:val="-2"/>
              </w:rPr>
              <w:t>表</w:t>
            </w:r>
            <w:r>
              <w:rPr>
                <w:rFonts w:hint="eastAsia"/>
                <w:b/>
                <w:bCs/>
                <w:spacing w:val="-27"/>
              </w:rPr>
              <w:t>1</w:t>
            </w:r>
            <w:r>
              <w:rPr>
                <w:b/>
                <w:bCs/>
                <w:spacing w:val="-2"/>
              </w:rPr>
              <w:t>-</w:t>
            </w:r>
            <w:r>
              <w:rPr>
                <w:rFonts w:hint="eastAsia"/>
                <w:b/>
                <w:bCs/>
                <w:spacing w:val="-2"/>
              </w:rPr>
              <w:t>3</w:t>
            </w:r>
            <w:r>
              <w:rPr>
                <w:b/>
                <w:bCs/>
                <w:spacing w:val="-2"/>
              </w:rPr>
              <w:t xml:space="preserve">  </w:t>
            </w:r>
            <w:r>
              <w:rPr>
                <w:rFonts w:hint="eastAsia"/>
                <w:b/>
                <w:bCs/>
                <w:spacing w:val="-2"/>
              </w:rPr>
              <w:t>与《宝鸡市矿产资源总体规划（2021—2025年）》符合性分析</w:t>
            </w:r>
          </w:p>
          <w:tbl>
            <w:tblPr>
              <w:tblStyle w:val="73"/>
              <w:tblW w:w="4998" w:type="pct"/>
              <w:tblInd w:w="0" w:type="dxa"/>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Layout w:type="autofit"/>
              <w:tblCellMar>
                <w:top w:w="0" w:type="dxa"/>
                <w:left w:w="0" w:type="dxa"/>
                <w:bottom w:w="0" w:type="dxa"/>
                <w:right w:w="0" w:type="dxa"/>
              </w:tblCellMar>
            </w:tblPr>
            <w:tblGrid>
              <w:gridCol w:w="904"/>
              <w:gridCol w:w="1117"/>
              <w:gridCol w:w="2415"/>
              <w:gridCol w:w="2262"/>
              <w:gridCol w:w="819"/>
            </w:tblGrid>
            <w:tr w14:paraId="0CEC27C6">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c>
                <w:tcPr>
                  <w:tcW w:w="601" w:type="pct"/>
                  <w:tcBorders>
                    <w:top w:val="single" w:color="000000" w:sz="2" w:space="0"/>
                    <w:left w:val="single" w:color="auto" w:sz="0" w:space="0"/>
                  </w:tcBorders>
                  <w:vAlign w:val="center"/>
                </w:tcPr>
                <w:p w14:paraId="05D3097E">
                  <w:pPr>
                    <w:pStyle w:val="72"/>
                    <w:spacing w:line="240" w:lineRule="auto"/>
                    <w:ind w:firstLine="0" w:firstLineChars="0"/>
                    <w:jc w:val="center"/>
                    <w:rPr>
                      <w:rFonts w:ascii="Times New Roman" w:hAnsi="Times New Roman" w:cs="Times New Roman"/>
                      <w:b/>
                      <w:bCs/>
                      <w:lang w:eastAsia="zh-CN"/>
                    </w:rPr>
                  </w:pPr>
                  <w:r>
                    <w:rPr>
                      <w:rFonts w:hint="eastAsia" w:ascii="Times New Roman" w:hAnsi="Times New Roman" w:cs="Times New Roman"/>
                      <w:b/>
                      <w:bCs/>
                      <w:lang w:eastAsia="zh-CN"/>
                    </w:rPr>
                    <w:t>规划章节</w:t>
                  </w:r>
                </w:p>
              </w:tc>
              <w:tc>
                <w:tcPr>
                  <w:tcW w:w="743" w:type="pct"/>
                  <w:tcBorders>
                    <w:top w:val="single" w:color="000000" w:sz="2" w:space="0"/>
                  </w:tcBorders>
                  <w:vAlign w:val="center"/>
                </w:tcPr>
                <w:p w14:paraId="0C1FC9C5">
                  <w:pPr>
                    <w:pStyle w:val="72"/>
                    <w:spacing w:line="240" w:lineRule="auto"/>
                    <w:ind w:firstLine="0" w:firstLineChars="0"/>
                    <w:jc w:val="center"/>
                    <w:rPr>
                      <w:rFonts w:ascii="Times New Roman" w:hAnsi="Times New Roman" w:cs="Times New Roman"/>
                      <w:b/>
                      <w:bCs/>
                      <w:lang w:eastAsia="zh-CN"/>
                    </w:rPr>
                  </w:pPr>
                  <w:r>
                    <w:rPr>
                      <w:rFonts w:hint="eastAsia" w:ascii="Times New Roman" w:hAnsi="Times New Roman" w:cs="Times New Roman"/>
                      <w:b/>
                      <w:bCs/>
                      <w:lang w:eastAsia="zh-CN"/>
                    </w:rPr>
                    <w:t>内容主题</w:t>
                  </w:r>
                </w:p>
              </w:tc>
              <w:tc>
                <w:tcPr>
                  <w:tcW w:w="1606" w:type="pct"/>
                  <w:tcBorders>
                    <w:top w:val="single" w:color="000000" w:sz="2" w:space="0"/>
                  </w:tcBorders>
                  <w:vAlign w:val="center"/>
                </w:tcPr>
                <w:p w14:paraId="3A8C3760">
                  <w:pPr>
                    <w:pStyle w:val="72"/>
                    <w:spacing w:line="240" w:lineRule="auto"/>
                    <w:ind w:firstLine="0" w:firstLineChars="0"/>
                    <w:jc w:val="center"/>
                    <w:rPr>
                      <w:rFonts w:ascii="Times New Roman" w:hAnsi="Times New Roman" w:cs="Times New Roman"/>
                      <w:b/>
                      <w:bCs/>
                      <w:lang w:eastAsia="zh-CN"/>
                    </w:rPr>
                  </w:pPr>
                  <w:r>
                    <w:rPr>
                      <w:rFonts w:hint="eastAsia" w:ascii="Times New Roman" w:hAnsi="Times New Roman" w:cs="Times New Roman"/>
                      <w:b/>
                      <w:bCs/>
                      <w:lang w:eastAsia="zh-CN"/>
                    </w:rPr>
                    <w:t>具体要求</w:t>
                  </w:r>
                </w:p>
              </w:tc>
              <w:tc>
                <w:tcPr>
                  <w:tcW w:w="1504" w:type="pct"/>
                  <w:tcBorders>
                    <w:top w:val="single" w:color="000000" w:sz="2" w:space="0"/>
                  </w:tcBorders>
                  <w:vAlign w:val="center"/>
                </w:tcPr>
                <w:p w14:paraId="3035292E">
                  <w:pPr>
                    <w:pStyle w:val="72"/>
                    <w:spacing w:line="240" w:lineRule="auto"/>
                    <w:ind w:firstLine="0" w:firstLineChars="0"/>
                    <w:jc w:val="center"/>
                    <w:rPr>
                      <w:rFonts w:ascii="Times New Roman" w:hAnsi="Times New Roman" w:cs="Times New Roman"/>
                      <w:b/>
                      <w:bCs/>
                      <w:lang w:eastAsia="zh-CN"/>
                    </w:rPr>
                  </w:pPr>
                  <w:r>
                    <w:rPr>
                      <w:rFonts w:hint="eastAsia" w:ascii="Times New Roman" w:hAnsi="Times New Roman" w:cs="Times New Roman"/>
                      <w:b/>
                      <w:bCs/>
                      <w:lang w:eastAsia="zh-CN"/>
                    </w:rPr>
                    <w:t>本项目情况</w:t>
                  </w:r>
                </w:p>
              </w:tc>
              <w:tc>
                <w:tcPr>
                  <w:tcW w:w="544" w:type="pct"/>
                  <w:tcBorders>
                    <w:top w:val="single" w:color="000000" w:sz="2" w:space="0"/>
                    <w:right w:val="single" w:color="000000" w:sz="2" w:space="0"/>
                  </w:tcBorders>
                  <w:vAlign w:val="center"/>
                </w:tcPr>
                <w:p w14:paraId="0279923F">
                  <w:pPr>
                    <w:pStyle w:val="72"/>
                    <w:spacing w:line="240" w:lineRule="auto"/>
                    <w:ind w:firstLine="0" w:firstLineChars="0"/>
                    <w:jc w:val="center"/>
                    <w:rPr>
                      <w:rFonts w:ascii="Times New Roman" w:hAnsi="Times New Roman" w:cs="Times New Roman"/>
                      <w:b/>
                      <w:bCs/>
                      <w:lang w:eastAsia="zh-CN"/>
                    </w:rPr>
                  </w:pPr>
                  <w:r>
                    <w:rPr>
                      <w:rFonts w:hint="eastAsia" w:ascii="Times New Roman" w:hAnsi="Times New Roman" w:cs="Times New Roman"/>
                      <w:b/>
                      <w:bCs/>
                      <w:lang w:eastAsia="zh-CN"/>
                    </w:rPr>
                    <w:t>符合性</w:t>
                  </w:r>
                </w:p>
              </w:tc>
            </w:tr>
            <w:tr w14:paraId="23A09018">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c>
                <w:tcPr>
                  <w:tcW w:w="601" w:type="pct"/>
                  <w:tcBorders>
                    <w:left w:val="single" w:color="000000" w:sz="4" w:space="0"/>
                  </w:tcBorders>
                  <w:vAlign w:val="center"/>
                </w:tcPr>
                <w:p w14:paraId="5ABE82D7">
                  <w:pPr>
                    <w:pStyle w:val="72"/>
                    <w:spacing w:line="240" w:lineRule="auto"/>
                    <w:ind w:firstLine="0" w:firstLineChars="0"/>
                    <w:rPr>
                      <w:rFonts w:ascii="Times New Roman" w:hAnsi="Times New Roman" w:cs="Times New Roman"/>
                      <w:lang w:eastAsia="zh-CN"/>
                    </w:rPr>
                  </w:pPr>
                  <w:r>
                    <w:rPr>
                      <w:rFonts w:hint="eastAsia" w:ascii="Times New Roman" w:hAnsi="Times New Roman" w:cs="Times New Roman"/>
                      <w:lang w:eastAsia="zh-CN"/>
                    </w:rPr>
                    <w:t>三、矿产勘查开发与保护布局</w:t>
                  </w:r>
                </w:p>
              </w:tc>
              <w:tc>
                <w:tcPr>
                  <w:tcW w:w="743" w:type="pct"/>
                  <w:vAlign w:val="center"/>
                </w:tcPr>
                <w:p w14:paraId="59AE4D82">
                  <w:pPr>
                    <w:pStyle w:val="72"/>
                    <w:spacing w:line="240" w:lineRule="auto"/>
                    <w:ind w:firstLine="0" w:firstLineChars="0"/>
                    <w:jc w:val="left"/>
                    <w:rPr>
                      <w:rFonts w:ascii="Times New Roman" w:hAnsi="Times New Roman" w:cs="Times New Roman"/>
                      <w:lang w:eastAsia="zh-CN"/>
                    </w:rPr>
                  </w:pPr>
                  <w:r>
                    <w:rPr>
                      <w:rFonts w:hint="eastAsia" w:ascii="Times New Roman" w:hAnsi="Times New Roman" w:cs="Times New Roman"/>
                      <w:lang w:eastAsia="zh-CN"/>
                    </w:rPr>
                    <w:t>四、明确矿产资源勘查开采调控方向</w:t>
                  </w:r>
                </w:p>
              </w:tc>
              <w:tc>
                <w:tcPr>
                  <w:tcW w:w="2414" w:type="dxa"/>
                  <w:vAlign w:val="center"/>
                </w:tcPr>
                <w:p w14:paraId="0EE055DD">
                  <w:pPr>
                    <w:pStyle w:val="72"/>
                    <w:spacing w:line="240" w:lineRule="auto"/>
                    <w:ind w:firstLine="420"/>
                    <w:rPr>
                      <w:rFonts w:ascii="Times New Roman" w:hAnsi="Times New Roman" w:cs="Times New Roman"/>
                      <w:lang w:eastAsia="zh-CN"/>
                    </w:rPr>
                  </w:pPr>
                  <w:r>
                    <w:rPr>
                      <w:rFonts w:hint="eastAsia" w:ascii="Times New Roman" w:hAnsi="Times New Roman" w:cs="Times New Roman"/>
                      <w:lang w:eastAsia="zh-CN"/>
                    </w:rPr>
                    <w:t>严守生态保护红线、永久基本农田、城镇开发边界三条控制线。生态保护红线范围内原则上禁止不符合管控要求的矿产资源勘查开采。生态保护红线内非自然保护地核心保护区的区域，允许因国家重大能源资源安全需要开展战略性能源资源勘查、公益性自然资源调查和地质勘查。严格永久基本农田保护，除地热、矿泉水勘查开采不造成永久基本农田损毁、塌陷破坏的情形外，非战略性矿产应避让永久基本农田。除地热、矿泉水勘查开采外，严控城镇开发边界内的矿产资源勘查开采。</w:t>
                  </w:r>
                </w:p>
                <w:p w14:paraId="4F4AA666">
                  <w:pPr>
                    <w:pStyle w:val="72"/>
                    <w:spacing w:line="240" w:lineRule="auto"/>
                    <w:ind w:firstLine="420"/>
                    <w:rPr>
                      <w:rFonts w:ascii="Times New Roman" w:hAnsi="Times New Roman" w:cs="Times New Roman"/>
                      <w:lang w:eastAsia="zh-CN"/>
                    </w:rPr>
                  </w:pPr>
                  <w:r>
                    <w:rPr>
                      <w:rFonts w:hint="eastAsia" w:ascii="Times New Roman" w:hAnsi="Times New Roman" w:cs="Times New Roman"/>
                      <w:lang w:eastAsia="zh-CN"/>
                    </w:rPr>
                    <w:t>根据上级矿产资源规划管理要求，结合宝鸡市实际，确定全市矿产资源勘查开采调控方向：</w:t>
                  </w:r>
                </w:p>
                <w:p w14:paraId="7DDE69D9">
                  <w:pPr>
                    <w:pStyle w:val="72"/>
                    <w:spacing w:line="240" w:lineRule="auto"/>
                    <w:ind w:firstLine="420"/>
                    <w:rPr>
                      <w:rFonts w:ascii="Times New Roman" w:hAnsi="Times New Roman" w:cs="Times New Roman"/>
                      <w:lang w:eastAsia="zh-CN"/>
                    </w:rPr>
                  </w:pPr>
                  <w:r>
                    <w:rPr>
                      <w:rFonts w:hint="eastAsia" w:ascii="Times New Roman" w:hAnsi="Times New Roman" w:cs="Times New Roman"/>
                      <w:lang w:eastAsia="zh-CN"/>
                    </w:rPr>
                    <w:t>限制勘查高硫煤、石煤、硫铁矿，勘查区块投放前应做好论证。围绕战略性矿产、优势和紧缺矿产，引导要素聚集，重点勘查煤层气、煤炭、铜矿、铅矿、锌矿、金矿、磷矿、石墨、脉石英岩、方解石、地热、矿泉水等矿产，以上矿种鼓励社会多元资金投资勘查。</w:t>
                  </w:r>
                </w:p>
                <w:p w14:paraId="588F9F05">
                  <w:pPr>
                    <w:pStyle w:val="72"/>
                    <w:spacing w:line="240" w:lineRule="auto"/>
                    <w:ind w:firstLine="420"/>
                    <w:rPr>
                      <w:rFonts w:ascii="Times New Roman" w:hAnsi="Times New Roman" w:cs="Times New Roman"/>
                      <w:lang w:eastAsia="zh-CN"/>
                    </w:rPr>
                  </w:pPr>
                  <w:r>
                    <w:rPr>
                      <w:rFonts w:hint="eastAsia" w:ascii="Times New Roman" w:hAnsi="Times New Roman" w:cs="Times New Roman"/>
                      <w:lang w:eastAsia="zh-CN"/>
                    </w:rPr>
                    <w:t>禁止开采新的原生汞矿、蓝石棉、可耕地的砖瓦用粘土，不得新设采矿权，因共生、伴生矿等情况确需综合回收利用禁止矿种的，应严格论证。禁止开采砷和放射性等有毒有害物质超过规定标准的煤炭项目。限制开采石煤、硫铁矿以及砂金、砂铁等重砂矿物，严格执行开采总量控制、开采准入条件等有关要求，并加强监督管理。不再新建石煤、硫铁矿、汞矿、露天磷矿山。对煤层气、煤炭、铜矿、金矿、晶质石墨、石灰岩、脉石英、脉石英岩、方解石、长石、水泥用粘土、陶粒用粘土、地热、矿泉水等矿产，推进高效利用，在符合开采准入条件和国家有关矿产资源管理政策要求下，有序投放采矿权。合理调控铅矿、锌矿、磷矿、水泥用灰岩开发利用强度。严格规范和控制露天开采活动。</w:t>
                  </w:r>
                </w:p>
              </w:tc>
              <w:tc>
                <w:tcPr>
                  <w:tcW w:w="2261" w:type="dxa"/>
                  <w:vAlign w:val="center"/>
                </w:tcPr>
                <w:p w14:paraId="18D45FF4">
                  <w:pPr>
                    <w:pStyle w:val="72"/>
                    <w:spacing w:line="240" w:lineRule="auto"/>
                    <w:ind w:firstLine="420"/>
                    <w:rPr>
                      <w:rFonts w:ascii="Times New Roman" w:hAnsi="Times New Roman" w:cs="Times New Roman"/>
                      <w:lang w:eastAsia="zh-CN"/>
                    </w:rPr>
                  </w:pPr>
                  <w:r>
                    <w:rPr>
                      <w:rFonts w:hint="eastAsia" w:ascii="Times New Roman" w:hAnsi="Times New Roman" w:cs="Times New Roman"/>
                      <w:lang w:eastAsia="zh-CN"/>
                    </w:rPr>
                    <w:t>本项目开采区不涉及生态保护红线、永久基本农田、城镇开发边界。</w:t>
                  </w:r>
                </w:p>
                <w:p w14:paraId="2671E504">
                  <w:pPr>
                    <w:pStyle w:val="72"/>
                    <w:spacing w:line="240" w:lineRule="auto"/>
                    <w:ind w:firstLine="420"/>
                    <w:rPr>
                      <w:rFonts w:ascii="Times New Roman" w:hAnsi="Times New Roman" w:cs="Times New Roman"/>
                      <w:lang w:eastAsia="zh-CN"/>
                    </w:rPr>
                  </w:pPr>
                  <w:r>
                    <w:rPr>
                      <w:rFonts w:hint="eastAsia" w:ascii="Times New Roman" w:hAnsi="Times New Roman" w:cs="Times New Roman"/>
                      <w:lang w:eastAsia="zh-CN"/>
                    </w:rPr>
                    <w:t>本项目为</w:t>
                  </w:r>
                  <w:r>
                    <w:rPr>
                      <w:rFonts w:hint="eastAsia" w:ascii="Times New Roman" w:hAnsi="Times New Roman" w:cs="Times New Roman"/>
                      <w:spacing w:val="2"/>
                      <w:lang w:eastAsia="zh-CN"/>
                    </w:rPr>
                    <w:t>石英矿露天开采，不涉及</w:t>
                  </w:r>
                  <w:r>
                    <w:rPr>
                      <w:rFonts w:hint="eastAsia" w:ascii="Times New Roman" w:hAnsi="Times New Roman" w:cs="Times New Roman"/>
                      <w:lang w:eastAsia="zh-CN"/>
                    </w:rPr>
                    <w:t>高硫煤、石煤、硫铁矿、煤层气、煤炭、铜矿、铅矿、锌矿、金矿、磷矿、石墨、脉石英岩、方解石、地热、矿泉水等矿产。</w:t>
                  </w:r>
                </w:p>
                <w:p w14:paraId="7A6B87F7">
                  <w:pPr>
                    <w:pStyle w:val="72"/>
                    <w:spacing w:line="240" w:lineRule="auto"/>
                    <w:ind w:firstLine="420"/>
                    <w:rPr>
                      <w:rFonts w:ascii="Times New Roman" w:hAnsi="Times New Roman" w:cs="Times New Roman"/>
                      <w:lang w:eastAsia="zh-CN"/>
                    </w:rPr>
                  </w:pPr>
                  <w:r>
                    <w:rPr>
                      <w:rFonts w:hint="eastAsia" w:ascii="Times New Roman" w:hAnsi="Times New Roman" w:cs="Times New Roman"/>
                      <w:lang w:eastAsia="zh-CN"/>
                    </w:rPr>
                    <w:t>本项目为</w:t>
                  </w:r>
                  <w:r>
                    <w:rPr>
                      <w:rFonts w:hint="eastAsia" w:ascii="Times New Roman" w:hAnsi="Times New Roman" w:cs="Times New Roman"/>
                      <w:spacing w:val="2"/>
                      <w:lang w:eastAsia="zh-CN"/>
                    </w:rPr>
                    <w:t>脉石英矿露天开采，不涉及</w:t>
                  </w:r>
                  <w:r>
                    <w:rPr>
                      <w:rFonts w:hint="eastAsia" w:ascii="Times New Roman" w:hAnsi="Times New Roman" w:cs="Times New Roman"/>
                      <w:lang w:eastAsia="zh-CN"/>
                    </w:rPr>
                    <w:t>原生汞矿、蓝石棉、可耕地的砖瓦用粘土、石煤、硫铁矿以及砂金、砂铁等重砂矿物，不涉及石煤、硫铁矿、汞矿、露天磷矿山。对煤层气、煤炭、铜矿、金矿、晶质石墨、石灰岩、脉石英、脉石英岩、方解石、长石、水泥用粘土、陶粒用粘土、地热、矿泉水等矿产。</w:t>
                  </w:r>
                </w:p>
              </w:tc>
              <w:tc>
                <w:tcPr>
                  <w:tcW w:w="544" w:type="pct"/>
                  <w:tcBorders>
                    <w:right w:val="single" w:color="000000" w:sz="2" w:space="0"/>
                  </w:tcBorders>
                  <w:vAlign w:val="center"/>
                </w:tcPr>
                <w:p w14:paraId="0A4C13CF">
                  <w:pPr>
                    <w:pStyle w:val="72"/>
                    <w:spacing w:line="240" w:lineRule="auto"/>
                    <w:ind w:right="124" w:firstLine="0" w:firstLineChars="0"/>
                    <w:jc w:val="center"/>
                    <w:rPr>
                      <w:rFonts w:ascii="Times New Roman" w:hAnsi="Times New Roman" w:cs="Times New Roman"/>
                      <w:lang w:eastAsia="zh-CN"/>
                    </w:rPr>
                  </w:pPr>
                  <w:r>
                    <w:rPr>
                      <w:rFonts w:hint="eastAsia" w:ascii="Times New Roman" w:hAnsi="Times New Roman" w:cs="Times New Roman"/>
                      <w:lang w:eastAsia="zh-CN"/>
                    </w:rPr>
                    <w:t>符合</w:t>
                  </w:r>
                </w:p>
              </w:tc>
            </w:tr>
            <w:tr w14:paraId="64032600">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4502" w:hRule="atLeast"/>
              </w:trPr>
              <w:tc>
                <w:tcPr>
                  <w:tcW w:w="601" w:type="pct"/>
                  <w:tcBorders>
                    <w:left w:val="single" w:color="000000" w:sz="4" w:space="0"/>
                  </w:tcBorders>
                  <w:vAlign w:val="center"/>
                </w:tcPr>
                <w:p w14:paraId="61C49C6B">
                  <w:pPr>
                    <w:pStyle w:val="72"/>
                    <w:spacing w:line="240" w:lineRule="auto"/>
                    <w:ind w:firstLine="0" w:firstLineChars="0"/>
                    <w:jc w:val="left"/>
                    <w:rPr>
                      <w:rFonts w:ascii="Times New Roman" w:hAnsi="Times New Roman" w:cs="Times New Roman"/>
                      <w:lang w:eastAsia="zh-CN"/>
                    </w:rPr>
                  </w:pPr>
                  <w:r>
                    <w:rPr>
                      <w:rFonts w:hint="eastAsia" w:ascii="Times New Roman" w:hAnsi="Times New Roman" w:cs="Times New Roman"/>
                      <w:lang w:eastAsia="zh-CN"/>
                    </w:rPr>
                    <w:t>五、加强矿产资源开发利用与保护</w:t>
                  </w:r>
                </w:p>
              </w:tc>
              <w:tc>
                <w:tcPr>
                  <w:tcW w:w="743" w:type="pct"/>
                  <w:vAlign w:val="center"/>
                </w:tcPr>
                <w:p w14:paraId="4EB19B73">
                  <w:pPr>
                    <w:pStyle w:val="72"/>
                    <w:spacing w:line="240" w:lineRule="auto"/>
                    <w:ind w:firstLine="0" w:firstLineChars="0"/>
                    <w:jc w:val="left"/>
                    <w:rPr>
                      <w:rFonts w:ascii="Times New Roman" w:hAnsi="Times New Roman" w:cs="Times New Roman"/>
                      <w:lang w:eastAsia="zh-CN"/>
                    </w:rPr>
                  </w:pPr>
                  <w:r>
                    <w:rPr>
                      <w:rFonts w:ascii="Times New Roman" w:hAnsi="Times New Roman" w:cs="Times New Roman"/>
                      <w:lang w:eastAsia="zh-CN"/>
                    </w:rPr>
                    <w:t>二、优化开发利用结构（一）矿山最低开采规模</w:t>
                  </w:r>
                </w:p>
                <w:p w14:paraId="0EA557CF">
                  <w:pPr>
                    <w:pStyle w:val="72"/>
                    <w:spacing w:line="240" w:lineRule="auto"/>
                    <w:ind w:firstLine="420"/>
                    <w:jc w:val="center"/>
                    <w:rPr>
                      <w:rFonts w:ascii="Times New Roman" w:hAnsi="Times New Roman" w:cs="Times New Roman"/>
                      <w:lang w:eastAsia="zh-CN"/>
                    </w:rPr>
                  </w:pPr>
                </w:p>
              </w:tc>
              <w:tc>
                <w:tcPr>
                  <w:tcW w:w="2414" w:type="dxa"/>
                  <w:vAlign w:val="center"/>
                </w:tcPr>
                <w:p w14:paraId="7826492F">
                  <w:pPr>
                    <w:pStyle w:val="72"/>
                    <w:spacing w:line="240" w:lineRule="auto"/>
                    <w:ind w:firstLine="420"/>
                    <w:rPr>
                      <w:rFonts w:ascii="Times New Roman" w:hAnsi="Times New Roman" w:cs="Times New Roman"/>
                      <w:lang w:eastAsia="zh-CN"/>
                    </w:rPr>
                  </w:pPr>
                  <w:r>
                    <w:rPr>
                      <w:rFonts w:ascii="Times New Roman" w:hAnsi="Times New Roman" w:cs="Times New Roman"/>
                      <w:lang w:eastAsia="zh-CN"/>
                    </w:rPr>
                    <w:t>按照矿山开采规模与矿区资源储量规模、矿山服务年限相适应的要求，新立采矿权实施新建矿山最低开采规模的规定。</w:t>
                  </w:r>
                </w:p>
                <w:p w14:paraId="6FD2779F">
                  <w:pPr>
                    <w:pStyle w:val="72"/>
                    <w:spacing w:line="240" w:lineRule="auto"/>
                    <w:ind w:firstLine="420"/>
                    <w:rPr>
                      <w:rFonts w:ascii="Times New Roman" w:hAnsi="Times New Roman" w:cs="Times New Roman"/>
                      <w:lang w:eastAsia="zh-CN"/>
                    </w:rPr>
                  </w:pPr>
                  <w:r>
                    <w:rPr>
                      <w:rFonts w:ascii="Times New Roman" w:hAnsi="Times New Roman" w:cs="Times New Roman"/>
                      <w:lang w:eastAsia="zh-CN"/>
                    </w:rPr>
                    <w:t>已有采矿权矿山企业应当通过设备改造和技术升级，达到保留或技改矿山最低规模要求。全面落实上级矿产资源规划中确定的矿种最低开采规模。根据宝鸡市实际情况，为加强矿山企业结构调整，引导节约集约利用矿产资源，实现矿山规模化、集约化发展，对上级矿产资源规划中未涉及在本轮规划期内其他开采主要矿种，制定相应矿种最低开采规模，原则上新立采矿权矿山规模不低于中型</w:t>
                  </w:r>
                  <w:r>
                    <w:rPr>
                      <w:rFonts w:hint="eastAsia" w:ascii="Times New Roman" w:hAnsi="Times New Roman" w:cs="Times New Roman"/>
                      <w:lang w:eastAsia="zh-CN"/>
                    </w:rPr>
                    <w:t>。</w:t>
                  </w:r>
                </w:p>
              </w:tc>
              <w:tc>
                <w:tcPr>
                  <w:tcW w:w="2261" w:type="dxa"/>
                  <w:vAlign w:val="center"/>
                </w:tcPr>
                <w:p w14:paraId="78441029">
                  <w:pPr>
                    <w:pStyle w:val="72"/>
                    <w:spacing w:line="240" w:lineRule="auto"/>
                    <w:ind w:firstLine="428"/>
                    <w:rPr>
                      <w:rFonts w:ascii="Times New Roman" w:hAnsi="Times New Roman" w:cs="Times New Roman"/>
                      <w:lang w:eastAsia="zh-CN"/>
                    </w:rPr>
                  </w:pPr>
                  <w:r>
                    <w:rPr>
                      <w:rFonts w:hint="eastAsia" w:ascii="Times New Roman" w:hAnsi="Times New Roman" w:cs="Times New Roman"/>
                      <w:spacing w:val="2"/>
                      <w:lang w:eastAsia="zh-CN"/>
                    </w:rPr>
                    <w:t>本项目在宝鸡市陈仓区梨树沟露天开采脉石英矿，产量为40万t/a，满足重点矿种最低开采规模中“脉石英”新建矿山不得低于中型的要求。</w:t>
                  </w:r>
                </w:p>
              </w:tc>
              <w:tc>
                <w:tcPr>
                  <w:tcW w:w="544" w:type="pct"/>
                  <w:tcBorders>
                    <w:right w:val="single" w:color="000000" w:sz="2" w:space="0"/>
                  </w:tcBorders>
                  <w:vAlign w:val="center"/>
                </w:tcPr>
                <w:p w14:paraId="662CE968">
                  <w:pPr>
                    <w:pStyle w:val="72"/>
                    <w:spacing w:line="240" w:lineRule="auto"/>
                    <w:ind w:right="124" w:firstLine="0" w:firstLineChars="0"/>
                    <w:jc w:val="center"/>
                    <w:rPr>
                      <w:rFonts w:ascii="Times New Roman" w:hAnsi="Times New Roman" w:cs="Times New Roman"/>
                      <w:lang w:eastAsia="zh-CN"/>
                    </w:rPr>
                  </w:pPr>
                  <w:r>
                    <w:rPr>
                      <w:rFonts w:hint="eastAsia" w:ascii="Times New Roman" w:hAnsi="Times New Roman" w:cs="Times New Roman"/>
                      <w:lang w:eastAsia="zh-CN"/>
                    </w:rPr>
                    <w:t>符合</w:t>
                  </w:r>
                </w:p>
              </w:tc>
            </w:tr>
            <w:tr w14:paraId="664A5F9B">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c>
                <w:tcPr>
                  <w:tcW w:w="601" w:type="pct"/>
                  <w:tcBorders>
                    <w:left w:val="single" w:color="000000" w:sz="4" w:space="0"/>
                  </w:tcBorders>
                  <w:vAlign w:val="center"/>
                </w:tcPr>
                <w:p w14:paraId="67D5CB6E">
                  <w:pPr>
                    <w:pStyle w:val="72"/>
                    <w:spacing w:line="240" w:lineRule="auto"/>
                    <w:ind w:firstLine="0" w:firstLineChars="0"/>
                    <w:jc w:val="left"/>
                    <w:rPr>
                      <w:rFonts w:ascii="Times New Roman" w:hAnsi="Times New Roman" w:cs="Times New Roman"/>
                      <w:lang w:eastAsia="zh-CN"/>
                    </w:rPr>
                  </w:pPr>
                  <w:r>
                    <w:rPr>
                      <w:rFonts w:hint="eastAsia" w:ascii="Times New Roman" w:hAnsi="Times New Roman" w:cs="Times New Roman"/>
                      <w:lang w:eastAsia="zh-CN"/>
                    </w:rPr>
                    <w:t>六、推动矿业绿色发展</w:t>
                  </w:r>
                </w:p>
              </w:tc>
              <w:tc>
                <w:tcPr>
                  <w:tcW w:w="743" w:type="pct"/>
                  <w:vAlign w:val="center"/>
                </w:tcPr>
                <w:p w14:paraId="0FEA175A">
                  <w:pPr>
                    <w:pStyle w:val="72"/>
                    <w:spacing w:line="240" w:lineRule="auto"/>
                    <w:ind w:firstLine="0" w:firstLineChars="0"/>
                    <w:jc w:val="left"/>
                    <w:rPr>
                      <w:rFonts w:ascii="Times New Roman" w:hAnsi="Times New Roman" w:cs="Times New Roman"/>
                      <w:lang w:eastAsia="zh-CN"/>
                    </w:rPr>
                  </w:pPr>
                  <w:r>
                    <w:rPr>
                      <w:rFonts w:hint="eastAsia" w:ascii="Times New Roman" w:hAnsi="Times New Roman" w:cs="Times New Roman"/>
                      <w:lang w:eastAsia="zh-CN"/>
                    </w:rPr>
                    <w:t>二、加强矿产资源绿色开采</w:t>
                  </w:r>
                </w:p>
              </w:tc>
              <w:tc>
                <w:tcPr>
                  <w:tcW w:w="2414" w:type="dxa"/>
                  <w:vAlign w:val="center"/>
                </w:tcPr>
                <w:p w14:paraId="228E89C0">
                  <w:pPr>
                    <w:pStyle w:val="72"/>
                    <w:spacing w:line="240" w:lineRule="auto"/>
                    <w:ind w:firstLine="420"/>
                    <w:rPr>
                      <w:rFonts w:ascii="Times New Roman" w:hAnsi="Times New Roman" w:cs="Times New Roman"/>
                      <w:lang w:eastAsia="zh-CN"/>
                    </w:rPr>
                  </w:pPr>
                  <w:r>
                    <w:rPr>
                      <w:rFonts w:hint="eastAsia" w:ascii="Times New Roman" w:hAnsi="Times New Roman" w:cs="Times New Roman"/>
                      <w:lang w:eastAsia="zh-CN"/>
                    </w:rPr>
                    <w:t>非金属矿山露天开采宜采用剥离一排土一开采一造地一复垦技术，地下开采应结合实际选择合理的开采技术。矿产资源开发利用指标应符合国家及行业相关规定要求。</w:t>
                  </w:r>
                </w:p>
              </w:tc>
              <w:tc>
                <w:tcPr>
                  <w:tcW w:w="2261" w:type="dxa"/>
                  <w:vAlign w:val="center"/>
                </w:tcPr>
                <w:p w14:paraId="51474B1D">
                  <w:pPr>
                    <w:pStyle w:val="72"/>
                    <w:spacing w:line="240" w:lineRule="auto"/>
                    <w:ind w:firstLine="428"/>
                    <w:rPr>
                      <w:rFonts w:ascii="Times New Roman" w:hAnsi="Times New Roman" w:cs="Times New Roman"/>
                      <w:lang w:eastAsia="zh-CN"/>
                    </w:rPr>
                  </w:pPr>
                  <w:r>
                    <w:rPr>
                      <w:rFonts w:hint="eastAsia" w:ascii="Times New Roman" w:hAnsi="Times New Roman" w:cs="Times New Roman"/>
                      <w:spacing w:val="2"/>
                      <w:lang w:eastAsia="zh-CN"/>
                    </w:rPr>
                    <w:t>本项目在宝鸡市陈仓区梨树沟露天开采脉石英矿，开采方式为</w:t>
                  </w:r>
                  <w:r>
                    <w:rPr>
                      <w:rFonts w:hint="eastAsia" w:ascii="Times New Roman" w:hAnsi="Times New Roman" w:cs="Times New Roman"/>
                      <w:lang w:eastAsia="zh-CN"/>
                    </w:rPr>
                    <w:t>剥离一排土一开采一造地一复垦。矿石剥采率等指标满足国家及行业相关规定要求。</w:t>
                  </w:r>
                </w:p>
              </w:tc>
              <w:tc>
                <w:tcPr>
                  <w:tcW w:w="544" w:type="pct"/>
                  <w:tcBorders>
                    <w:right w:val="single" w:color="000000" w:sz="2" w:space="0"/>
                  </w:tcBorders>
                  <w:vAlign w:val="center"/>
                </w:tcPr>
                <w:p w14:paraId="37197280">
                  <w:pPr>
                    <w:pStyle w:val="72"/>
                    <w:spacing w:line="240" w:lineRule="auto"/>
                    <w:ind w:right="124" w:firstLine="0" w:firstLineChars="0"/>
                    <w:jc w:val="center"/>
                    <w:rPr>
                      <w:rFonts w:ascii="Times New Roman" w:hAnsi="Times New Roman" w:cs="Times New Roman"/>
                      <w:lang w:eastAsia="zh-CN"/>
                    </w:rPr>
                  </w:pPr>
                  <w:r>
                    <w:rPr>
                      <w:rFonts w:hint="eastAsia" w:ascii="Times New Roman" w:hAnsi="Times New Roman" w:cs="Times New Roman"/>
                      <w:lang w:eastAsia="zh-CN"/>
                    </w:rPr>
                    <w:t>符合</w:t>
                  </w:r>
                </w:p>
              </w:tc>
            </w:tr>
          </w:tbl>
          <w:p w14:paraId="4E42A59C">
            <w:pPr>
              <w:widowControl/>
              <w:kinsoku w:val="0"/>
              <w:autoSpaceDE w:val="0"/>
              <w:autoSpaceDN w:val="0"/>
              <w:spacing w:line="240" w:lineRule="auto"/>
              <w:ind w:firstLine="0" w:firstLineChars="0"/>
              <w:jc w:val="center"/>
              <w:textAlignment w:val="baseline"/>
            </w:pPr>
            <w:r>
              <w:rPr>
                <w:b/>
                <w:bCs/>
                <w:spacing w:val="-2"/>
              </w:rPr>
              <w:t>表</w:t>
            </w:r>
            <w:r>
              <w:rPr>
                <w:rFonts w:hint="eastAsia"/>
                <w:b/>
                <w:bCs/>
                <w:spacing w:val="-2"/>
              </w:rPr>
              <w:t>1-4</w:t>
            </w:r>
            <w:r>
              <w:rPr>
                <w:b/>
                <w:bCs/>
                <w:spacing w:val="-2"/>
              </w:rPr>
              <w:t xml:space="preserve">  </w:t>
            </w:r>
            <w:r>
              <w:rPr>
                <w:rFonts w:hint="eastAsia"/>
                <w:b/>
                <w:bCs/>
                <w:spacing w:val="-2"/>
              </w:rPr>
              <w:t>与《陈仓区矿产资源总体规划（2021—2025年）》符合性分析</w:t>
            </w:r>
          </w:p>
          <w:tbl>
            <w:tblPr>
              <w:tblStyle w:val="73"/>
              <w:tblW w:w="4998" w:type="pct"/>
              <w:jc w:val="center"/>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Layout w:type="autofit"/>
              <w:tblCellMar>
                <w:top w:w="0" w:type="dxa"/>
                <w:left w:w="0" w:type="dxa"/>
                <w:bottom w:w="0" w:type="dxa"/>
                <w:right w:w="0" w:type="dxa"/>
              </w:tblCellMar>
            </w:tblPr>
            <w:tblGrid>
              <w:gridCol w:w="906"/>
              <w:gridCol w:w="909"/>
              <w:gridCol w:w="2989"/>
              <w:gridCol w:w="2004"/>
              <w:gridCol w:w="709"/>
            </w:tblGrid>
            <w:tr w14:paraId="0B1E292D">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jc w:val="center"/>
              </w:trPr>
              <w:tc>
                <w:tcPr>
                  <w:tcW w:w="603" w:type="pct"/>
                  <w:tcBorders>
                    <w:tl2br w:val="nil"/>
                    <w:tr2bl w:val="nil"/>
                  </w:tcBorders>
                  <w:vAlign w:val="center"/>
                </w:tcPr>
                <w:p w14:paraId="6DD82584">
                  <w:pPr>
                    <w:pStyle w:val="72"/>
                    <w:spacing w:line="240" w:lineRule="auto"/>
                    <w:ind w:firstLine="0" w:firstLineChars="0"/>
                    <w:jc w:val="center"/>
                    <w:rPr>
                      <w:rFonts w:ascii="Times New Roman" w:hAnsi="Times New Roman" w:cs="Times New Roman"/>
                      <w:b/>
                      <w:bCs/>
                      <w:lang w:eastAsia="zh-CN"/>
                    </w:rPr>
                  </w:pPr>
                  <w:r>
                    <w:rPr>
                      <w:rFonts w:hint="eastAsia" w:ascii="Times New Roman" w:hAnsi="Times New Roman" w:cs="Times New Roman"/>
                      <w:b/>
                      <w:bCs/>
                      <w:lang w:eastAsia="zh-CN"/>
                    </w:rPr>
                    <w:t>规划章节</w:t>
                  </w:r>
                </w:p>
              </w:tc>
              <w:tc>
                <w:tcPr>
                  <w:tcW w:w="604" w:type="pct"/>
                  <w:tcBorders>
                    <w:tl2br w:val="nil"/>
                    <w:tr2bl w:val="nil"/>
                  </w:tcBorders>
                  <w:vAlign w:val="center"/>
                </w:tcPr>
                <w:p w14:paraId="18241C9C">
                  <w:pPr>
                    <w:pStyle w:val="72"/>
                    <w:spacing w:line="240" w:lineRule="auto"/>
                    <w:ind w:firstLine="0" w:firstLineChars="0"/>
                    <w:jc w:val="center"/>
                    <w:rPr>
                      <w:rFonts w:ascii="Times New Roman" w:hAnsi="Times New Roman" w:cs="Times New Roman"/>
                      <w:b/>
                      <w:bCs/>
                      <w:lang w:eastAsia="zh-CN"/>
                    </w:rPr>
                  </w:pPr>
                  <w:r>
                    <w:rPr>
                      <w:rFonts w:hint="eastAsia" w:ascii="Times New Roman" w:hAnsi="Times New Roman" w:cs="Times New Roman"/>
                      <w:b/>
                      <w:bCs/>
                      <w:lang w:eastAsia="zh-CN"/>
                    </w:rPr>
                    <w:t>内容主题</w:t>
                  </w:r>
                </w:p>
              </w:tc>
              <w:tc>
                <w:tcPr>
                  <w:tcW w:w="1987" w:type="pct"/>
                  <w:tcBorders>
                    <w:tl2br w:val="nil"/>
                    <w:tr2bl w:val="nil"/>
                  </w:tcBorders>
                  <w:vAlign w:val="center"/>
                </w:tcPr>
                <w:p w14:paraId="3C6A56A0">
                  <w:pPr>
                    <w:pStyle w:val="72"/>
                    <w:spacing w:line="240" w:lineRule="auto"/>
                    <w:ind w:firstLine="422"/>
                    <w:jc w:val="center"/>
                    <w:rPr>
                      <w:rFonts w:ascii="Times New Roman" w:hAnsi="Times New Roman" w:cs="Times New Roman"/>
                      <w:b/>
                      <w:bCs/>
                      <w:lang w:eastAsia="zh-CN"/>
                    </w:rPr>
                  </w:pPr>
                  <w:r>
                    <w:rPr>
                      <w:rFonts w:hint="eastAsia" w:ascii="Times New Roman" w:hAnsi="Times New Roman" w:cs="Times New Roman"/>
                      <w:b/>
                      <w:bCs/>
                      <w:lang w:eastAsia="zh-CN"/>
                    </w:rPr>
                    <w:t>具体要求</w:t>
                  </w:r>
                </w:p>
              </w:tc>
              <w:tc>
                <w:tcPr>
                  <w:tcW w:w="1332" w:type="pct"/>
                  <w:tcBorders>
                    <w:tl2br w:val="nil"/>
                    <w:tr2bl w:val="nil"/>
                  </w:tcBorders>
                  <w:vAlign w:val="center"/>
                </w:tcPr>
                <w:p w14:paraId="568A1CAD">
                  <w:pPr>
                    <w:pStyle w:val="72"/>
                    <w:spacing w:line="240" w:lineRule="auto"/>
                    <w:ind w:firstLine="0" w:firstLineChars="0"/>
                    <w:jc w:val="center"/>
                    <w:rPr>
                      <w:rFonts w:ascii="Times New Roman" w:hAnsi="Times New Roman" w:cs="Times New Roman"/>
                      <w:b/>
                      <w:bCs/>
                      <w:lang w:eastAsia="zh-CN"/>
                    </w:rPr>
                  </w:pPr>
                  <w:r>
                    <w:rPr>
                      <w:rFonts w:hint="eastAsia" w:ascii="Times New Roman" w:hAnsi="Times New Roman" w:cs="Times New Roman"/>
                      <w:b/>
                      <w:bCs/>
                      <w:lang w:eastAsia="zh-CN"/>
                    </w:rPr>
                    <w:t>本项目情况</w:t>
                  </w:r>
                </w:p>
              </w:tc>
              <w:tc>
                <w:tcPr>
                  <w:tcW w:w="471" w:type="pct"/>
                  <w:tcBorders>
                    <w:tl2br w:val="nil"/>
                    <w:tr2bl w:val="nil"/>
                  </w:tcBorders>
                  <w:vAlign w:val="center"/>
                </w:tcPr>
                <w:p w14:paraId="0B7B0FEA">
                  <w:pPr>
                    <w:pStyle w:val="72"/>
                    <w:spacing w:line="240" w:lineRule="auto"/>
                    <w:ind w:firstLine="0" w:firstLineChars="0"/>
                    <w:jc w:val="center"/>
                    <w:rPr>
                      <w:rFonts w:ascii="Times New Roman" w:hAnsi="Times New Roman" w:cs="Times New Roman"/>
                      <w:b/>
                      <w:bCs/>
                      <w:lang w:eastAsia="zh-CN"/>
                    </w:rPr>
                  </w:pPr>
                  <w:r>
                    <w:rPr>
                      <w:rFonts w:hint="eastAsia" w:ascii="Times New Roman" w:hAnsi="Times New Roman" w:cs="Times New Roman"/>
                      <w:b/>
                      <w:bCs/>
                      <w:lang w:eastAsia="zh-CN"/>
                    </w:rPr>
                    <w:t>符合性</w:t>
                  </w:r>
                </w:p>
              </w:tc>
            </w:tr>
            <w:tr w14:paraId="34231827">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jc w:val="center"/>
              </w:trPr>
              <w:tc>
                <w:tcPr>
                  <w:tcW w:w="603" w:type="pct"/>
                  <w:tcBorders>
                    <w:tl2br w:val="nil"/>
                    <w:tr2bl w:val="nil"/>
                  </w:tcBorders>
                  <w:vAlign w:val="center"/>
                </w:tcPr>
                <w:p w14:paraId="1F1E5A6C">
                  <w:pPr>
                    <w:pStyle w:val="72"/>
                    <w:spacing w:line="240" w:lineRule="auto"/>
                    <w:ind w:firstLine="0" w:firstLineChars="0"/>
                    <w:rPr>
                      <w:rFonts w:ascii="Times New Roman" w:hAnsi="Times New Roman" w:cs="Times New Roman"/>
                      <w:lang w:eastAsia="zh-CN"/>
                    </w:rPr>
                  </w:pPr>
                  <w:r>
                    <w:rPr>
                      <w:rFonts w:hint="eastAsia" w:ascii="Times New Roman" w:hAnsi="Times New Roman" w:cs="Times New Roman"/>
                      <w:lang w:eastAsia="zh-CN"/>
                    </w:rPr>
                    <w:t>四、加强矿产资源勘查开发利用与保护</w:t>
                  </w:r>
                </w:p>
              </w:tc>
              <w:tc>
                <w:tcPr>
                  <w:tcW w:w="604" w:type="pct"/>
                  <w:tcBorders>
                    <w:tl2br w:val="nil"/>
                    <w:tr2bl w:val="nil"/>
                  </w:tcBorders>
                  <w:vAlign w:val="center"/>
                </w:tcPr>
                <w:p w14:paraId="6A7FA81D">
                  <w:pPr>
                    <w:pStyle w:val="72"/>
                    <w:spacing w:line="240" w:lineRule="auto"/>
                    <w:ind w:firstLine="0" w:firstLineChars="0"/>
                    <w:rPr>
                      <w:rFonts w:ascii="Times New Roman" w:hAnsi="Times New Roman" w:cs="Times New Roman"/>
                      <w:lang w:eastAsia="zh-CN"/>
                    </w:rPr>
                  </w:pPr>
                  <w:r>
                    <w:rPr>
                      <w:rFonts w:hint="eastAsia" w:ascii="Times New Roman" w:hAnsi="Times New Roman" w:cs="Times New Roman"/>
                      <w:lang w:eastAsia="zh-CN"/>
                    </w:rPr>
                    <w:t>四、严格规划准入管理</w:t>
                  </w:r>
                </w:p>
              </w:tc>
              <w:tc>
                <w:tcPr>
                  <w:tcW w:w="1987" w:type="pct"/>
                  <w:tcBorders>
                    <w:tl2br w:val="nil"/>
                    <w:tr2bl w:val="nil"/>
                  </w:tcBorders>
                  <w:vAlign w:val="center"/>
                </w:tcPr>
                <w:p w14:paraId="3E615A4B">
                  <w:pPr>
                    <w:pStyle w:val="72"/>
                    <w:spacing w:line="240" w:lineRule="auto"/>
                    <w:ind w:firstLine="420"/>
                    <w:jc w:val="left"/>
                    <w:rPr>
                      <w:rFonts w:ascii="Times New Roman" w:hAnsi="Times New Roman" w:cs="Times New Roman"/>
                      <w:lang w:eastAsia="zh-CN"/>
                    </w:rPr>
                  </w:pPr>
                  <w:r>
                    <w:rPr>
                      <w:rFonts w:hint="eastAsia" w:ascii="Times New Roman" w:hAnsi="Times New Roman" w:cs="Times New Roman"/>
                      <w:lang w:eastAsia="zh-CN"/>
                    </w:rPr>
                    <w:t>以保护生态环境为首要任务，突出源头控制，最大限度减轻矿业活动对生态环境的影响，实施严格的矿产资源勘查开发准入条件。</w:t>
                  </w:r>
                </w:p>
                <w:p w14:paraId="37D1CF74">
                  <w:pPr>
                    <w:pStyle w:val="72"/>
                    <w:spacing w:line="240" w:lineRule="auto"/>
                    <w:ind w:firstLine="420"/>
                    <w:jc w:val="left"/>
                    <w:rPr>
                      <w:rFonts w:ascii="Times New Roman" w:hAnsi="Times New Roman" w:cs="Times New Roman"/>
                      <w:lang w:eastAsia="zh-CN"/>
                    </w:rPr>
                  </w:pPr>
                  <w:r>
                    <w:rPr>
                      <w:rFonts w:hint="eastAsia" w:ascii="Times New Roman" w:hAnsi="Times New Roman" w:cs="Times New Roman"/>
                      <w:lang w:eastAsia="zh-CN"/>
                    </w:rPr>
                    <w:t>环境准入：严格执行环境影响评价制度，在允许矿产开发的区域新建、扩建、改建矿产资源开采项目，应进行环境影响评价，依法办理审批手续。执行陕西国家重点生态功能区产业准入负面清单（试行）、区域“三线一单”、秦岭重点保护区和一般保护区产业准入清单（试行）要求，产业政策准入门槛高于本规划的，以产业政策为准。科学编制矿山地质环境保护与土地复垦方案。矿产资源开发可能造成水土流失的，应当制定水土流失预防和治理的对策和措施。</w:t>
                  </w:r>
                </w:p>
                <w:p w14:paraId="071077AD">
                  <w:pPr>
                    <w:pStyle w:val="72"/>
                    <w:spacing w:line="240" w:lineRule="auto"/>
                    <w:ind w:firstLine="420"/>
                    <w:jc w:val="left"/>
                    <w:rPr>
                      <w:rFonts w:ascii="Times New Roman" w:hAnsi="Times New Roman" w:cs="Times New Roman"/>
                      <w:lang w:eastAsia="zh-CN"/>
                    </w:rPr>
                  </w:pPr>
                  <w:r>
                    <w:rPr>
                      <w:rFonts w:hint="eastAsia" w:ascii="Times New Roman" w:hAnsi="Times New Roman" w:cs="Times New Roman"/>
                      <w:lang w:eastAsia="zh-CN"/>
                    </w:rPr>
                    <w:t>空间准入：严格落实国土空间管控要求和生态保护红线差别化管控要求。在秦岭核心保护区和重点保护区内禁止新设采矿权，秦岭主梁以北、封山育林、禁牧区内禁止新设采石采矿权。严格控制和规范在秦岭一般保护区内的矿业活动。露天开采的采石矿山应避让永久基本农田和生态保护红线及其他行业法律法规禁止开采的区域。</w:t>
                  </w:r>
                </w:p>
                <w:p w14:paraId="1DCBD5DB">
                  <w:pPr>
                    <w:pStyle w:val="72"/>
                    <w:spacing w:line="240" w:lineRule="auto"/>
                    <w:ind w:firstLine="420"/>
                    <w:jc w:val="left"/>
                    <w:rPr>
                      <w:rFonts w:ascii="Times New Roman" w:hAnsi="Times New Roman" w:cs="Times New Roman"/>
                      <w:lang w:eastAsia="zh-CN"/>
                    </w:rPr>
                  </w:pPr>
                  <w:r>
                    <w:rPr>
                      <w:rFonts w:hint="eastAsia" w:ascii="Times New Roman" w:hAnsi="Times New Roman" w:cs="Times New Roman"/>
                      <w:lang w:eastAsia="zh-CN"/>
                    </w:rPr>
                    <w:t>开采规模准入：根据矿山开采规模应与资源量规模相适应的原则，实施矿山最低开采规模的规定，新立采矿权执行新建矿山最低开采规模要求。</w:t>
                  </w:r>
                </w:p>
                <w:p w14:paraId="2FD7FA44">
                  <w:pPr>
                    <w:pStyle w:val="72"/>
                    <w:spacing w:line="240" w:lineRule="auto"/>
                    <w:ind w:firstLine="420"/>
                    <w:jc w:val="center"/>
                    <w:rPr>
                      <w:rFonts w:ascii="Times New Roman" w:hAnsi="Times New Roman" w:cs="Times New Roman"/>
                      <w:lang w:eastAsia="zh-CN"/>
                    </w:rPr>
                  </w:pPr>
                  <w:r>
                    <w:rPr>
                      <w:rFonts w:hint="eastAsia" w:ascii="Times New Roman" w:hAnsi="Times New Roman" w:cs="Times New Roman"/>
                      <w:lang w:eastAsia="zh-CN"/>
                    </w:rPr>
                    <w:t>开发利用水平准入：禁止采用落后的、淘汰的、破坏和浪费矿产资源的开采和选矿技术，采选工艺应符合国家《矿产资源节约与综合利用先进适用技术目录》的最新版本要求。积极开展科技创新和技术革新，矿山企业应保障科技创新的资金投入。</w:t>
                  </w:r>
                </w:p>
              </w:tc>
              <w:tc>
                <w:tcPr>
                  <w:tcW w:w="1332" w:type="pct"/>
                  <w:tcBorders>
                    <w:tl2br w:val="nil"/>
                    <w:tr2bl w:val="nil"/>
                  </w:tcBorders>
                  <w:vAlign w:val="center"/>
                </w:tcPr>
                <w:p w14:paraId="0BA8D607">
                  <w:pPr>
                    <w:pStyle w:val="72"/>
                    <w:spacing w:line="240" w:lineRule="auto"/>
                    <w:ind w:firstLine="210" w:firstLineChars="100"/>
                    <w:rPr>
                      <w:rFonts w:ascii="Times New Roman" w:hAnsi="Times New Roman" w:cs="Times New Roman"/>
                      <w:lang w:eastAsia="zh-CN"/>
                    </w:rPr>
                  </w:pPr>
                  <w:r>
                    <w:rPr>
                      <w:rFonts w:hint="eastAsia" w:ascii="Times New Roman" w:hAnsi="Times New Roman" w:cs="Times New Roman"/>
                      <w:lang w:eastAsia="zh-CN"/>
                    </w:rPr>
                    <w:t>本项目开采区属于陇山山系关山余脉，不属于秦岭核心保护区和重点保护区。</w:t>
                  </w:r>
                </w:p>
                <w:p w14:paraId="67277D6B">
                  <w:pPr>
                    <w:pStyle w:val="72"/>
                    <w:spacing w:line="240" w:lineRule="auto"/>
                    <w:ind w:firstLine="214" w:firstLineChars="100"/>
                    <w:rPr>
                      <w:rFonts w:ascii="Times New Roman" w:hAnsi="Times New Roman" w:cs="Times New Roman"/>
                      <w:lang w:eastAsia="zh-CN"/>
                    </w:rPr>
                  </w:pPr>
                  <w:r>
                    <w:rPr>
                      <w:rFonts w:hint="eastAsia" w:ascii="Times New Roman" w:hAnsi="Times New Roman" w:cs="Times New Roman"/>
                      <w:spacing w:val="2"/>
                      <w:lang w:eastAsia="zh-CN"/>
                    </w:rPr>
                    <w:t>本项目</w:t>
                  </w:r>
                  <w:r>
                    <w:rPr>
                      <w:rFonts w:hint="eastAsia" w:ascii="Times New Roman" w:hAnsi="Times New Roman" w:cs="Times New Roman"/>
                      <w:lang w:eastAsia="zh-CN"/>
                    </w:rPr>
                    <w:t>严格实施国土空间管控措施，满足陕西省、关中地区及宝鸡市“三线一单”具体要求。</w:t>
                  </w:r>
                </w:p>
                <w:p w14:paraId="71035885">
                  <w:pPr>
                    <w:pStyle w:val="72"/>
                    <w:spacing w:line="240" w:lineRule="auto"/>
                    <w:ind w:firstLine="210" w:firstLineChars="100"/>
                    <w:rPr>
                      <w:rFonts w:ascii="Times New Roman" w:hAnsi="Times New Roman" w:cs="Times New Roman"/>
                      <w:lang w:eastAsia="zh-CN"/>
                    </w:rPr>
                  </w:pPr>
                  <w:r>
                    <w:rPr>
                      <w:rFonts w:hint="eastAsia" w:ascii="Times New Roman" w:hAnsi="Times New Roman" w:cs="Times New Roman"/>
                      <w:lang w:eastAsia="zh-CN"/>
                    </w:rPr>
                    <w:t>本项目已编制了矿山地质环境保护与土地复垦方案，水土保持方案编制中。</w:t>
                  </w:r>
                </w:p>
              </w:tc>
              <w:tc>
                <w:tcPr>
                  <w:tcW w:w="471" w:type="pct"/>
                  <w:tcBorders>
                    <w:tl2br w:val="nil"/>
                    <w:tr2bl w:val="nil"/>
                  </w:tcBorders>
                  <w:vAlign w:val="center"/>
                </w:tcPr>
                <w:p w14:paraId="2867E0AD">
                  <w:pPr>
                    <w:pStyle w:val="72"/>
                    <w:spacing w:line="240" w:lineRule="auto"/>
                    <w:ind w:firstLine="0" w:firstLineChars="0"/>
                    <w:jc w:val="center"/>
                    <w:rPr>
                      <w:rFonts w:ascii="Times New Roman" w:hAnsi="Times New Roman" w:cs="Times New Roman"/>
                      <w:lang w:eastAsia="zh-CN"/>
                    </w:rPr>
                  </w:pPr>
                  <w:r>
                    <w:rPr>
                      <w:rFonts w:hint="eastAsia" w:ascii="Times New Roman" w:hAnsi="Times New Roman" w:cs="Times New Roman"/>
                      <w:lang w:eastAsia="zh-CN"/>
                    </w:rPr>
                    <w:t>符合</w:t>
                  </w:r>
                </w:p>
              </w:tc>
            </w:tr>
            <w:tr w14:paraId="42F6E532">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4502" w:hRule="atLeast"/>
                <w:jc w:val="center"/>
              </w:trPr>
              <w:tc>
                <w:tcPr>
                  <w:tcW w:w="603" w:type="pct"/>
                  <w:vMerge w:val="restart"/>
                  <w:tcBorders>
                    <w:tl2br w:val="nil"/>
                    <w:tr2bl w:val="nil"/>
                  </w:tcBorders>
                  <w:vAlign w:val="center"/>
                </w:tcPr>
                <w:p w14:paraId="416258B3">
                  <w:pPr>
                    <w:pStyle w:val="72"/>
                    <w:spacing w:line="240" w:lineRule="auto"/>
                    <w:ind w:firstLine="0" w:firstLineChars="0"/>
                    <w:rPr>
                      <w:rFonts w:ascii="Times New Roman" w:hAnsi="Times New Roman" w:cs="Times New Roman"/>
                      <w:lang w:eastAsia="zh-CN"/>
                    </w:rPr>
                  </w:pPr>
                  <w:r>
                    <w:rPr>
                      <w:rFonts w:hint="eastAsia" w:ascii="Times New Roman" w:hAnsi="Times New Roman" w:cs="Times New Roman"/>
                      <w:lang w:eastAsia="zh-CN"/>
                    </w:rPr>
                    <w:t>五、推动矿业绿色发展</w:t>
                  </w:r>
                </w:p>
              </w:tc>
              <w:tc>
                <w:tcPr>
                  <w:tcW w:w="604" w:type="pct"/>
                  <w:tcBorders>
                    <w:tl2br w:val="nil"/>
                    <w:tr2bl w:val="nil"/>
                  </w:tcBorders>
                  <w:vAlign w:val="center"/>
                </w:tcPr>
                <w:p w14:paraId="74F19E45">
                  <w:pPr>
                    <w:pStyle w:val="72"/>
                    <w:spacing w:line="240" w:lineRule="auto"/>
                    <w:ind w:firstLine="0" w:firstLineChars="0"/>
                    <w:rPr>
                      <w:rFonts w:ascii="Times New Roman" w:hAnsi="Times New Roman" w:cs="Times New Roman"/>
                      <w:lang w:eastAsia="zh-CN"/>
                    </w:rPr>
                  </w:pPr>
                  <w:r>
                    <w:rPr>
                      <w:rFonts w:hint="eastAsia" w:ascii="Times New Roman" w:hAnsi="Times New Roman" w:cs="Times New Roman"/>
                      <w:lang w:eastAsia="zh-CN"/>
                    </w:rPr>
                    <w:t>二、加强矿产资源绿色开采</w:t>
                  </w:r>
                </w:p>
              </w:tc>
              <w:tc>
                <w:tcPr>
                  <w:tcW w:w="1987" w:type="pct"/>
                  <w:tcBorders>
                    <w:tl2br w:val="nil"/>
                    <w:tr2bl w:val="nil"/>
                  </w:tcBorders>
                  <w:vAlign w:val="center"/>
                </w:tcPr>
                <w:p w14:paraId="7451B5B3">
                  <w:pPr>
                    <w:pStyle w:val="72"/>
                    <w:spacing w:line="240" w:lineRule="auto"/>
                    <w:ind w:firstLine="420"/>
                    <w:jc w:val="left"/>
                    <w:rPr>
                      <w:rFonts w:ascii="Times New Roman" w:hAnsi="Times New Roman" w:cs="Times New Roman"/>
                      <w:lang w:eastAsia="zh-CN"/>
                    </w:rPr>
                  </w:pPr>
                  <w:r>
                    <w:rPr>
                      <w:rFonts w:hint="eastAsia" w:ascii="Times New Roman" w:hAnsi="Times New Roman" w:cs="Times New Roman"/>
                      <w:lang w:eastAsia="zh-CN"/>
                    </w:rPr>
                    <w:t>非金属矿山露天开采宜采用剥离一排土一开采一造地一复垦技术，地下开采应结合实际选择合理的开采技术。矿产资源开发利用指标应符合国家及行业相关规定要求。</w:t>
                  </w:r>
                </w:p>
              </w:tc>
              <w:tc>
                <w:tcPr>
                  <w:tcW w:w="1332" w:type="pct"/>
                  <w:tcBorders>
                    <w:tl2br w:val="nil"/>
                    <w:tr2bl w:val="nil"/>
                  </w:tcBorders>
                  <w:vAlign w:val="center"/>
                </w:tcPr>
                <w:p w14:paraId="7DB47EF2">
                  <w:pPr>
                    <w:pStyle w:val="72"/>
                    <w:spacing w:line="240" w:lineRule="auto"/>
                    <w:ind w:firstLine="0" w:firstLineChars="0"/>
                    <w:rPr>
                      <w:rFonts w:ascii="Times New Roman" w:hAnsi="Times New Roman" w:cs="Times New Roman"/>
                      <w:lang w:eastAsia="zh-CN"/>
                    </w:rPr>
                  </w:pPr>
                  <w:r>
                    <w:rPr>
                      <w:rFonts w:hint="eastAsia" w:ascii="Times New Roman" w:hAnsi="Times New Roman" w:cs="Times New Roman"/>
                      <w:spacing w:val="2"/>
                      <w:lang w:eastAsia="zh-CN"/>
                    </w:rPr>
                    <w:t>本项目在宝鸡市陈仓区梨树沟露天开采脉石英矿，开采方式为</w:t>
                  </w:r>
                  <w:r>
                    <w:rPr>
                      <w:rFonts w:hint="eastAsia" w:ascii="Times New Roman" w:hAnsi="Times New Roman" w:cs="Times New Roman"/>
                      <w:lang w:eastAsia="zh-CN"/>
                    </w:rPr>
                    <w:t>剥离一排土一开采一造地一复垦。矿石剥采率等指标满足国家及行业相关规定要求。</w:t>
                  </w:r>
                </w:p>
              </w:tc>
              <w:tc>
                <w:tcPr>
                  <w:tcW w:w="471" w:type="pct"/>
                  <w:tcBorders>
                    <w:tl2br w:val="nil"/>
                    <w:tr2bl w:val="nil"/>
                  </w:tcBorders>
                  <w:vAlign w:val="center"/>
                </w:tcPr>
                <w:p w14:paraId="107711EA">
                  <w:pPr>
                    <w:pStyle w:val="72"/>
                    <w:spacing w:line="240" w:lineRule="auto"/>
                    <w:ind w:firstLine="0" w:firstLineChars="0"/>
                    <w:jc w:val="center"/>
                    <w:rPr>
                      <w:rFonts w:ascii="Times New Roman" w:hAnsi="Times New Roman" w:cs="Times New Roman"/>
                      <w:lang w:eastAsia="zh-CN"/>
                    </w:rPr>
                  </w:pPr>
                  <w:r>
                    <w:rPr>
                      <w:rFonts w:hint="eastAsia" w:ascii="Times New Roman" w:hAnsi="Times New Roman" w:cs="Times New Roman"/>
                      <w:lang w:eastAsia="zh-CN"/>
                    </w:rPr>
                    <w:t>符合</w:t>
                  </w:r>
                </w:p>
              </w:tc>
            </w:tr>
            <w:tr w14:paraId="4646442C">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jc w:val="center"/>
              </w:trPr>
              <w:tc>
                <w:tcPr>
                  <w:tcW w:w="603" w:type="pct"/>
                  <w:vMerge w:val="continue"/>
                  <w:tcBorders>
                    <w:tl2br w:val="nil"/>
                    <w:tr2bl w:val="nil"/>
                  </w:tcBorders>
                  <w:vAlign w:val="center"/>
                </w:tcPr>
                <w:p w14:paraId="14C388EE">
                  <w:pPr>
                    <w:pStyle w:val="72"/>
                    <w:spacing w:line="240" w:lineRule="auto"/>
                    <w:ind w:firstLine="420"/>
                    <w:jc w:val="center"/>
                    <w:rPr>
                      <w:rFonts w:ascii="Times New Roman" w:hAnsi="Times New Roman" w:cs="Times New Roman"/>
                      <w:lang w:eastAsia="zh-CN"/>
                    </w:rPr>
                  </w:pPr>
                </w:p>
              </w:tc>
              <w:tc>
                <w:tcPr>
                  <w:tcW w:w="604" w:type="pct"/>
                  <w:tcBorders>
                    <w:tl2br w:val="nil"/>
                    <w:tr2bl w:val="nil"/>
                  </w:tcBorders>
                  <w:vAlign w:val="center"/>
                </w:tcPr>
                <w:p w14:paraId="2C68DD2A">
                  <w:pPr>
                    <w:pStyle w:val="72"/>
                    <w:spacing w:line="240" w:lineRule="auto"/>
                    <w:ind w:firstLine="0" w:firstLineChars="0"/>
                    <w:rPr>
                      <w:rFonts w:ascii="Times New Roman" w:hAnsi="Times New Roman" w:cs="Times New Roman"/>
                      <w:lang w:eastAsia="zh-CN"/>
                    </w:rPr>
                  </w:pPr>
                  <w:r>
                    <w:rPr>
                      <w:rFonts w:hint="eastAsia" w:ascii="Times New Roman" w:hAnsi="Times New Roman" w:cs="Times New Roman"/>
                      <w:lang w:eastAsia="zh-CN"/>
                    </w:rPr>
                    <w:t>三、加大矿山地质环境治理恢复</w:t>
                  </w:r>
                </w:p>
              </w:tc>
              <w:tc>
                <w:tcPr>
                  <w:tcW w:w="1987" w:type="pct"/>
                  <w:tcBorders>
                    <w:tl2br w:val="nil"/>
                    <w:tr2bl w:val="nil"/>
                  </w:tcBorders>
                  <w:vAlign w:val="center"/>
                </w:tcPr>
                <w:p w14:paraId="4DF971C5">
                  <w:pPr>
                    <w:pStyle w:val="72"/>
                    <w:spacing w:line="240" w:lineRule="auto"/>
                    <w:ind w:firstLine="420"/>
                    <w:jc w:val="left"/>
                    <w:rPr>
                      <w:rFonts w:ascii="Times New Roman" w:hAnsi="Times New Roman" w:cs="Times New Roman"/>
                      <w:lang w:eastAsia="zh-CN"/>
                    </w:rPr>
                  </w:pPr>
                  <w:r>
                    <w:rPr>
                      <w:rFonts w:hint="eastAsia" w:ascii="Times New Roman" w:hAnsi="Times New Roman" w:cs="Times New Roman"/>
                      <w:lang w:eastAsia="zh-CN"/>
                    </w:rPr>
                    <w:t>新建矿山地质环境治理恢复。新建（在建）矿山要严格落实矿山生态环境准入制度，将安全绿色开采、规范矿产品运输装载、创建绿色矿山作为先置条件。认真编制《矿山地质环境保护与土地复垦方案》，并提出矿山地质环境保护及生态恢复的具体措施。遵循（绿色）矿山建设与环境建设“三同时’制度，做到矿山环境保护设施建设要与矿山建设同时设计、同时施工、同时投入使用。应提出明确的矿地利用目标要求，并按规定缴纳矿山环境治理恢复与土地复垦基金，加强废水循环使用、固体废弃物处置利用，必须明确矿山剥离物的堆放、综合利用措施，提出固体废弃物合理处置措施。</w:t>
                  </w:r>
                </w:p>
              </w:tc>
              <w:tc>
                <w:tcPr>
                  <w:tcW w:w="1332" w:type="pct"/>
                  <w:tcBorders>
                    <w:tl2br w:val="nil"/>
                    <w:tr2bl w:val="nil"/>
                  </w:tcBorders>
                  <w:vAlign w:val="center"/>
                </w:tcPr>
                <w:p w14:paraId="758E606A">
                  <w:pPr>
                    <w:pStyle w:val="72"/>
                    <w:spacing w:line="240" w:lineRule="auto"/>
                    <w:ind w:firstLine="210" w:firstLineChars="100"/>
                    <w:rPr>
                      <w:rFonts w:ascii="Times New Roman" w:hAnsi="Times New Roman" w:cs="Times New Roman"/>
                      <w:lang w:eastAsia="zh-CN"/>
                    </w:rPr>
                  </w:pPr>
                  <w:r>
                    <w:rPr>
                      <w:rFonts w:hint="eastAsia" w:ascii="Times New Roman" w:hAnsi="Times New Roman" w:cs="Times New Roman"/>
                      <w:lang w:eastAsia="zh-CN"/>
                    </w:rPr>
                    <w:t>本项目已编制了矿山地质环境保护与土地复垦方案，在开采过程中及闭矿期对矿山地质环境进行治理恢复及土地复垦。</w:t>
                  </w:r>
                </w:p>
              </w:tc>
              <w:tc>
                <w:tcPr>
                  <w:tcW w:w="471" w:type="pct"/>
                  <w:tcBorders>
                    <w:tl2br w:val="nil"/>
                    <w:tr2bl w:val="nil"/>
                  </w:tcBorders>
                  <w:vAlign w:val="center"/>
                </w:tcPr>
                <w:p w14:paraId="7215B824">
                  <w:pPr>
                    <w:pStyle w:val="72"/>
                    <w:spacing w:line="240" w:lineRule="auto"/>
                    <w:ind w:firstLine="0" w:firstLineChars="0"/>
                    <w:jc w:val="center"/>
                    <w:rPr>
                      <w:rFonts w:ascii="Times New Roman" w:hAnsi="Times New Roman" w:cs="Times New Roman"/>
                      <w:lang w:eastAsia="zh-CN"/>
                    </w:rPr>
                  </w:pPr>
                  <w:r>
                    <w:rPr>
                      <w:rFonts w:hint="eastAsia" w:ascii="Times New Roman" w:hAnsi="Times New Roman" w:cs="Times New Roman"/>
                      <w:lang w:eastAsia="zh-CN"/>
                    </w:rPr>
                    <w:t>符合</w:t>
                  </w:r>
                </w:p>
              </w:tc>
            </w:tr>
          </w:tbl>
          <w:p w14:paraId="10B23902">
            <w:pPr>
              <w:pStyle w:val="46"/>
              <w:spacing w:beforeLines="0" w:afterLines="0" w:line="240" w:lineRule="auto"/>
              <w:ind w:firstLine="0" w:firstLineChars="0"/>
              <w:rPr>
                <w:rFonts w:ascii="Times New Roman"/>
                <w:b/>
                <w:bCs/>
                <w:color w:val="000000" w:themeColor="text1"/>
                <w:sz w:val="24"/>
                <w:szCs w:val="24"/>
                <w14:textFill>
                  <w14:solidFill>
                    <w14:schemeClr w14:val="tx1"/>
                  </w14:solidFill>
                </w14:textFill>
              </w:rPr>
            </w:pPr>
            <w:r>
              <w:rPr>
                <w:rFonts w:ascii="Times New Roman"/>
                <w:b/>
                <w:bCs/>
                <w:color w:val="000000" w:themeColor="text1"/>
                <w:sz w:val="24"/>
                <w:szCs w:val="24"/>
                <w14:textFill>
                  <w14:solidFill>
                    <w14:schemeClr w14:val="tx1"/>
                  </w14:solidFill>
                </w14:textFill>
              </w:rPr>
              <w:t>表1-</w:t>
            </w:r>
            <w:r>
              <w:rPr>
                <w:rFonts w:hint="eastAsia" w:ascii="Times New Roman"/>
                <w:b/>
                <w:bCs/>
                <w:color w:val="000000" w:themeColor="text1"/>
                <w:sz w:val="24"/>
                <w:szCs w:val="24"/>
                <w14:textFill>
                  <w14:solidFill>
                    <w14:schemeClr w14:val="tx1"/>
                  </w14:solidFill>
                </w14:textFill>
              </w:rPr>
              <w:t>5</w:t>
            </w:r>
            <w:r>
              <w:rPr>
                <w:rFonts w:ascii="Times New Roman"/>
                <w:b/>
                <w:bCs/>
                <w:color w:val="000000" w:themeColor="text1"/>
                <w:sz w:val="24"/>
                <w:szCs w:val="24"/>
                <w14:textFill>
                  <w14:solidFill>
                    <w14:schemeClr w14:val="tx1"/>
                  </w14:solidFill>
                </w14:textFill>
              </w:rPr>
              <w:t xml:space="preserve">  与《矿山生态环境保护与污染防治技术政策》（2013试行）</w:t>
            </w:r>
          </w:p>
          <w:p w14:paraId="2041C038">
            <w:pPr>
              <w:pStyle w:val="46"/>
              <w:spacing w:beforeLines="0" w:afterLines="0" w:line="240" w:lineRule="auto"/>
              <w:ind w:firstLine="0" w:firstLineChars="0"/>
              <w:rPr>
                <w:rFonts w:ascii="Times New Roman"/>
                <w:b/>
                <w:bCs/>
                <w:color w:val="000000" w:themeColor="text1"/>
                <w:sz w:val="24"/>
                <w:szCs w:val="24"/>
                <w14:textFill>
                  <w14:solidFill>
                    <w14:schemeClr w14:val="tx1"/>
                  </w14:solidFill>
                </w14:textFill>
              </w:rPr>
            </w:pPr>
            <w:r>
              <w:rPr>
                <w:rFonts w:ascii="Times New Roman"/>
                <w:b/>
                <w:bCs/>
                <w:color w:val="000000" w:themeColor="text1"/>
                <w:sz w:val="24"/>
                <w:szCs w:val="24"/>
                <w14:textFill>
                  <w14:solidFill>
                    <w14:schemeClr w14:val="tx1"/>
                  </w14:solidFill>
                </w14:textFill>
              </w:rPr>
              <w:t>符合性分析</w:t>
            </w:r>
          </w:p>
          <w:tbl>
            <w:tblPr>
              <w:tblStyle w:val="25"/>
              <w:tblW w:w="48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752"/>
              <w:gridCol w:w="2874"/>
              <w:gridCol w:w="2649"/>
              <w:gridCol w:w="1075"/>
            </w:tblGrid>
            <w:tr w14:paraId="6B535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511" w:type="pct"/>
                  <w:shd w:val="clear" w:color="auto" w:fill="FFFFFF" w:themeFill="background1"/>
                  <w:vAlign w:val="center"/>
                </w:tcPr>
                <w:p w14:paraId="1577EA8E">
                  <w:pPr>
                    <w:pStyle w:val="3"/>
                    <w:numPr>
                      <w:ilvl w:val="0"/>
                      <w:numId w:val="0"/>
                    </w:numPr>
                    <w:spacing w:line="240" w:lineRule="auto"/>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序号</w:t>
                  </w:r>
                </w:p>
              </w:tc>
              <w:tc>
                <w:tcPr>
                  <w:tcW w:w="1954" w:type="pct"/>
                  <w:shd w:val="clear" w:color="auto" w:fill="FFFFFF" w:themeFill="background1"/>
                  <w:vAlign w:val="center"/>
                </w:tcPr>
                <w:p w14:paraId="346E04A1">
                  <w:pPr>
                    <w:pStyle w:val="3"/>
                    <w:numPr>
                      <w:ilvl w:val="0"/>
                      <w:numId w:val="0"/>
                    </w:numPr>
                    <w:spacing w:line="240" w:lineRule="auto"/>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政策要求</w:t>
                  </w:r>
                </w:p>
              </w:tc>
              <w:tc>
                <w:tcPr>
                  <w:tcW w:w="1801" w:type="pct"/>
                  <w:shd w:val="clear" w:color="auto" w:fill="FFFFFF" w:themeFill="background1"/>
                  <w:vAlign w:val="center"/>
                </w:tcPr>
                <w:p w14:paraId="7BB4736B">
                  <w:pPr>
                    <w:pStyle w:val="3"/>
                    <w:numPr>
                      <w:ilvl w:val="0"/>
                      <w:numId w:val="0"/>
                    </w:numPr>
                    <w:spacing w:line="240" w:lineRule="auto"/>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项目情况</w:t>
                  </w:r>
                </w:p>
              </w:tc>
              <w:tc>
                <w:tcPr>
                  <w:tcW w:w="731" w:type="pct"/>
                  <w:shd w:val="clear" w:color="auto" w:fill="FFFFFF" w:themeFill="background1"/>
                  <w:vAlign w:val="center"/>
                </w:tcPr>
                <w:p w14:paraId="54BCD564">
                  <w:pPr>
                    <w:pStyle w:val="3"/>
                    <w:numPr>
                      <w:ilvl w:val="0"/>
                      <w:numId w:val="0"/>
                    </w:numPr>
                    <w:spacing w:line="240" w:lineRule="auto"/>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符合性</w:t>
                  </w:r>
                </w:p>
              </w:tc>
            </w:tr>
            <w:tr w14:paraId="419EA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shd w:val="clear" w:color="auto" w:fill="FFFFFF" w:themeFill="background1"/>
                  <w:vAlign w:val="center"/>
                </w:tcPr>
                <w:p w14:paraId="766C10C4">
                  <w:pPr>
                    <w:pStyle w:val="3"/>
                    <w:numPr>
                      <w:ilvl w:val="0"/>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w:t>
                  </w:r>
                </w:p>
              </w:tc>
              <w:tc>
                <w:tcPr>
                  <w:tcW w:w="1954" w:type="pct"/>
                  <w:shd w:val="clear" w:color="auto" w:fill="FFFFFF" w:themeFill="background1"/>
                  <w:vAlign w:val="center"/>
                </w:tcPr>
                <w:p w14:paraId="2ACC364D">
                  <w:pPr>
                    <w:pStyle w:val="3"/>
                    <w:numPr>
                      <w:ilvl w:val="0"/>
                      <w:numId w:val="0"/>
                    </w:numPr>
                    <w:spacing w:line="240" w:lineRule="auto"/>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禁止在依法划定的自然保护区、风景名胜区、森林公园、饮用水水源保护区、文物古迹所在地、地质一级保护区、基本农田保护区等重要生态保护地以及法律法规规定的禁采区域内采矿。禁止在重要道路、航道两侧及重要生态环境敏感目标可视范围内进行对景观破坏明显的露天开采</w:t>
                  </w:r>
                </w:p>
              </w:tc>
              <w:tc>
                <w:tcPr>
                  <w:tcW w:w="1801" w:type="pct"/>
                  <w:shd w:val="clear" w:color="auto" w:fill="FFFFFF" w:themeFill="background1"/>
                  <w:vAlign w:val="center"/>
                </w:tcPr>
                <w:p w14:paraId="774BEEA1">
                  <w:pPr>
                    <w:spacing w:line="240" w:lineRule="auto"/>
                    <w:ind w:firstLine="210" w:firstLineChars="10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本项目不在依法划定的自然保护区、风景名胜区、森林公园、饮用水水源保护区、文物古迹所在地、地质一级保护区、基本农田保护区等重要生态保护地以及法律法规规定的禁采区域范围内。</w:t>
                  </w:r>
                </w:p>
              </w:tc>
              <w:tc>
                <w:tcPr>
                  <w:tcW w:w="731" w:type="pct"/>
                  <w:shd w:val="clear" w:color="auto" w:fill="FFFFFF" w:themeFill="background1"/>
                  <w:vAlign w:val="center"/>
                </w:tcPr>
                <w:p w14:paraId="370E7B58">
                  <w:pPr>
                    <w:pStyle w:val="3"/>
                    <w:numPr>
                      <w:ilvl w:val="0"/>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3F24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shd w:val="clear" w:color="auto" w:fill="FFFFFF" w:themeFill="background1"/>
                  <w:vAlign w:val="center"/>
                </w:tcPr>
                <w:p w14:paraId="7E39507E">
                  <w:pPr>
                    <w:pStyle w:val="3"/>
                    <w:numPr>
                      <w:ilvl w:val="0"/>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w:t>
                  </w:r>
                </w:p>
              </w:tc>
              <w:tc>
                <w:tcPr>
                  <w:tcW w:w="1954" w:type="pct"/>
                  <w:shd w:val="clear" w:color="auto" w:fill="FFFFFF" w:themeFill="background1"/>
                  <w:vAlign w:val="center"/>
                </w:tcPr>
                <w:p w14:paraId="77D1EED3">
                  <w:pPr>
                    <w:pStyle w:val="3"/>
                    <w:numPr>
                      <w:ilvl w:val="0"/>
                      <w:numId w:val="0"/>
                    </w:numPr>
                    <w:spacing w:line="240" w:lineRule="auto"/>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矿产资源开发活动应符合国家和区域主体功能区规划、生态功能区划、生态环境保护规划的要求，采取有效预防和保护措施。避免或减轻矿产资源开发活动造成的生态破坏和环境污染</w:t>
                  </w:r>
                </w:p>
              </w:tc>
              <w:tc>
                <w:tcPr>
                  <w:tcW w:w="1801" w:type="pct"/>
                  <w:shd w:val="clear" w:color="auto" w:fill="FFFFFF" w:themeFill="background1"/>
                  <w:vAlign w:val="center"/>
                </w:tcPr>
                <w:p w14:paraId="4BC41B00">
                  <w:pPr>
                    <w:pStyle w:val="3"/>
                    <w:numPr>
                      <w:ilvl w:val="0"/>
                      <w:numId w:val="0"/>
                    </w:numPr>
                    <w:spacing w:line="240" w:lineRule="auto"/>
                    <w:jc w:val="left"/>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项目</w:t>
                  </w:r>
                  <w:r>
                    <w:rPr>
                      <w:rFonts w:hint="eastAsia" w:ascii="Times New Roman" w:hAnsi="Times New Roman"/>
                      <w:color w:val="000000" w:themeColor="text1"/>
                      <w:sz w:val="21"/>
                      <w:szCs w:val="21"/>
                      <w14:textFill>
                        <w14:solidFill>
                          <w14:schemeClr w14:val="tx1"/>
                        </w14:solidFill>
                      </w14:textFill>
                    </w:rPr>
                    <w:t>建设</w:t>
                  </w:r>
                  <w:r>
                    <w:rPr>
                      <w:rFonts w:ascii="Times New Roman" w:hAnsi="Times New Roman"/>
                      <w:color w:val="000000" w:themeColor="text1"/>
                      <w:sz w:val="21"/>
                      <w:szCs w:val="21"/>
                      <w14:textFill>
                        <w14:solidFill>
                          <w14:schemeClr w14:val="tx1"/>
                        </w14:solidFill>
                      </w14:textFill>
                    </w:rPr>
                    <w:t>符合当地的环境功能区规划，运营期均采取有效的污染防治措施，同时加强生态恢复治理措施。采用“边开采、边恢复”的方式，减轻开采活动中的生态影响</w:t>
                  </w:r>
                </w:p>
              </w:tc>
              <w:tc>
                <w:tcPr>
                  <w:tcW w:w="731" w:type="pct"/>
                  <w:shd w:val="clear" w:color="auto" w:fill="FFFFFF" w:themeFill="background1"/>
                  <w:vAlign w:val="center"/>
                </w:tcPr>
                <w:p w14:paraId="3D4C9CB3">
                  <w:pPr>
                    <w:pStyle w:val="3"/>
                    <w:numPr>
                      <w:ilvl w:val="0"/>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769C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shd w:val="clear" w:color="auto" w:fill="FFFFFF" w:themeFill="background1"/>
                  <w:vAlign w:val="center"/>
                </w:tcPr>
                <w:p w14:paraId="7285D664">
                  <w:pPr>
                    <w:pStyle w:val="3"/>
                    <w:numPr>
                      <w:ilvl w:val="0"/>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3</w:t>
                  </w:r>
                </w:p>
              </w:tc>
              <w:tc>
                <w:tcPr>
                  <w:tcW w:w="1954" w:type="pct"/>
                  <w:shd w:val="clear" w:color="auto" w:fill="FFFFFF" w:themeFill="background1"/>
                  <w:vAlign w:val="center"/>
                </w:tcPr>
                <w:p w14:paraId="137EBEF4">
                  <w:pPr>
                    <w:widowControl/>
                    <w:spacing w:line="240" w:lineRule="auto"/>
                    <w:ind w:firstLine="0" w:firstLineChars="0"/>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坚持“预防为主、防治结合、过程控制”的原则，将矿山生态环境保护与恢复治理贯穿矿产资源开采的全过程。根据矿山生态环境保护与恢复治理的重点任务，合理确定矿山生态保护与恢复治理分区、优化矿区生产与生活空间格局。采用新技术、新方法、新工艺提高矿山生态环境保护和恢复治理水平</w:t>
                  </w:r>
                </w:p>
              </w:tc>
              <w:tc>
                <w:tcPr>
                  <w:tcW w:w="1801" w:type="pct"/>
                  <w:vMerge w:val="restart"/>
                  <w:shd w:val="clear" w:color="auto" w:fill="FFFFFF" w:themeFill="background1"/>
                  <w:vAlign w:val="center"/>
                </w:tcPr>
                <w:p w14:paraId="00705D9A">
                  <w:pPr>
                    <w:pStyle w:val="3"/>
                    <w:numPr>
                      <w:ilvl w:val="0"/>
                      <w:numId w:val="0"/>
                    </w:numPr>
                    <w:spacing w:line="240" w:lineRule="auto"/>
                    <w:ind w:firstLine="105" w:firstLineChars="5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项目已编制《矿山地质环境保护与土地复垦方案》《生态环境治理方案》</w:t>
                  </w:r>
                  <w:r>
                    <w:rPr>
                      <w:rFonts w:hint="eastAsia" w:ascii="Times New Roman" w:hAnsi="Times New Roman"/>
                      <w:color w:val="000000" w:themeColor="text1"/>
                      <w:sz w:val="21"/>
                      <w:szCs w:val="21"/>
                      <w:lang w:eastAsia="zh-CN"/>
                      <w14:textFill>
                        <w14:solidFill>
                          <w14:schemeClr w14:val="tx1"/>
                        </w14:solidFill>
                      </w14:textFill>
                    </w:rPr>
                    <w:t>；企业</w:t>
                  </w:r>
                  <w:r>
                    <w:rPr>
                      <w:rFonts w:ascii="Times New Roman" w:hAnsi="Times New Roman"/>
                      <w:color w:val="000000" w:themeColor="text1"/>
                      <w:sz w:val="21"/>
                      <w:szCs w:val="21"/>
                      <w14:textFill>
                        <w14:solidFill>
                          <w14:schemeClr w14:val="tx1"/>
                        </w14:solidFill>
                      </w14:textFill>
                    </w:rPr>
                    <w:t>《水土保持方案》</w:t>
                  </w:r>
                  <w:r>
                    <w:rPr>
                      <w:rFonts w:hint="eastAsia" w:ascii="Times New Roman" w:hAnsi="Times New Roman"/>
                      <w:color w:val="000000" w:themeColor="text1"/>
                      <w:sz w:val="21"/>
                      <w:szCs w:val="21"/>
                      <w14:textFill>
                        <w14:solidFill>
                          <w14:schemeClr w14:val="tx1"/>
                        </w14:solidFill>
                      </w14:textFill>
                    </w:rPr>
                    <w:t>正在编制中</w:t>
                  </w:r>
                  <w:r>
                    <w:rPr>
                      <w:rFonts w:ascii="Times New Roman" w:hAnsi="Times New Roman"/>
                      <w:color w:val="000000" w:themeColor="text1"/>
                      <w:sz w:val="21"/>
                      <w:szCs w:val="21"/>
                      <w14:textFill>
                        <w14:solidFill>
                          <w14:schemeClr w14:val="tx1"/>
                        </w14:solidFill>
                      </w14:textFill>
                    </w:rPr>
                    <w:t>，建设单位运营过程中将按照相关土地复垦及生态恢复措施实施</w:t>
                  </w:r>
                </w:p>
              </w:tc>
              <w:tc>
                <w:tcPr>
                  <w:tcW w:w="731" w:type="pct"/>
                  <w:shd w:val="clear" w:color="auto" w:fill="FFFFFF" w:themeFill="background1"/>
                  <w:vAlign w:val="center"/>
                </w:tcPr>
                <w:p w14:paraId="71C390F1">
                  <w:pPr>
                    <w:pStyle w:val="3"/>
                    <w:numPr>
                      <w:ilvl w:val="0"/>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299F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shd w:val="clear" w:color="auto" w:fill="FFFFFF" w:themeFill="background1"/>
                  <w:vAlign w:val="center"/>
                </w:tcPr>
                <w:p w14:paraId="6A819E84">
                  <w:pPr>
                    <w:pStyle w:val="3"/>
                    <w:numPr>
                      <w:ilvl w:val="0"/>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4</w:t>
                  </w:r>
                </w:p>
              </w:tc>
              <w:tc>
                <w:tcPr>
                  <w:tcW w:w="1954" w:type="pct"/>
                  <w:shd w:val="clear" w:color="auto" w:fill="FFFFFF" w:themeFill="background1"/>
                  <w:vAlign w:val="center"/>
                </w:tcPr>
                <w:p w14:paraId="09AB2B29">
                  <w:pPr>
                    <w:widowControl/>
                    <w:spacing w:line="240" w:lineRule="auto"/>
                    <w:ind w:firstLine="0" w:firstLineChars="0"/>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所有矿山企业均应对照本标准各项要求，编制实施矿山生态环境保护与恢复治理方案</w:t>
                  </w:r>
                </w:p>
              </w:tc>
              <w:tc>
                <w:tcPr>
                  <w:tcW w:w="1801" w:type="pct"/>
                  <w:vMerge w:val="continue"/>
                  <w:shd w:val="clear" w:color="auto" w:fill="FFFFFF" w:themeFill="background1"/>
                  <w:vAlign w:val="center"/>
                </w:tcPr>
                <w:p w14:paraId="06A38B61">
                  <w:pPr>
                    <w:pStyle w:val="3"/>
                    <w:numPr>
                      <w:ilvl w:val="0"/>
                      <w:numId w:val="0"/>
                    </w:numPr>
                    <w:spacing w:line="240" w:lineRule="auto"/>
                    <w:rPr>
                      <w:rFonts w:ascii="Times New Roman" w:hAnsi="Times New Roman"/>
                      <w:color w:val="000000" w:themeColor="text1"/>
                      <w:sz w:val="21"/>
                      <w:szCs w:val="21"/>
                      <w14:textFill>
                        <w14:solidFill>
                          <w14:schemeClr w14:val="tx1"/>
                        </w14:solidFill>
                      </w14:textFill>
                    </w:rPr>
                  </w:pPr>
                </w:p>
              </w:tc>
              <w:tc>
                <w:tcPr>
                  <w:tcW w:w="731" w:type="pct"/>
                  <w:shd w:val="clear" w:color="auto" w:fill="FFFFFF" w:themeFill="background1"/>
                  <w:vAlign w:val="center"/>
                </w:tcPr>
                <w:p w14:paraId="4B26C6A7">
                  <w:pPr>
                    <w:pStyle w:val="3"/>
                    <w:numPr>
                      <w:ilvl w:val="0"/>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63957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shd w:val="clear" w:color="auto" w:fill="FFFFFF" w:themeFill="background1"/>
                  <w:vAlign w:val="center"/>
                </w:tcPr>
                <w:p w14:paraId="74856E97">
                  <w:pPr>
                    <w:pStyle w:val="3"/>
                    <w:numPr>
                      <w:ilvl w:val="0"/>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5</w:t>
                  </w:r>
                </w:p>
              </w:tc>
              <w:tc>
                <w:tcPr>
                  <w:tcW w:w="1954" w:type="pct"/>
                  <w:shd w:val="clear" w:color="auto" w:fill="FFFFFF" w:themeFill="background1"/>
                  <w:vAlign w:val="center"/>
                </w:tcPr>
                <w:p w14:paraId="3DF09BC7">
                  <w:pPr>
                    <w:widowControl/>
                    <w:spacing w:line="240" w:lineRule="auto"/>
                    <w:ind w:firstLine="0" w:firstLineChars="0"/>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恢复治理后的各类场地应实现：安全稳定，对人类和动植物不造成威胁；对周边环境不产生污染；与周边自然环境和景观相协调；恢复土地基本功能，因地制宜实现土地可持续利用；区域整体生态功能得到保护和恢复</w:t>
                  </w:r>
                </w:p>
              </w:tc>
              <w:tc>
                <w:tcPr>
                  <w:tcW w:w="1801" w:type="pct"/>
                  <w:shd w:val="clear" w:color="auto" w:fill="FFFFFF" w:themeFill="background1"/>
                  <w:vAlign w:val="center"/>
                </w:tcPr>
                <w:p w14:paraId="5295041F">
                  <w:pPr>
                    <w:pStyle w:val="3"/>
                    <w:numPr>
                      <w:ilvl w:val="0"/>
                      <w:numId w:val="0"/>
                    </w:numPr>
                    <w:spacing w:line="240" w:lineRule="auto"/>
                    <w:ind w:firstLine="210" w:firstLineChars="100"/>
                    <w:jc w:val="left"/>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项目将按照本环评报告的污染治理措施对项目产生的污染物进行治理，同时按照矿山地质环境保护与土地复垦方案做好矿山的生态保护与恢复。制定方案确保恢复治理后的场地应满足相关要求，恢复土地使用功能</w:t>
                  </w:r>
                </w:p>
              </w:tc>
              <w:tc>
                <w:tcPr>
                  <w:tcW w:w="731" w:type="pct"/>
                  <w:shd w:val="clear" w:color="auto" w:fill="FFFFFF" w:themeFill="background1"/>
                  <w:vAlign w:val="center"/>
                </w:tcPr>
                <w:p w14:paraId="39CC0981">
                  <w:pPr>
                    <w:pStyle w:val="3"/>
                    <w:numPr>
                      <w:ilvl w:val="0"/>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bl>
          <w:p w14:paraId="78144B98">
            <w:pPr>
              <w:pStyle w:val="46"/>
              <w:spacing w:before="120" w:beforeLines="50" w:afterLines="0" w:line="240" w:lineRule="auto"/>
              <w:ind w:firstLine="0" w:firstLineChars="0"/>
              <w:rPr>
                <w:rFonts w:ascii="Times New Roman"/>
                <w:b/>
                <w:bCs/>
                <w:color w:val="000000" w:themeColor="text1"/>
                <w:sz w:val="24"/>
                <w:szCs w:val="24"/>
                <w14:textFill>
                  <w14:solidFill>
                    <w14:schemeClr w14:val="tx1"/>
                  </w14:solidFill>
                </w14:textFill>
              </w:rPr>
            </w:pPr>
            <w:r>
              <w:rPr>
                <w:rFonts w:ascii="Times New Roman"/>
                <w:b/>
                <w:bCs/>
                <w:color w:val="000000" w:themeColor="text1"/>
                <w:sz w:val="24"/>
                <w:szCs w:val="24"/>
                <w14:textFill>
                  <w14:solidFill>
                    <w14:schemeClr w14:val="tx1"/>
                  </w14:solidFill>
                </w14:textFill>
              </w:rPr>
              <w:t>表1-</w:t>
            </w:r>
            <w:r>
              <w:rPr>
                <w:rFonts w:hint="eastAsia" w:ascii="Times New Roman"/>
                <w:b/>
                <w:bCs/>
                <w:color w:val="000000" w:themeColor="text1"/>
                <w:sz w:val="24"/>
                <w:szCs w:val="24"/>
                <w14:textFill>
                  <w14:solidFill>
                    <w14:schemeClr w14:val="tx1"/>
                  </w14:solidFill>
                </w14:textFill>
              </w:rPr>
              <w:t>6</w:t>
            </w:r>
            <w:r>
              <w:rPr>
                <w:rFonts w:ascii="Times New Roman"/>
                <w:b/>
                <w:bCs/>
                <w:color w:val="000000" w:themeColor="text1"/>
                <w:sz w:val="24"/>
                <w:szCs w:val="24"/>
                <w14:textFill>
                  <w14:solidFill>
                    <w14:schemeClr w14:val="tx1"/>
                  </w14:solidFill>
                </w14:textFill>
              </w:rPr>
              <w:t xml:space="preserve">  与《陕西省“十四五”生态环境保护规划》符合性分析</w:t>
            </w:r>
          </w:p>
          <w:tbl>
            <w:tblPr>
              <w:tblStyle w:val="25"/>
              <w:tblW w:w="48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3548"/>
              <w:gridCol w:w="2783"/>
              <w:gridCol w:w="1019"/>
            </w:tblGrid>
            <w:tr w14:paraId="3A47B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413" w:type="pct"/>
                  <w:shd w:val="clear" w:color="auto" w:fill="FFFFFF" w:themeFill="background1"/>
                  <w:vAlign w:val="center"/>
                </w:tcPr>
                <w:p w14:paraId="3DA4F7BC">
                  <w:pPr>
                    <w:pStyle w:val="3"/>
                    <w:numPr>
                      <w:ilvl w:val="0"/>
                      <w:numId w:val="0"/>
                    </w:numPr>
                    <w:spacing w:line="240" w:lineRule="auto"/>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政策要求</w:t>
                  </w:r>
                </w:p>
              </w:tc>
              <w:tc>
                <w:tcPr>
                  <w:tcW w:w="1893" w:type="pct"/>
                  <w:shd w:val="clear" w:color="auto" w:fill="FFFFFF" w:themeFill="background1"/>
                  <w:vAlign w:val="center"/>
                </w:tcPr>
                <w:p w14:paraId="7CC0C853">
                  <w:pPr>
                    <w:pStyle w:val="3"/>
                    <w:numPr>
                      <w:ilvl w:val="0"/>
                      <w:numId w:val="0"/>
                    </w:numPr>
                    <w:spacing w:line="240" w:lineRule="auto"/>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本项目情况</w:t>
                  </w:r>
                </w:p>
              </w:tc>
              <w:tc>
                <w:tcPr>
                  <w:tcW w:w="693" w:type="pct"/>
                  <w:shd w:val="clear" w:color="auto" w:fill="FFFFFF" w:themeFill="background1"/>
                  <w:vAlign w:val="center"/>
                </w:tcPr>
                <w:p w14:paraId="0AD220FA">
                  <w:pPr>
                    <w:pStyle w:val="3"/>
                    <w:numPr>
                      <w:ilvl w:val="0"/>
                      <w:numId w:val="0"/>
                    </w:numPr>
                    <w:spacing w:line="240" w:lineRule="auto"/>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符合性</w:t>
                  </w:r>
                </w:p>
              </w:tc>
            </w:tr>
            <w:tr w14:paraId="67CDF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413" w:type="pct"/>
                  <w:shd w:val="clear" w:color="auto" w:fill="FFFFFF" w:themeFill="background1"/>
                  <w:vAlign w:val="center"/>
                </w:tcPr>
                <w:p w14:paraId="6D512C7D">
                  <w:pPr>
                    <w:pStyle w:val="3"/>
                    <w:numPr>
                      <w:ilvl w:val="0"/>
                      <w:numId w:val="0"/>
                    </w:numPr>
                    <w:spacing w:line="240" w:lineRule="auto"/>
                    <w:jc w:val="left"/>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推进绿色矿山建设”中提出：全面调查评价历史遗留矿山生态破坏与污染状况，督促矿山企业依法依规编制矿山地质环境保护与土地复垦方案，制定落实露天矿山生态修复计划。重点实施矿区地质环境治理、地形地貌重塑、植被重建等生态修复和土壤、水体污染治理工程，按照“谁破坏谁修复”、“谁修复谁受益”的原则, 盘活矿区自然资源，探索利用市场化方式推进矿山生态修复，开展矿区污染治理和生态景观修复试点示范。落实绿色矿山标准和评价制度，加快神府、榆神、黄陵、渭北、彬长等矿产资源集中开采区绿色矿山建设</w:t>
                  </w:r>
                </w:p>
              </w:tc>
              <w:tc>
                <w:tcPr>
                  <w:tcW w:w="1893" w:type="pct"/>
                  <w:shd w:val="clear" w:color="auto" w:fill="FFFFFF" w:themeFill="background1"/>
                  <w:vAlign w:val="center"/>
                </w:tcPr>
                <w:p w14:paraId="5E24A87A">
                  <w:pPr>
                    <w:pStyle w:val="3"/>
                    <w:numPr>
                      <w:ilvl w:val="0"/>
                      <w:numId w:val="0"/>
                    </w:numPr>
                    <w:wordWrap w:val="0"/>
                    <w:spacing w:line="240" w:lineRule="auto"/>
                    <w:ind w:firstLine="210" w:firstLineChars="100"/>
                    <w:jc w:val="left"/>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本项目建设严格按照“建设资源节约型、环境友好型社会”和可持续发展的要求、《关于加快建设绿色矿山的实施意见》国土资规〔2017〕4号以及《砂石行业行业绿色矿山建设规范（DZ/T 0316-2018）》，项目按照“边开采、边恢复”的原则，及时治理恢复矿山地质环境，复垦矿山占用土地和损毁土地</w:t>
                  </w:r>
                </w:p>
              </w:tc>
              <w:tc>
                <w:tcPr>
                  <w:tcW w:w="693" w:type="pct"/>
                  <w:shd w:val="clear" w:color="auto" w:fill="FFFFFF" w:themeFill="background1"/>
                  <w:vAlign w:val="center"/>
                </w:tcPr>
                <w:p w14:paraId="3F602DE8">
                  <w:pPr>
                    <w:pStyle w:val="3"/>
                    <w:numPr>
                      <w:ilvl w:val="0"/>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bl>
          <w:p w14:paraId="62CD9A99">
            <w:pPr>
              <w:pStyle w:val="46"/>
              <w:spacing w:before="120" w:beforeLines="50" w:afterLines="0" w:line="240" w:lineRule="auto"/>
              <w:ind w:firstLine="0" w:firstLineChars="0"/>
              <w:rPr>
                <w:rFonts w:ascii="Times New Roman"/>
                <w:b/>
                <w:bCs/>
                <w:color w:val="000000" w:themeColor="text1"/>
                <w:sz w:val="24"/>
                <w:szCs w:val="24"/>
                <w14:textFill>
                  <w14:solidFill>
                    <w14:schemeClr w14:val="tx1"/>
                  </w14:solidFill>
                </w14:textFill>
              </w:rPr>
            </w:pPr>
            <w:r>
              <w:rPr>
                <w:rFonts w:ascii="Times New Roman"/>
                <w:b/>
                <w:bCs/>
                <w:color w:val="000000" w:themeColor="text1"/>
                <w:sz w:val="24"/>
                <w:szCs w:val="24"/>
                <w14:textFill>
                  <w14:solidFill>
                    <w14:schemeClr w14:val="tx1"/>
                  </w14:solidFill>
                </w14:textFill>
              </w:rPr>
              <w:t>表1-</w:t>
            </w:r>
            <w:r>
              <w:rPr>
                <w:rFonts w:hint="eastAsia" w:ascii="Times New Roman"/>
                <w:b/>
                <w:bCs/>
                <w:color w:val="000000" w:themeColor="text1"/>
                <w:sz w:val="24"/>
                <w:szCs w:val="24"/>
                <w14:textFill>
                  <w14:solidFill>
                    <w14:schemeClr w14:val="tx1"/>
                  </w14:solidFill>
                </w14:textFill>
              </w:rPr>
              <w:t>7</w:t>
            </w:r>
            <w:r>
              <w:rPr>
                <w:rFonts w:ascii="Times New Roman"/>
                <w:b/>
                <w:bCs/>
                <w:color w:val="000000" w:themeColor="text1"/>
                <w:sz w:val="24"/>
                <w:szCs w:val="24"/>
                <w14:textFill>
                  <w14:solidFill>
                    <w14:schemeClr w14:val="tx1"/>
                  </w14:solidFill>
                </w14:textFill>
              </w:rPr>
              <w:t xml:space="preserve">  与《砂石行业绿色矿山建设规范（DZ/T0316-2018）》符合性分析</w:t>
            </w:r>
          </w:p>
          <w:tbl>
            <w:tblPr>
              <w:tblStyle w:val="25"/>
              <w:tblW w:w="48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561"/>
              <w:gridCol w:w="3265"/>
              <w:gridCol w:w="2603"/>
              <w:gridCol w:w="921"/>
            </w:tblGrid>
            <w:tr w14:paraId="0866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382" w:type="pct"/>
                  <w:shd w:val="clear" w:color="auto" w:fill="FFFFFF" w:themeFill="background1"/>
                  <w:vAlign w:val="center"/>
                </w:tcPr>
                <w:p w14:paraId="04B0C08B">
                  <w:pPr>
                    <w:pStyle w:val="3"/>
                    <w:numPr>
                      <w:ilvl w:val="1"/>
                      <w:numId w:val="0"/>
                    </w:numPr>
                    <w:spacing w:line="240" w:lineRule="auto"/>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序号</w:t>
                  </w:r>
                </w:p>
              </w:tc>
              <w:tc>
                <w:tcPr>
                  <w:tcW w:w="2220" w:type="pct"/>
                  <w:shd w:val="clear" w:color="auto" w:fill="FFFFFF" w:themeFill="background1"/>
                  <w:vAlign w:val="center"/>
                </w:tcPr>
                <w:p w14:paraId="0BD749A0">
                  <w:pPr>
                    <w:pStyle w:val="3"/>
                    <w:numPr>
                      <w:ilvl w:val="1"/>
                      <w:numId w:val="0"/>
                    </w:numPr>
                    <w:spacing w:line="240" w:lineRule="auto"/>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政策要求</w:t>
                  </w:r>
                </w:p>
              </w:tc>
              <w:tc>
                <w:tcPr>
                  <w:tcW w:w="1770" w:type="pct"/>
                  <w:shd w:val="clear" w:color="auto" w:fill="FFFFFF" w:themeFill="background1"/>
                  <w:vAlign w:val="center"/>
                </w:tcPr>
                <w:p w14:paraId="5D302A48">
                  <w:pPr>
                    <w:pStyle w:val="3"/>
                    <w:numPr>
                      <w:ilvl w:val="1"/>
                      <w:numId w:val="0"/>
                    </w:numPr>
                    <w:spacing w:line="240" w:lineRule="auto"/>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本项目情况</w:t>
                  </w:r>
                </w:p>
              </w:tc>
              <w:tc>
                <w:tcPr>
                  <w:tcW w:w="626" w:type="pct"/>
                  <w:shd w:val="clear" w:color="auto" w:fill="FFFFFF" w:themeFill="background1"/>
                  <w:vAlign w:val="center"/>
                </w:tcPr>
                <w:p w14:paraId="1BD2FDFA">
                  <w:pPr>
                    <w:pStyle w:val="3"/>
                    <w:numPr>
                      <w:ilvl w:val="1"/>
                      <w:numId w:val="0"/>
                    </w:numPr>
                    <w:spacing w:line="240" w:lineRule="auto"/>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符合性</w:t>
                  </w:r>
                </w:p>
              </w:tc>
            </w:tr>
            <w:tr w14:paraId="2A82D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shd w:val="clear" w:color="auto" w:fill="FFFFFF" w:themeFill="background1"/>
                  <w:vAlign w:val="center"/>
                </w:tcPr>
                <w:p w14:paraId="4E7DC21A">
                  <w:pPr>
                    <w:pStyle w:val="3"/>
                    <w:numPr>
                      <w:ilvl w:val="1"/>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w:t>
                  </w:r>
                </w:p>
              </w:tc>
              <w:tc>
                <w:tcPr>
                  <w:tcW w:w="2220" w:type="pct"/>
                  <w:shd w:val="clear" w:color="auto" w:fill="FFFFFF" w:themeFill="background1"/>
                  <w:vAlign w:val="center"/>
                </w:tcPr>
                <w:p w14:paraId="498C3277">
                  <w:pPr>
                    <w:spacing w:line="240" w:lineRule="auto"/>
                    <w:ind w:firstLine="0" w:firstLineChars="0"/>
                    <w:rPr>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矿区环境：</w:t>
                  </w:r>
                  <w:r>
                    <w:rPr>
                      <w:color w:val="000000" w:themeColor="text1"/>
                      <w:sz w:val="21"/>
                      <w:szCs w:val="21"/>
                      <w14:textFill>
                        <w14:solidFill>
                          <w14:schemeClr w14:val="tx1"/>
                        </w14:solidFill>
                      </w14:textFill>
                    </w:rPr>
                    <w:t>5.2.3矿山生产过程中应采取喷雾、喷洒水或生物纳膜、加装除尘设备等措施处置粉尘，工作场所粉尘浓度应符合GBZ2.1-2007的规定。应对输送系统、生产线、料库等采取有效措施进行抑尘；做好车辆保洁，车辆驶离矿区必须冲洗，严禁运料遗撒和带泥上路，保持矿区及周边环境卫生。5.2.4应采用合理有效的技术措施对高噪音设备进行降噪处理，工作场所噪声限值应符合GBZ2.2-2007的要求，工业企业厂界噪声排放限值应符合GB12348的要求</w:t>
                  </w:r>
                </w:p>
              </w:tc>
              <w:tc>
                <w:tcPr>
                  <w:tcW w:w="1770" w:type="pct"/>
                  <w:shd w:val="clear" w:color="auto" w:fill="FFFFFF" w:themeFill="background1"/>
                  <w:vAlign w:val="center"/>
                </w:tcPr>
                <w:p w14:paraId="2278E2F6">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①项目采矿区和运输道路采用洒水抑尘。</w:t>
                  </w:r>
                </w:p>
                <w:p w14:paraId="12A7C825">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②进出车辆必须清洗，运输过程采用篷布遮盖，防止遗散。</w:t>
                  </w:r>
                </w:p>
                <w:p w14:paraId="49B5DF93">
                  <w:pPr>
                    <w:wordWrap w:val="0"/>
                    <w:spacing w:line="240" w:lineRule="auto"/>
                    <w:ind w:firstLine="0" w:firstLineChars="0"/>
                    <w:rPr>
                      <w:rFonts w:hint="eastAsia" w:eastAsia="宋体"/>
                      <w:color w:val="000000" w:themeColor="text1"/>
                      <w:sz w:val="21"/>
                      <w:szCs w:val="21"/>
                      <w:lang w:eastAsia="zh-CN"/>
                      <w14:textFill>
                        <w14:solidFill>
                          <w14:schemeClr w14:val="tx1"/>
                        </w14:solidFill>
                      </w14:textFill>
                    </w:rPr>
                  </w:pPr>
                  <w:r>
                    <w:rPr>
                      <w:color w:val="000000" w:themeColor="text1"/>
                      <w:sz w:val="21"/>
                      <w:szCs w:val="21"/>
                      <w14:textFill>
                        <w14:solidFill>
                          <w14:schemeClr w14:val="tx1"/>
                        </w14:solidFill>
                      </w14:textFill>
                    </w:rPr>
                    <w:t>③</w:t>
                  </w:r>
                  <w:r>
                    <w:rPr>
                      <w:rFonts w:hint="eastAsia"/>
                      <w:color w:val="000000" w:themeColor="text1"/>
                      <w:sz w:val="21"/>
                      <w:szCs w:val="21"/>
                      <w14:textFill>
                        <w14:solidFill>
                          <w14:schemeClr w14:val="tx1"/>
                        </w14:solidFill>
                      </w14:textFill>
                    </w:rPr>
                    <w:t>采矿区</w:t>
                  </w:r>
                  <w:r>
                    <w:rPr>
                      <w:color w:val="000000" w:themeColor="text1"/>
                      <w:sz w:val="21"/>
                      <w:szCs w:val="21"/>
                      <w14:textFill>
                        <w14:solidFill>
                          <w14:schemeClr w14:val="tx1"/>
                        </w14:solidFill>
                      </w14:textFill>
                    </w:rPr>
                    <w:t>采用低噪声设备</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采矿区厂界噪声满足《工业企业厂界环境噪声排放标准》（GB</w:t>
                  </w:r>
                  <w:r>
                    <w:rPr>
                      <w:rFonts w:hint="eastAsia"/>
                      <w:color w:val="000000" w:themeColor="text1"/>
                      <w:sz w:val="21"/>
                      <w:szCs w:val="21"/>
                      <w:lang w:val="en-US" w:eastAsia="zh-CN"/>
                      <w14:textFill>
                        <w14:solidFill>
                          <w14:schemeClr w14:val="tx1"/>
                        </w14:solidFill>
                      </w14:textFill>
                    </w:rPr>
                    <w:t>12348</w:t>
                  </w:r>
                  <w:r>
                    <w:rPr>
                      <w:color w:val="000000" w:themeColor="text1"/>
                      <w:sz w:val="21"/>
                      <w:szCs w:val="21"/>
                      <w14:textFill>
                        <w14:solidFill>
                          <w14:schemeClr w14:val="tx1"/>
                        </w14:solidFill>
                      </w14:textFill>
                    </w:rPr>
                    <w:t>-2008）标准</w:t>
                  </w:r>
                  <w:r>
                    <w:rPr>
                      <w:rFonts w:hint="eastAsia"/>
                      <w:color w:val="000000" w:themeColor="text1"/>
                      <w:sz w:val="21"/>
                      <w:szCs w:val="21"/>
                      <w:lang w:eastAsia="zh-CN"/>
                      <w14:textFill>
                        <w14:solidFill>
                          <w14:schemeClr w14:val="tx1"/>
                        </w14:solidFill>
                      </w14:textFill>
                    </w:rPr>
                    <w:t>。</w:t>
                  </w:r>
                </w:p>
              </w:tc>
              <w:tc>
                <w:tcPr>
                  <w:tcW w:w="626" w:type="pct"/>
                  <w:shd w:val="clear" w:color="auto" w:fill="FFFFFF" w:themeFill="background1"/>
                  <w:vAlign w:val="center"/>
                </w:tcPr>
                <w:p w14:paraId="614EE3B7">
                  <w:pPr>
                    <w:pStyle w:val="3"/>
                    <w:numPr>
                      <w:ilvl w:val="1"/>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68E12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shd w:val="clear" w:color="auto" w:fill="FFFFFF" w:themeFill="background1"/>
                  <w:vAlign w:val="center"/>
                </w:tcPr>
                <w:p w14:paraId="779CA251">
                  <w:pPr>
                    <w:pStyle w:val="3"/>
                    <w:numPr>
                      <w:ilvl w:val="1"/>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w:t>
                  </w:r>
                </w:p>
              </w:tc>
              <w:tc>
                <w:tcPr>
                  <w:tcW w:w="2220" w:type="pct"/>
                  <w:shd w:val="clear" w:color="auto" w:fill="FFFFFF" w:themeFill="background1"/>
                  <w:vAlign w:val="center"/>
                </w:tcPr>
                <w:p w14:paraId="4F0BEF64">
                  <w:pPr>
                    <w:spacing w:line="240" w:lineRule="auto"/>
                    <w:ind w:firstLine="0" w:firstLineChars="0"/>
                    <w:rPr>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资源开采方式：</w:t>
                  </w:r>
                  <w:r>
                    <w:rPr>
                      <w:color w:val="000000" w:themeColor="text1"/>
                      <w:sz w:val="21"/>
                      <w:szCs w:val="21"/>
                      <w14:textFill>
                        <w14:solidFill>
                          <w14:schemeClr w14:val="tx1"/>
                        </w14:solidFill>
                      </w14:textFill>
                    </w:rPr>
                    <w:t>6.1.2采用先进的工艺技术与装备，做到绿色开采、绿色生产、绿色存贮、绿色运输。</w:t>
                  </w:r>
                </w:p>
                <w:p w14:paraId="17EBB3CF">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6.1.3应贯彻“边开采、边恢复”的原则，及时治理恢复矿山地质环境，复垦矿山占用土地和损毁土地。治理率和复垦率应达到矿山地质环境保护与土地复垦方案的要求</w:t>
                  </w:r>
                </w:p>
              </w:tc>
              <w:tc>
                <w:tcPr>
                  <w:tcW w:w="1770" w:type="pct"/>
                  <w:shd w:val="clear" w:color="auto" w:fill="FFFFFF" w:themeFill="background1"/>
                  <w:vAlign w:val="center"/>
                </w:tcPr>
                <w:p w14:paraId="485DD5EE">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①根据《矿产资源节约与综合利用鼓励、限制和淘汰技术目录》（修订版），本项目矿山开采工艺不属于落后的、淘汰的、破坏和浪费矿产资源等技术和工艺；</w:t>
                  </w:r>
                </w:p>
                <w:p w14:paraId="52E4DB1C">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②项目采用“边开采、边恢复”的开采方式，及时进行矿山复垦，运营期严格按照《矿山地质环境保护与土地复垦方案》实施，目前该方案已取得审查意见</w:t>
                  </w:r>
                </w:p>
              </w:tc>
              <w:tc>
                <w:tcPr>
                  <w:tcW w:w="626" w:type="pct"/>
                  <w:shd w:val="clear" w:color="auto" w:fill="FFFFFF" w:themeFill="background1"/>
                  <w:vAlign w:val="center"/>
                </w:tcPr>
                <w:p w14:paraId="30B69E3C">
                  <w:pPr>
                    <w:pStyle w:val="3"/>
                    <w:numPr>
                      <w:ilvl w:val="1"/>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7114A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shd w:val="clear" w:color="auto" w:fill="FFFFFF" w:themeFill="background1"/>
                  <w:vAlign w:val="center"/>
                </w:tcPr>
                <w:p w14:paraId="21B64288">
                  <w:pPr>
                    <w:pStyle w:val="3"/>
                    <w:numPr>
                      <w:ilvl w:val="1"/>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3</w:t>
                  </w:r>
                </w:p>
              </w:tc>
              <w:tc>
                <w:tcPr>
                  <w:tcW w:w="2220" w:type="pct"/>
                  <w:shd w:val="clear" w:color="auto" w:fill="FFFFFF" w:themeFill="background1"/>
                  <w:vAlign w:val="center"/>
                </w:tcPr>
                <w:p w14:paraId="68231360">
                  <w:pPr>
                    <w:spacing w:line="240" w:lineRule="auto"/>
                    <w:ind w:firstLine="0" w:firstLineChars="0"/>
                    <w:rPr>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绿色开采：</w:t>
                  </w:r>
                  <w:r>
                    <w:rPr>
                      <w:color w:val="000000" w:themeColor="text1"/>
                      <w:sz w:val="21"/>
                      <w:szCs w:val="21"/>
                      <w14:textFill>
                        <w14:solidFill>
                          <w14:schemeClr w14:val="tx1"/>
                        </w14:solidFill>
                      </w14:textFill>
                    </w:rPr>
                    <w:t>6.2.2采场准备应遵循采剥并举、剥离先行的原则，最大限度保留原生自然环境，减少对矿区植被破坏引起的视觉污染和环境扰动。</w:t>
                  </w:r>
                </w:p>
                <w:p w14:paraId="24AB3E04">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6.2.3排土场应通过勘测选择地质条件稳定的场所，做好防护措施，保证堆放安全，避免占压可采矿量，并方便未来矿区进行环境恢复治理和土地复垦时取用；</w:t>
                  </w:r>
                </w:p>
                <w:p w14:paraId="5876E7C2">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6.2.4应执行矿山开采施工设计和资源开发利用方案，露天开采应实行自上而下台阶式开采，阶段坡面角、平台宽度及终了坡面角等主要参数应符合施工设计要求。开采台阶高度不宜大于15m</w:t>
                  </w:r>
                </w:p>
              </w:tc>
              <w:tc>
                <w:tcPr>
                  <w:tcW w:w="1770" w:type="pct"/>
                  <w:shd w:val="clear" w:color="auto" w:fill="FFFFFF" w:themeFill="background1"/>
                  <w:vAlign w:val="center"/>
                </w:tcPr>
                <w:p w14:paraId="64A5E22E">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①项目</w:t>
                  </w:r>
                  <w:r>
                    <w:rPr>
                      <w:rFonts w:hint="eastAsia"/>
                      <w:color w:val="000000" w:themeColor="text1"/>
                      <w:sz w:val="21"/>
                      <w:szCs w:val="21"/>
                      <w14:textFill>
                        <w14:solidFill>
                          <w14:schemeClr w14:val="tx1"/>
                        </w14:solidFill>
                      </w14:textFill>
                    </w:rPr>
                    <w:t>新增</w:t>
                  </w:r>
                  <w:r>
                    <w:rPr>
                      <w:color w:val="000000" w:themeColor="text1"/>
                      <w:sz w:val="21"/>
                      <w:szCs w:val="21"/>
                      <w14:textFill>
                        <w14:solidFill>
                          <w14:schemeClr w14:val="tx1"/>
                        </w14:solidFill>
                      </w14:textFill>
                    </w:rPr>
                    <w:t>开采面，需要表土剥离，施工期矿区剥离后的表土暂存于采空区，后期用于矿区土地复垦，本项目设置排土场。</w:t>
                  </w:r>
                </w:p>
                <w:p w14:paraId="4AE2DD58">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②项目设置排土场。</w:t>
                  </w:r>
                </w:p>
                <w:p w14:paraId="7C52629D">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③项目已取得了矿产资源开发利用方案的审查意见，露采方式为自上而下逐台阶开采，露采境界按如下参数进行圈定：安全平台宽5m，清扫平台宽8m，台阶高度15m，台阶坡面角65°</w:t>
                  </w:r>
                </w:p>
              </w:tc>
              <w:tc>
                <w:tcPr>
                  <w:tcW w:w="626" w:type="pct"/>
                  <w:shd w:val="clear" w:color="auto" w:fill="FFFFFF" w:themeFill="background1"/>
                  <w:vAlign w:val="center"/>
                </w:tcPr>
                <w:p w14:paraId="7F9E2594">
                  <w:pPr>
                    <w:pStyle w:val="3"/>
                    <w:numPr>
                      <w:ilvl w:val="1"/>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0E2E5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382" w:type="pct"/>
                  <w:shd w:val="clear" w:color="auto" w:fill="FFFFFF" w:themeFill="background1"/>
                  <w:vAlign w:val="center"/>
                </w:tcPr>
                <w:p w14:paraId="41008C5F">
                  <w:pPr>
                    <w:pStyle w:val="3"/>
                    <w:numPr>
                      <w:ilvl w:val="1"/>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4</w:t>
                  </w:r>
                </w:p>
              </w:tc>
              <w:tc>
                <w:tcPr>
                  <w:tcW w:w="2220" w:type="pct"/>
                  <w:shd w:val="clear" w:color="auto" w:fill="FFFFFF" w:themeFill="background1"/>
                  <w:vAlign w:val="center"/>
                </w:tcPr>
                <w:p w14:paraId="4D15FF63">
                  <w:pPr>
                    <w:spacing w:line="240" w:lineRule="auto"/>
                    <w:ind w:firstLine="0" w:firstLineChars="0"/>
                    <w:rPr>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绿色生产：</w:t>
                  </w:r>
                  <w:r>
                    <w:rPr>
                      <w:color w:val="000000" w:themeColor="text1"/>
                      <w:sz w:val="21"/>
                      <w:szCs w:val="21"/>
                      <w14:textFill>
                        <w14:solidFill>
                          <w14:schemeClr w14:val="tx1"/>
                        </w14:solidFill>
                      </w14:textFill>
                    </w:rPr>
                    <w:t>6.3.6干法生产应配备高效除尘设备，并保持与生产设备同步运行。湿法生产应配置泥粉和水分离、废水处理和循环使用系统；</w:t>
                  </w:r>
                </w:p>
                <w:p w14:paraId="5FF361DD">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6.3.7生产加工车间的产尘点要封闭，有利于形成负压除尘；皮带运输系统廊道应选用封闭方式，防止粉尘逸散；</w:t>
                  </w:r>
                </w:p>
                <w:p w14:paraId="16FE4084">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6.3.8应选用低噪声生产设备；对高噪强振的设备，应采取消声、减振措施；合理设计工艺布置，控制噪声传播；</w:t>
                  </w:r>
                </w:p>
                <w:p w14:paraId="32FDCAA4">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6.3.9砂石骨料成品堆场（库）应地面硬化，分类或分仓储存</w:t>
                  </w:r>
                </w:p>
              </w:tc>
              <w:tc>
                <w:tcPr>
                  <w:tcW w:w="1770" w:type="pct"/>
                  <w:shd w:val="clear" w:color="auto" w:fill="FFFFFF" w:themeFill="background1"/>
                  <w:vAlign w:val="center"/>
                </w:tcPr>
                <w:p w14:paraId="4D53C261">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①项目破碎加工</w:t>
                  </w:r>
                  <w:r>
                    <w:rPr>
                      <w:rFonts w:hint="eastAsia"/>
                      <w:color w:val="000000" w:themeColor="text1"/>
                      <w:sz w:val="21"/>
                      <w:szCs w:val="21"/>
                      <w14:textFill>
                        <w14:solidFill>
                          <w14:schemeClr w14:val="tx1"/>
                        </w14:solidFill>
                      </w14:textFill>
                    </w:rPr>
                    <w:t>均委外，</w:t>
                  </w:r>
                  <w:r>
                    <w:rPr>
                      <w:color w:val="000000" w:themeColor="text1"/>
                      <w:sz w:val="21"/>
                      <w:szCs w:val="21"/>
                      <w14:textFill>
                        <w14:solidFill>
                          <w14:schemeClr w14:val="tx1"/>
                        </w14:solidFill>
                      </w14:textFill>
                    </w:rPr>
                    <w:t>②</w:t>
                  </w:r>
                  <w:r>
                    <w:rPr>
                      <w:color w:val="000000" w:themeColor="text1"/>
                      <w:sz w:val="21"/>
                      <w:szCs w:val="21"/>
                      <w:lang w:eastAsia="ja-JP"/>
                      <w14:textFill>
                        <w14:solidFill>
                          <w14:schemeClr w14:val="tx1"/>
                        </w14:solidFill>
                      </w14:textFill>
                    </w:rPr>
                    <w:t>项目</w:t>
                  </w:r>
                  <w:r>
                    <w:rPr>
                      <w:rFonts w:hint="eastAsia"/>
                      <w:color w:val="000000" w:themeColor="text1"/>
                      <w:sz w:val="21"/>
                      <w:szCs w:val="21"/>
                      <w14:textFill>
                        <w14:solidFill>
                          <w14:schemeClr w14:val="tx1"/>
                        </w14:solidFill>
                      </w14:textFill>
                    </w:rPr>
                    <w:t>采矿区设备</w:t>
                  </w:r>
                  <w:r>
                    <w:rPr>
                      <w:color w:val="000000" w:themeColor="text1"/>
                      <w:sz w:val="21"/>
                      <w:szCs w:val="21"/>
                      <w:lang w:eastAsia="ja-JP"/>
                      <w14:textFill>
                        <w14:solidFill>
                          <w14:schemeClr w14:val="tx1"/>
                        </w14:solidFill>
                      </w14:textFill>
                    </w:rPr>
                    <w:t>采用消声减振措施</w:t>
                  </w:r>
                  <w:r>
                    <w:rPr>
                      <w:color w:val="000000" w:themeColor="text1"/>
                      <w:sz w:val="21"/>
                      <w:szCs w:val="21"/>
                      <w14:textFill>
                        <w14:solidFill>
                          <w14:schemeClr w14:val="tx1"/>
                        </w14:solidFill>
                      </w14:textFill>
                    </w:rPr>
                    <w:t>；</w:t>
                  </w:r>
                </w:p>
                <w:p w14:paraId="2154E40C">
                  <w:pPr>
                    <w:spacing w:line="240" w:lineRule="auto"/>
                    <w:ind w:firstLine="0" w:firstLineChars="0"/>
                    <w:rPr>
                      <w:color w:val="000000" w:themeColor="text1"/>
                      <w:sz w:val="21"/>
                      <w:szCs w:val="21"/>
                      <w14:textFill>
                        <w14:solidFill>
                          <w14:schemeClr w14:val="tx1"/>
                        </w14:solidFill>
                      </w14:textFill>
                    </w:rPr>
                  </w:pPr>
                </w:p>
              </w:tc>
              <w:tc>
                <w:tcPr>
                  <w:tcW w:w="626" w:type="pct"/>
                  <w:shd w:val="clear" w:color="auto" w:fill="FFFFFF" w:themeFill="background1"/>
                  <w:vAlign w:val="center"/>
                </w:tcPr>
                <w:p w14:paraId="50BD6DE9">
                  <w:pPr>
                    <w:pStyle w:val="3"/>
                    <w:numPr>
                      <w:ilvl w:val="1"/>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48D4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shd w:val="clear" w:color="auto" w:fill="FFFFFF" w:themeFill="background1"/>
                  <w:vAlign w:val="center"/>
                </w:tcPr>
                <w:p w14:paraId="23C24FDA">
                  <w:pPr>
                    <w:pStyle w:val="3"/>
                    <w:numPr>
                      <w:ilvl w:val="1"/>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5</w:t>
                  </w:r>
                </w:p>
              </w:tc>
              <w:tc>
                <w:tcPr>
                  <w:tcW w:w="2220" w:type="pct"/>
                  <w:shd w:val="clear" w:color="auto" w:fill="FFFFFF" w:themeFill="background1"/>
                  <w:vAlign w:val="center"/>
                </w:tcPr>
                <w:p w14:paraId="707E1557">
                  <w:pPr>
                    <w:spacing w:line="240" w:lineRule="auto"/>
                    <w:ind w:firstLine="0" w:firstLineChars="0"/>
                    <w:rPr>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绿色运输：</w:t>
                  </w:r>
                  <w:r>
                    <w:rPr>
                      <w:color w:val="000000" w:themeColor="text1"/>
                      <w:sz w:val="21"/>
                      <w:szCs w:val="21"/>
                      <w14:textFill>
                        <w14:solidFill>
                          <w14:schemeClr w14:val="tx1"/>
                        </w14:solidFill>
                      </w14:textFill>
                    </w:rPr>
                    <w:t>6.4.1矿石的运输方式应结合矿山地形地质条件、岩石特性、开采方案、运输强度等因素，按JC/T2299选择运输方案。6.4.2砂石骨料产品短途汽车运输应符合相关环保、交通等法律规定。中长途转运时，应配置规模适宜、环保、安全措施完善的中转料场</w:t>
                  </w:r>
                </w:p>
              </w:tc>
              <w:tc>
                <w:tcPr>
                  <w:tcW w:w="1770" w:type="pct"/>
                  <w:shd w:val="clear" w:color="auto" w:fill="FFFFFF" w:themeFill="background1"/>
                  <w:vAlign w:val="center"/>
                </w:tcPr>
                <w:p w14:paraId="30059ED2">
                  <w:pPr>
                    <w:spacing w:line="240" w:lineRule="auto"/>
                    <w:ind w:firstLine="0" w:firstLineChars="0"/>
                    <w:rPr>
                      <w:color w:val="000000" w:themeColor="text1"/>
                      <w:sz w:val="21"/>
                      <w:szCs w:val="21"/>
                      <w14:textFill>
                        <w14:solidFill>
                          <w14:schemeClr w14:val="tx1"/>
                        </w14:solidFill>
                      </w14:textFill>
                    </w:rPr>
                  </w:pPr>
                  <w:r>
                    <w:rPr>
                      <w:rFonts w:hint="eastAsia" w:eastAsia="宋体"/>
                      <w:color w:val="0000FF"/>
                      <w:sz w:val="21"/>
                      <w:szCs w:val="21"/>
                    </w:rPr>
                    <w:t>根据开采技术条件、矿山开采现状等，矿石运输选用20t级矿用自卸汽车。开采的矿石汽车运输至委外破碎筛分处理。矿山采矿平台至麻池破碎加工生产线运输道路长度约7km（期间要经过两段平硐，第一段平硐长1km，第二段平硐长0.7km），经计算，全矿配置11辆20t矿用自卸汽车</w:t>
                  </w:r>
                </w:p>
              </w:tc>
              <w:tc>
                <w:tcPr>
                  <w:tcW w:w="626" w:type="pct"/>
                  <w:shd w:val="clear" w:color="auto" w:fill="FFFFFF" w:themeFill="background1"/>
                  <w:vAlign w:val="center"/>
                </w:tcPr>
                <w:p w14:paraId="62AAADA3">
                  <w:pPr>
                    <w:pStyle w:val="3"/>
                    <w:numPr>
                      <w:ilvl w:val="1"/>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77C50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382" w:type="pct"/>
                  <w:shd w:val="clear" w:color="auto" w:fill="FFFFFF" w:themeFill="background1"/>
                  <w:vAlign w:val="center"/>
                </w:tcPr>
                <w:p w14:paraId="0EEC9318">
                  <w:pPr>
                    <w:pStyle w:val="3"/>
                    <w:numPr>
                      <w:ilvl w:val="1"/>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6</w:t>
                  </w:r>
                </w:p>
              </w:tc>
              <w:tc>
                <w:tcPr>
                  <w:tcW w:w="2220" w:type="pct"/>
                  <w:shd w:val="clear" w:color="auto" w:fill="FFFFFF" w:themeFill="background1"/>
                  <w:vAlign w:val="center"/>
                </w:tcPr>
                <w:p w14:paraId="24D3BFDC">
                  <w:pPr>
                    <w:spacing w:line="240" w:lineRule="auto"/>
                    <w:ind w:firstLine="0" w:firstLineChars="0"/>
                    <w:rPr>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矿区生态环境恢复：</w:t>
                  </w:r>
                  <w:r>
                    <w:rPr>
                      <w:color w:val="000000" w:themeColor="text1"/>
                      <w:sz w:val="21"/>
                      <w:szCs w:val="21"/>
                      <w14:textFill>
                        <w14:solidFill>
                          <w14:schemeClr w14:val="tx1"/>
                        </w14:solidFill>
                      </w14:textFill>
                    </w:rPr>
                    <w:t>6.5.1应按照矿山地质环境保护与土地复垦方案进行环境治理和土地复垦；</w:t>
                  </w:r>
                </w:p>
                <w:p w14:paraId="6A7420FA">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6.5.2应建立环境监测机制，设置专门机构，配备专职管理人员和监测人员。</w:t>
                  </w:r>
                </w:p>
                <w:p w14:paraId="042210A8">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6.5.3矿山开采结束闭坑时，应完成矿区的地质灾害治理，土地复垦率、终了边坡治理率达到100%</w:t>
                  </w:r>
                </w:p>
              </w:tc>
              <w:tc>
                <w:tcPr>
                  <w:tcW w:w="1770" w:type="pct"/>
                  <w:shd w:val="clear" w:color="auto" w:fill="FFFFFF" w:themeFill="background1"/>
                  <w:vAlign w:val="center"/>
                </w:tcPr>
                <w:p w14:paraId="29E5BDD9">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①项目采用“边开采、边恢复”的开采方式，及时进行矿山复垦，运营期严格按照《矿山地质环境保护与土地复垦方案》实施，服务期满后，项目土地复垦率可达100%；</w:t>
                  </w:r>
                </w:p>
                <w:p w14:paraId="6DB0E5E0">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②已制定污染物及生态恢复监测方案；</w:t>
                  </w:r>
                </w:p>
              </w:tc>
              <w:tc>
                <w:tcPr>
                  <w:tcW w:w="626" w:type="pct"/>
                  <w:shd w:val="clear" w:color="auto" w:fill="FFFFFF" w:themeFill="background1"/>
                  <w:vAlign w:val="center"/>
                </w:tcPr>
                <w:p w14:paraId="366FBD7C">
                  <w:pPr>
                    <w:pStyle w:val="3"/>
                    <w:numPr>
                      <w:ilvl w:val="1"/>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20364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shd w:val="clear" w:color="auto" w:fill="FFFFFF" w:themeFill="background1"/>
                  <w:vAlign w:val="center"/>
                </w:tcPr>
                <w:p w14:paraId="5BF65662">
                  <w:pPr>
                    <w:pStyle w:val="3"/>
                    <w:numPr>
                      <w:ilvl w:val="1"/>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7</w:t>
                  </w:r>
                </w:p>
              </w:tc>
              <w:tc>
                <w:tcPr>
                  <w:tcW w:w="2220" w:type="pct"/>
                  <w:shd w:val="clear" w:color="auto" w:fill="FFFFFF" w:themeFill="background1"/>
                  <w:vAlign w:val="center"/>
                </w:tcPr>
                <w:p w14:paraId="145CC4BF">
                  <w:pPr>
                    <w:spacing w:line="240" w:lineRule="auto"/>
                    <w:ind w:firstLine="0" w:firstLineChars="0"/>
                    <w:rPr>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资源综合利用：</w:t>
                  </w:r>
                  <w:r>
                    <w:rPr>
                      <w:color w:val="000000" w:themeColor="text1"/>
                      <w:sz w:val="21"/>
                      <w:szCs w:val="21"/>
                      <w14:textFill>
                        <w14:solidFill>
                          <w14:schemeClr w14:val="tx1"/>
                        </w14:solidFill>
                      </w14:textFill>
                    </w:rPr>
                    <w:t>7.1.2生产工艺技术和设备应符合国土资源部《矿产资源节约与综合利用鼓励、限制和淘汰技术目录》要求。剥离表土后，砂石矿山资源综合利用率不低于95%。</w:t>
                  </w:r>
                </w:p>
                <w:p w14:paraId="45F49061">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7.4对排土场堆放的剥离表土或筛分后的渣土，用于环境治理、土地复垦和复绿等。</w:t>
                  </w:r>
                </w:p>
                <w:p w14:paraId="5253AD88">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7.5应配备完善的生产废水处理系统，经过固液分离处理后的清水应100%循环利用</w:t>
                  </w:r>
                </w:p>
                <w:p w14:paraId="6F352181">
                  <w:pPr>
                    <w:spacing w:line="240" w:lineRule="auto"/>
                    <w:ind w:firstLine="0" w:firstLineChars="0"/>
                    <w:rPr>
                      <w:color w:val="000000" w:themeColor="text1"/>
                      <w:sz w:val="21"/>
                      <w:szCs w:val="21"/>
                      <w14:textFill>
                        <w14:solidFill>
                          <w14:schemeClr w14:val="tx1"/>
                        </w14:solidFill>
                      </w14:textFill>
                    </w:rPr>
                  </w:pPr>
                </w:p>
              </w:tc>
              <w:tc>
                <w:tcPr>
                  <w:tcW w:w="1770" w:type="pct"/>
                  <w:shd w:val="clear" w:color="auto" w:fill="FFFFFF" w:themeFill="background1"/>
                  <w:vAlign w:val="center"/>
                </w:tcPr>
                <w:p w14:paraId="64534FAA">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①根据《矿产资源节约与综合利用鼓励、限制和淘汰技术目录》（修订版），项目矿山开采工艺不属于落后的、淘汰的、破坏和浪费矿产资源等技术和工艺。</w:t>
                  </w:r>
                </w:p>
                <w:p w14:paraId="6B242C0F">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②矿区剥离表土暂存于采空区，后期用于矿区土地复垦</w:t>
                  </w:r>
                  <w:r>
                    <w:rPr>
                      <w:bCs/>
                      <w:color w:val="000000" w:themeColor="text1"/>
                      <w:sz w:val="21"/>
                      <w:szCs w:val="21"/>
                      <w14:textFill>
                        <w14:solidFill>
                          <w14:schemeClr w14:val="tx1"/>
                        </w14:solidFill>
                      </w14:textFill>
                    </w:rPr>
                    <w:t>。</w:t>
                  </w:r>
                </w:p>
                <w:p w14:paraId="65BB2C97">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生活污水化粪池处理，经处理后的废水用于</w:t>
                  </w:r>
                  <w:r>
                    <w:rPr>
                      <w:rFonts w:hint="eastAsia"/>
                      <w:color w:val="000000" w:themeColor="text1"/>
                      <w:sz w:val="21"/>
                      <w:szCs w:val="21"/>
                      <w14:textFill>
                        <w14:solidFill>
                          <w14:schemeClr w14:val="tx1"/>
                        </w14:solidFill>
                      </w14:textFill>
                    </w:rPr>
                    <w:t>周边农田施肥</w:t>
                  </w:r>
                  <w:r>
                    <w:rPr>
                      <w:color w:val="000000" w:themeColor="text1"/>
                      <w:sz w:val="21"/>
                      <w:szCs w:val="21"/>
                      <w14:textFill>
                        <w14:solidFill>
                          <w14:schemeClr w14:val="tx1"/>
                        </w14:solidFill>
                      </w14:textFill>
                    </w:rPr>
                    <w:t>。实现废水100%循环利用</w:t>
                  </w:r>
                </w:p>
              </w:tc>
              <w:tc>
                <w:tcPr>
                  <w:tcW w:w="626" w:type="pct"/>
                  <w:shd w:val="clear" w:color="auto" w:fill="FFFFFF" w:themeFill="background1"/>
                  <w:vAlign w:val="center"/>
                </w:tcPr>
                <w:p w14:paraId="58AA817C">
                  <w:pPr>
                    <w:pStyle w:val="3"/>
                    <w:numPr>
                      <w:ilvl w:val="1"/>
                      <w:numId w:val="0"/>
                    </w:numPr>
                    <w:spacing w:line="240" w:lineRule="auto"/>
                    <w:jc w:val="center"/>
                    <w:rPr>
                      <w:kern w:val="2"/>
                    </w:rPr>
                  </w:pPr>
                  <w:r>
                    <w:rPr>
                      <w:rFonts w:ascii="Times New Roman" w:hAnsi="Times New Roman"/>
                      <w:color w:val="000000" w:themeColor="text1"/>
                      <w:sz w:val="21"/>
                      <w:szCs w:val="21"/>
                      <w14:textFill>
                        <w14:solidFill>
                          <w14:schemeClr w14:val="tx1"/>
                        </w14:solidFill>
                      </w14:textFill>
                    </w:rPr>
                    <w:t>符合</w:t>
                  </w:r>
                </w:p>
              </w:tc>
            </w:tr>
            <w:tr w14:paraId="7AF3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shd w:val="clear" w:color="auto" w:fill="FFFFFF" w:themeFill="background1"/>
                  <w:vAlign w:val="center"/>
                </w:tcPr>
                <w:p w14:paraId="5DB6B8E3">
                  <w:pPr>
                    <w:pStyle w:val="3"/>
                    <w:numPr>
                      <w:ilvl w:val="1"/>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8</w:t>
                  </w:r>
                </w:p>
              </w:tc>
              <w:tc>
                <w:tcPr>
                  <w:tcW w:w="2220" w:type="pct"/>
                  <w:shd w:val="clear" w:color="auto" w:fill="FFFFFF" w:themeFill="background1"/>
                  <w:vAlign w:val="center"/>
                </w:tcPr>
                <w:p w14:paraId="45DFBA46">
                  <w:pPr>
                    <w:spacing w:line="240" w:lineRule="auto"/>
                    <w:ind w:firstLine="0" w:firstLineChars="0"/>
                    <w:rPr>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粉尘排放：</w:t>
                  </w:r>
                  <w:r>
                    <w:rPr>
                      <w:color w:val="000000" w:themeColor="text1"/>
                      <w:sz w:val="21"/>
                      <w:szCs w:val="21"/>
                      <w14:textFill>
                        <w14:solidFill>
                          <w14:schemeClr w14:val="tx1"/>
                        </w14:solidFill>
                      </w14:textFill>
                    </w:rPr>
                    <w:t>8.3.1矿石开采和砂石生产过程中，粉尘排放应符合GB 16297的规定；对于环保要求严格的地区，要采取更有效的措施，控制粉尘排放，并达到地方环保要求的标准。</w:t>
                  </w:r>
                </w:p>
                <w:p w14:paraId="32F9F928">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8.3.2生产企业应建立粉尘监测网络与评价制度，编制监测控制方案，并针对监测控制对象定期组织第三方监测和自我监测。</w:t>
                  </w:r>
                </w:p>
                <w:p w14:paraId="3AD83252">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8.3.3矿石开采和砂石生产过程中的粉尘控制应遵循源头抑制、过程协同控制、末端监控、系统联动集成的治理思路，达到环保节能和清洁生产的目的。</w:t>
                  </w:r>
                </w:p>
                <w:p w14:paraId="130F55E0">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8.3.4矿区应配置洒水车、高压喷雾车等设备，对无组织排放粉尘进行抑尘、降尘；宜采用水雾增湿除尘穿孔凿岩技术，在输气管道的回风过程中进行收尘。</w:t>
                  </w:r>
                </w:p>
                <w:p w14:paraId="4E5E1CEF">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8.3.5应在装载机、破碎机、筛分机、整形机、制砂机、输送机端口等连续产生粉尘部位安装高效除尘装置。</w:t>
                  </w:r>
                </w:p>
              </w:tc>
              <w:tc>
                <w:tcPr>
                  <w:tcW w:w="1770" w:type="pct"/>
                  <w:shd w:val="clear" w:color="auto" w:fill="FFFFFF" w:themeFill="background1"/>
                  <w:vAlign w:val="center"/>
                </w:tcPr>
                <w:p w14:paraId="0B88DD43">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①项目采矿区和运输道路采用洒水抑尘。</w:t>
                  </w:r>
                </w:p>
                <w:p w14:paraId="1C9CFE0D">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②进出车辆运输过程采用篷布遮盖，防止遗散。</w:t>
                  </w:r>
                </w:p>
                <w:p w14:paraId="4DCB00BA">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③项目合理布置设备位置，采用低噪声设备、基础减振等措施，采矿区厂界噪声满足《工业企业厂界环境噪声排放标准》（GB</w:t>
                  </w:r>
                  <w:r>
                    <w:rPr>
                      <w:rFonts w:hint="eastAsia"/>
                      <w:color w:val="000000" w:themeColor="text1"/>
                      <w:sz w:val="21"/>
                      <w:szCs w:val="21"/>
                      <w:lang w:val="en-US" w:eastAsia="zh-CN"/>
                      <w14:textFill>
                        <w14:solidFill>
                          <w14:schemeClr w14:val="tx1"/>
                        </w14:solidFill>
                      </w14:textFill>
                    </w:rPr>
                    <w:t>12348</w:t>
                  </w:r>
                  <w:r>
                    <w:rPr>
                      <w:color w:val="000000" w:themeColor="text1"/>
                      <w:sz w:val="21"/>
                      <w:szCs w:val="21"/>
                      <w14:textFill>
                        <w14:solidFill>
                          <w14:schemeClr w14:val="tx1"/>
                        </w14:solidFill>
                      </w14:textFill>
                    </w:rPr>
                    <w:t>-2008）标准</w:t>
                  </w:r>
                </w:p>
              </w:tc>
              <w:tc>
                <w:tcPr>
                  <w:tcW w:w="626" w:type="pct"/>
                  <w:shd w:val="clear" w:color="auto" w:fill="FFFFFF" w:themeFill="background1"/>
                  <w:vAlign w:val="center"/>
                </w:tcPr>
                <w:p w14:paraId="7FE7CEC3">
                  <w:pPr>
                    <w:pStyle w:val="3"/>
                    <w:numPr>
                      <w:ilvl w:val="1"/>
                      <w:numId w:val="0"/>
                    </w:numPr>
                    <w:spacing w:line="240" w:lineRule="auto"/>
                    <w:jc w:val="center"/>
                  </w:pPr>
                  <w:r>
                    <w:rPr>
                      <w:rFonts w:ascii="Times New Roman" w:hAnsi="Times New Roman"/>
                      <w:color w:val="000000" w:themeColor="text1"/>
                      <w:sz w:val="21"/>
                      <w:szCs w:val="21"/>
                      <w14:textFill>
                        <w14:solidFill>
                          <w14:schemeClr w14:val="tx1"/>
                        </w14:solidFill>
                      </w14:textFill>
                    </w:rPr>
                    <w:t>符合</w:t>
                  </w:r>
                </w:p>
              </w:tc>
            </w:tr>
            <w:tr w14:paraId="6FB06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jc w:val="center"/>
              </w:trPr>
              <w:tc>
                <w:tcPr>
                  <w:tcW w:w="382" w:type="pct"/>
                  <w:shd w:val="clear" w:color="auto" w:fill="FFFFFF" w:themeFill="background1"/>
                  <w:vAlign w:val="center"/>
                </w:tcPr>
                <w:p w14:paraId="7D62883A">
                  <w:pPr>
                    <w:pStyle w:val="3"/>
                    <w:numPr>
                      <w:ilvl w:val="1"/>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9</w:t>
                  </w:r>
                </w:p>
              </w:tc>
              <w:tc>
                <w:tcPr>
                  <w:tcW w:w="2220" w:type="pct"/>
                  <w:shd w:val="clear" w:color="auto" w:fill="FFFFFF" w:themeFill="background1"/>
                  <w:vAlign w:val="center"/>
                </w:tcPr>
                <w:p w14:paraId="48110C63">
                  <w:pPr>
                    <w:spacing w:line="240" w:lineRule="auto"/>
                    <w:ind w:firstLine="0" w:firstLineChars="0"/>
                    <w:rPr>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污水排放：</w:t>
                  </w:r>
                  <w:r>
                    <w:rPr>
                      <w:color w:val="000000" w:themeColor="text1"/>
                      <w:sz w:val="21"/>
                      <w:szCs w:val="21"/>
                      <w14:textFill>
                        <w14:solidFill>
                          <w14:schemeClr w14:val="tx1"/>
                        </w14:solidFill>
                      </w14:textFill>
                    </w:rPr>
                    <w:t>8.4.1矿区及厂区应建有雨水截（排）水沟和集水池，地表径流水经沉淀处理后达标排放。</w:t>
                  </w:r>
                </w:p>
                <w:p w14:paraId="5114FA6B">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8.4.2矿区及厂区的生产排水、雨水和生活污水，应实现雨污分流、清污分流；</w:t>
                  </w:r>
                </w:p>
                <w:p w14:paraId="2CD7CD83">
                  <w:pPr>
                    <w:spacing w:line="240" w:lineRule="auto"/>
                    <w:ind w:firstLine="0" w:firstLineChars="0"/>
                    <w:rPr>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废油等废物的处理：</w:t>
                  </w:r>
                  <w:r>
                    <w:rPr>
                      <w:color w:val="000000" w:themeColor="text1"/>
                      <w:sz w:val="21"/>
                      <w:szCs w:val="21"/>
                      <w14:textFill>
                        <w14:solidFill>
                          <w14:schemeClr w14:val="tx1"/>
                        </w14:solidFill>
                      </w14:textFill>
                    </w:rPr>
                    <w:t>生产中产生的废油要集中收集，设置独立的场所存放，并交有资质单位处理；</w:t>
                  </w:r>
                </w:p>
              </w:tc>
              <w:tc>
                <w:tcPr>
                  <w:tcW w:w="1770" w:type="pct"/>
                  <w:shd w:val="clear" w:color="auto" w:fill="FFFFFF" w:themeFill="background1"/>
                  <w:vAlign w:val="center"/>
                </w:tcPr>
                <w:p w14:paraId="6DF3F0FB">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①矿区及安全平台建有雨水截（排）水沟和集水池，地表径流水经沉淀处理后达标排放；</w:t>
                  </w:r>
                </w:p>
                <w:p w14:paraId="4270B795">
                  <w:pPr>
                    <w:pStyle w:val="19"/>
                    <w:spacing w:after="0"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②矿区实行雨污分流，生产废水全部回用，实现废水100%循环利用；</w:t>
                  </w:r>
                </w:p>
                <w:p w14:paraId="793FA644">
                  <w:pPr>
                    <w:pStyle w:val="19"/>
                    <w:spacing w:after="0"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③项目废机油、废润滑油等暂存于危废暂存间，定期交由资质单位进行处置</w:t>
                  </w:r>
                </w:p>
              </w:tc>
              <w:tc>
                <w:tcPr>
                  <w:tcW w:w="626" w:type="pct"/>
                  <w:shd w:val="clear" w:color="auto" w:fill="FFFFFF" w:themeFill="background1"/>
                  <w:vAlign w:val="center"/>
                </w:tcPr>
                <w:p w14:paraId="19DA886D">
                  <w:pPr>
                    <w:pStyle w:val="3"/>
                    <w:numPr>
                      <w:ilvl w:val="1"/>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bl>
          <w:p w14:paraId="5E1FC0E2">
            <w:pPr>
              <w:pStyle w:val="46"/>
              <w:spacing w:beforeLines="0" w:afterLines="0" w:line="240" w:lineRule="auto"/>
              <w:ind w:firstLine="0" w:firstLineChars="0"/>
              <w:rPr>
                <w:rFonts w:ascii="Times New Roman"/>
                <w:b/>
                <w:bCs/>
                <w:color w:val="000000" w:themeColor="text1"/>
                <w:sz w:val="24"/>
                <w:szCs w:val="24"/>
                <w14:textFill>
                  <w14:solidFill>
                    <w14:schemeClr w14:val="tx1"/>
                  </w14:solidFill>
                </w14:textFill>
              </w:rPr>
            </w:pPr>
            <w:r>
              <w:rPr>
                <w:rFonts w:ascii="Times New Roman"/>
                <w:b/>
                <w:bCs/>
                <w:color w:val="000000" w:themeColor="text1"/>
                <w:sz w:val="24"/>
                <w:szCs w:val="24"/>
                <w14:textFill>
                  <w14:solidFill>
                    <w14:schemeClr w14:val="tx1"/>
                  </w14:solidFill>
                </w14:textFill>
              </w:rPr>
              <w:t>表1-</w:t>
            </w:r>
            <w:r>
              <w:rPr>
                <w:rFonts w:hint="eastAsia" w:ascii="Times New Roman"/>
                <w:b/>
                <w:bCs/>
                <w:color w:val="000000" w:themeColor="text1"/>
                <w:sz w:val="24"/>
                <w:szCs w:val="24"/>
                <w14:textFill>
                  <w14:solidFill>
                    <w14:schemeClr w14:val="tx1"/>
                  </w14:solidFill>
                </w14:textFill>
              </w:rPr>
              <w:t>6</w:t>
            </w:r>
            <w:r>
              <w:rPr>
                <w:rFonts w:ascii="Times New Roman"/>
                <w:b/>
                <w:bCs/>
                <w:color w:val="000000" w:themeColor="text1"/>
                <w:sz w:val="24"/>
                <w:szCs w:val="24"/>
                <w14:textFill>
                  <w14:solidFill>
                    <w14:schemeClr w14:val="tx1"/>
                  </w14:solidFill>
                </w14:textFill>
              </w:rPr>
              <w:t xml:space="preserve">  与</w:t>
            </w:r>
            <w:r>
              <w:rPr>
                <w:rFonts w:hint="eastAsia" w:ascii="Times New Roman"/>
                <w:b/>
                <w:bCs/>
                <w:color w:val="000000" w:themeColor="text1"/>
                <w:sz w:val="24"/>
                <w:szCs w:val="24"/>
                <w14:textFill>
                  <w14:solidFill>
                    <w14:schemeClr w14:val="tx1"/>
                  </w14:solidFill>
                </w14:textFill>
              </w:rPr>
              <w:t>生态环境保护</w:t>
            </w:r>
            <w:r>
              <w:rPr>
                <w:rFonts w:hint="eastAsia" w:ascii="Times New Roman"/>
                <w:b/>
                <w:bCs/>
                <w:color w:val="000000" w:themeColor="text1"/>
                <w:sz w:val="24"/>
                <w:szCs w:val="24"/>
                <w:lang w:val="zh-CN"/>
                <w14:textFill>
                  <w14:solidFill>
                    <w14:schemeClr w14:val="tx1"/>
                  </w14:solidFill>
                </w14:textFill>
              </w:rPr>
              <w:t>其他</w:t>
            </w:r>
            <w:r>
              <w:rPr>
                <w:rFonts w:ascii="Times New Roman"/>
                <w:b/>
                <w:bCs/>
                <w:color w:val="000000" w:themeColor="text1"/>
                <w:sz w:val="24"/>
                <w:szCs w:val="24"/>
                <w:lang w:val="zh-CN"/>
                <w14:textFill>
                  <w14:solidFill>
                    <w14:schemeClr w14:val="tx1"/>
                  </w14:solidFill>
                </w14:textFill>
              </w:rPr>
              <w:t>文件</w:t>
            </w:r>
            <w:r>
              <w:rPr>
                <w:rFonts w:ascii="Times New Roman"/>
                <w:b/>
                <w:bCs/>
                <w:color w:val="000000" w:themeColor="text1"/>
                <w:sz w:val="24"/>
                <w:szCs w:val="24"/>
                <w14:textFill>
                  <w14:solidFill>
                    <w14:schemeClr w14:val="tx1"/>
                  </w14:solidFill>
                </w14:textFill>
              </w:rPr>
              <w:t>符合性分析</w:t>
            </w:r>
          </w:p>
          <w:tbl>
            <w:tblPr>
              <w:tblStyle w:val="25"/>
              <w:tblpPr w:leftFromText="180" w:rightFromText="180" w:vertAnchor="text" w:tblpXSpec="center"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1480"/>
              <w:gridCol w:w="3218"/>
              <w:gridCol w:w="1758"/>
              <w:gridCol w:w="1056"/>
            </w:tblGrid>
            <w:tr w14:paraId="45AA4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985" w:type="pct"/>
                  <w:shd w:val="clear" w:color="auto" w:fill="FFFFFF" w:themeFill="background1"/>
                  <w:vAlign w:val="center"/>
                </w:tcPr>
                <w:p w14:paraId="033793D1">
                  <w:pPr>
                    <w:pStyle w:val="3"/>
                    <w:numPr>
                      <w:ilvl w:val="1"/>
                      <w:numId w:val="0"/>
                    </w:numPr>
                    <w:spacing w:line="240" w:lineRule="auto"/>
                    <w:jc w:val="center"/>
                    <w:rPr>
                      <w:rFonts w:ascii="Times New Roman" w:hAnsi="Times New Roman"/>
                      <w:b/>
                      <w:bCs/>
                      <w:color w:val="000000" w:themeColor="text1"/>
                      <w:sz w:val="21"/>
                      <w:szCs w:val="21"/>
                      <w14:textFill>
                        <w14:solidFill>
                          <w14:schemeClr w14:val="tx1"/>
                        </w14:solidFill>
                      </w14:textFill>
                    </w:rPr>
                  </w:pPr>
                  <w:r>
                    <w:rPr>
                      <w:rFonts w:hint="eastAsia" w:ascii="Times New Roman" w:hAnsi="Times New Roman"/>
                      <w:b/>
                      <w:bCs/>
                      <w:color w:val="000000" w:themeColor="text1"/>
                      <w:sz w:val="21"/>
                      <w:szCs w:val="21"/>
                      <w14:textFill>
                        <w14:solidFill>
                          <w14:schemeClr w14:val="tx1"/>
                        </w14:solidFill>
                      </w14:textFill>
                    </w:rPr>
                    <w:t>名称</w:t>
                  </w:r>
                </w:p>
              </w:tc>
              <w:tc>
                <w:tcPr>
                  <w:tcW w:w="2142" w:type="pct"/>
                  <w:shd w:val="clear" w:color="auto" w:fill="FFFFFF" w:themeFill="background1"/>
                  <w:vAlign w:val="center"/>
                </w:tcPr>
                <w:p w14:paraId="062E7A1E">
                  <w:pPr>
                    <w:pStyle w:val="3"/>
                    <w:numPr>
                      <w:ilvl w:val="1"/>
                      <w:numId w:val="0"/>
                    </w:numPr>
                    <w:spacing w:line="240" w:lineRule="auto"/>
                    <w:jc w:val="center"/>
                    <w:rPr>
                      <w:rFonts w:ascii="Times New Roman" w:hAnsi="Times New Roman"/>
                      <w:b/>
                      <w:bCs/>
                      <w:color w:val="000000" w:themeColor="text1"/>
                      <w:sz w:val="21"/>
                      <w:szCs w:val="21"/>
                      <w14:textFill>
                        <w14:solidFill>
                          <w14:schemeClr w14:val="tx1"/>
                        </w14:solidFill>
                      </w14:textFill>
                    </w:rPr>
                  </w:pPr>
                  <w:r>
                    <w:rPr>
                      <w:rFonts w:hint="eastAsia" w:ascii="Times New Roman" w:hAnsi="Times New Roman"/>
                      <w:b/>
                      <w:bCs/>
                      <w:color w:val="000000" w:themeColor="text1"/>
                      <w:sz w:val="21"/>
                      <w:szCs w:val="21"/>
                      <w14:textFill>
                        <w14:solidFill>
                          <w14:schemeClr w14:val="tx1"/>
                        </w14:solidFill>
                      </w14:textFill>
                    </w:rPr>
                    <w:t>规划内容</w:t>
                  </w:r>
                </w:p>
              </w:tc>
              <w:tc>
                <w:tcPr>
                  <w:tcW w:w="1170" w:type="pct"/>
                  <w:shd w:val="clear" w:color="auto" w:fill="FFFFFF" w:themeFill="background1"/>
                  <w:vAlign w:val="center"/>
                </w:tcPr>
                <w:p w14:paraId="400F856D">
                  <w:pPr>
                    <w:pStyle w:val="3"/>
                    <w:numPr>
                      <w:ilvl w:val="1"/>
                      <w:numId w:val="0"/>
                    </w:numPr>
                    <w:spacing w:line="240" w:lineRule="auto"/>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本项目情况</w:t>
                  </w:r>
                </w:p>
              </w:tc>
              <w:tc>
                <w:tcPr>
                  <w:tcW w:w="701" w:type="pct"/>
                  <w:shd w:val="clear" w:color="auto" w:fill="FFFFFF" w:themeFill="background1"/>
                  <w:vAlign w:val="center"/>
                </w:tcPr>
                <w:p w14:paraId="2E7E7DBB">
                  <w:pPr>
                    <w:pStyle w:val="3"/>
                    <w:numPr>
                      <w:ilvl w:val="1"/>
                      <w:numId w:val="0"/>
                    </w:numPr>
                    <w:spacing w:line="240" w:lineRule="auto"/>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符合性</w:t>
                  </w:r>
                </w:p>
              </w:tc>
            </w:tr>
            <w:tr w14:paraId="0E0D2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985" w:type="pct"/>
                  <w:shd w:val="clear" w:color="auto" w:fill="FFFFFF" w:themeFill="background1"/>
                  <w:vAlign w:val="center"/>
                </w:tcPr>
                <w:p w14:paraId="734FFD90">
                  <w:pPr>
                    <w:pStyle w:val="3"/>
                    <w:numPr>
                      <w:ilvl w:val="1"/>
                      <w:numId w:val="0"/>
                    </w:numPr>
                    <w:spacing w:line="240" w:lineRule="auto"/>
                    <w:jc w:val="center"/>
                    <w:rPr>
                      <w:rFonts w:ascii="Times New Roman" w:hAnsi="Times New Roman"/>
                      <w:color w:val="0000FF"/>
                      <w:sz w:val="21"/>
                      <w:szCs w:val="21"/>
                    </w:rPr>
                  </w:pPr>
                  <w:r>
                    <w:rPr>
                      <w:rFonts w:hint="eastAsia" w:ascii="Times New Roman" w:hAnsi="Times New Roman"/>
                      <w:color w:val="0000FF"/>
                      <w:sz w:val="21"/>
                      <w:szCs w:val="21"/>
                    </w:rPr>
                    <w:t>《陕西省主体功能区规划》</w:t>
                  </w:r>
                </w:p>
              </w:tc>
              <w:tc>
                <w:tcPr>
                  <w:tcW w:w="2142" w:type="pct"/>
                  <w:shd w:val="clear" w:color="auto" w:fill="FFFFFF" w:themeFill="background1"/>
                  <w:vAlign w:val="center"/>
                </w:tcPr>
                <w:p w14:paraId="4EB9D94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eastAsia="宋体"/>
                      <w:color w:val="0000FF"/>
                      <w:sz w:val="21"/>
                      <w:szCs w:val="21"/>
                      <w:lang w:eastAsia="zh-CN"/>
                    </w:rPr>
                  </w:pPr>
                  <w:r>
                    <w:rPr>
                      <w:rFonts w:hint="eastAsia"/>
                      <w:color w:val="0000FF"/>
                      <w:sz w:val="21"/>
                      <w:szCs w:val="21"/>
                    </w:rPr>
                    <w:t>关中地区。充分发挥关中地区地勘、冶炼、深加工、科研等优势，合理开发渭北水泥灰岩、渭南钼矿、潼关金矿等矿产资源，建设重要矿产研发加工基地</w:t>
                  </w:r>
                  <w:r>
                    <w:rPr>
                      <w:rFonts w:hint="eastAsia"/>
                      <w:color w:val="0000FF"/>
                      <w:sz w:val="21"/>
                      <w:szCs w:val="21"/>
                      <w:lang w:eastAsia="zh-CN"/>
                    </w:rPr>
                    <w:t>。</w:t>
                  </w:r>
                </w:p>
              </w:tc>
              <w:tc>
                <w:tcPr>
                  <w:tcW w:w="1170" w:type="pct"/>
                  <w:shd w:val="clear" w:color="auto" w:fill="FFFFFF" w:themeFill="background1"/>
                  <w:vAlign w:val="center"/>
                </w:tcPr>
                <w:p w14:paraId="043588AC">
                  <w:pPr>
                    <w:spacing w:line="240" w:lineRule="auto"/>
                    <w:ind w:firstLine="0" w:firstLineChars="0"/>
                    <w:jc w:val="center"/>
                    <w:rPr>
                      <w:rFonts w:hint="eastAsia" w:eastAsia="宋体"/>
                      <w:color w:val="0000FF"/>
                      <w:sz w:val="21"/>
                      <w:szCs w:val="21"/>
                      <w:lang w:eastAsia="zh-CN"/>
                    </w:rPr>
                  </w:pPr>
                  <w:r>
                    <w:rPr>
                      <w:rFonts w:hint="eastAsia"/>
                      <w:color w:val="0000FF"/>
                      <w:sz w:val="21"/>
                      <w:szCs w:val="21"/>
                      <w:lang w:eastAsia="zh-CN"/>
                    </w:rPr>
                    <w:t>本项目开采石英矿，符合</w:t>
                  </w:r>
                  <w:r>
                    <w:rPr>
                      <w:rFonts w:hint="eastAsia"/>
                      <w:color w:val="0000FF"/>
                      <w:sz w:val="21"/>
                      <w:szCs w:val="21"/>
                    </w:rPr>
                    <w:t>《</w:t>
                  </w:r>
                  <w:r>
                    <w:rPr>
                      <w:rFonts w:hint="eastAsia" w:ascii="Times New Roman" w:hAnsi="Times New Roman"/>
                      <w:color w:val="0000FF"/>
                      <w:sz w:val="21"/>
                      <w:szCs w:val="21"/>
                    </w:rPr>
                    <w:t>陕西省主体功能区规划</w:t>
                  </w:r>
                  <w:r>
                    <w:rPr>
                      <w:rFonts w:hint="eastAsia"/>
                      <w:color w:val="0000FF"/>
                      <w:sz w:val="21"/>
                      <w:szCs w:val="21"/>
                    </w:rPr>
                    <w:t>》要求</w:t>
                  </w:r>
                </w:p>
              </w:tc>
              <w:tc>
                <w:tcPr>
                  <w:tcW w:w="701" w:type="pct"/>
                  <w:shd w:val="clear" w:color="auto" w:fill="FFFFFF" w:themeFill="background1"/>
                  <w:vAlign w:val="center"/>
                </w:tcPr>
                <w:p w14:paraId="13B56381">
                  <w:pPr>
                    <w:pStyle w:val="3"/>
                    <w:numPr>
                      <w:ilvl w:val="1"/>
                      <w:numId w:val="0"/>
                    </w:numPr>
                    <w:spacing w:line="240" w:lineRule="auto"/>
                    <w:jc w:val="center"/>
                    <w:rPr>
                      <w:rFonts w:hint="eastAsia" w:ascii="Times New Roman" w:hAnsi="Times New Roman" w:eastAsia="宋体"/>
                      <w:color w:val="0000FF"/>
                      <w:sz w:val="21"/>
                      <w:szCs w:val="21"/>
                      <w:lang w:eastAsia="zh-CN"/>
                    </w:rPr>
                  </w:pPr>
                  <w:r>
                    <w:rPr>
                      <w:rFonts w:hint="eastAsia" w:ascii="Times New Roman" w:hAnsi="Times New Roman"/>
                      <w:color w:val="0000FF"/>
                      <w:sz w:val="21"/>
                      <w:szCs w:val="21"/>
                      <w:lang w:eastAsia="zh-CN"/>
                    </w:rPr>
                    <w:t>符合</w:t>
                  </w:r>
                </w:p>
              </w:tc>
            </w:tr>
            <w:tr w14:paraId="024AB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985" w:type="pct"/>
                  <w:shd w:val="clear" w:color="auto" w:fill="FFFFFF" w:themeFill="background1"/>
                  <w:vAlign w:val="center"/>
                </w:tcPr>
                <w:p w14:paraId="6DFFC3C1">
                  <w:pPr>
                    <w:pStyle w:val="3"/>
                    <w:numPr>
                      <w:ilvl w:val="1"/>
                      <w:numId w:val="0"/>
                    </w:numPr>
                    <w:spacing w:line="240" w:lineRule="auto"/>
                    <w:jc w:val="center"/>
                    <w:rPr>
                      <w:rFonts w:ascii="Times New Roman" w:hAnsi="Times New Roman"/>
                      <w:color w:val="0000FF"/>
                      <w:sz w:val="21"/>
                      <w:szCs w:val="21"/>
                    </w:rPr>
                  </w:pPr>
                  <w:r>
                    <w:rPr>
                      <w:rFonts w:hint="eastAsia" w:ascii="Times New Roman" w:hAnsi="Times New Roman"/>
                      <w:color w:val="0000FF"/>
                      <w:sz w:val="21"/>
                      <w:szCs w:val="21"/>
                    </w:rPr>
                    <w:t>《陕西省生态功能区划》</w:t>
                  </w:r>
                </w:p>
              </w:tc>
              <w:tc>
                <w:tcPr>
                  <w:tcW w:w="2142" w:type="pct"/>
                  <w:shd w:val="clear" w:color="auto" w:fill="FFFFFF" w:themeFill="background1"/>
                  <w:vAlign w:val="center"/>
                </w:tcPr>
                <w:p w14:paraId="32019A3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olor w:val="0000FF"/>
                      <w:sz w:val="21"/>
                      <w:szCs w:val="21"/>
                    </w:rPr>
                  </w:pPr>
                  <w:r>
                    <w:rPr>
                      <w:rFonts w:hint="eastAsia"/>
                      <w:color w:val="0000FF"/>
                      <w:sz w:val="21"/>
                      <w:szCs w:val="21"/>
                    </w:rPr>
                    <w:t>根据《陕西省生态功能区划》，陕西省划分了4个生态区、10个生态功能区、35个小区，本项目所在区域为黄土丘陵沟壑水土流</w:t>
                  </w:r>
                </w:p>
                <w:p w14:paraId="6EC4FE0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olor w:val="0000FF"/>
                      <w:sz w:val="21"/>
                      <w:szCs w:val="21"/>
                    </w:rPr>
                  </w:pPr>
                  <w:r>
                    <w:rPr>
                      <w:rFonts w:hint="eastAsia"/>
                      <w:color w:val="0000FF"/>
                      <w:sz w:val="21"/>
                      <w:szCs w:val="21"/>
                    </w:rPr>
                    <w:t>失控制生态区—白于山南侧水土流失控制区。生态保护与建设方向为：沟谷涧地建设基本农田，坡地退耕还林还草，发展人工草地和特色经济林木。</w:t>
                  </w:r>
                </w:p>
              </w:tc>
              <w:tc>
                <w:tcPr>
                  <w:tcW w:w="1170" w:type="pct"/>
                  <w:shd w:val="clear" w:color="auto" w:fill="FFFFFF" w:themeFill="background1"/>
                  <w:vAlign w:val="center"/>
                </w:tcPr>
                <w:p w14:paraId="1C962D1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color w:val="0000FF"/>
                      <w:sz w:val="21"/>
                      <w:szCs w:val="21"/>
                    </w:rPr>
                  </w:pPr>
                  <w:r>
                    <w:rPr>
                      <w:rFonts w:hint="eastAsia"/>
                      <w:color w:val="0000FF"/>
                      <w:sz w:val="21"/>
                      <w:szCs w:val="21"/>
                    </w:rPr>
                    <w:t>本项目占地类型为林地，不占用基本农田，经现场调查，项目所在地不存在裸露沙地，且本项目在施工期加强水土流失措施的实施，临时占地在施工结束后进行生态恢复，不会造成土地、草地退化、森林破坏。因此，本项目符合《陕西省生态功能区划》要求。</w:t>
                  </w:r>
                </w:p>
              </w:tc>
              <w:tc>
                <w:tcPr>
                  <w:tcW w:w="701" w:type="pct"/>
                  <w:shd w:val="clear" w:color="auto" w:fill="FFFFFF" w:themeFill="background1"/>
                  <w:vAlign w:val="center"/>
                </w:tcPr>
                <w:p w14:paraId="7C76891A">
                  <w:pPr>
                    <w:pStyle w:val="3"/>
                    <w:numPr>
                      <w:ilvl w:val="1"/>
                      <w:numId w:val="0"/>
                    </w:numPr>
                    <w:spacing w:line="240" w:lineRule="auto"/>
                    <w:jc w:val="center"/>
                    <w:rPr>
                      <w:rFonts w:hint="eastAsia" w:ascii="Times New Roman" w:hAnsi="Times New Roman" w:eastAsia="宋体"/>
                      <w:color w:val="0000FF"/>
                      <w:sz w:val="21"/>
                      <w:szCs w:val="21"/>
                      <w:lang w:eastAsia="zh-CN"/>
                    </w:rPr>
                  </w:pPr>
                  <w:r>
                    <w:rPr>
                      <w:rFonts w:hint="eastAsia" w:ascii="Times New Roman" w:hAnsi="Times New Roman"/>
                      <w:color w:val="0000FF"/>
                      <w:sz w:val="21"/>
                      <w:szCs w:val="21"/>
                      <w:lang w:eastAsia="zh-CN"/>
                    </w:rPr>
                    <w:t>符合</w:t>
                  </w:r>
                </w:p>
              </w:tc>
            </w:tr>
            <w:tr w14:paraId="0122E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985" w:type="pct"/>
                  <w:shd w:val="clear" w:color="auto" w:fill="FFFFFF" w:themeFill="background1"/>
                  <w:vAlign w:val="center"/>
                </w:tcPr>
                <w:p w14:paraId="009937DC">
                  <w:pPr>
                    <w:pStyle w:val="3"/>
                    <w:numPr>
                      <w:ilvl w:val="1"/>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《宝鸡市大气污染防治条例》</w:t>
                  </w:r>
                </w:p>
              </w:tc>
              <w:tc>
                <w:tcPr>
                  <w:tcW w:w="2142" w:type="pct"/>
                  <w:shd w:val="clear" w:color="auto" w:fill="FFFFFF" w:themeFill="background1"/>
                  <w:vAlign w:val="center"/>
                </w:tcPr>
                <w:p w14:paraId="11009AF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第三十四条施工单位应当制定具体的施工扬尘污染防治实施方案，在施工工地内采取下列防尘措施：</w:t>
                  </w:r>
                </w:p>
                <w:p w14:paraId="5F449C8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（一）应当设置硬质围挡，分段作业、择时施工，洒水抑尘、冲洗地面。</w:t>
                  </w:r>
                </w:p>
                <w:p w14:paraId="6635433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（二）建筑土方、工程渣土、建筑垃圾应当及时清运；在场地内堆存的，应当采用密闭式防尘网遮盖。</w:t>
                  </w:r>
                </w:p>
                <w:p w14:paraId="245F78A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（三）车行道路采取硬化或者铺设礁渣、砾石或其他功能相当的材料等措施。</w:t>
                  </w:r>
                </w:p>
                <w:p w14:paraId="7DA588C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（四）出入口内侧安装车辆冲洗设备，车辆冲洗干净后方可驶出。</w:t>
                  </w:r>
                </w:p>
                <w:p w14:paraId="527DCEE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（五）施工作业产生泥浆的，设置泥浆池、泥浆沟，确保泥浆不溢流，废弃泥浆采用密封式罐车清运。</w:t>
                  </w:r>
                </w:p>
                <w:p w14:paraId="3F784B9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（六）土方作业、拆除、爆破等易产生扬尘的工程，采取洒水抑尘措施</w:t>
                  </w:r>
                  <w:r>
                    <w:rPr>
                      <w:rFonts w:hint="eastAsia"/>
                      <w:color w:val="000000" w:themeColor="text1"/>
                      <w:sz w:val="21"/>
                      <w:szCs w:val="21"/>
                      <w14:textFill>
                        <w14:solidFill>
                          <w14:schemeClr w14:val="tx1"/>
                        </w14:solidFill>
                      </w14:textFill>
                    </w:rPr>
                    <w:t>。</w:t>
                  </w:r>
                </w:p>
                <w:p w14:paraId="04F9A6F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（七）公示扬尘污染防治措施、负责人、扬尘监督管理主管部门等信息。</w:t>
                  </w:r>
                </w:p>
                <w:p w14:paraId="788839C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（八）法律法规规定的其他污染防治措施。</w:t>
                  </w:r>
                </w:p>
              </w:tc>
              <w:tc>
                <w:tcPr>
                  <w:tcW w:w="1170" w:type="pct"/>
                  <w:shd w:val="clear" w:color="auto" w:fill="FFFFFF" w:themeFill="background1"/>
                  <w:vAlign w:val="center"/>
                </w:tcPr>
                <w:p w14:paraId="1D1CBF5D">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本项目施工期间建筑垃圾及时清运、裸露地方密目网苫盖；对运输车辆出施工场地时进行冲洗等措施，符合污染条例的规定</w:t>
                  </w:r>
                  <w:r>
                    <w:rPr>
                      <w:rFonts w:hint="eastAsia"/>
                      <w:color w:val="000000" w:themeColor="text1"/>
                      <w:sz w:val="21"/>
                      <w:szCs w:val="21"/>
                      <w14:textFill>
                        <w14:solidFill>
                          <w14:schemeClr w14:val="tx1"/>
                        </w14:solidFill>
                      </w14:textFill>
                    </w:rPr>
                    <w:t>。</w:t>
                  </w:r>
                </w:p>
              </w:tc>
              <w:tc>
                <w:tcPr>
                  <w:tcW w:w="701" w:type="pct"/>
                  <w:shd w:val="clear" w:color="auto" w:fill="FFFFFF" w:themeFill="background1"/>
                  <w:vAlign w:val="center"/>
                </w:tcPr>
                <w:p w14:paraId="72E61E3C">
                  <w:pPr>
                    <w:pStyle w:val="3"/>
                    <w:numPr>
                      <w:ilvl w:val="1"/>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0211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985" w:type="pct"/>
                  <w:shd w:val="clear" w:color="auto" w:fill="FFFFFF" w:themeFill="background1"/>
                  <w:vAlign w:val="center"/>
                </w:tcPr>
                <w:p w14:paraId="32104BA4">
                  <w:pPr>
                    <w:pStyle w:val="3"/>
                    <w:numPr>
                      <w:ilvl w:val="1"/>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《宝鸡市大气污染专项行动方案（2023-2027年）》（宝</w:t>
                  </w:r>
                </w:p>
                <w:p w14:paraId="3632B38A">
                  <w:pPr>
                    <w:pStyle w:val="3"/>
                    <w:numPr>
                      <w:ilvl w:val="1"/>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发〔2023〕</w:t>
                  </w:r>
                </w:p>
                <w:p w14:paraId="521E75C2">
                  <w:pPr>
                    <w:pStyle w:val="3"/>
                    <w:numPr>
                      <w:ilvl w:val="1"/>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8号）</w:t>
                  </w:r>
                </w:p>
              </w:tc>
              <w:tc>
                <w:tcPr>
                  <w:tcW w:w="2142" w:type="pct"/>
                  <w:shd w:val="clear" w:color="auto" w:fill="FFFFFF" w:themeFill="background1"/>
                  <w:vAlign w:val="center"/>
                </w:tcPr>
                <w:p w14:paraId="759873A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严格落实监管责任，实施网格化考核。关中生活污水地区以降低PM</w:t>
                  </w:r>
                  <w:r>
                    <w:rPr>
                      <w:rFonts w:hint="eastAsia"/>
                      <w:color w:val="000000" w:themeColor="text1"/>
                      <w:sz w:val="21"/>
                      <w:szCs w:val="21"/>
                      <w:vertAlign w:val="subscript"/>
                      <w14:textFill>
                        <w14:solidFill>
                          <w14:schemeClr w14:val="tx1"/>
                        </w14:solidFill>
                      </w14:textFill>
                    </w:rPr>
                    <w:t>10</w:t>
                  </w:r>
                  <w:r>
                    <w:rPr>
                      <w:rFonts w:hint="eastAsia"/>
                      <w:color w:val="000000" w:themeColor="text1"/>
                      <w:sz w:val="21"/>
                      <w:szCs w:val="21"/>
                      <w14:textFill>
                        <w14:solidFill>
                          <w14:schemeClr w14:val="tx1"/>
                        </w14:solidFill>
                      </w14:textFill>
                    </w:rPr>
                    <w:t>指标为导向建立动态管控机制，施工场地严格执行“六个百分百”，施工工地扬尘排放</w:t>
                  </w:r>
                </w:p>
                <w:p w14:paraId="749AE31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超过《施工场界扬尘排放限值（DB61/1078-2017）》的立即停工整改</w:t>
                  </w:r>
                </w:p>
              </w:tc>
              <w:tc>
                <w:tcPr>
                  <w:tcW w:w="1170" w:type="pct"/>
                  <w:shd w:val="clear" w:color="auto" w:fill="FFFFFF" w:themeFill="background1"/>
                  <w:vAlign w:val="center"/>
                </w:tcPr>
                <w:p w14:paraId="75075740">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本项目施工过程中严格按照要求执行六个100%，并加强扬尘管控。</w:t>
                  </w:r>
                </w:p>
              </w:tc>
              <w:tc>
                <w:tcPr>
                  <w:tcW w:w="701" w:type="pct"/>
                  <w:shd w:val="clear" w:color="auto" w:fill="FFFFFF" w:themeFill="background1"/>
                  <w:vAlign w:val="center"/>
                </w:tcPr>
                <w:p w14:paraId="35AB275D">
                  <w:pPr>
                    <w:pStyle w:val="3"/>
                    <w:numPr>
                      <w:ilvl w:val="1"/>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06911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985" w:type="pct"/>
                  <w:shd w:val="clear" w:color="auto" w:fill="FFFFFF" w:themeFill="background1"/>
                  <w:vAlign w:val="center"/>
                </w:tcPr>
                <w:p w14:paraId="05587602">
                  <w:pPr>
                    <w:pStyle w:val="3"/>
                    <w:numPr>
                      <w:ilvl w:val="1"/>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非道路移动机械排放控制要求</w:t>
                  </w:r>
                </w:p>
              </w:tc>
              <w:tc>
                <w:tcPr>
                  <w:tcW w:w="2142" w:type="pct"/>
                  <w:shd w:val="clear" w:color="auto" w:fill="FFFFFF" w:themeFill="background1"/>
                  <w:vAlign w:val="center"/>
                </w:tcPr>
                <w:p w14:paraId="2DB3E3C0">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（1）禁止使用限制排放控制装置功效的失效策略；</w:t>
                  </w:r>
                </w:p>
                <w:p w14:paraId="69350FFC">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（2）机械生产企业应明确告知用户及时添加并使用符合本标准要求的燃油及反应剂，以保证机械在实际使用中能够满足本标准的排放要求</w:t>
                  </w:r>
                </w:p>
              </w:tc>
              <w:tc>
                <w:tcPr>
                  <w:tcW w:w="1170" w:type="pct"/>
                  <w:shd w:val="clear" w:color="auto" w:fill="FFFFFF" w:themeFill="background1"/>
                  <w:vAlign w:val="center"/>
                </w:tcPr>
                <w:p w14:paraId="79DCECD6">
                  <w:pPr>
                    <w:spacing w:line="240" w:lineRule="auto"/>
                    <w:ind w:firstLine="0" w:firstLineChars="0"/>
                    <w:rPr>
                      <w:color w:val="0000FF"/>
                      <w:sz w:val="21"/>
                      <w:szCs w:val="21"/>
                    </w:rPr>
                  </w:pPr>
                  <w:r>
                    <w:rPr>
                      <w:rFonts w:hint="eastAsia"/>
                      <w:color w:val="0000FF"/>
                      <w:sz w:val="21"/>
                      <w:szCs w:val="21"/>
                      <w:lang w:val="en-US" w:eastAsia="zh-CN"/>
                    </w:rPr>
                    <w:t>项目施工期间，不使用国Ⅲ及以下排放标准的柴油货车，使用检测合格且已编码挂牌的非道路移动机械</w:t>
                  </w:r>
                </w:p>
              </w:tc>
              <w:tc>
                <w:tcPr>
                  <w:tcW w:w="701" w:type="pct"/>
                  <w:shd w:val="clear" w:color="auto" w:fill="FFFFFF" w:themeFill="background1"/>
                  <w:vAlign w:val="center"/>
                </w:tcPr>
                <w:p w14:paraId="2B76C5DB">
                  <w:pPr>
                    <w:pStyle w:val="3"/>
                    <w:numPr>
                      <w:ilvl w:val="1"/>
                      <w:numId w:val="0"/>
                    </w:numPr>
                    <w:spacing w:line="240" w:lineRule="auto"/>
                    <w:jc w:val="center"/>
                    <w:rPr>
                      <w:rFonts w:ascii="Times New Roman" w:hAnsi="Times New Roman"/>
                      <w:color w:val="0000FF"/>
                      <w:sz w:val="21"/>
                      <w:szCs w:val="21"/>
                    </w:rPr>
                  </w:pPr>
                  <w:r>
                    <w:rPr>
                      <w:rFonts w:ascii="Times New Roman" w:hAnsi="Times New Roman"/>
                      <w:color w:val="0000FF"/>
                      <w:sz w:val="21"/>
                      <w:szCs w:val="21"/>
                    </w:rPr>
                    <w:t>符合</w:t>
                  </w:r>
                </w:p>
              </w:tc>
            </w:tr>
            <w:tr w14:paraId="1FB48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985" w:type="pct"/>
                  <w:vMerge w:val="restart"/>
                  <w:shd w:val="clear" w:color="auto" w:fill="FFFFFF" w:themeFill="background1"/>
                  <w:vAlign w:val="center"/>
                </w:tcPr>
                <w:p w14:paraId="08041D90">
                  <w:pPr>
                    <w:pStyle w:val="3"/>
                    <w:numPr>
                      <w:ilvl w:val="1"/>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《陕西省噪声污染防治行动计划（2023-2025年）》</w:t>
                  </w:r>
                </w:p>
              </w:tc>
              <w:tc>
                <w:tcPr>
                  <w:tcW w:w="2142" w:type="pct"/>
                  <w:shd w:val="clear" w:color="auto" w:fill="FFFFFF" w:themeFill="background1"/>
                  <w:vAlign w:val="center"/>
                </w:tcPr>
                <w:p w14:paraId="20EEE552">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lang w:val="zh-CN" w:bidi="zh-CN"/>
                      <w14:textFill>
                        <w14:solidFill>
                          <w14:schemeClr w14:val="tx1"/>
                        </w14:solidFill>
                      </w14:textFill>
                    </w:rPr>
                    <w:t>加严噪声敏感建筑物集中区域施工要求。噪声敏感建筑物集中区域的施工场地应优先使用低噪声施工工艺和设备，采取减振降噪措施，加强进出场地运输车辆管理。建设单位应根据国家规定设置噪声自动监测系统</w:t>
                  </w:r>
                </w:p>
              </w:tc>
              <w:tc>
                <w:tcPr>
                  <w:tcW w:w="1170" w:type="pct"/>
                  <w:vMerge w:val="restart"/>
                  <w:shd w:val="clear" w:color="auto" w:fill="FFFFFF" w:themeFill="background1"/>
                  <w:vAlign w:val="center"/>
                </w:tcPr>
                <w:p w14:paraId="07E043A0">
                  <w:pPr>
                    <w:pStyle w:val="49"/>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工程施工场地远离村庄噪声敏感点位，建设单位选用低噪声设备，对设备进行维护保养，避免设备非正常工作产生的尖锐噪声，且对运输车进行管理，在经过村庄、学校等区域时，限速在20km/h行驶，禁止随意鸣笛；严格控制施工时间，根据不同季节正常休息时间，合理安排施工计划，避开夜间（22:00-06:00）昼间午休时间（12:00-14:00）施工，以免产生</w:t>
                  </w:r>
                </w:p>
                <w:p w14:paraId="418EF384">
                  <w:pPr>
                    <w:pStyle w:val="49"/>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扰民现象。</w:t>
                  </w:r>
                </w:p>
              </w:tc>
              <w:tc>
                <w:tcPr>
                  <w:tcW w:w="701" w:type="pct"/>
                  <w:vMerge w:val="restart"/>
                  <w:shd w:val="clear" w:color="auto" w:fill="FFFFFF" w:themeFill="background1"/>
                  <w:vAlign w:val="center"/>
                </w:tcPr>
                <w:p w14:paraId="2420F71B">
                  <w:pPr>
                    <w:pStyle w:val="3"/>
                    <w:numPr>
                      <w:ilvl w:val="1"/>
                      <w:numId w:val="0"/>
                    </w:numPr>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68677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985" w:type="pct"/>
                  <w:vMerge w:val="continue"/>
                  <w:shd w:val="clear" w:color="auto" w:fill="FFFFFF" w:themeFill="background1"/>
                  <w:vAlign w:val="center"/>
                </w:tcPr>
                <w:p w14:paraId="6C873460">
                  <w:pPr>
                    <w:pStyle w:val="3"/>
                    <w:numPr>
                      <w:ilvl w:val="1"/>
                      <w:numId w:val="0"/>
                    </w:numPr>
                    <w:spacing w:line="240" w:lineRule="auto"/>
                    <w:jc w:val="center"/>
                    <w:rPr>
                      <w:rFonts w:ascii="Times New Roman" w:hAnsi="Times New Roman"/>
                      <w:color w:val="000000" w:themeColor="text1"/>
                      <w:sz w:val="21"/>
                      <w:szCs w:val="21"/>
                      <w14:textFill>
                        <w14:solidFill>
                          <w14:schemeClr w14:val="tx1"/>
                        </w14:solidFill>
                      </w14:textFill>
                    </w:rPr>
                  </w:pPr>
                </w:p>
              </w:tc>
              <w:tc>
                <w:tcPr>
                  <w:tcW w:w="2142" w:type="pct"/>
                  <w:shd w:val="clear" w:color="auto" w:fill="FFFFFF" w:themeFill="background1"/>
                  <w:vAlign w:val="center"/>
                </w:tcPr>
                <w:p w14:paraId="19F1364C">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加强夜间施工噪声管控。严格夜间施工噪声管控，完善夜间施工证明申报、审核、时限及施工管理要求，并依法进行公示公告</w:t>
                  </w:r>
                </w:p>
              </w:tc>
              <w:tc>
                <w:tcPr>
                  <w:tcW w:w="1170" w:type="pct"/>
                  <w:vMerge w:val="continue"/>
                  <w:shd w:val="clear" w:color="auto" w:fill="FFFFFF" w:themeFill="background1"/>
                  <w:vAlign w:val="center"/>
                </w:tcPr>
                <w:p w14:paraId="55BCB8FB">
                  <w:pPr>
                    <w:pStyle w:val="49"/>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701" w:type="pct"/>
                  <w:vMerge w:val="continue"/>
                  <w:shd w:val="clear" w:color="auto" w:fill="FFFFFF" w:themeFill="background1"/>
                  <w:vAlign w:val="center"/>
                </w:tcPr>
                <w:p w14:paraId="441157F0">
                  <w:pPr>
                    <w:pStyle w:val="3"/>
                    <w:numPr>
                      <w:ilvl w:val="1"/>
                      <w:numId w:val="0"/>
                    </w:numPr>
                    <w:spacing w:line="240" w:lineRule="auto"/>
                    <w:jc w:val="center"/>
                    <w:rPr>
                      <w:rFonts w:ascii="Times New Roman" w:hAnsi="Times New Roman"/>
                      <w:color w:val="000000" w:themeColor="text1"/>
                      <w:sz w:val="21"/>
                      <w:szCs w:val="21"/>
                      <w14:textFill>
                        <w14:solidFill>
                          <w14:schemeClr w14:val="tx1"/>
                        </w14:solidFill>
                      </w14:textFill>
                    </w:rPr>
                  </w:pPr>
                </w:p>
              </w:tc>
            </w:tr>
            <w:tr w14:paraId="2052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5000" w:type="pct"/>
                  <w:gridSpan w:val="4"/>
                  <w:shd w:val="clear" w:color="auto" w:fill="FFFFFF" w:themeFill="background1"/>
                  <w:vAlign w:val="center"/>
                </w:tcPr>
                <w:p w14:paraId="530D35EB">
                  <w:pPr>
                    <w:pStyle w:val="3"/>
                    <w:pageBreakBefore w:val="0"/>
                    <w:widowControl w:val="0"/>
                    <w:numPr>
                      <w:ilvl w:val="1"/>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color w:val="0000FF"/>
                      <w:sz w:val="24"/>
                      <w:szCs w:val="24"/>
                    </w:rPr>
                  </w:pPr>
                  <w:r>
                    <w:rPr>
                      <w:rFonts w:hint="eastAsia" w:ascii="Times New Roman" w:hAnsi="Times New Roman"/>
                      <w:b/>
                      <w:bCs/>
                      <w:color w:val="0000FF"/>
                      <w:sz w:val="24"/>
                      <w:szCs w:val="24"/>
                    </w:rPr>
                    <w:t>6、</w:t>
                  </w:r>
                  <w:r>
                    <w:rPr>
                      <w:rFonts w:hint="eastAsia" w:ascii="Times New Roman" w:hAnsi="Times New Roman"/>
                      <w:b/>
                      <w:bCs/>
                      <w:color w:val="0000FF"/>
                      <w:sz w:val="24"/>
                      <w:szCs w:val="24"/>
                      <w:lang w:eastAsia="zh-CN"/>
                    </w:rPr>
                    <w:t>占用林地符合性</w:t>
                  </w:r>
                  <w:r>
                    <w:rPr>
                      <w:rFonts w:hint="eastAsia" w:ascii="Times New Roman" w:hAnsi="Times New Roman"/>
                      <w:b/>
                      <w:bCs/>
                      <w:color w:val="0000FF"/>
                      <w:sz w:val="24"/>
                      <w:szCs w:val="24"/>
                    </w:rPr>
                    <w:t>分析</w:t>
                  </w:r>
                </w:p>
                <w:p w14:paraId="287DF98E">
                  <w:pPr>
                    <w:pStyle w:val="46"/>
                    <w:spacing w:beforeLines="0" w:afterLines="0" w:line="240" w:lineRule="auto"/>
                    <w:ind w:firstLine="0" w:firstLineChars="0"/>
                    <w:rPr>
                      <w:rFonts w:ascii="Times New Roman"/>
                      <w:b/>
                      <w:bCs/>
                      <w:color w:val="0000FF"/>
                      <w:sz w:val="24"/>
                      <w:szCs w:val="24"/>
                    </w:rPr>
                  </w:pPr>
                  <w:r>
                    <w:rPr>
                      <w:rFonts w:ascii="Times New Roman"/>
                      <w:b/>
                      <w:bCs/>
                      <w:color w:val="0000FF"/>
                      <w:sz w:val="24"/>
                      <w:szCs w:val="24"/>
                    </w:rPr>
                    <w:t>表1-</w:t>
                  </w:r>
                  <w:r>
                    <w:rPr>
                      <w:rFonts w:hint="eastAsia" w:ascii="Times New Roman"/>
                      <w:b/>
                      <w:bCs/>
                      <w:color w:val="0000FF"/>
                      <w:sz w:val="24"/>
                      <w:szCs w:val="24"/>
                      <w:lang w:val="en-US" w:eastAsia="zh-CN"/>
                    </w:rPr>
                    <w:t>7</w:t>
                  </w:r>
                  <w:r>
                    <w:rPr>
                      <w:rFonts w:ascii="Times New Roman"/>
                      <w:b/>
                      <w:bCs/>
                      <w:color w:val="0000FF"/>
                      <w:sz w:val="24"/>
                      <w:szCs w:val="24"/>
                    </w:rPr>
                    <w:t xml:space="preserve"> </w:t>
                  </w:r>
                  <w:r>
                    <w:rPr>
                      <w:rFonts w:hint="eastAsia" w:ascii="Times New Roman"/>
                      <w:b/>
                      <w:bCs/>
                      <w:color w:val="0000FF"/>
                      <w:sz w:val="24"/>
                      <w:szCs w:val="24"/>
                    </w:rPr>
                    <w:t>本项目占用林地符合性分析</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1133"/>
                    <w:gridCol w:w="3200"/>
                    <w:gridCol w:w="1931"/>
                    <w:gridCol w:w="1018"/>
                  </w:tblGrid>
                  <w:tr w14:paraId="7CEA5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778" w:type="pct"/>
                        <w:shd w:val="clear" w:color="auto" w:fill="FFFFFF" w:themeFill="background1"/>
                        <w:vAlign w:val="center"/>
                      </w:tcPr>
                      <w:p w14:paraId="0228EAAE">
                        <w:pPr>
                          <w:pStyle w:val="3"/>
                          <w:numPr>
                            <w:ilvl w:val="1"/>
                            <w:numId w:val="0"/>
                          </w:numPr>
                          <w:spacing w:line="240" w:lineRule="auto"/>
                          <w:jc w:val="center"/>
                          <w:rPr>
                            <w:rFonts w:ascii="Times New Roman" w:hAnsi="Times New Roman"/>
                            <w:b/>
                            <w:bCs/>
                            <w:color w:val="0000FF"/>
                            <w:sz w:val="21"/>
                            <w:szCs w:val="21"/>
                          </w:rPr>
                        </w:pPr>
                        <w:r>
                          <w:rPr>
                            <w:rFonts w:hint="eastAsia" w:ascii="Times New Roman" w:hAnsi="Times New Roman"/>
                            <w:b/>
                            <w:bCs/>
                            <w:color w:val="0000FF"/>
                            <w:sz w:val="21"/>
                            <w:szCs w:val="21"/>
                          </w:rPr>
                          <w:t>名称</w:t>
                        </w:r>
                      </w:p>
                    </w:tc>
                    <w:tc>
                      <w:tcPr>
                        <w:tcW w:w="2197" w:type="pct"/>
                        <w:shd w:val="clear" w:color="auto" w:fill="FFFFFF" w:themeFill="background1"/>
                        <w:vAlign w:val="center"/>
                      </w:tcPr>
                      <w:p w14:paraId="4B3025C0">
                        <w:pPr>
                          <w:pStyle w:val="3"/>
                          <w:numPr>
                            <w:ilvl w:val="1"/>
                            <w:numId w:val="0"/>
                          </w:numPr>
                          <w:spacing w:line="240" w:lineRule="auto"/>
                          <w:jc w:val="center"/>
                          <w:rPr>
                            <w:rFonts w:ascii="Times New Roman" w:hAnsi="Times New Roman"/>
                            <w:b/>
                            <w:bCs/>
                            <w:color w:val="0000FF"/>
                            <w:sz w:val="21"/>
                            <w:szCs w:val="21"/>
                          </w:rPr>
                        </w:pPr>
                        <w:r>
                          <w:rPr>
                            <w:rFonts w:hint="eastAsia" w:ascii="Times New Roman" w:hAnsi="Times New Roman"/>
                            <w:b/>
                            <w:bCs/>
                            <w:color w:val="0000FF"/>
                            <w:sz w:val="21"/>
                            <w:szCs w:val="21"/>
                          </w:rPr>
                          <w:t>规划内容</w:t>
                        </w:r>
                      </w:p>
                    </w:tc>
                    <w:tc>
                      <w:tcPr>
                        <w:tcW w:w="1326" w:type="pct"/>
                        <w:shd w:val="clear" w:color="auto" w:fill="FFFFFF" w:themeFill="background1"/>
                        <w:vAlign w:val="center"/>
                      </w:tcPr>
                      <w:p w14:paraId="46E6C743">
                        <w:pPr>
                          <w:pStyle w:val="3"/>
                          <w:numPr>
                            <w:ilvl w:val="1"/>
                            <w:numId w:val="0"/>
                          </w:numPr>
                          <w:spacing w:line="240" w:lineRule="auto"/>
                          <w:jc w:val="center"/>
                          <w:rPr>
                            <w:rFonts w:ascii="Times New Roman" w:hAnsi="Times New Roman"/>
                            <w:b/>
                            <w:bCs/>
                            <w:color w:val="0000FF"/>
                            <w:sz w:val="21"/>
                            <w:szCs w:val="21"/>
                          </w:rPr>
                        </w:pPr>
                        <w:r>
                          <w:rPr>
                            <w:rFonts w:ascii="Times New Roman" w:hAnsi="Times New Roman"/>
                            <w:b/>
                            <w:bCs/>
                            <w:color w:val="0000FF"/>
                            <w:sz w:val="21"/>
                            <w:szCs w:val="21"/>
                          </w:rPr>
                          <w:t>本项目情况</w:t>
                        </w:r>
                      </w:p>
                    </w:tc>
                    <w:tc>
                      <w:tcPr>
                        <w:tcW w:w="698" w:type="pct"/>
                        <w:shd w:val="clear" w:color="auto" w:fill="FFFFFF" w:themeFill="background1"/>
                        <w:vAlign w:val="center"/>
                      </w:tcPr>
                      <w:p w14:paraId="762274C7">
                        <w:pPr>
                          <w:pStyle w:val="3"/>
                          <w:numPr>
                            <w:ilvl w:val="1"/>
                            <w:numId w:val="0"/>
                          </w:numPr>
                          <w:spacing w:line="240" w:lineRule="auto"/>
                          <w:jc w:val="center"/>
                          <w:rPr>
                            <w:rFonts w:ascii="Times New Roman" w:hAnsi="Times New Roman"/>
                            <w:b/>
                            <w:bCs/>
                            <w:color w:val="0000FF"/>
                            <w:sz w:val="21"/>
                            <w:szCs w:val="21"/>
                          </w:rPr>
                        </w:pPr>
                        <w:r>
                          <w:rPr>
                            <w:rFonts w:ascii="Times New Roman" w:hAnsi="Times New Roman"/>
                            <w:b/>
                            <w:bCs/>
                            <w:color w:val="0000FF"/>
                            <w:sz w:val="21"/>
                            <w:szCs w:val="21"/>
                          </w:rPr>
                          <w:t>符合性</w:t>
                        </w:r>
                      </w:p>
                    </w:tc>
                  </w:tr>
                  <w:tr w14:paraId="4C506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pct"/>
                        <w:vMerge w:val="restart"/>
                        <w:shd w:val="clear" w:color="auto" w:fill="FFFFFF" w:themeFill="background1"/>
                        <w:vAlign w:val="center"/>
                      </w:tcPr>
                      <w:p w14:paraId="1AC302EF">
                        <w:pPr>
                          <w:pStyle w:val="3"/>
                          <w:numPr>
                            <w:ilvl w:val="1"/>
                            <w:numId w:val="0"/>
                          </w:numPr>
                          <w:spacing w:line="240" w:lineRule="auto"/>
                          <w:jc w:val="center"/>
                          <w:rPr>
                            <w:rFonts w:ascii="Times New Roman" w:hAnsi="Times New Roman"/>
                            <w:color w:val="0000FF"/>
                            <w:sz w:val="21"/>
                            <w:szCs w:val="21"/>
                          </w:rPr>
                        </w:pPr>
                        <w:r>
                          <w:rPr>
                            <w:rFonts w:hint="eastAsia" w:ascii="Times New Roman" w:hAnsi="Times New Roman"/>
                            <w:color w:val="0000FF"/>
                            <w:sz w:val="21"/>
                            <w:szCs w:val="21"/>
                          </w:rPr>
                          <w:t>《建设项目使用林地审核审批管理办法》</w:t>
                        </w:r>
                      </w:p>
                    </w:tc>
                    <w:tc>
                      <w:tcPr>
                        <w:tcW w:w="2197" w:type="pct"/>
                        <w:shd w:val="clear" w:color="auto" w:fill="FFFFFF" w:themeFill="background1"/>
                        <w:vAlign w:val="center"/>
                      </w:tcPr>
                      <w:p w14:paraId="15A6624D">
                        <w:pPr>
                          <w:pStyle w:val="3"/>
                          <w:pageBreakBefore w:val="0"/>
                          <w:widowControl w:val="0"/>
                          <w:numPr>
                            <w:ilvl w:val="1"/>
                            <w:numId w:val="0"/>
                          </w:numPr>
                          <w:kinsoku/>
                          <w:wordWrap/>
                          <w:overflowPunct/>
                          <w:topLinePunct w:val="0"/>
                          <w:autoSpaceDE/>
                          <w:autoSpaceDN/>
                          <w:bidi w:val="0"/>
                          <w:adjustRightInd/>
                          <w:snapToGrid/>
                          <w:spacing w:line="240" w:lineRule="auto"/>
                          <w:jc w:val="both"/>
                          <w:textAlignment w:val="auto"/>
                          <w:rPr>
                            <w:rFonts w:hint="eastAsia" w:ascii="Times New Roman" w:hAnsi="Times New Roman"/>
                            <w:color w:val="0000FF"/>
                            <w:sz w:val="21"/>
                            <w:szCs w:val="21"/>
                          </w:rPr>
                        </w:pPr>
                        <w:r>
                          <w:rPr>
                            <w:rFonts w:hint="eastAsia" w:ascii="Times New Roman" w:hAnsi="Times New Roman"/>
                            <w:color w:val="0000FF"/>
                            <w:sz w:val="21"/>
                            <w:szCs w:val="21"/>
                          </w:rPr>
                          <w:t>各类建设项目不得使用Ⅰ级保护林地。</w:t>
                        </w:r>
                      </w:p>
                    </w:tc>
                    <w:tc>
                      <w:tcPr>
                        <w:tcW w:w="1326" w:type="pct"/>
                        <w:shd w:val="clear" w:color="auto" w:fill="FFFFFF" w:themeFill="background1"/>
                        <w:vAlign w:val="center"/>
                      </w:tcPr>
                      <w:p w14:paraId="13B2EABA">
                        <w:pPr>
                          <w:pStyle w:val="3"/>
                          <w:numPr>
                            <w:ilvl w:val="1"/>
                            <w:numId w:val="0"/>
                          </w:numPr>
                          <w:spacing w:line="240" w:lineRule="auto"/>
                          <w:jc w:val="center"/>
                          <w:rPr>
                            <w:rFonts w:hint="eastAsia" w:ascii="Times New Roman" w:hAnsi="Times New Roman"/>
                            <w:color w:val="0000FF"/>
                            <w:sz w:val="21"/>
                            <w:szCs w:val="21"/>
                          </w:rPr>
                        </w:pPr>
                        <w:r>
                          <w:rPr>
                            <w:rFonts w:hint="eastAsia" w:ascii="Times New Roman" w:hAnsi="Times New Roman"/>
                            <w:color w:val="0000FF"/>
                            <w:sz w:val="21"/>
                            <w:szCs w:val="21"/>
                          </w:rPr>
                          <w:t>本项目用地不涉及Ⅰ级保护林地。</w:t>
                        </w:r>
                      </w:p>
                    </w:tc>
                    <w:tc>
                      <w:tcPr>
                        <w:tcW w:w="698" w:type="pct"/>
                        <w:shd w:val="clear" w:color="auto" w:fill="FFFFFF" w:themeFill="background1"/>
                        <w:vAlign w:val="center"/>
                      </w:tcPr>
                      <w:p w14:paraId="201B4718">
                        <w:pPr>
                          <w:pStyle w:val="3"/>
                          <w:numPr>
                            <w:ilvl w:val="1"/>
                            <w:numId w:val="0"/>
                          </w:numPr>
                          <w:spacing w:line="240" w:lineRule="auto"/>
                          <w:jc w:val="center"/>
                          <w:rPr>
                            <w:rFonts w:ascii="Times New Roman" w:hAnsi="Times New Roman"/>
                            <w:color w:val="0000FF"/>
                            <w:sz w:val="21"/>
                            <w:szCs w:val="21"/>
                          </w:rPr>
                        </w:pPr>
                        <w:r>
                          <w:rPr>
                            <w:rFonts w:ascii="Times New Roman" w:hAnsi="Times New Roman"/>
                            <w:color w:val="0000FF"/>
                            <w:sz w:val="21"/>
                            <w:szCs w:val="21"/>
                          </w:rPr>
                          <w:t>符合</w:t>
                        </w:r>
                      </w:p>
                    </w:tc>
                  </w:tr>
                  <w:tr w14:paraId="3425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pct"/>
                        <w:vMerge w:val="continue"/>
                        <w:shd w:val="clear" w:color="auto" w:fill="FFFFFF" w:themeFill="background1"/>
                        <w:vAlign w:val="center"/>
                      </w:tcPr>
                      <w:p w14:paraId="4BF8717C">
                        <w:pPr>
                          <w:pStyle w:val="3"/>
                          <w:numPr>
                            <w:ilvl w:val="1"/>
                            <w:numId w:val="0"/>
                          </w:numPr>
                          <w:spacing w:line="240" w:lineRule="auto"/>
                          <w:jc w:val="center"/>
                          <w:rPr>
                            <w:rFonts w:ascii="Times New Roman" w:hAnsi="Times New Roman"/>
                            <w:color w:val="0000FF"/>
                            <w:sz w:val="21"/>
                            <w:szCs w:val="21"/>
                          </w:rPr>
                        </w:pPr>
                      </w:p>
                    </w:tc>
                    <w:tc>
                      <w:tcPr>
                        <w:tcW w:w="2197" w:type="pct"/>
                        <w:shd w:val="clear" w:color="auto" w:fill="FFFFFF" w:themeFill="background1"/>
                        <w:vAlign w:val="center"/>
                      </w:tcPr>
                      <w:p w14:paraId="1655348D">
                        <w:pPr>
                          <w:pStyle w:val="3"/>
                          <w:pageBreakBefore w:val="0"/>
                          <w:widowControl w:val="0"/>
                          <w:numPr>
                            <w:ilvl w:val="1"/>
                            <w:numId w:val="0"/>
                          </w:numPr>
                          <w:kinsoku/>
                          <w:wordWrap/>
                          <w:overflowPunct/>
                          <w:topLinePunct w:val="0"/>
                          <w:autoSpaceDE/>
                          <w:autoSpaceDN/>
                          <w:bidi w:val="0"/>
                          <w:adjustRightInd/>
                          <w:snapToGrid/>
                          <w:spacing w:line="240" w:lineRule="auto"/>
                          <w:jc w:val="both"/>
                          <w:textAlignment w:val="auto"/>
                          <w:rPr>
                            <w:rFonts w:hint="eastAsia" w:ascii="Times New Roman" w:hAnsi="Times New Roman"/>
                            <w:color w:val="0000FF"/>
                            <w:sz w:val="21"/>
                            <w:szCs w:val="21"/>
                          </w:rPr>
                        </w:pPr>
                        <w:r>
                          <w:rPr>
                            <w:rFonts w:hint="eastAsia" w:ascii="Times New Roman" w:hAnsi="Times New Roman"/>
                            <w:color w:val="0000FF"/>
                            <w:sz w:val="21"/>
                            <w:szCs w:val="21"/>
                          </w:rPr>
                          <w:t>战略性新兴产业项目、勘查项目、大中型矿山、符合相关旅游规划的生态旅游开发项目，可以使用Ⅱ级及其以下保护林地。</w:t>
                        </w:r>
                      </w:p>
                    </w:tc>
                    <w:tc>
                      <w:tcPr>
                        <w:tcW w:w="1326" w:type="pct"/>
                        <w:shd w:val="clear" w:color="auto" w:fill="FFFFFF" w:themeFill="background1"/>
                        <w:vAlign w:val="center"/>
                      </w:tcPr>
                      <w:p w14:paraId="49921D79">
                        <w:pPr>
                          <w:pStyle w:val="3"/>
                          <w:numPr>
                            <w:ilvl w:val="1"/>
                            <w:numId w:val="0"/>
                          </w:numPr>
                          <w:spacing w:line="240" w:lineRule="auto"/>
                          <w:jc w:val="center"/>
                          <w:rPr>
                            <w:rFonts w:hint="eastAsia" w:ascii="Times New Roman" w:hAnsi="Times New Roman"/>
                            <w:color w:val="0000FF"/>
                            <w:sz w:val="21"/>
                            <w:szCs w:val="21"/>
                          </w:rPr>
                        </w:pPr>
                        <w:r>
                          <w:rPr>
                            <w:rFonts w:hint="eastAsia" w:ascii="Times New Roman" w:hAnsi="Times New Roman"/>
                            <w:color w:val="0000FF"/>
                            <w:sz w:val="21"/>
                            <w:szCs w:val="21"/>
                          </w:rPr>
                          <w:t>本项目为</w:t>
                        </w:r>
                        <w:r>
                          <w:rPr>
                            <w:rFonts w:hint="eastAsia" w:ascii="Times New Roman" w:hAnsi="Times New Roman"/>
                            <w:color w:val="0000FF"/>
                            <w:sz w:val="21"/>
                            <w:szCs w:val="21"/>
                            <w:lang w:eastAsia="zh-CN"/>
                          </w:rPr>
                          <w:t>矿山开采</w:t>
                        </w:r>
                        <w:r>
                          <w:rPr>
                            <w:rFonts w:hint="eastAsia" w:ascii="Times New Roman" w:hAnsi="Times New Roman"/>
                            <w:color w:val="0000FF"/>
                            <w:sz w:val="21"/>
                            <w:szCs w:val="21"/>
                          </w:rPr>
                          <w:t>项目，占用林地为Ⅱ级保护林地。</w:t>
                        </w:r>
                      </w:p>
                    </w:tc>
                    <w:tc>
                      <w:tcPr>
                        <w:tcW w:w="698" w:type="pct"/>
                        <w:shd w:val="clear" w:color="auto" w:fill="FFFFFF" w:themeFill="background1"/>
                        <w:vAlign w:val="center"/>
                      </w:tcPr>
                      <w:p w14:paraId="415439F5">
                        <w:pPr>
                          <w:pStyle w:val="3"/>
                          <w:numPr>
                            <w:ilvl w:val="1"/>
                            <w:numId w:val="0"/>
                          </w:numPr>
                          <w:spacing w:line="240" w:lineRule="auto"/>
                          <w:jc w:val="center"/>
                          <w:rPr>
                            <w:rFonts w:ascii="Times New Roman" w:hAnsi="Times New Roman"/>
                            <w:color w:val="0000FF"/>
                            <w:sz w:val="21"/>
                            <w:szCs w:val="21"/>
                          </w:rPr>
                        </w:pPr>
                        <w:r>
                          <w:rPr>
                            <w:rFonts w:ascii="Times New Roman" w:hAnsi="Times New Roman"/>
                            <w:color w:val="0000FF"/>
                            <w:sz w:val="21"/>
                            <w:szCs w:val="21"/>
                          </w:rPr>
                          <w:t>符合</w:t>
                        </w:r>
                      </w:p>
                    </w:tc>
                  </w:tr>
                  <w:tr w14:paraId="59860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pct"/>
                        <w:vMerge w:val="continue"/>
                        <w:shd w:val="clear" w:color="auto" w:fill="FFFFFF" w:themeFill="background1"/>
                        <w:vAlign w:val="center"/>
                      </w:tcPr>
                      <w:p w14:paraId="0B78D38C">
                        <w:pPr>
                          <w:pStyle w:val="3"/>
                          <w:numPr>
                            <w:ilvl w:val="1"/>
                            <w:numId w:val="0"/>
                          </w:numPr>
                          <w:spacing w:line="240" w:lineRule="auto"/>
                          <w:jc w:val="center"/>
                          <w:rPr>
                            <w:rFonts w:ascii="Times New Roman" w:hAnsi="Times New Roman"/>
                            <w:color w:val="0000FF"/>
                            <w:sz w:val="21"/>
                            <w:szCs w:val="21"/>
                          </w:rPr>
                        </w:pPr>
                      </w:p>
                    </w:tc>
                    <w:tc>
                      <w:tcPr>
                        <w:tcW w:w="2197" w:type="pct"/>
                        <w:shd w:val="clear" w:color="auto" w:fill="FFFFFF" w:themeFill="background1"/>
                        <w:vAlign w:val="center"/>
                      </w:tcPr>
                      <w:p w14:paraId="13BFBCFE">
                        <w:pPr>
                          <w:pageBreakBefore w:val="0"/>
                          <w:widowControl w:val="0"/>
                          <w:kinsoku/>
                          <w:wordWrap/>
                          <w:overflowPunct/>
                          <w:topLinePunct w:val="0"/>
                          <w:autoSpaceDE/>
                          <w:autoSpaceDN/>
                          <w:bidi w:val="0"/>
                          <w:adjustRightInd/>
                          <w:snapToGrid/>
                          <w:spacing w:line="240" w:lineRule="auto"/>
                          <w:ind w:firstLine="0" w:firstLineChars="0"/>
                          <w:jc w:val="both"/>
                          <w:textAlignment w:val="auto"/>
                          <w:rPr>
                            <w:color w:val="0000FF"/>
                            <w:sz w:val="21"/>
                            <w:szCs w:val="21"/>
                          </w:rPr>
                        </w:pPr>
                        <w:r>
                          <w:rPr>
                            <w:rFonts w:hint="eastAsia"/>
                            <w:color w:val="0000FF"/>
                            <w:sz w:val="21"/>
                            <w:szCs w:val="21"/>
                          </w:rPr>
                          <w:t>建设项目占用林地，经林业主管部门审核同意后，建设单位和个人应当依照法律法规的规定办理建设用地审批手续。</w:t>
                        </w:r>
                      </w:p>
                    </w:tc>
                    <w:tc>
                      <w:tcPr>
                        <w:tcW w:w="1326" w:type="pct"/>
                        <w:shd w:val="clear" w:color="auto" w:fill="FFFFFF" w:themeFill="background1"/>
                        <w:vAlign w:val="center"/>
                      </w:tcPr>
                      <w:p w14:paraId="42EAB62B">
                        <w:pPr>
                          <w:spacing w:line="240" w:lineRule="auto"/>
                          <w:ind w:firstLine="0" w:firstLineChars="0"/>
                          <w:rPr>
                            <w:color w:val="0000FF"/>
                            <w:sz w:val="21"/>
                            <w:szCs w:val="21"/>
                          </w:rPr>
                        </w:pPr>
                        <w:r>
                          <w:rPr>
                            <w:rFonts w:hint="eastAsia"/>
                            <w:color w:val="0000FF"/>
                            <w:sz w:val="21"/>
                            <w:szCs w:val="21"/>
                            <w:lang w:val="en-US" w:eastAsia="zh-CN"/>
                          </w:rPr>
                          <w:t>本项目涉及占用林地，应当依照法律法规的规定办理林地手续。项目完成后应恢复土地原貌。</w:t>
                        </w:r>
                      </w:p>
                    </w:tc>
                    <w:tc>
                      <w:tcPr>
                        <w:tcW w:w="698" w:type="pct"/>
                        <w:shd w:val="clear" w:color="auto" w:fill="FFFFFF" w:themeFill="background1"/>
                        <w:vAlign w:val="center"/>
                      </w:tcPr>
                      <w:p w14:paraId="5E3854C7">
                        <w:pPr>
                          <w:pStyle w:val="3"/>
                          <w:numPr>
                            <w:ilvl w:val="1"/>
                            <w:numId w:val="0"/>
                          </w:numPr>
                          <w:spacing w:line="240" w:lineRule="auto"/>
                          <w:jc w:val="center"/>
                          <w:rPr>
                            <w:rFonts w:ascii="Times New Roman" w:hAnsi="Times New Roman"/>
                            <w:color w:val="0000FF"/>
                            <w:sz w:val="21"/>
                            <w:szCs w:val="21"/>
                          </w:rPr>
                        </w:pPr>
                        <w:r>
                          <w:rPr>
                            <w:rFonts w:ascii="Times New Roman" w:hAnsi="Times New Roman"/>
                            <w:color w:val="0000FF"/>
                            <w:sz w:val="21"/>
                            <w:szCs w:val="21"/>
                          </w:rPr>
                          <w:t>符合</w:t>
                        </w:r>
                      </w:p>
                    </w:tc>
                  </w:tr>
                  <w:tr w14:paraId="5E886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pct"/>
                        <w:vMerge w:val="restart"/>
                        <w:shd w:val="clear" w:color="auto" w:fill="FFFFFF" w:themeFill="background1"/>
                        <w:vAlign w:val="center"/>
                      </w:tcPr>
                      <w:p w14:paraId="25E0A0C3">
                        <w:pPr>
                          <w:pStyle w:val="3"/>
                          <w:numPr>
                            <w:ilvl w:val="1"/>
                            <w:numId w:val="0"/>
                          </w:numPr>
                          <w:spacing w:line="240" w:lineRule="auto"/>
                          <w:jc w:val="center"/>
                          <w:rPr>
                            <w:rFonts w:hint="eastAsia" w:ascii="Times New Roman" w:hAnsi="Times New Roman"/>
                            <w:color w:val="0000FF"/>
                            <w:sz w:val="21"/>
                            <w:szCs w:val="21"/>
                          </w:rPr>
                        </w:pPr>
                        <w:r>
                          <w:rPr>
                            <w:rFonts w:hint="eastAsia" w:ascii="Times New Roman" w:hAnsi="Times New Roman"/>
                            <w:color w:val="0000FF"/>
                            <w:sz w:val="21"/>
                            <w:szCs w:val="21"/>
                          </w:rPr>
                          <w:t>《国家级公益林管理办法》</w:t>
                        </w:r>
                      </w:p>
                      <w:p w14:paraId="7E750AA5">
                        <w:pPr>
                          <w:pStyle w:val="3"/>
                          <w:numPr>
                            <w:ilvl w:val="1"/>
                            <w:numId w:val="0"/>
                          </w:numPr>
                          <w:spacing w:line="240" w:lineRule="auto"/>
                          <w:jc w:val="center"/>
                          <w:rPr>
                            <w:rFonts w:hint="eastAsia" w:ascii="Times New Roman" w:hAnsi="Times New Roman"/>
                            <w:color w:val="0000FF"/>
                            <w:sz w:val="21"/>
                            <w:szCs w:val="21"/>
                          </w:rPr>
                        </w:pPr>
                        <w:r>
                          <w:rPr>
                            <w:rFonts w:hint="eastAsia" w:ascii="Times New Roman" w:hAnsi="Times New Roman"/>
                            <w:color w:val="0000FF"/>
                            <w:sz w:val="21"/>
                            <w:szCs w:val="21"/>
                          </w:rPr>
                          <w:t>（林资发</w:t>
                        </w:r>
                      </w:p>
                      <w:p w14:paraId="4994A56F">
                        <w:pPr>
                          <w:pStyle w:val="3"/>
                          <w:numPr>
                            <w:ilvl w:val="1"/>
                            <w:numId w:val="0"/>
                          </w:numPr>
                          <w:spacing w:line="240" w:lineRule="auto"/>
                          <w:jc w:val="center"/>
                          <w:rPr>
                            <w:rFonts w:ascii="Times New Roman" w:hAnsi="Times New Roman"/>
                            <w:color w:val="0000FF"/>
                            <w:sz w:val="21"/>
                            <w:szCs w:val="21"/>
                          </w:rPr>
                        </w:pPr>
                        <w:r>
                          <w:rPr>
                            <w:rFonts w:hint="eastAsia" w:ascii="Times New Roman" w:hAnsi="Times New Roman"/>
                            <w:color w:val="0000FF"/>
                            <w:sz w:val="21"/>
                            <w:szCs w:val="21"/>
                          </w:rPr>
                          <w:t>〔2017〕34号）</w:t>
                        </w:r>
                      </w:p>
                    </w:tc>
                    <w:tc>
                      <w:tcPr>
                        <w:tcW w:w="2197" w:type="pct"/>
                        <w:shd w:val="clear" w:color="auto" w:fill="FFFFFF" w:themeFill="background1"/>
                        <w:vAlign w:val="center"/>
                      </w:tcPr>
                      <w:p w14:paraId="660542E0">
                        <w:pPr>
                          <w:spacing w:line="240" w:lineRule="auto"/>
                          <w:ind w:firstLine="0" w:firstLineChars="0"/>
                          <w:rPr>
                            <w:rFonts w:hint="eastAsia"/>
                            <w:color w:val="0000FF"/>
                            <w:sz w:val="21"/>
                            <w:szCs w:val="21"/>
                          </w:rPr>
                        </w:pPr>
                        <w:r>
                          <w:rPr>
                            <w:rFonts w:hint="eastAsia"/>
                            <w:color w:val="0000FF"/>
                            <w:sz w:val="21"/>
                            <w:szCs w:val="21"/>
                          </w:rPr>
                          <w:t>严格控制勘查、开采矿藏和工程建设使用国家级公益林地。确需使用的，严格按照有关规定办理</w:t>
                        </w:r>
                      </w:p>
                      <w:p w14:paraId="41679515">
                        <w:pPr>
                          <w:spacing w:line="240" w:lineRule="auto"/>
                          <w:ind w:firstLine="0" w:firstLineChars="0"/>
                          <w:rPr>
                            <w:rFonts w:hint="eastAsia"/>
                            <w:color w:val="0000FF"/>
                            <w:sz w:val="21"/>
                            <w:szCs w:val="21"/>
                          </w:rPr>
                        </w:pPr>
                        <w:r>
                          <w:rPr>
                            <w:rFonts w:hint="eastAsia"/>
                            <w:color w:val="0000FF"/>
                            <w:sz w:val="21"/>
                            <w:szCs w:val="21"/>
                          </w:rPr>
                          <w:t>林地手续。涉及林木采伐的，按相关规定办理林木采伐手续。</w:t>
                        </w:r>
                      </w:p>
                    </w:tc>
                    <w:tc>
                      <w:tcPr>
                        <w:tcW w:w="1326" w:type="pct"/>
                        <w:shd w:val="clear" w:color="auto" w:fill="FFFFFF" w:themeFill="background1"/>
                        <w:vAlign w:val="center"/>
                      </w:tcPr>
                      <w:p w14:paraId="5F14C013">
                        <w:pPr>
                          <w:spacing w:line="240" w:lineRule="auto"/>
                          <w:ind w:firstLine="0" w:firstLineChars="0"/>
                          <w:rPr>
                            <w:rFonts w:hint="eastAsia"/>
                            <w:color w:val="0000FF"/>
                            <w:sz w:val="21"/>
                            <w:szCs w:val="21"/>
                            <w:lang w:val="en-US" w:eastAsia="zh-CN"/>
                          </w:rPr>
                        </w:pPr>
                        <w:r>
                          <w:rPr>
                            <w:rFonts w:hint="eastAsia"/>
                            <w:color w:val="0000FF"/>
                            <w:sz w:val="21"/>
                            <w:szCs w:val="21"/>
                            <w:lang w:val="en-US" w:eastAsia="zh-CN"/>
                          </w:rPr>
                          <w:t>本项目占地涉及国家二级公益林，属于Ⅱ级保护林地，本项目属于《建设项目使用林地审核审批管理办法》规定的大中型矿产资源可以使用Ⅱ级的情形。本项目应按规定办理林木采伐许可手续后进行。</w:t>
                        </w:r>
                      </w:p>
                    </w:tc>
                    <w:tc>
                      <w:tcPr>
                        <w:tcW w:w="698" w:type="pct"/>
                        <w:shd w:val="clear" w:color="auto" w:fill="FFFFFF" w:themeFill="background1"/>
                        <w:vAlign w:val="center"/>
                      </w:tcPr>
                      <w:p w14:paraId="4C1AA233">
                        <w:pPr>
                          <w:pStyle w:val="3"/>
                          <w:numPr>
                            <w:ilvl w:val="1"/>
                            <w:numId w:val="0"/>
                          </w:numPr>
                          <w:spacing w:line="240" w:lineRule="auto"/>
                          <w:jc w:val="center"/>
                          <w:rPr>
                            <w:rFonts w:hint="eastAsia" w:ascii="Times New Roman" w:hAnsi="Times New Roman" w:eastAsia="宋体"/>
                            <w:color w:val="0000FF"/>
                            <w:sz w:val="21"/>
                            <w:szCs w:val="21"/>
                            <w:lang w:eastAsia="zh-CN"/>
                          </w:rPr>
                        </w:pPr>
                        <w:r>
                          <w:rPr>
                            <w:rFonts w:hint="eastAsia" w:ascii="Times New Roman" w:hAnsi="Times New Roman"/>
                            <w:color w:val="0000FF"/>
                            <w:sz w:val="21"/>
                            <w:szCs w:val="21"/>
                            <w:lang w:eastAsia="zh-CN"/>
                          </w:rPr>
                          <w:t>符合</w:t>
                        </w:r>
                      </w:p>
                    </w:tc>
                  </w:tr>
                  <w:tr w14:paraId="4FE61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pct"/>
                        <w:vMerge w:val="continue"/>
                        <w:shd w:val="clear" w:color="auto" w:fill="FFFFFF" w:themeFill="background1"/>
                        <w:vAlign w:val="center"/>
                      </w:tcPr>
                      <w:p w14:paraId="2004FDC3">
                        <w:pPr>
                          <w:pStyle w:val="3"/>
                          <w:numPr>
                            <w:ilvl w:val="1"/>
                            <w:numId w:val="0"/>
                          </w:numPr>
                          <w:spacing w:line="240" w:lineRule="auto"/>
                          <w:jc w:val="center"/>
                          <w:rPr>
                            <w:rFonts w:ascii="Times New Roman" w:hAnsi="Times New Roman"/>
                            <w:color w:val="0000FF"/>
                            <w:sz w:val="21"/>
                            <w:szCs w:val="21"/>
                          </w:rPr>
                        </w:pPr>
                      </w:p>
                    </w:tc>
                    <w:tc>
                      <w:tcPr>
                        <w:tcW w:w="2197" w:type="pct"/>
                        <w:shd w:val="clear" w:color="auto" w:fill="FFFFFF" w:themeFill="background1"/>
                        <w:vAlign w:val="center"/>
                      </w:tcPr>
                      <w:p w14:paraId="12A1F5E3">
                        <w:pPr>
                          <w:spacing w:line="240" w:lineRule="auto"/>
                          <w:ind w:firstLine="0" w:firstLineChars="0"/>
                          <w:rPr>
                            <w:rFonts w:hint="eastAsia"/>
                            <w:color w:val="0000FF"/>
                            <w:sz w:val="21"/>
                            <w:szCs w:val="21"/>
                          </w:rPr>
                        </w:pPr>
                        <w:r>
                          <w:rPr>
                            <w:rFonts w:hint="eastAsia"/>
                            <w:color w:val="0000FF"/>
                            <w:sz w:val="21"/>
                            <w:szCs w:val="21"/>
                          </w:rPr>
                          <w:t>国有一级国家级公益林，不得开展任何形式的生产经营活动。</w:t>
                        </w:r>
                      </w:p>
                    </w:tc>
                    <w:tc>
                      <w:tcPr>
                        <w:tcW w:w="1326" w:type="pct"/>
                        <w:shd w:val="clear" w:color="auto" w:fill="FFFFFF" w:themeFill="background1"/>
                        <w:vAlign w:val="center"/>
                      </w:tcPr>
                      <w:p w14:paraId="07C47EFB">
                        <w:pPr>
                          <w:spacing w:line="240" w:lineRule="auto"/>
                          <w:ind w:firstLine="0" w:firstLineChars="0"/>
                          <w:rPr>
                            <w:rFonts w:hint="eastAsia"/>
                            <w:color w:val="0000FF"/>
                            <w:sz w:val="21"/>
                            <w:szCs w:val="21"/>
                            <w:lang w:val="en-US" w:eastAsia="zh-CN"/>
                          </w:rPr>
                        </w:pPr>
                        <w:r>
                          <w:rPr>
                            <w:rFonts w:hint="eastAsia"/>
                            <w:color w:val="0000FF"/>
                            <w:sz w:val="21"/>
                            <w:szCs w:val="21"/>
                            <w:lang w:val="en-US" w:eastAsia="zh-CN"/>
                          </w:rPr>
                          <w:t>本项目用地不涉及Ⅰ级保护林地。</w:t>
                        </w:r>
                      </w:p>
                    </w:tc>
                    <w:tc>
                      <w:tcPr>
                        <w:tcW w:w="698" w:type="pct"/>
                        <w:shd w:val="clear" w:color="auto" w:fill="FFFFFF" w:themeFill="background1"/>
                        <w:vAlign w:val="center"/>
                      </w:tcPr>
                      <w:p w14:paraId="28F0C7E6">
                        <w:pPr>
                          <w:pStyle w:val="3"/>
                          <w:numPr>
                            <w:ilvl w:val="1"/>
                            <w:numId w:val="0"/>
                          </w:numPr>
                          <w:spacing w:line="240" w:lineRule="auto"/>
                          <w:jc w:val="center"/>
                          <w:rPr>
                            <w:rFonts w:hint="eastAsia" w:ascii="Times New Roman" w:hAnsi="Times New Roman" w:eastAsia="宋体"/>
                            <w:color w:val="0000FF"/>
                            <w:sz w:val="21"/>
                            <w:szCs w:val="21"/>
                            <w:lang w:eastAsia="zh-CN"/>
                          </w:rPr>
                        </w:pPr>
                        <w:r>
                          <w:rPr>
                            <w:rFonts w:hint="eastAsia" w:ascii="Times New Roman" w:hAnsi="Times New Roman"/>
                            <w:color w:val="0000FF"/>
                            <w:sz w:val="21"/>
                            <w:szCs w:val="21"/>
                            <w:lang w:eastAsia="zh-CN"/>
                          </w:rPr>
                          <w:t>符合</w:t>
                        </w:r>
                      </w:p>
                    </w:tc>
                  </w:tr>
                </w:tbl>
                <w:p w14:paraId="62F8BDCE">
                  <w:pPr>
                    <w:pStyle w:val="3"/>
                    <w:numPr>
                      <w:ilvl w:val="1"/>
                      <w:numId w:val="0"/>
                    </w:numPr>
                    <w:spacing w:line="240" w:lineRule="auto"/>
                    <w:jc w:val="center"/>
                    <w:rPr>
                      <w:rFonts w:ascii="Times New Roman" w:hAnsi="Times New Roman"/>
                      <w:color w:val="000000" w:themeColor="text1"/>
                      <w:sz w:val="21"/>
                      <w:szCs w:val="21"/>
                      <w14:textFill>
                        <w14:solidFill>
                          <w14:schemeClr w14:val="tx1"/>
                        </w14:solidFill>
                      </w14:textFill>
                    </w:rPr>
                  </w:pPr>
                </w:p>
              </w:tc>
            </w:tr>
          </w:tbl>
          <w:p w14:paraId="3C6C7A2D">
            <w:pPr>
              <w:pStyle w:val="23"/>
              <w:spacing w:after="0"/>
              <w:ind w:left="0" w:leftChars="0" w:firstLine="480"/>
            </w:pPr>
          </w:p>
        </w:tc>
      </w:tr>
    </w:tbl>
    <w:p w14:paraId="1CBF3EE3">
      <w:pPr>
        <w:pStyle w:val="20"/>
        <w:sectPr>
          <w:footerReference r:id="rId7" w:type="default"/>
          <w:pgSz w:w="11906" w:h="16838"/>
          <w:pgMar w:top="1701" w:right="1531" w:bottom="1701" w:left="1531" w:header="851" w:footer="1077" w:gutter="0"/>
          <w:pgNumType w:start="1"/>
          <w:cols w:space="720" w:num="1"/>
          <w:docGrid w:linePitch="312" w:charSpace="0"/>
        </w:sectPr>
      </w:pPr>
    </w:p>
    <w:p w14:paraId="6E7BF236">
      <w:pPr>
        <w:pStyle w:val="20"/>
      </w:pPr>
      <w:r>
        <w:t>二、建设内容</w:t>
      </w:r>
    </w:p>
    <w:tbl>
      <w:tblPr>
        <w:tblStyle w:val="24"/>
        <w:tblW w:w="506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4"/>
        <w:gridCol w:w="7812"/>
      </w:tblGrid>
      <w:tr w14:paraId="6D3A48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44" w:hRule="atLeast"/>
          <w:jc w:val="center"/>
        </w:trPr>
        <w:tc>
          <w:tcPr>
            <w:tcW w:w="471" w:type="pct"/>
            <w:vAlign w:val="center"/>
          </w:tcPr>
          <w:p w14:paraId="2407E4C0">
            <w:pPr>
              <w:spacing w:line="240" w:lineRule="auto"/>
              <w:ind w:firstLine="0" w:firstLineChars="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地理</w:t>
            </w:r>
          </w:p>
          <w:p w14:paraId="5DDF5936">
            <w:pPr>
              <w:spacing w:line="240" w:lineRule="auto"/>
              <w:ind w:firstLine="0" w:firstLineChars="0"/>
              <w:jc w:val="center"/>
              <w:rPr>
                <w:b/>
                <w:bCs/>
                <w:color w:val="000000" w:themeColor="text1"/>
                <w:kern w:val="0"/>
                <w14:textFill>
                  <w14:solidFill>
                    <w14:schemeClr w14:val="tx1"/>
                  </w14:solidFill>
                </w14:textFill>
              </w:rPr>
            </w:pPr>
            <w:r>
              <w:rPr>
                <w:color w:val="000000" w:themeColor="text1"/>
                <w:kern w:val="0"/>
                <w14:textFill>
                  <w14:solidFill>
                    <w14:schemeClr w14:val="tx1"/>
                  </w14:solidFill>
                </w14:textFill>
              </w:rPr>
              <w:t>位置</w:t>
            </w:r>
          </w:p>
        </w:tc>
        <w:tc>
          <w:tcPr>
            <w:tcW w:w="4528" w:type="pct"/>
            <w:vAlign w:val="center"/>
          </w:tcPr>
          <w:p w14:paraId="7FB74AEB">
            <w:pPr>
              <w:keepNext w:val="0"/>
              <w:keepLines w:val="0"/>
              <w:pageBreakBefore w:val="0"/>
              <w:widowControl w:val="0"/>
              <w:kinsoku/>
              <w:wordWrap/>
              <w:overflowPunct/>
              <w:topLinePunct w:val="0"/>
              <w:autoSpaceDE/>
              <w:autoSpaceDN/>
              <w:bidi w:val="0"/>
              <w:adjustRightInd w:val="0"/>
              <w:snapToGrid w:val="0"/>
              <w:ind w:firstLine="480"/>
              <w:textAlignment w:val="auto"/>
              <w:rPr>
                <w:color w:val="0000FF"/>
              </w:rPr>
            </w:pPr>
            <w:r>
              <w:rPr>
                <w:color w:val="0000FF"/>
              </w:rPr>
              <w:t>本项目位于陕西省宝鸡市陈仓区香泉镇梨树沟，矿区中心坐标：东经106度48分48.090秒，北纬34度35分13.100秒，矿区范围由9个拐点组成，矿区面积约2.886km</w:t>
            </w:r>
            <w:r>
              <w:rPr>
                <w:color w:val="0000FF"/>
                <w:vertAlign w:val="superscript"/>
              </w:rPr>
              <w:t>2</w:t>
            </w:r>
            <w:r>
              <w:rPr>
                <w:color w:val="0000FF"/>
              </w:rPr>
              <w:t>，开采矿种为冶金用脉石英矿，</w:t>
            </w:r>
            <w:r>
              <w:rPr>
                <w:rFonts w:hint="eastAsia"/>
                <w:color w:val="0000FF"/>
              </w:rPr>
              <w:t>本项目规划建设年产40万吨脉石英矿</w:t>
            </w:r>
            <w:r>
              <w:rPr>
                <w:color w:val="0000FF"/>
              </w:rPr>
              <w:t>。</w:t>
            </w:r>
          </w:p>
          <w:p w14:paraId="2089480E">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color w:val="0000FF"/>
              </w:rPr>
            </w:pPr>
            <w:r>
              <w:rPr>
                <w:rFonts w:hint="eastAsia"/>
                <w:color w:val="0000FF"/>
              </w:rPr>
              <w:t>开采对象：矿区范围内圈定的KT1-1、KT1-2、KT3矿体。</w:t>
            </w:r>
          </w:p>
          <w:p w14:paraId="2D97180C">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color w:val="0000FF"/>
              </w:rPr>
            </w:pPr>
            <w:r>
              <w:rPr>
                <w:rFonts w:hint="eastAsia"/>
                <w:color w:val="0000FF"/>
              </w:rPr>
              <w:t>开采方式：露天开采。</w:t>
            </w:r>
          </w:p>
          <w:p w14:paraId="35FFAF6E">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color w:val="0000FF"/>
              </w:rPr>
            </w:pPr>
            <w:r>
              <w:rPr>
                <w:rFonts w:hint="eastAsia"/>
                <w:color w:val="0000FF"/>
              </w:rPr>
              <w:t>台阶参数：矿体开采台阶高度12m，KT1-1开采标高1594m-1786m，KT1-2开采标高1600m-1792m，KT3开采标高1570m-1644m。每隔两个安全平台设一个清扫平台，安全平台宽4m，清扫平台宽8m。</w:t>
            </w:r>
          </w:p>
          <w:p w14:paraId="5C6E670C">
            <w:pPr>
              <w:keepNext w:val="0"/>
              <w:keepLines w:val="0"/>
              <w:pageBreakBefore w:val="0"/>
              <w:widowControl w:val="0"/>
              <w:kinsoku/>
              <w:wordWrap/>
              <w:overflowPunct/>
              <w:topLinePunct w:val="0"/>
              <w:autoSpaceDE/>
              <w:autoSpaceDN/>
              <w:bidi w:val="0"/>
              <w:adjustRightInd w:val="0"/>
              <w:snapToGrid w:val="0"/>
              <w:ind w:firstLine="480"/>
              <w:textAlignment w:val="auto"/>
              <w:rPr>
                <w:color w:val="0000FF"/>
              </w:rPr>
            </w:pPr>
            <w:r>
              <w:rPr>
                <w:rFonts w:hint="eastAsia"/>
                <w:color w:val="0000FF"/>
              </w:rPr>
              <w:t>最终边坡角：KT1-1最终边坡角：42°58′；KT1-2最终边坡角：43°19′；KT1-3 最终边坡角：24°29′。</w:t>
            </w:r>
          </w:p>
          <w:p w14:paraId="12742FEC">
            <w:pPr>
              <w:adjustRightInd w:val="0"/>
              <w:snapToGrid w:val="0"/>
              <w:spacing w:line="240" w:lineRule="auto"/>
              <w:ind w:firstLine="0" w:firstLineChars="0"/>
              <w:jc w:val="center"/>
              <w:rPr>
                <w:color w:val="000000" w:themeColor="text1"/>
                <w14:textFill>
                  <w14:solidFill>
                    <w14:schemeClr w14:val="tx1"/>
                  </w14:solidFill>
                </w14:textFill>
              </w:rPr>
            </w:pPr>
            <w:r>
              <w:rPr>
                <w:b/>
                <w:color w:val="000000" w:themeColor="text1"/>
                <w14:textFill>
                  <w14:solidFill>
                    <w14:schemeClr w14:val="tx1"/>
                  </w14:solidFill>
                </w14:textFill>
              </w:rPr>
              <w:t>表2-1  矿区范围拐点坐标一览表</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2940"/>
              <w:gridCol w:w="3289"/>
            </w:tblGrid>
            <w:tr w14:paraId="3922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48" w:type="dxa"/>
                  <w:vMerge w:val="restart"/>
                  <w:vAlign w:val="center"/>
                </w:tcPr>
                <w:p w14:paraId="0E5F2E2E">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拐点编号</w:t>
                  </w:r>
                </w:p>
              </w:tc>
              <w:tc>
                <w:tcPr>
                  <w:tcW w:w="6659" w:type="dxa"/>
                  <w:gridSpan w:val="2"/>
                  <w:vAlign w:val="center"/>
                </w:tcPr>
                <w:p w14:paraId="747B4C16">
                  <w:pPr>
                    <w:pStyle w:val="68"/>
                    <w:spacing w:before="0" w:after="0" w:line="240" w:lineRule="auto"/>
                    <w:ind w:firstLine="0" w:firstLineChars="0"/>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2000国家大地坐标系</w:t>
                  </w:r>
                </w:p>
              </w:tc>
            </w:tr>
            <w:tr w14:paraId="30F7E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48" w:type="dxa"/>
                  <w:vMerge w:val="continue"/>
                  <w:vAlign w:val="center"/>
                </w:tcPr>
                <w:p w14:paraId="097ACBC7">
                  <w:pPr>
                    <w:spacing w:line="240" w:lineRule="auto"/>
                    <w:ind w:firstLine="0" w:firstLineChars="0"/>
                    <w:jc w:val="center"/>
                    <w:rPr>
                      <w:b/>
                      <w:bCs/>
                      <w:color w:val="000000" w:themeColor="text1"/>
                      <w:sz w:val="21"/>
                      <w:szCs w:val="21"/>
                      <w14:textFill>
                        <w14:solidFill>
                          <w14:schemeClr w14:val="tx1"/>
                        </w14:solidFill>
                      </w14:textFill>
                    </w:rPr>
                  </w:pPr>
                </w:p>
              </w:tc>
              <w:tc>
                <w:tcPr>
                  <w:tcW w:w="3143" w:type="dxa"/>
                  <w:vAlign w:val="center"/>
                </w:tcPr>
                <w:p w14:paraId="46E83C9A">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X坐标</w:t>
                  </w:r>
                </w:p>
              </w:tc>
              <w:tc>
                <w:tcPr>
                  <w:tcW w:w="3516" w:type="dxa"/>
                  <w:vAlign w:val="center"/>
                </w:tcPr>
                <w:p w14:paraId="5669B955">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Y坐标</w:t>
                  </w:r>
                </w:p>
              </w:tc>
            </w:tr>
            <w:tr w14:paraId="1EE4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48" w:type="dxa"/>
                  <w:vAlign w:val="center"/>
                </w:tcPr>
                <w:p w14:paraId="3151555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3143" w:type="dxa"/>
                  <w:vAlign w:val="center"/>
                </w:tcPr>
                <w:p w14:paraId="18440350">
                  <w:pPr>
                    <w:widowControl/>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3830226.58</w:t>
                  </w:r>
                </w:p>
              </w:tc>
              <w:tc>
                <w:tcPr>
                  <w:tcW w:w="3516" w:type="dxa"/>
                  <w:vAlign w:val="center"/>
                </w:tcPr>
                <w:p w14:paraId="043FCE96">
                  <w:pPr>
                    <w:widowControl/>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36390138.19</w:t>
                  </w:r>
                </w:p>
              </w:tc>
            </w:tr>
            <w:tr w14:paraId="62499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48" w:type="dxa"/>
                  <w:vAlign w:val="center"/>
                </w:tcPr>
                <w:p w14:paraId="5209FBF2">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3143" w:type="dxa"/>
                  <w:vAlign w:val="center"/>
                </w:tcPr>
                <w:p w14:paraId="6413645B">
                  <w:pPr>
                    <w:widowControl/>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3830226.58</w:t>
                  </w:r>
                </w:p>
              </w:tc>
              <w:tc>
                <w:tcPr>
                  <w:tcW w:w="3516" w:type="dxa"/>
                  <w:vAlign w:val="center"/>
                </w:tcPr>
                <w:p w14:paraId="56FDD10C">
                  <w:pPr>
                    <w:widowControl/>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36391539.35</w:t>
                  </w:r>
                </w:p>
              </w:tc>
            </w:tr>
            <w:tr w14:paraId="3EDFC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48" w:type="dxa"/>
                  <w:vAlign w:val="center"/>
                </w:tcPr>
                <w:p w14:paraId="3C7E333E">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3143" w:type="dxa"/>
                  <w:vAlign w:val="center"/>
                </w:tcPr>
                <w:p w14:paraId="5080A07F">
                  <w:pPr>
                    <w:widowControl/>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3829935.70</w:t>
                  </w:r>
                </w:p>
              </w:tc>
              <w:tc>
                <w:tcPr>
                  <w:tcW w:w="3516" w:type="dxa"/>
                  <w:vAlign w:val="center"/>
                </w:tcPr>
                <w:p w14:paraId="719A1335">
                  <w:pPr>
                    <w:widowControl/>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36391819.88</w:t>
                  </w:r>
                </w:p>
              </w:tc>
            </w:tr>
            <w:tr w14:paraId="002F7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48" w:type="dxa"/>
                  <w:vAlign w:val="center"/>
                </w:tcPr>
                <w:p w14:paraId="29FECF04">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3143" w:type="dxa"/>
                  <w:vAlign w:val="center"/>
                </w:tcPr>
                <w:p w14:paraId="2F58A41F">
                  <w:pPr>
                    <w:widowControl/>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3829725.87</w:t>
                  </w:r>
                </w:p>
              </w:tc>
              <w:tc>
                <w:tcPr>
                  <w:tcW w:w="3516" w:type="dxa"/>
                  <w:vAlign w:val="center"/>
                </w:tcPr>
                <w:p w14:paraId="769D00AA">
                  <w:pPr>
                    <w:widowControl/>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36392109.71</w:t>
                  </w:r>
                </w:p>
              </w:tc>
            </w:tr>
            <w:tr w14:paraId="0C5D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48" w:type="dxa"/>
                  <w:vAlign w:val="center"/>
                </w:tcPr>
                <w:p w14:paraId="38FEFD2F">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c>
                <w:tcPr>
                  <w:tcW w:w="3143" w:type="dxa"/>
                  <w:vAlign w:val="center"/>
                </w:tcPr>
                <w:p w14:paraId="2943D93B">
                  <w:pPr>
                    <w:widowControl/>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3829667.23</w:t>
                  </w:r>
                </w:p>
              </w:tc>
              <w:tc>
                <w:tcPr>
                  <w:tcW w:w="3516" w:type="dxa"/>
                  <w:vAlign w:val="center"/>
                </w:tcPr>
                <w:p w14:paraId="2AF1768A">
                  <w:pPr>
                    <w:widowControl/>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36392267.26</w:t>
                  </w:r>
                </w:p>
              </w:tc>
            </w:tr>
            <w:tr w14:paraId="23478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48" w:type="dxa"/>
                  <w:vAlign w:val="center"/>
                </w:tcPr>
                <w:p w14:paraId="740FCACB">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p>
              </w:tc>
              <w:tc>
                <w:tcPr>
                  <w:tcW w:w="3143" w:type="dxa"/>
                  <w:vAlign w:val="center"/>
                </w:tcPr>
                <w:p w14:paraId="1CE3C064">
                  <w:pPr>
                    <w:widowControl/>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3828700.77</w:t>
                  </w:r>
                </w:p>
              </w:tc>
              <w:tc>
                <w:tcPr>
                  <w:tcW w:w="3516" w:type="dxa"/>
                  <w:vAlign w:val="center"/>
                </w:tcPr>
                <w:p w14:paraId="68586C81">
                  <w:pPr>
                    <w:widowControl/>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36392267.26</w:t>
                  </w:r>
                </w:p>
              </w:tc>
            </w:tr>
            <w:tr w14:paraId="43C73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48" w:type="dxa"/>
                  <w:vAlign w:val="center"/>
                </w:tcPr>
                <w:p w14:paraId="0A67386E">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w:t>
                  </w:r>
                </w:p>
              </w:tc>
              <w:tc>
                <w:tcPr>
                  <w:tcW w:w="3143" w:type="dxa"/>
                  <w:vAlign w:val="center"/>
                </w:tcPr>
                <w:p w14:paraId="34EC91B4">
                  <w:pPr>
                    <w:widowControl/>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3828700.77</w:t>
                  </w:r>
                </w:p>
              </w:tc>
              <w:tc>
                <w:tcPr>
                  <w:tcW w:w="3516" w:type="dxa"/>
                  <w:vAlign w:val="center"/>
                </w:tcPr>
                <w:p w14:paraId="729E73A4">
                  <w:pPr>
                    <w:widowControl/>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36391744.18</w:t>
                  </w:r>
                </w:p>
              </w:tc>
            </w:tr>
            <w:tr w14:paraId="06DAB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48" w:type="dxa"/>
                  <w:vAlign w:val="center"/>
                </w:tcPr>
                <w:p w14:paraId="4DC24CB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p>
              </w:tc>
              <w:tc>
                <w:tcPr>
                  <w:tcW w:w="3143" w:type="dxa"/>
                  <w:vAlign w:val="center"/>
                </w:tcPr>
                <w:p w14:paraId="3205F26E">
                  <w:pPr>
                    <w:widowControl/>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3829010.79</w:t>
                  </w:r>
                </w:p>
              </w:tc>
              <w:tc>
                <w:tcPr>
                  <w:tcW w:w="3516" w:type="dxa"/>
                  <w:vAlign w:val="center"/>
                </w:tcPr>
                <w:p w14:paraId="293239A8">
                  <w:pPr>
                    <w:widowControl/>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36390025.23</w:t>
                  </w:r>
                </w:p>
              </w:tc>
            </w:tr>
            <w:tr w14:paraId="21502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48" w:type="dxa"/>
                  <w:vAlign w:val="center"/>
                </w:tcPr>
                <w:p w14:paraId="0FC812CD">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w:t>
                  </w:r>
                </w:p>
              </w:tc>
              <w:tc>
                <w:tcPr>
                  <w:tcW w:w="3143" w:type="dxa"/>
                  <w:vAlign w:val="center"/>
                </w:tcPr>
                <w:p w14:paraId="0985F1FB">
                  <w:pPr>
                    <w:widowControl/>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3829711.19</w:t>
                  </w:r>
                </w:p>
              </w:tc>
              <w:tc>
                <w:tcPr>
                  <w:tcW w:w="3516" w:type="dxa"/>
                  <w:vAlign w:val="center"/>
                </w:tcPr>
                <w:p w14:paraId="72A0E3CD">
                  <w:pPr>
                    <w:widowControl/>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36390025.23</w:t>
                  </w:r>
                </w:p>
              </w:tc>
            </w:tr>
          </w:tbl>
          <w:p w14:paraId="1A6D469A">
            <w:pPr>
              <w:adjustRightInd w:val="0"/>
              <w:snapToGrid w:val="0"/>
              <w:ind w:firstLine="480"/>
              <w:rPr>
                <w:color w:val="000000" w:themeColor="text1"/>
                <w14:textFill>
                  <w14:solidFill>
                    <w14:schemeClr w14:val="tx1"/>
                  </w14:solidFill>
                </w14:textFill>
              </w:rPr>
            </w:pPr>
          </w:p>
        </w:tc>
      </w:tr>
      <w:tr w14:paraId="33C5DA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71" w:type="pct"/>
            <w:vAlign w:val="center"/>
          </w:tcPr>
          <w:p w14:paraId="6FFD40ED">
            <w:pPr>
              <w:spacing w:line="240" w:lineRule="auto"/>
              <w:ind w:firstLine="0" w:firstLineChars="0"/>
              <w:jc w:val="center"/>
              <w:rPr>
                <w:b/>
                <w:bCs/>
                <w:color w:val="000000" w:themeColor="text1"/>
                <w:kern w:val="0"/>
                <w14:textFill>
                  <w14:solidFill>
                    <w14:schemeClr w14:val="tx1"/>
                  </w14:solidFill>
                </w14:textFill>
              </w:rPr>
            </w:pPr>
            <w:r>
              <w:rPr>
                <w:color w:val="000000" w:themeColor="text1"/>
                <w:kern w:val="0"/>
                <w14:textFill>
                  <w14:solidFill>
                    <w14:schemeClr w14:val="tx1"/>
                  </w14:solidFill>
                </w14:textFill>
              </w:rPr>
              <w:t>项目组成及规模</w:t>
            </w:r>
          </w:p>
        </w:tc>
        <w:tc>
          <w:tcPr>
            <w:tcW w:w="4528" w:type="pct"/>
            <w:vAlign w:val="center"/>
          </w:tcPr>
          <w:p w14:paraId="61B0B4DD">
            <w:pPr>
              <w:adjustRightInd w:val="0"/>
              <w:snapToGrid w:val="0"/>
              <w:spacing w:before="120" w:beforeLines="50"/>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1、项目背景及由来</w:t>
            </w:r>
          </w:p>
          <w:p w14:paraId="53176A5C">
            <w:pPr>
              <w:adjustRightInd w:val="0"/>
              <w:snapToGrid w:val="0"/>
              <w:ind w:firstLine="480"/>
            </w:pPr>
            <w:r>
              <w:t>陕西从北向南，分布鄂尔多斯盆地、渭河盆地、秦岭、巴山等成矿带，成矿条件优越，矿产资源丰富，具有成矿区域特色明显、矿产种类基本齐全、能源矿产富集、资源潜在价值大、矿业产业优势突出等特点。全省矿产保有资源储量列全国前三位的有15种，居前十位的有60种。对国民经济有重要价值的矿产中，盐矿保有资源储量位居全国第一位，石油、天然气位居全国第三位、煤炭、钒矿、水泥用灰岩位居全国第四位，重晶石位居全国第五位，钼矿、磷矿、晶质石墨位居全国第七位，金矿位居全国第九位。秦岭造山带是全国重点成矿区带和陕西战略性金属非金属矿产分布区，已形成一批规模化、集约化开发和产业优势突出的矿集区，矿业及相关产业在全省经济高质量发展中具有十分重要的地位。但陕西非煤矿山规模小、基础差、工艺技术落后，需加快推进非煤矿山产业转型升级、高质量发展，走安全、环保、绿色、可持续的新发展之路。</w:t>
            </w:r>
          </w:p>
          <w:p w14:paraId="56DDA5A2">
            <w:pPr>
              <w:keepNext w:val="0"/>
              <w:keepLines w:val="0"/>
              <w:pageBreakBefore w:val="0"/>
              <w:widowControl/>
              <w:suppressLineNumbers w:val="0"/>
              <w:kinsoku/>
              <w:wordWrap/>
              <w:overflowPunct/>
              <w:topLinePunct w:val="0"/>
              <w:autoSpaceDE/>
              <w:autoSpaceDN/>
              <w:bidi w:val="0"/>
              <w:adjustRightInd/>
              <w:snapToGrid/>
              <w:jc w:val="both"/>
              <w:textAlignment w:val="auto"/>
              <w:rPr>
                <w:color w:val="0000FF"/>
              </w:rPr>
            </w:pPr>
            <w:r>
              <w:rPr>
                <w:rFonts w:hint="eastAsia"/>
                <w:color w:val="0000FF"/>
                <w:lang w:val="en-US" w:eastAsia="zh-CN"/>
              </w:rPr>
              <w:t>2024年3月初经调查，项目用地范围内，存在违法使用林地情况，违法使用林地面积共计达3.2167公顷，其中：陕西秦宇物流有限公司违法使用林地面积0.7911公顷；陕西通顺物流有限公司违法使用林地面积0.5637公顷；宝鸡陇脉鑫峰硅业有限公司违法使用林地面积1.8619公顷。以上违法使用林地情况均已处罚。其中，陕西秦宇物流有限公司和陕西通顺物流有限公司违法使用林地案件移送至宝鸡市公安局陈仓分局后于2024年3月26日退回不予受理（《宝鸡市公安局陈仓分局被移送案件退回函》宝陈移送退字[2024] 02号），林业行政处罚决定书、刑事判决书及罚款缴纳票据等佐证资料详见附件。上述三家违法主体公司与项目业主单位之间不存在隶属关系或合同关系。具体违法情况详见下表。截至目前，</w:t>
            </w:r>
            <w:r>
              <w:rPr>
                <w:rFonts w:hint="eastAsia" w:ascii="宋体" w:hAnsi="宋体" w:eastAsia="宋体" w:cs="宋体"/>
                <w:color w:val="0000FF"/>
                <w:kern w:val="0"/>
                <w:sz w:val="24"/>
                <w:szCs w:val="24"/>
                <w:lang w:val="en-US" w:eastAsia="zh-CN" w:bidi="ar"/>
              </w:rPr>
              <w:t>建设单位宝鸡昌锦瑞石英科技有限公司不存在擅自改变林地用途、未批先占等违法使用林地情况。</w:t>
            </w:r>
          </w:p>
          <w:p w14:paraId="445830BA">
            <w:pPr>
              <w:adjustRightInd w:val="0"/>
              <w:snapToGrid w:val="0"/>
              <w:ind w:firstLine="480"/>
              <w:rPr>
                <w:color w:val="000000" w:themeColor="text1"/>
                <w14:textFill>
                  <w14:solidFill>
                    <w14:schemeClr w14:val="tx1"/>
                  </w14:solidFill>
                </w14:textFill>
              </w:rPr>
            </w:pPr>
            <w:r>
              <w:rPr>
                <w:color w:val="000000" w:themeColor="text1"/>
                <w14:textFill>
                  <w14:solidFill>
                    <w14:schemeClr w14:val="tx1"/>
                  </w14:solidFill>
                </w14:textFill>
              </w:rPr>
              <w:t>宝鸡昌锦瑞石英科技有限公司于2023年03月27日注册登记成立，住所为宝鸡市陈仓区香泉镇南峪村3组05号。经营范围：一般项目：矿物洗选加工（除稀土、放射性矿产、钨）；选矿；建筑用石加工；非金属矿物制品制造；非金属废料和碎屑加工处理；非金属矿及制品销售等。为充分合理开发利用陕西省宝鸡市陈仓区梨树沟冶金用脉石英矿矿区范围内保有的矿产资源，宝鸡昌锦瑞石英科技有限公司探矿权首次设立时间于2024年7月9日，由宝鸡市自然资源和规划局挂牌出让，宝鸡昌锦瑞石英科技有限公司通过现场揭牌方式竞得；该探矿权有效期为2024年7月9日-2029年7月8日；探矿权编号为T6103002024077040057918。拟申请的采矿权范围与资源估算范围一致。</w:t>
            </w:r>
          </w:p>
          <w:p w14:paraId="0652193B">
            <w:pPr>
              <w:adjustRightInd w:val="0"/>
              <w:snapToGrid w:val="0"/>
              <w:ind w:firstLine="480"/>
              <w:rPr>
                <w:bCs/>
                <w:caps/>
                <w:color w:val="000000" w:themeColor="text1"/>
                <w14:textFill>
                  <w14:solidFill>
                    <w14:schemeClr w14:val="tx1"/>
                  </w14:solidFill>
                </w14:textFill>
              </w:rPr>
            </w:pPr>
            <w:r>
              <w:rPr>
                <w:color w:val="000000" w:themeColor="text1"/>
                <w14:textFill>
                  <w14:solidFill>
                    <w14:schemeClr w14:val="tx1"/>
                  </w14:solidFill>
                </w14:textFill>
              </w:rPr>
              <w:t>2024年12月建设单位委托宝鸡西北有色七一七总队有限公司编制了《陕西省宝鸡市陈仓区梨树沟冶金用脉石英矿矿产资源开发利用方案》并通过了技术审查。2025年3月7日，建设单位取得了由宝鸡市自然资源和规划局颁发的《采矿许可证》，有效期自2025年3月13日至2030年3月13日，生产规模40×10</w:t>
            </w:r>
            <w:r>
              <w:rPr>
                <w:color w:val="000000" w:themeColor="text1"/>
                <w:vertAlign w:val="superscript"/>
                <w14:textFill>
                  <w14:solidFill>
                    <w14:schemeClr w14:val="tx1"/>
                  </w14:solidFill>
                </w14:textFill>
              </w:rPr>
              <w:t>4</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/a，采矿权人为</w:t>
            </w:r>
            <w:r>
              <w:rPr>
                <w:bCs/>
                <w:caps/>
                <w:color w:val="000000" w:themeColor="text1"/>
                <w14:textFill>
                  <w14:solidFill>
                    <w14:schemeClr w14:val="tx1"/>
                  </w14:solidFill>
                </w14:textFill>
              </w:rPr>
              <w:t>宝鸡昌锦瑞石英科技有限公司，证号：C6103002025036110158081。</w:t>
            </w:r>
          </w:p>
          <w:p w14:paraId="169E8EC1">
            <w:pPr>
              <w:adjustRightInd w:val="0"/>
              <w:snapToGrid w:val="0"/>
              <w:ind w:firstLine="480"/>
              <w:rPr>
                <w:color w:val="000000" w:themeColor="text1"/>
                <w14:textFill>
                  <w14:solidFill>
                    <w14:schemeClr w14:val="tx1"/>
                  </w14:solidFill>
                </w14:textFill>
              </w:rPr>
            </w:pPr>
            <w:r>
              <w:rPr>
                <w:color w:val="000000" w:themeColor="text1"/>
                <w14:textFill>
                  <w14:solidFill>
                    <w14:schemeClr w14:val="tx1"/>
                  </w14:solidFill>
                </w14:textFill>
              </w:rPr>
              <w:t>2024年12月23日，建设单位取得了陕西省企业投资项目备案确认书，项目代码为：2411-610304-04-01-306586。</w:t>
            </w:r>
          </w:p>
          <w:p w14:paraId="6B4966DA">
            <w:pPr>
              <w:keepNext w:val="0"/>
              <w:keepLines w:val="0"/>
              <w:pageBreakBefore w:val="0"/>
              <w:widowControl w:val="0"/>
              <w:kinsoku/>
              <w:wordWrap/>
              <w:overflowPunct w:val="0"/>
              <w:topLinePunct/>
              <w:autoSpaceDE w:val="0"/>
              <w:autoSpaceDN w:val="0"/>
              <w:bidi w:val="0"/>
              <w:adjustRightInd/>
              <w:snapToGrid/>
              <w:ind w:firstLine="480"/>
              <w:jc w:val="both"/>
              <w:textAlignment w:val="auto"/>
              <w:rPr>
                <w:color w:val="0000FF"/>
                <w:kern w:val="0"/>
              </w:rPr>
            </w:pPr>
            <w:r>
              <w:rPr>
                <w:color w:val="0000FF"/>
                <w:kern w:val="0"/>
              </w:rPr>
              <w:t>依据《建设项目环境保护管理条例》（国务院令628号）规定，该项目需要办理环境影响评价。查阅《建设项目环境影响评价分类管理名录》（2021年），本次环评分类按照八、非金属矿采选业 10中11土砂石开采 101（不含河道采砂项目），参考《建设项目环境影响报告表编制技术指南（生态影响类）（试行）》进行评价。</w:t>
            </w:r>
          </w:p>
          <w:p w14:paraId="79FBA4B7">
            <w:pPr>
              <w:pStyle w:val="31"/>
              <w:jc w:val="center"/>
              <w:rPr>
                <w:rFonts w:hint="default" w:ascii="Times New Roman" w:hAnsi="Times New Roman"/>
                <w:b/>
                <w:color w:val="0000FF"/>
                <w:szCs w:val="24"/>
              </w:rPr>
            </w:pPr>
            <w:r>
              <w:rPr>
                <w:rFonts w:hint="default" w:ascii="Times New Roman" w:hAnsi="Times New Roman"/>
                <w:b/>
                <w:color w:val="0000FF"/>
                <w:szCs w:val="24"/>
              </w:rPr>
              <w:t>表2-2  《建设项目环境影响评价分类管理名录》摘录</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1397"/>
              <w:gridCol w:w="1862"/>
              <w:gridCol w:w="1035"/>
              <w:gridCol w:w="884"/>
              <w:gridCol w:w="1980"/>
            </w:tblGrid>
            <w:tr w14:paraId="10614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pct"/>
                  <w:gridSpan w:val="2"/>
                  <w:vAlign w:val="center"/>
                </w:tcPr>
                <w:p w14:paraId="45EAF37F">
                  <w:pPr>
                    <w:pStyle w:val="31"/>
                    <w:jc w:val="center"/>
                    <w:rPr>
                      <w:rFonts w:hint="default" w:ascii="Times New Roman" w:hAnsi="Times New Roman"/>
                      <w:b/>
                      <w:bCs/>
                      <w:color w:val="0000FF"/>
                      <w:sz w:val="21"/>
                      <w:szCs w:val="21"/>
                    </w:rPr>
                  </w:pPr>
                  <w:r>
                    <w:rPr>
                      <w:rFonts w:hint="default" w:ascii="Times New Roman" w:hAnsi="Times New Roman"/>
                      <w:b/>
                      <w:bCs/>
                      <w:color w:val="0000FF"/>
                      <w:sz w:val="21"/>
                      <w:szCs w:val="21"/>
                    </w:rPr>
                    <w:t>八、非金属矿采选业 10</w:t>
                  </w:r>
                </w:p>
              </w:tc>
              <w:tc>
                <w:tcPr>
                  <w:tcW w:w="1228" w:type="pct"/>
                  <w:vAlign w:val="center"/>
                </w:tcPr>
                <w:p w14:paraId="618C2215">
                  <w:pPr>
                    <w:pStyle w:val="31"/>
                    <w:jc w:val="center"/>
                    <w:rPr>
                      <w:rFonts w:hint="default" w:ascii="Times New Roman" w:hAnsi="Times New Roman"/>
                      <w:b/>
                      <w:bCs/>
                      <w:color w:val="0000FF"/>
                      <w:sz w:val="21"/>
                      <w:szCs w:val="21"/>
                    </w:rPr>
                  </w:pPr>
                  <w:r>
                    <w:rPr>
                      <w:rFonts w:hint="default" w:ascii="Times New Roman" w:hAnsi="Times New Roman"/>
                      <w:b/>
                      <w:bCs/>
                      <w:color w:val="0000FF"/>
                      <w:sz w:val="21"/>
                      <w:szCs w:val="21"/>
                    </w:rPr>
                    <w:t>报告书</w:t>
                  </w:r>
                </w:p>
              </w:tc>
              <w:tc>
                <w:tcPr>
                  <w:tcW w:w="682" w:type="pct"/>
                  <w:vAlign w:val="center"/>
                </w:tcPr>
                <w:p w14:paraId="58045C64">
                  <w:pPr>
                    <w:pStyle w:val="31"/>
                    <w:jc w:val="center"/>
                    <w:rPr>
                      <w:rFonts w:hint="default" w:ascii="Times New Roman" w:hAnsi="Times New Roman"/>
                      <w:b/>
                      <w:bCs/>
                      <w:color w:val="0000FF"/>
                      <w:sz w:val="21"/>
                      <w:szCs w:val="21"/>
                    </w:rPr>
                  </w:pPr>
                  <w:r>
                    <w:rPr>
                      <w:rFonts w:hint="default" w:ascii="Times New Roman" w:hAnsi="Times New Roman"/>
                      <w:b/>
                      <w:bCs/>
                      <w:color w:val="0000FF"/>
                      <w:sz w:val="21"/>
                      <w:szCs w:val="21"/>
                    </w:rPr>
                    <w:t>报告表</w:t>
                  </w:r>
                </w:p>
              </w:tc>
              <w:tc>
                <w:tcPr>
                  <w:tcW w:w="582" w:type="pct"/>
                  <w:vAlign w:val="center"/>
                </w:tcPr>
                <w:p w14:paraId="3A593D39">
                  <w:pPr>
                    <w:pStyle w:val="31"/>
                    <w:jc w:val="center"/>
                    <w:rPr>
                      <w:rFonts w:hint="default" w:ascii="Times New Roman" w:hAnsi="Times New Roman"/>
                      <w:b/>
                      <w:bCs/>
                      <w:color w:val="0000FF"/>
                      <w:sz w:val="21"/>
                      <w:szCs w:val="21"/>
                    </w:rPr>
                  </w:pPr>
                  <w:r>
                    <w:rPr>
                      <w:rFonts w:hint="default" w:ascii="Times New Roman" w:hAnsi="Times New Roman"/>
                      <w:b/>
                      <w:bCs/>
                      <w:color w:val="0000FF"/>
                      <w:sz w:val="21"/>
                      <w:szCs w:val="21"/>
                    </w:rPr>
                    <w:t>登记表</w:t>
                  </w:r>
                </w:p>
              </w:tc>
              <w:tc>
                <w:tcPr>
                  <w:tcW w:w="1305" w:type="pct"/>
                  <w:vAlign w:val="center"/>
                </w:tcPr>
                <w:p w14:paraId="56B6EBD1">
                  <w:pPr>
                    <w:pStyle w:val="31"/>
                    <w:jc w:val="center"/>
                    <w:rPr>
                      <w:rFonts w:hint="default" w:ascii="Times New Roman" w:hAnsi="Times New Roman"/>
                      <w:b/>
                      <w:bCs/>
                      <w:color w:val="0000FF"/>
                      <w:sz w:val="21"/>
                      <w:szCs w:val="21"/>
                    </w:rPr>
                  </w:pPr>
                  <w:r>
                    <w:rPr>
                      <w:rFonts w:hint="default" w:ascii="Times New Roman" w:hAnsi="Times New Roman"/>
                      <w:b/>
                      <w:bCs/>
                      <w:color w:val="0000FF"/>
                      <w:sz w:val="21"/>
                      <w:szCs w:val="21"/>
                    </w:rPr>
                    <w:t>本栏目环境敏感区含义</w:t>
                  </w:r>
                </w:p>
              </w:tc>
            </w:tr>
            <w:tr w14:paraId="1210A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52B0F2DA">
                  <w:pPr>
                    <w:pStyle w:val="31"/>
                    <w:jc w:val="center"/>
                    <w:rPr>
                      <w:rFonts w:hint="default" w:ascii="Times New Roman" w:hAnsi="Times New Roman"/>
                      <w:color w:val="0000FF"/>
                      <w:sz w:val="21"/>
                      <w:szCs w:val="21"/>
                    </w:rPr>
                  </w:pPr>
                  <w:r>
                    <w:rPr>
                      <w:rFonts w:hint="default" w:ascii="Times New Roman" w:hAnsi="Times New Roman"/>
                      <w:color w:val="0000FF"/>
                      <w:sz w:val="21"/>
                      <w:szCs w:val="21"/>
                    </w:rPr>
                    <w:t>11</w:t>
                  </w:r>
                </w:p>
              </w:tc>
              <w:tc>
                <w:tcPr>
                  <w:tcW w:w="921" w:type="pct"/>
                  <w:vAlign w:val="center"/>
                </w:tcPr>
                <w:p w14:paraId="6961710E">
                  <w:pPr>
                    <w:pStyle w:val="31"/>
                    <w:jc w:val="center"/>
                    <w:rPr>
                      <w:rFonts w:hint="default" w:ascii="Times New Roman" w:hAnsi="Times New Roman"/>
                      <w:color w:val="0000FF"/>
                      <w:sz w:val="21"/>
                      <w:szCs w:val="21"/>
                    </w:rPr>
                  </w:pPr>
                  <w:r>
                    <w:rPr>
                      <w:rFonts w:hint="default" w:ascii="Times New Roman" w:hAnsi="Times New Roman"/>
                      <w:color w:val="0000FF"/>
                      <w:sz w:val="21"/>
                      <w:szCs w:val="21"/>
                    </w:rPr>
                    <w:t>土砂石开采 101（不含河道采砂项目）</w:t>
                  </w:r>
                </w:p>
              </w:tc>
              <w:tc>
                <w:tcPr>
                  <w:tcW w:w="1228" w:type="pct"/>
                  <w:vAlign w:val="center"/>
                </w:tcPr>
                <w:p w14:paraId="5A3B1A73">
                  <w:pPr>
                    <w:pStyle w:val="31"/>
                    <w:jc w:val="center"/>
                    <w:rPr>
                      <w:rFonts w:hint="default" w:ascii="Times New Roman" w:hAnsi="Times New Roman"/>
                      <w:color w:val="0000FF"/>
                      <w:sz w:val="21"/>
                      <w:szCs w:val="21"/>
                    </w:rPr>
                  </w:pPr>
                  <w:r>
                    <w:rPr>
                      <w:rFonts w:hint="default" w:ascii="Times New Roman" w:hAnsi="Times New Roman"/>
                      <w:color w:val="0000FF"/>
                      <w:sz w:val="21"/>
                      <w:szCs w:val="21"/>
                    </w:rPr>
                    <w:t>涉及环境敏感区的（不含单独的矿石破碎、集运；不含矿区修复治理工程）</w:t>
                  </w:r>
                </w:p>
              </w:tc>
              <w:tc>
                <w:tcPr>
                  <w:tcW w:w="682" w:type="pct"/>
                  <w:vAlign w:val="center"/>
                </w:tcPr>
                <w:p w14:paraId="28728AFD">
                  <w:pPr>
                    <w:pStyle w:val="31"/>
                    <w:jc w:val="center"/>
                    <w:rPr>
                      <w:rFonts w:hint="default" w:ascii="Times New Roman" w:hAnsi="Times New Roman"/>
                      <w:color w:val="0000FF"/>
                      <w:sz w:val="21"/>
                      <w:szCs w:val="21"/>
                    </w:rPr>
                  </w:pPr>
                  <w:r>
                    <w:rPr>
                      <w:rFonts w:hint="default" w:ascii="Times New Roman" w:hAnsi="Times New Roman"/>
                      <w:color w:val="0000FF"/>
                      <w:sz w:val="21"/>
                      <w:szCs w:val="21"/>
                    </w:rPr>
                    <w:t>其他</w:t>
                  </w:r>
                </w:p>
              </w:tc>
              <w:tc>
                <w:tcPr>
                  <w:tcW w:w="582" w:type="pct"/>
                  <w:vAlign w:val="center"/>
                </w:tcPr>
                <w:p w14:paraId="4D4AE440">
                  <w:pPr>
                    <w:pStyle w:val="31"/>
                    <w:jc w:val="center"/>
                    <w:rPr>
                      <w:rFonts w:hint="default" w:ascii="Times New Roman" w:hAnsi="Times New Roman"/>
                      <w:bCs/>
                      <w:color w:val="0000FF"/>
                      <w:sz w:val="21"/>
                      <w:szCs w:val="21"/>
                    </w:rPr>
                  </w:pPr>
                  <w:r>
                    <w:rPr>
                      <w:rFonts w:hint="default" w:ascii="Times New Roman" w:hAnsi="Times New Roman"/>
                      <w:bCs/>
                      <w:color w:val="0000FF"/>
                      <w:sz w:val="21"/>
                      <w:szCs w:val="21"/>
                    </w:rPr>
                    <w:t>/</w:t>
                  </w:r>
                </w:p>
              </w:tc>
              <w:tc>
                <w:tcPr>
                  <w:tcW w:w="1305" w:type="pct"/>
                  <w:vAlign w:val="center"/>
                </w:tcPr>
                <w:p w14:paraId="49980DCC">
                  <w:pPr>
                    <w:pStyle w:val="31"/>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bCs/>
                      <w:color w:val="0000FF"/>
                      <w:sz w:val="21"/>
                      <w:szCs w:val="21"/>
                    </w:rPr>
                  </w:pPr>
                  <w:r>
                    <w:rPr>
                      <w:rFonts w:hint="default" w:ascii="Times New Roman" w:hAnsi="Times New Roman"/>
                      <w:bCs/>
                      <w:color w:val="0000FF"/>
                      <w:sz w:val="21"/>
                      <w:szCs w:val="21"/>
                    </w:rPr>
                    <w:t>第三条（一）中的全部区域；第三条（二）中的除（一）外的生态保护红线管控范围，基本草原，重要水生生物的自然产卵场、索饵场、越冬场和洄游通道，沙化土地封禁保护区</w:t>
                  </w:r>
                </w:p>
              </w:tc>
            </w:tr>
          </w:tbl>
          <w:p w14:paraId="66D47918">
            <w:pPr>
              <w:keepNext w:val="0"/>
              <w:keepLines w:val="0"/>
              <w:pageBreakBefore w:val="0"/>
              <w:widowControl w:val="0"/>
              <w:kinsoku/>
              <w:wordWrap/>
              <w:overflowPunct/>
              <w:topLinePunct w:val="0"/>
              <w:autoSpaceDE/>
              <w:autoSpaceDN/>
              <w:bidi w:val="0"/>
              <w:adjustRightInd w:val="0"/>
              <w:snapToGrid w:val="0"/>
              <w:ind w:firstLine="482"/>
              <w:textAlignment w:val="auto"/>
              <w:rPr>
                <w:rFonts w:hint="eastAsia"/>
                <w:b/>
                <w:bCs/>
                <w:color w:val="0000FF"/>
                <w:sz w:val="21"/>
                <w:szCs w:val="21"/>
                <w:lang w:eastAsia="zh-CN"/>
              </w:rPr>
            </w:pPr>
            <w:r>
              <w:rPr>
                <w:rFonts w:hint="eastAsia"/>
                <w:b/>
                <w:bCs/>
                <w:color w:val="0000FF"/>
                <w:sz w:val="21"/>
                <w:szCs w:val="21"/>
                <w:lang w:eastAsia="zh-CN"/>
              </w:rPr>
              <w:t>注：第三条 本名录所称环境敏感区是指依法设立的各级各类保护区域和对建设项目产生的环境影响特别敏感的区域，主要包括下列区域:</w:t>
            </w:r>
          </w:p>
          <w:p w14:paraId="25AEC269">
            <w:pPr>
              <w:keepNext w:val="0"/>
              <w:keepLines w:val="0"/>
              <w:pageBreakBefore w:val="0"/>
              <w:widowControl w:val="0"/>
              <w:kinsoku/>
              <w:wordWrap/>
              <w:overflowPunct/>
              <w:topLinePunct w:val="0"/>
              <w:autoSpaceDE/>
              <w:autoSpaceDN/>
              <w:bidi w:val="0"/>
              <w:adjustRightInd w:val="0"/>
              <w:snapToGrid w:val="0"/>
              <w:ind w:firstLine="482"/>
              <w:textAlignment w:val="auto"/>
              <w:rPr>
                <w:rFonts w:hint="eastAsia"/>
                <w:b/>
                <w:bCs/>
                <w:color w:val="0000FF"/>
                <w:sz w:val="21"/>
                <w:szCs w:val="21"/>
                <w:lang w:eastAsia="zh-CN"/>
              </w:rPr>
            </w:pPr>
            <w:r>
              <w:rPr>
                <w:rFonts w:hint="eastAsia"/>
                <w:b/>
                <w:bCs/>
                <w:color w:val="0000FF"/>
                <w:sz w:val="21"/>
                <w:szCs w:val="21"/>
                <w:lang w:eastAsia="zh-CN"/>
              </w:rPr>
              <w:t>(一)国家公园、自然保护区、风景名胜区、世界文化和自然遗产地、海洋特别保护区、饮用水水源保护区;</w:t>
            </w:r>
          </w:p>
          <w:p w14:paraId="1972E077">
            <w:pPr>
              <w:keepNext w:val="0"/>
              <w:keepLines w:val="0"/>
              <w:pageBreakBefore w:val="0"/>
              <w:widowControl w:val="0"/>
              <w:kinsoku/>
              <w:wordWrap/>
              <w:overflowPunct/>
              <w:topLinePunct w:val="0"/>
              <w:autoSpaceDE/>
              <w:autoSpaceDN/>
              <w:bidi w:val="0"/>
              <w:adjustRightInd w:val="0"/>
              <w:snapToGrid w:val="0"/>
              <w:ind w:firstLine="482"/>
              <w:textAlignment w:val="auto"/>
              <w:rPr>
                <w:rFonts w:hint="eastAsia"/>
                <w:b/>
                <w:bCs/>
                <w:color w:val="0000FF"/>
                <w:sz w:val="21"/>
                <w:szCs w:val="21"/>
                <w:lang w:eastAsia="zh-CN"/>
              </w:rPr>
            </w:pPr>
            <w:r>
              <w:rPr>
                <w:rFonts w:hint="eastAsia"/>
                <w:b/>
                <w:bCs/>
                <w:color w:val="0000FF"/>
                <w:sz w:val="21"/>
                <w:szCs w:val="21"/>
                <w:lang w:eastAsia="zh-CN"/>
              </w:rPr>
              <w:t>(二)除(一)外的生态保护红线管控范围，永久基本农田、基本草原、自然公园(森林公园、地质公园、海洋公园等)、重要湿地、天然林，重点保护野生动物栖息地，重点保护野生植物生长繁殖地，重要水生生物的自然产卵场、索饵场、越冬场和洄游通道，天然渔场，水土流失重点预防区和重点治理区、沙化土地封禁保护区、封闭及半封闭海域;</w:t>
            </w:r>
          </w:p>
          <w:p w14:paraId="37730ECE">
            <w:pPr>
              <w:keepNext w:val="0"/>
              <w:keepLines w:val="0"/>
              <w:pageBreakBefore w:val="0"/>
              <w:widowControl w:val="0"/>
              <w:kinsoku/>
              <w:wordWrap/>
              <w:overflowPunct/>
              <w:topLinePunct w:val="0"/>
              <w:autoSpaceDE/>
              <w:autoSpaceDN/>
              <w:bidi w:val="0"/>
              <w:adjustRightInd w:val="0"/>
              <w:snapToGrid w:val="0"/>
              <w:ind w:firstLine="482"/>
              <w:textAlignment w:val="auto"/>
              <w:rPr>
                <w:rFonts w:hint="eastAsia"/>
                <w:b w:val="0"/>
                <w:bCs w:val="0"/>
                <w:color w:val="0000FF"/>
                <w:lang w:eastAsia="zh-CN"/>
              </w:rPr>
            </w:pPr>
            <w:r>
              <w:rPr>
                <w:rFonts w:hint="eastAsia"/>
                <w:b/>
                <w:bCs/>
                <w:color w:val="0000FF"/>
                <w:sz w:val="21"/>
                <w:szCs w:val="21"/>
                <w:lang w:eastAsia="zh-CN"/>
              </w:rPr>
              <w:t>(三)以居住、医疗卫生、文化教育、科研、行政办公为主要功能的区域，以及文物保护单位。</w:t>
            </w:r>
          </w:p>
          <w:p w14:paraId="0B9B66DA">
            <w:pPr>
              <w:keepNext w:val="0"/>
              <w:keepLines w:val="0"/>
              <w:pageBreakBefore w:val="0"/>
              <w:widowControl w:val="0"/>
              <w:kinsoku/>
              <w:wordWrap/>
              <w:overflowPunct/>
              <w:topLinePunct w:val="0"/>
              <w:autoSpaceDE/>
              <w:autoSpaceDN/>
              <w:bidi w:val="0"/>
              <w:adjustRightInd w:val="0"/>
              <w:snapToGrid w:val="0"/>
              <w:ind w:firstLine="482"/>
              <w:textAlignment w:val="auto"/>
              <w:rPr>
                <w:rFonts w:hint="eastAsia"/>
                <w:b w:val="0"/>
                <w:bCs w:val="0"/>
                <w:color w:val="0000FF"/>
                <w:lang w:eastAsia="zh-CN"/>
              </w:rPr>
            </w:pPr>
            <w:r>
              <w:rPr>
                <w:rFonts w:hint="eastAsia"/>
                <w:b w:val="0"/>
                <w:bCs w:val="0"/>
                <w:color w:val="0000FF"/>
                <w:lang w:eastAsia="zh-CN"/>
              </w:rPr>
              <w:t>本项目采矿区东侧为陕西省吴山省级森林自然公园，距离陕西省吴山省级森林自然公园</w:t>
            </w:r>
            <w:r>
              <w:rPr>
                <w:rFonts w:hint="eastAsia"/>
                <w:b w:val="0"/>
                <w:bCs w:val="0"/>
                <w:color w:val="0000FF"/>
                <w:lang w:val="en-US" w:eastAsia="zh-CN"/>
              </w:rPr>
              <w:t>0.9km，</w:t>
            </w:r>
            <w:r>
              <w:rPr>
                <w:rFonts w:hint="eastAsia"/>
                <w:b w:val="0"/>
                <w:bCs w:val="0"/>
                <w:color w:val="0000FF"/>
                <w:lang w:eastAsia="zh-CN"/>
              </w:rPr>
              <w:t>北侧为陕西省陇县秦岭细鳞鲑国家级自然保护区，距离陕西省陇县秦岭细鳞鲑国家级自然保护区最近距离约</w:t>
            </w:r>
            <w:r>
              <w:rPr>
                <w:rFonts w:hint="eastAsia"/>
                <w:b w:val="0"/>
                <w:bCs w:val="0"/>
                <w:color w:val="0000FF"/>
                <w:lang w:val="en-US" w:eastAsia="zh-CN"/>
              </w:rPr>
              <w:t>0.4km</w:t>
            </w:r>
            <w:r>
              <w:rPr>
                <w:rFonts w:hint="eastAsia"/>
                <w:b w:val="0"/>
                <w:bCs w:val="0"/>
                <w:color w:val="0000FF"/>
                <w:lang w:eastAsia="zh-CN"/>
              </w:rPr>
              <w:t>；经在陇县秦岭细鳞鲑管理处查询，本项目不涉及陕西省陇县秦岭细鳞鲑国家级自然保护区，项目区与保护区之间有一条山脊相隔，分别位于山脊的南坡和北坡，且项目区以乔木林地为主。</w:t>
            </w:r>
          </w:p>
          <w:p w14:paraId="15D7F801">
            <w:pPr>
              <w:keepNext w:val="0"/>
              <w:keepLines w:val="0"/>
              <w:pageBreakBefore w:val="0"/>
              <w:widowControl w:val="0"/>
              <w:kinsoku/>
              <w:wordWrap/>
              <w:overflowPunct/>
              <w:topLinePunct w:val="0"/>
              <w:autoSpaceDE/>
              <w:autoSpaceDN/>
              <w:bidi w:val="0"/>
              <w:adjustRightInd w:val="0"/>
              <w:snapToGrid w:val="0"/>
              <w:ind w:firstLine="482"/>
              <w:textAlignment w:val="auto"/>
              <w:rPr>
                <w:rFonts w:hint="eastAsia"/>
                <w:b w:val="0"/>
                <w:bCs w:val="0"/>
                <w:color w:val="0000FF"/>
                <w:lang w:eastAsia="zh-CN"/>
              </w:rPr>
            </w:pPr>
            <w:r>
              <w:rPr>
                <w:rFonts w:hint="eastAsia"/>
                <w:b w:val="0"/>
                <w:bCs w:val="0"/>
                <w:color w:val="0000FF"/>
                <w:lang w:eastAsia="zh-CN"/>
              </w:rPr>
              <w:t>项目西侧、南侧为生态保护红线（渭河流域黄土台塬水土保持生态保护红线），对照《宝鸡市人民政府关于划分水土流失重点防治区的公告宝发【</w:t>
            </w:r>
            <w:r>
              <w:rPr>
                <w:rFonts w:hint="eastAsia"/>
                <w:b w:val="0"/>
                <w:bCs w:val="0"/>
                <w:color w:val="0000FF"/>
                <w:lang w:val="en-US" w:eastAsia="zh-CN"/>
              </w:rPr>
              <w:t>2022</w:t>
            </w:r>
            <w:r>
              <w:rPr>
                <w:rFonts w:hint="eastAsia"/>
                <w:b w:val="0"/>
                <w:bCs w:val="0"/>
                <w:color w:val="0000FF"/>
                <w:lang w:eastAsia="zh-CN"/>
              </w:rPr>
              <w:t>】</w:t>
            </w:r>
            <w:r>
              <w:rPr>
                <w:rFonts w:hint="eastAsia"/>
                <w:b w:val="0"/>
                <w:bCs w:val="0"/>
                <w:color w:val="0000FF"/>
                <w:lang w:val="en-US" w:eastAsia="zh-CN"/>
              </w:rPr>
              <w:t>8号</w:t>
            </w:r>
            <w:r>
              <w:rPr>
                <w:rFonts w:hint="eastAsia"/>
                <w:b w:val="0"/>
                <w:bCs w:val="0"/>
                <w:color w:val="0000FF"/>
                <w:lang w:eastAsia="zh-CN"/>
              </w:rPr>
              <w:t>》</w:t>
            </w:r>
            <w:r>
              <w:rPr>
                <w:rFonts w:hint="eastAsia"/>
                <w:b w:val="0"/>
                <w:bCs w:val="0"/>
                <w:color w:val="0000FF"/>
                <w:lang w:val="en-US" w:eastAsia="zh-CN"/>
              </w:rPr>
              <w:t>中（一）渭北丘陵沟壑市级水土流失重点治理区包括陈仓区香泉镇</w:t>
            </w:r>
            <w:r>
              <w:rPr>
                <w:rFonts w:hint="eastAsia"/>
                <w:b w:val="0"/>
                <w:bCs w:val="0"/>
                <w:color w:val="0000FF"/>
                <w:lang w:eastAsia="zh-CN"/>
              </w:rPr>
              <w:t>。根据《建设项目环境影响评价分类管理名录》八、非金属矿采选业 10中本栏目环境敏感区含义“第三条（一）中的全部区域；第三条（二）中的除（一）外的生态保护红线管控范围，基本草原，重要水生生物的自然产卵场、索饵场、越冬场和洄游通道，沙化土地封禁保护区”中不包括水土流失重点预防区和重点治理区</w:t>
            </w:r>
            <w:r>
              <w:rPr>
                <w:rFonts w:hint="eastAsia"/>
                <w:b w:val="0"/>
                <w:bCs w:val="0"/>
                <w:color w:val="0000FF"/>
                <w:lang w:val="en-US" w:eastAsia="zh-CN"/>
              </w:rPr>
              <w:t>。</w:t>
            </w:r>
          </w:p>
          <w:p w14:paraId="6FD52F0D">
            <w:pPr>
              <w:keepNext w:val="0"/>
              <w:keepLines w:val="0"/>
              <w:pageBreakBefore w:val="0"/>
              <w:widowControl w:val="0"/>
              <w:kinsoku/>
              <w:wordWrap/>
              <w:overflowPunct/>
              <w:topLinePunct w:val="0"/>
              <w:autoSpaceDE/>
              <w:autoSpaceDN/>
              <w:bidi w:val="0"/>
              <w:adjustRightInd w:val="0"/>
              <w:snapToGrid w:val="0"/>
              <w:ind w:firstLine="482"/>
              <w:textAlignment w:val="auto"/>
              <w:rPr>
                <w:rFonts w:hint="eastAsia"/>
                <w:color w:val="0000FF"/>
                <w:lang w:eastAsia="zh-CN"/>
              </w:rPr>
            </w:pPr>
            <w:r>
              <w:rPr>
                <w:rFonts w:hint="eastAsia"/>
                <w:color w:val="0000FF"/>
              </w:rPr>
              <w:t>根据《环境影响评价技术导则</w:t>
            </w:r>
            <w:r>
              <w:rPr>
                <w:rFonts w:hint="eastAsia"/>
                <w:color w:val="0000FF"/>
                <w:lang w:val="en-US" w:eastAsia="zh-CN"/>
              </w:rPr>
              <w:t xml:space="preserve"> </w:t>
            </w:r>
            <w:r>
              <w:rPr>
                <w:rFonts w:hint="eastAsia"/>
                <w:color w:val="0000FF"/>
              </w:rPr>
              <w:t>生态影响》(HJ19-2022)，矿山开采项目评价范围应涵盖开采区及其影响范围、各类场地及其运输系统占地以及施工临时占地范围等。本项目生态评价范围为矿区边界向外延伸</w:t>
            </w:r>
            <w:r>
              <w:rPr>
                <w:rFonts w:hint="eastAsia"/>
                <w:color w:val="0000FF"/>
                <w:lang w:val="en-US" w:eastAsia="zh-CN"/>
              </w:rPr>
              <w:t>200</w:t>
            </w:r>
            <w:r>
              <w:rPr>
                <w:rFonts w:hint="eastAsia"/>
                <w:color w:val="0000FF"/>
              </w:rPr>
              <w:t>m以内区域</w:t>
            </w:r>
            <w:r>
              <w:rPr>
                <w:rFonts w:hint="eastAsia"/>
                <w:color w:val="0000FF"/>
                <w:lang w:eastAsia="zh-CN"/>
              </w:rPr>
              <w:t>。</w:t>
            </w:r>
          </w:p>
          <w:p w14:paraId="4F8D033E">
            <w:pPr>
              <w:keepNext w:val="0"/>
              <w:keepLines w:val="0"/>
              <w:pageBreakBefore w:val="0"/>
              <w:widowControl w:val="0"/>
              <w:kinsoku/>
              <w:wordWrap/>
              <w:overflowPunct/>
              <w:topLinePunct w:val="0"/>
              <w:autoSpaceDE/>
              <w:autoSpaceDN/>
              <w:bidi w:val="0"/>
              <w:adjustRightInd w:val="0"/>
              <w:snapToGrid w:val="0"/>
              <w:ind w:firstLine="482"/>
              <w:textAlignment w:val="auto"/>
              <w:rPr>
                <w:rFonts w:hint="default" w:eastAsia="宋体"/>
                <w:b w:val="0"/>
                <w:bCs w:val="0"/>
                <w:color w:val="0000FF"/>
                <w:lang w:val="en-US" w:eastAsia="zh-CN"/>
              </w:rPr>
            </w:pPr>
            <w:r>
              <w:rPr>
                <w:rFonts w:hint="eastAsia"/>
                <w:color w:val="0000FF"/>
                <w:lang w:eastAsia="zh-CN"/>
              </w:rPr>
              <w:t>所以，本项目</w:t>
            </w:r>
            <w:r>
              <w:rPr>
                <w:rFonts w:hint="eastAsia"/>
                <w:color w:val="0000FF"/>
              </w:rPr>
              <w:t>生态评价范围</w:t>
            </w:r>
            <w:r>
              <w:rPr>
                <w:rFonts w:hint="eastAsia"/>
                <w:color w:val="0000FF"/>
                <w:lang w:eastAsia="zh-CN"/>
              </w:rPr>
              <w:t>不涉及</w:t>
            </w:r>
            <w:r>
              <w:rPr>
                <w:rFonts w:hint="eastAsia"/>
                <w:b w:val="0"/>
                <w:bCs w:val="0"/>
                <w:color w:val="0000FF"/>
                <w:lang w:eastAsia="zh-CN"/>
              </w:rPr>
              <w:t>陕西省陇县秦岭细鳞鲑国家级自然保护区和渭河流域黄土台塬水土保持生态保护红线。故本项目不涉及环境敏感区，应当编制环境影响评价报告表。</w:t>
            </w:r>
          </w:p>
          <w:p w14:paraId="3439951F">
            <w:pPr>
              <w:pageBreakBefore w:val="0"/>
              <w:widowControl w:val="0"/>
              <w:kinsoku/>
              <w:wordWrap/>
              <w:overflowPunct/>
              <w:topLinePunct w:val="0"/>
              <w:autoSpaceDE/>
              <w:autoSpaceDN/>
              <w:bidi w:val="0"/>
              <w:adjustRightInd w:val="0"/>
              <w:snapToGrid w:val="0"/>
              <w:ind w:firstLine="482"/>
              <w:textAlignment w:val="auto"/>
              <w:rPr>
                <w:b/>
                <w:bCs/>
                <w:color w:val="000000" w:themeColor="text1"/>
                <w14:textFill>
                  <w14:solidFill>
                    <w14:schemeClr w14:val="tx1"/>
                  </w14:solidFill>
                </w14:textFill>
              </w:rPr>
            </w:pPr>
            <w:r>
              <w:rPr>
                <w:rFonts w:hint="eastAsia"/>
                <w:sz w:val="24"/>
                <w:highlight w:val="none"/>
                <w:lang w:eastAsia="zh-CN"/>
              </w:rPr>
              <w:t>为此，</w:t>
            </w:r>
            <w:r>
              <w:rPr>
                <w:bCs/>
                <w:caps/>
                <w:color w:val="000000" w:themeColor="text1"/>
                <w14:textFill>
                  <w14:solidFill>
                    <w14:schemeClr w14:val="tx1"/>
                  </w14:solidFill>
                </w14:textFill>
              </w:rPr>
              <w:t>宝鸡昌锦瑞石英科技有限公司</w:t>
            </w:r>
            <w:r>
              <w:rPr>
                <w:rFonts w:hint="eastAsia"/>
                <w:color w:val="000000"/>
                <w:sz w:val="24"/>
                <w:szCs w:val="24"/>
                <w:lang w:eastAsia="zh-CN"/>
              </w:rPr>
              <w:t>委托我公司开展该项目环境影响评价工作，我公司接受委托后，组织有关技术人员进行现场勘查和周围环境质量现状调查，根据拟建项目的特点、项目所在地的自然环境、社会经济状况等有关资料，编制了本环境影响报告表。</w:t>
            </w:r>
          </w:p>
          <w:p w14:paraId="5E016ACF">
            <w:pPr>
              <w:pageBreakBefore w:val="0"/>
              <w:widowControl w:val="0"/>
              <w:kinsoku/>
              <w:wordWrap/>
              <w:overflowPunct/>
              <w:topLinePunct w:val="0"/>
              <w:autoSpaceDE/>
              <w:autoSpaceDN/>
              <w:bidi w:val="0"/>
              <w:adjustRightInd w:val="0"/>
              <w:snapToGrid w:val="0"/>
              <w:ind w:left="0" w:leftChars="0" w:firstLine="482" w:firstLineChars="200"/>
              <w:textAlignment w:val="auto"/>
              <w:rPr>
                <w:b/>
                <w:bCs/>
                <w:color w:val="0000FF"/>
              </w:rPr>
            </w:pPr>
            <w:r>
              <w:rPr>
                <w:b/>
                <w:bCs/>
                <w:color w:val="0000FF"/>
              </w:rPr>
              <w:t>2、本项目情况</w:t>
            </w:r>
          </w:p>
          <w:p w14:paraId="776B744B">
            <w:pPr>
              <w:pStyle w:val="3"/>
              <w:pageBreakBefore w:val="0"/>
              <w:widowControl w:val="0"/>
              <w:numPr>
                <w:ilvl w:val="1"/>
                <w:numId w:val="0"/>
              </w:numPr>
              <w:kinsoku/>
              <w:wordWrap/>
              <w:overflowPunct/>
              <w:topLinePunct w:val="0"/>
              <w:autoSpaceDE/>
              <w:autoSpaceDN/>
              <w:bidi w:val="0"/>
              <w:ind w:firstLine="422" w:firstLineChars="200"/>
              <w:textAlignment w:val="auto"/>
              <w:rPr>
                <w:rFonts w:ascii="Times New Roman" w:hAnsi="Times New Roman"/>
                <w:b/>
                <w:bCs/>
                <w:color w:val="0000FF"/>
                <w:sz w:val="24"/>
              </w:rPr>
            </w:pPr>
            <w:r>
              <w:rPr>
                <w:rFonts w:ascii="Times New Roman" w:hAnsi="Times New Roman"/>
                <w:b/>
                <w:bCs/>
                <w:color w:val="0000FF"/>
                <w:sz w:val="21"/>
                <w:szCs w:val="21"/>
              </w:rPr>
              <w:fldChar w:fldCharType="begin"/>
            </w:r>
            <w:r>
              <w:rPr>
                <w:rFonts w:ascii="Times New Roman" w:hAnsi="Times New Roman"/>
                <w:b/>
                <w:bCs/>
                <w:color w:val="0000FF"/>
                <w:sz w:val="21"/>
                <w:szCs w:val="21"/>
              </w:rPr>
              <w:instrText xml:space="preserve"> = 1 \* GB2 \* MERGEFORMAT </w:instrText>
            </w:r>
            <w:r>
              <w:rPr>
                <w:rFonts w:ascii="Times New Roman" w:hAnsi="Times New Roman"/>
                <w:b/>
                <w:bCs/>
                <w:color w:val="0000FF"/>
                <w:sz w:val="21"/>
                <w:szCs w:val="21"/>
              </w:rPr>
              <w:fldChar w:fldCharType="separate"/>
            </w:r>
            <w:r>
              <w:rPr>
                <w:rFonts w:ascii="Times New Roman" w:hAnsi="Times New Roman"/>
                <w:b/>
                <w:bCs/>
                <w:color w:val="0000FF"/>
                <w:sz w:val="21"/>
                <w:szCs w:val="21"/>
              </w:rPr>
              <w:t>⑴</w:t>
            </w:r>
            <w:r>
              <w:rPr>
                <w:rFonts w:ascii="Times New Roman" w:hAnsi="Times New Roman"/>
                <w:b/>
                <w:bCs/>
                <w:color w:val="0000FF"/>
                <w:sz w:val="21"/>
                <w:szCs w:val="21"/>
              </w:rPr>
              <w:fldChar w:fldCharType="end"/>
            </w:r>
            <w:r>
              <w:rPr>
                <w:rFonts w:ascii="Times New Roman" w:hAnsi="Times New Roman"/>
                <w:b/>
                <w:bCs/>
                <w:color w:val="0000FF"/>
                <w:sz w:val="24"/>
              </w:rPr>
              <w:t>开采对象</w:t>
            </w:r>
          </w:p>
          <w:p w14:paraId="70594D11">
            <w:pPr>
              <w:pStyle w:val="51"/>
              <w:ind w:firstLine="480"/>
              <w:rPr>
                <w:color w:val="0000FF"/>
                <w:szCs w:val="24"/>
              </w:rPr>
            </w:pPr>
            <w:r>
              <w:rPr>
                <w:color w:val="0000FF"/>
                <w:szCs w:val="24"/>
              </w:rPr>
              <w:t>开采对象：矿区范围内圈定的KT1-1、KT1-2、KT3</w:t>
            </w:r>
            <w:r>
              <w:rPr>
                <w:rFonts w:hint="eastAsia"/>
                <w:color w:val="0000FF"/>
                <w:szCs w:val="24"/>
              </w:rPr>
              <w:t>石英</w:t>
            </w:r>
            <w:r>
              <w:rPr>
                <w:color w:val="0000FF"/>
                <w:szCs w:val="24"/>
              </w:rPr>
              <w:t>矿体。</w:t>
            </w:r>
          </w:p>
          <w:p w14:paraId="2CEE6DB4">
            <w:pPr>
              <w:pStyle w:val="51"/>
              <w:ind w:firstLine="480"/>
              <w:rPr>
                <w:color w:val="0000FF"/>
                <w:szCs w:val="24"/>
              </w:rPr>
            </w:pPr>
            <w:r>
              <w:rPr>
                <w:color w:val="0000FF"/>
                <w:szCs w:val="24"/>
              </w:rPr>
              <w:t>开采方式：露天开采。</w:t>
            </w:r>
          </w:p>
          <w:p w14:paraId="51F354DA">
            <w:pPr>
              <w:pStyle w:val="51"/>
              <w:ind w:firstLine="480"/>
              <w:rPr>
                <w:color w:val="0000FF"/>
                <w:szCs w:val="24"/>
              </w:rPr>
            </w:pPr>
            <w:r>
              <w:rPr>
                <w:color w:val="0000FF"/>
                <w:szCs w:val="24"/>
              </w:rPr>
              <w:t>台阶参数：矿体开采台阶高度12m，KT1-1开采标高1594m-1786m，KT1-2开采标高1600m-1792m，KT3开采标高1570m-1644m。每隔两个安全平台设一个清扫平台，安全平台宽4m，清扫平台宽8m。</w:t>
            </w:r>
          </w:p>
          <w:p w14:paraId="7F0B0D74">
            <w:pPr>
              <w:pStyle w:val="51"/>
              <w:ind w:firstLine="480"/>
              <w:rPr>
                <w:color w:val="0000FF"/>
                <w:szCs w:val="24"/>
              </w:rPr>
            </w:pPr>
            <w:r>
              <w:rPr>
                <w:color w:val="0000FF"/>
                <w:szCs w:val="24"/>
              </w:rPr>
              <w:t>最终边坡角：KT1-1最终边坡角：42°58′；KT1-2最终边坡角：43°19′；KT1-3最终边坡角：24°29′。</w:t>
            </w:r>
          </w:p>
          <w:p w14:paraId="6610084F">
            <w:pPr>
              <w:pStyle w:val="51"/>
              <w:ind w:firstLine="482"/>
              <w:rPr>
                <w:color w:val="0000FF"/>
                <w:szCs w:val="24"/>
              </w:rPr>
            </w:pPr>
            <w:r>
              <w:rPr>
                <w:b/>
                <w:bCs/>
                <w:color w:val="0000FF"/>
                <w:szCs w:val="24"/>
              </w:rPr>
              <w:fldChar w:fldCharType="begin"/>
            </w:r>
            <w:r>
              <w:rPr>
                <w:b/>
                <w:bCs/>
                <w:color w:val="0000FF"/>
                <w:szCs w:val="24"/>
              </w:rPr>
              <w:instrText xml:space="preserve"> = 2 \* GB2 \* MERGEFORMAT </w:instrText>
            </w:r>
            <w:r>
              <w:rPr>
                <w:b/>
                <w:bCs/>
                <w:color w:val="0000FF"/>
                <w:szCs w:val="24"/>
              </w:rPr>
              <w:fldChar w:fldCharType="separate"/>
            </w:r>
            <w:r>
              <w:rPr>
                <w:b/>
                <w:bCs/>
                <w:color w:val="0000FF"/>
              </w:rPr>
              <w:t>⑵</w:t>
            </w:r>
            <w:r>
              <w:rPr>
                <w:b/>
                <w:bCs/>
                <w:color w:val="0000FF"/>
                <w:szCs w:val="24"/>
              </w:rPr>
              <w:fldChar w:fldCharType="end"/>
            </w:r>
            <w:r>
              <w:rPr>
                <w:b/>
                <w:bCs/>
                <w:color w:val="0000FF"/>
                <w:szCs w:val="24"/>
              </w:rPr>
              <w:t>开采规模</w:t>
            </w:r>
          </w:p>
          <w:p w14:paraId="101BB191">
            <w:pPr>
              <w:pStyle w:val="51"/>
              <w:ind w:firstLine="480"/>
              <w:rPr>
                <w:color w:val="0000FF"/>
                <w:szCs w:val="24"/>
              </w:rPr>
            </w:pPr>
            <w:r>
              <w:rPr>
                <w:color w:val="0000FF"/>
                <w:szCs w:val="24"/>
              </w:rPr>
              <w:t>根据宝鸡市自然资源和规划局颁发的《宝鸡昌锦瑞石英科技有限公司采矿许可证》，矿山开采规模为40万吨/年。</w:t>
            </w:r>
          </w:p>
          <w:p w14:paraId="1177CC9D">
            <w:pPr>
              <w:pStyle w:val="51"/>
              <w:ind w:firstLine="480"/>
              <w:rPr>
                <w:color w:val="0000FF"/>
                <w:szCs w:val="24"/>
              </w:rPr>
            </w:pPr>
            <w:r>
              <w:rPr>
                <w:color w:val="0000FF"/>
                <w:szCs w:val="24"/>
              </w:rPr>
              <w:t>根据《陕西省宝鸡市陈仓区梨树沟冶金用脉石英矿勘探地质报告》矿产资源储量评审备案的复函（宝市自然资矿储备字[2024]1号），以2024年8月30日为资源估算基准日，矿区累计查明资源量769.58万吨。</w:t>
            </w:r>
          </w:p>
          <w:p w14:paraId="3BF15AB5">
            <w:pPr>
              <w:pStyle w:val="51"/>
              <w:ind w:firstLine="482"/>
              <w:rPr>
                <w:b/>
                <w:bCs/>
                <w:color w:val="0000FF"/>
                <w:szCs w:val="24"/>
              </w:rPr>
            </w:pPr>
            <w:r>
              <w:rPr>
                <w:b/>
                <w:bCs/>
                <w:color w:val="0000FF"/>
                <w:szCs w:val="24"/>
              </w:rPr>
              <w:fldChar w:fldCharType="begin"/>
            </w:r>
            <w:r>
              <w:rPr>
                <w:b/>
                <w:bCs/>
                <w:color w:val="0000FF"/>
                <w:szCs w:val="24"/>
              </w:rPr>
              <w:instrText xml:space="preserve"> = 3 \* GB2 \* MERGEFORMAT </w:instrText>
            </w:r>
            <w:r>
              <w:rPr>
                <w:b/>
                <w:bCs/>
                <w:color w:val="0000FF"/>
                <w:szCs w:val="24"/>
              </w:rPr>
              <w:fldChar w:fldCharType="separate"/>
            </w:r>
            <w:r>
              <w:rPr>
                <w:b/>
                <w:bCs/>
                <w:color w:val="0000FF"/>
              </w:rPr>
              <w:t>⑶</w:t>
            </w:r>
            <w:r>
              <w:rPr>
                <w:b/>
                <w:bCs/>
                <w:color w:val="0000FF"/>
                <w:szCs w:val="24"/>
              </w:rPr>
              <w:fldChar w:fldCharType="end"/>
            </w:r>
            <w:r>
              <w:rPr>
                <w:b/>
                <w:bCs/>
                <w:color w:val="0000FF"/>
                <w:szCs w:val="24"/>
              </w:rPr>
              <w:t>开采技术条件</w:t>
            </w:r>
          </w:p>
          <w:p w14:paraId="3531AA05">
            <w:pPr>
              <w:pStyle w:val="51"/>
              <w:ind w:firstLine="480"/>
              <w:rPr>
                <w:color w:val="0000FF"/>
                <w:szCs w:val="24"/>
              </w:rPr>
            </w:pPr>
            <w:r>
              <w:rPr>
                <w:color w:val="0000FF"/>
                <w:szCs w:val="24"/>
              </w:rPr>
              <w:t>①水文地质条件</w:t>
            </w:r>
          </w:p>
          <w:p w14:paraId="4D545A9B">
            <w:pPr>
              <w:pStyle w:val="51"/>
              <w:ind w:firstLine="480"/>
              <w:rPr>
                <w:color w:val="0000FF"/>
                <w:szCs w:val="24"/>
              </w:rPr>
            </w:pPr>
            <w:r>
              <w:rPr>
                <w:color w:val="0000FF"/>
                <w:szCs w:val="24"/>
              </w:rPr>
              <w:t>矿区水文地质单元为渭河二级支流香泉河流，位于陇山地区，属中山中切割侵蚀地貌，矿床未来露天开采，主要充水因素为大气降水。矿体最低赋存标高1570m，矿区侵蚀基准面标高1400m，矿体位于最低侵蚀基准面以上，大气降水能自然排水。矿区地下水类型主要为第四系松散岩类孔隙水、结晶岩类裂隙水，由于发育的构造多为先拉张后挤压，多闭合，其富水性、透水性均极弱。地表第四系覆盖较薄，分布局限，富水性差且有良好的隔水层。水文地质类型属以基岩裂隙含水为主，水文地质条件简单的矿床。</w:t>
            </w:r>
          </w:p>
          <w:p w14:paraId="3824CF84">
            <w:pPr>
              <w:pStyle w:val="51"/>
              <w:ind w:firstLine="480"/>
              <w:rPr>
                <w:color w:val="0000FF"/>
                <w:szCs w:val="24"/>
              </w:rPr>
            </w:pPr>
            <w:r>
              <w:rPr>
                <w:color w:val="0000FF"/>
                <w:szCs w:val="24"/>
              </w:rPr>
              <w:t>②工程地质条件</w:t>
            </w:r>
          </w:p>
          <w:p w14:paraId="7739C14F">
            <w:pPr>
              <w:pStyle w:val="51"/>
              <w:ind w:firstLine="480"/>
              <w:rPr>
                <w:color w:val="0000FF"/>
                <w:szCs w:val="24"/>
              </w:rPr>
            </w:pPr>
            <w:r>
              <w:rPr>
                <w:color w:val="0000FF"/>
                <w:szCs w:val="24"/>
              </w:rPr>
              <w:t>矿体围岩为脉石英岩，属坚硬岩类，岩体完整，构造破碎带、蚀变带、风化带等较不发育，稳定性好：矿体为石英脉，岩体较完整，结构面一般不发育，稳定性较好：本区露天采矿后整体边坡角不大于27°，开采底板属极弱-弱富水，地下水对采矿边坡稳定性的影响较小。工程地质类型为坚硬岩为主的矿床，属块状岩类简单类型。</w:t>
            </w:r>
          </w:p>
          <w:p w14:paraId="7DB9E30A">
            <w:pPr>
              <w:pStyle w:val="51"/>
              <w:ind w:firstLine="480"/>
              <w:rPr>
                <w:color w:val="0000FF"/>
                <w:szCs w:val="24"/>
              </w:rPr>
            </w:pPr>
            <w:r>
              <w:rPr>
                <w:color w:val="0000FF"/>
                <w:szCs w:val="24"/>
              </w:rPr>
              <w:t>③环境地质条件</w:t>
            </w:r>
          </w:p>
          <w:p w14:paraId="5F47F3D6">
            <w:pPr>
              <w:pStyle w:val="51"/>
              <w:ind w:firstLine="480"/>
              <w:rPr>
                <w:color w:val="0000FF"/>
                <w:szCs w:val="24"/>
              </w:rPr>
            </w:pPr>
            <w:r>
              <w:rPr>
                <w:color w:val="0000FF"/>
                <w:szCs w:val="24"/>
              </w:rPr>
              <w:t>矿体围岩为脉石英岩，属坚硬岩类，岩体完整，构造破碎带、蚀变带、风化带等较不发育，稳定性好：矿体为石英脉，岩体较完整，结构面一般不发育，稳定性较好：本区露天采矿后整体边坡角不大于27°，开采底板属极弱-弱富水，地下水对采矿边坡稳定性的影响较小。工程地质类型为坚硬岩为主的矿床，属块状岩类简单类型，来开采中，要合理避让陕西省陇县秦岭细鳞鲑国家级自然保护区范围，以免细鳞鲑的保护受到本区矿业活动影响。矿区地质环境类型质量良好。</w:t>
            </w:r>
          </w:p>
          <w:p w14:paraId="666246A9">
            <w:pPr>
              <w:pStyle w:val="51"/>
              <w:ind w:firstLine="482"/>
              <w:rPr>
                <w:b/>
                <w:bCs/>
                <w:color w:val="0000FF"/>
                <w:szCs w:val="24"/>
              </w:rPr>
            </w:pPr>
            <w:r>
              <w:rPr>
                <w:b/>
                <w:bCs/>
                <w:color w:val="0000FF"/>
                <w:szCs w:val="24"/>
              </w:rPr>
              <w:fldChar w:fldCharType="begin"/>
            </w:r>
            <w:r>
              <w:rPr>
                <w:b/>
                <w:bCs/>
                <w:color w:val="0000FF"/>
                <w:szCs w:val="24"/>
              </w:rPr>
              <w:instrText xml:space="preserve"> = 4 \* GB2 \* MERGEFORMAT </w:instrText>
            </w:r>
            <w:r>
              <w:rPr>
                <w:b/>
                <w:bCs/>
                <w:color w:val="0000FF"/>
                <w:szCs w:val="24"/>
              </w:rPr>
              <w:fldChar w:fldCharType="separate"/>
            </w:r>
            <w:r>
              <w:rPr>
                <w:b/>
                <w:bCs/>
                <w:color w:val="0000FF"/>
              </w:rPr>
              <w:t>⑷</w:t>
            </w:r>
            <w:r>
              <w:rPr>
                <w:b/>
                <w:bCs/>
                <w:color w:val="0000FF"/>
                <w:szCs w:val="24"/>
              </w:rPr>
              <w:fldChar w:fldCharType="end"/>
            </w:r>
            <w:r>
              <w:rPr>
                <w:b/>
                <w:bCs/>
                <w:color w:val="0000FF"/>
                <w:szCs w:val="24"/>
              </w:rPr>
              <w:t>开采方案</w:t>
            </w:r>
          </w:p>
          <w:p w14:paraId="633DAD24">
            <w:pPr>
              <w:pStyle w:val="51"/>
              <w:ind w:firstLine="480"/>
              <w:rPr>
                <w:color w:val="0000FF"/>
                <w:szCs w:val="24"/>
              </w:rPr>
            </w:pPr>
            <w:r>
              <w:rPr>
                <w:color w:val="0000FF"/>
                <w:szCs w:val="24"/>
              </w:rPr>
              <w:t>①开采方式</w:t>
            </w:r>
          </w:p>
          <w:p w14:paraId="50281F8F">
            <w:pPr>
              <w:pStyle w:val="51"/>
              <w:ind w:firstLine="480"/>
              <w:rPr>
                <w:color w:val="0000FF"/>
                <w:szCs w:val="24"/>
              </w:rPr>
            </w:pPr>
            <w:r>
              <w:rPr>
                <w:color w:val="0000FF"/>
                <w:szCs w:val="24"/>
              </w:rPr>
              <w:t>根据该矿山自然地形条件、道路布置及开采情况，并结合《采矿许可证》批准的开采方式，本项目矿体采用露天开采，以充分利用露天开采机械化程度高、成本低、作业条件好等优点。本次方案圈定露天境界时最小底宽取30m，设计KT1-1开采标高1594m-1788m，KT1-2开采标高1600m-1795m，KT3开采标高1570m-1644m。</w:t>
            </w:r>
          </w:p>
          <w:p w14:paraId="2E4F96DA">
            <w:pPr>
              <w:pStyle w:val="51"/>
              <w:ind w:firstLine="480"/>
              <w:rPr>
                <w:color w:val="0000FF"/>
                <w:szCs w:val="24"/>
              </w:rPr>
            </w:pPr>
            <w:r>
              <w:rPr>
                <w:color w:val="0000FF"/>
                <w:szCs w:val="24"/>
              </w:rPr>
              <w:t>②露天采场边坡参数</w:t>
            </w:r>
          </w:p>
          <w:p w14:paraId="3E5B043C">
            <w:pPr>
              <w:pStyle w:val="51"/>
              <w:ind w:firstLine="480"/>
              <w:rPr>
                <w:color w:val="0000FF"/>
                <w:szCs w:val="24"/>
              </w:rPr>
            </w:pPr>
            <w:r>
              <w:rPr>
                <w:color w:val="0000FF"/>
                <w:szCs w:val="24"/>
              </w:rPr>
              <w:t>台阶高度：根据《金属非金属矿山安全规程》（GB16423-2020）：坚硬稳固的矿岩爆破，机械铲装，台阶高度不大于机械的最大挖掘高度的1.5倍。参考采矿设计手册第三卷（冶金工业出版社，1991年），挖掘机斗容为1-2m³时，台阶高度为10-12m。周边大规模（百万吨）石灰岩矿山台阶高度也不超过15m。方案选用1.9m³ZX450H型履带式挖掘机进行铲装作业，由于ZX450H型履带式挖掘机最大挖掘高度约10.95m，根据《金属非金属矿山安全规程》，台阶高度不大于机械最大挖掘高度的1.5倍即16.4m（10.95m×1.5=16.4m）；根据采矿设计手册第三卷（冶金工业出版社，1991年），台阶高度为10-12m。本方案根据所选定的采掘设备规格、类型依据有关的规范、规程及以及考虑到恢复治理时的难易度和参考麻池石英矿的情况，综合确定台阶高度为10m。</w:t>
            </w:r>
          </w:p>
          <w:p w14:paraId="44BE3FDF">
            <w:pPr>
              <w:pStyle w:val="51"/>
              <w:ind w:firstLine="480"/>
              <w:rPr>
                <w:color w:val="0000FF"/>
                <w:szCs w:val="24"/>
              </w:rPr>
            </w:pPr>
            <w:r>
              <w:rPr>
                <w:color w:val="0000FF"/>
                <w:szCs w:val="24"/>
              </w:rPr>
              <w:t>台阶坡面角：根据终了开采高差、周边相似矿山的开采实践以及该矿体赋存情况，方案确定本矿床台阶坡面角为矿体倾角，上部削顶的部分台阶坡面角位60-65°。</w:t>
            </w:r>
          </w:p>
          <w:p w14:paraId="51A53231">
            <w:pPr>
              <w:pStyle w:val="51"/>
              <w:ind w:firstLine="480"/>
              <w:rPr>
                <w:color w:val="0000FF"/>
                <w:szCs w:val="24"/>
              </w:rPr>
            </w:pPr>
            <w:r>
              <w:rPr>
                <w:color w:val="0000FF"/>
                <w:szCs w:val="24"/>
              </w:rPr>
              <w:t>平台设置：每隔两个安全平台设一个清扫平台，安全平台宽3m，清扫平台宽6m。</w:t>
            </w:r>
          </w:p>
          <w:p w14:paraId="49835605">
            <w:pPr>
              <w:pStyle w:val="51"/>
              <w:ind w:firstLine="480"/>
              <w:rPr>
                <w:color w:val="0000FF"/>
                <w:szCs w:val="24"/>
              </w:rPr>
            </w:pPr>
            <w:r>
              <w:rPr>
                <w:color w:val="0000FF"/>
                <w:szCs w:val="24"/>
              </w:rPr>
              <w:t>最终边坡角：A-A’剖面：47°55′（1644m-1570m）；B-B’剖面：35°15′（1782m-1660m），25°32′（1660m-1600m）；C-C’剖面：48°19′（1732m-1684m），27°54′（1684m-1594m）；D-D’剖面：45°3′（1780m-1744m），25°26′（1744m-1604m）。</w:t>
            </w:r>
          </w:p>
          <w:p w14:paraId="4E87DDF3">
            <w:pPr>
              <w:pStyle w:val="51"/>
              <w:ind w:firstLine="480"/>
              <w:rPr>
                <w:color w:val="0000FF"/>
                <w:szCs w:val="24"/>
              </w:rPr>
            </w:pPr>
            <w:r>
              <w:rPr>
                <w:color w:val="0000FF"/>
                <w:szCs w:val="24"/>
              </w:rPr>
              <w:t>③开采顺序</w:t>
            </w:r>
          </w:p>
          <w:p w14:paraId="4D5A8ED7">
            <w:pPr>
              <w:pStyle w:val="51"/>
              <w:ind w:firstLine="480"/>
              <w:rPr>
                <w:color w:val="0000FF"/>
                <w:szCs w:val="24"/>
              </w:rPr>
            </w:pPr>
            <w:r>
              <w:rPr>
                <w:color w:val="0000FF"/>
                <w:szCs w:val="24"/>
              </w:rPr>
              <w:t>各矿体内部开采总顺序为自上而下分台阶开采，根据矿区地形条件、圈定的露天开采境界及矿体赋存特征，方案设计基建期需完成KT1-1矿体采场上部 1714m及以上的削顶剥离平台至最终境界，首采地段布置在采场1704m、1694m 平台，两个台阶同时生产，工作线近南北方向布置，向东、南方向进行推进。</w:t>
            </w:r>
          </w:p>
          <w:p w14:paraId="2626A699">
            <w:pPr>
              <w:adjustRightInd w:val="0"/>
              <w:snapToGrid w:val="0"/>
              <w:ind w:firstLine="482"/>
              <w:rPr>
                <w:b/>
                <w:bCs/>
                <w:color w:val="0000FF"/>
              </w:rPr>
            </w:pPr>
            <w:r>
              <w:rPr>
                <w:b/>
                <w:bCs/>
                <w:color w:val="0000FF"/>
              </w:rPr>
              <w:fldChar w:fldCharType="begin"/>
            </w:r>
            <w:r>
              <w:rPr>
                <w:b/>
                <w:bCs/>
                <w:color w:val="0000FF"/>
              </w:rPr>
              <w:instrText xml:space="preserve"> = 5 \* GB2 \* MERGEFORMAT </w:instrText>
            </w:r>
            <w:r>
              <w:rPr>
                <w:b/>
                <w:bCs/>
                <w:color w:val="0000FF"/>
              </w:rPr>
              <w:fldChar w:fldCharType="separate"/>
            </w:r>
            <w:r>
              <w:rPr>
                <w:b/>
                <w:bCs/>
                <w:color w:val="0000FF"/>
              </w:rPr>
              <w:t>⑸</w:t>
            </w:r>
            <w:r>
              <w:rPr>
                <w:b/>
                <w:bCs/>
                <w:color w:val="0000FF"/>
              </w:rPr>
              <w:fldChar w:fldCharType="end"/>
            </w:r>
            <w:r>
              <w:rPr>
                <w:b/>
                <w:bCs/>
                <w:color w:val="0000FF"/>
              </w:rPr>
              <w:t>服务年限</w:t>
            </w:r>
          </w:p>
          <w:p w14:paraId="33D202EA">
            <w:pPr>
              <w:adjustRightInd w:val="0"/>
              <w:snapToGrid w:val="0"/>
              <w:ind w:firstLine="480"/>
              <w:rPr>
                <w:color w:val="0000FF"/>
              </w:rPr>
            </w:pPr>
            <w:r>
              <w:rPr>
                <w:color w:val="0000FF"/>
              </w:rPr>
              <w:t>根据《宝鸡昌锦瑞石英科技有限公司梨树沟冶金用脉石英矿40万吨/年露天采矿工程可行性研究报告》，结合生产规模及矿山具体情况进行排产，矿山服务年限18.1年。</w:t>
            </w:r>
          </w:p>
          <w:p w14:paraId="1AC6A1DA">
            <w:pPr>
              <w:adjustRightInd w:val="0"/>
              <w:snapToGrid w:val="0"/>
              <w:ind w:firstLine="482"/>
              <w:rPr>
                <w:b/>
                <w:bCs/>
                <w:color w:val="0000FF"/>
              </w:rPr>
            </w:pPr>
            <w:r>
              <w:rPr>
                <w:b/>
                <w:bCs/>
                <w:color w:val="0000FF"/>
              </w:rPr>
              <w:fldChar w:fldCharType="begin"/>
            </w:r>
            <w:r>
              <w:rPr>
                <w:b/>
                <w:bCs/>
                <w:color w:val="0000FF"/>
              </w:rPr>
              <w:instrText xml:space="preserve"> = 6 \* GB2 \* MERGEFORMAT </w:instrText>
            </w:r>
            <w:r>
              <w:rPr>
                <w:b/>
                <w:bCs/>
                <w:color w:val="0000FF"/>
              </w:rPr>
              <w:fldChar w:fldCharType="separate"/>
            </w:r>
            <w:r>
              <w:rPr>
                <w:b/>
                <w:bCs/>
                <w:color w:val="0000FF"/>
              </w:rPr>
              <w:t>⑹</w:t>
            </w:r>
            <w:r>
              <w:rPr>
                <w:b/>
                <w:bCs/>
                <w:color w:val="0000FF"/>
              </w:rPr>
              <w:fldChar w:fldCharType="end"/>
            </w:r>
            <w:r>
              <w:rPr>
                <w:b/>
                <w:bCs/>
                <w:color w:val="0000FF"/>
              </w:rPr>
              <w:t>露天开采运输方案</w:t>
            </w:r>
          </w:p>
          <w:p w14:paraId="55A48681">
            <w:pPr>
              <w:adjustRightInd w:val="0"/>
              <w:snapToGrid w:val="0"/>
              <w:ind w:firstLine="480"/>
              <w:rPr>
                <w:rFonts w:hint="eastAsia"/>
                <w:color w:val="0000FF"/>
                <w:lang w:eastAsia="zh-CN"/>
              </w:rPr>
            </w:pPr>
            <w:r>
              <w:rPr>
                <w:rFonts w:hint="eastAsia"/>
                <w:color w:val="0000FF"/>
              </w:rPr>
              <w:t>①</w:t>
            </w:r>
            <w:r>
              <w:rPr>
                <w:rFonts w:hint="eastAsia"/>
                <w:color w:val="0000FF"/>
                <w:lang w:eastAsia="zh-CN"/>
              </w:rPr>
              <w:t>开拓运输</w:t>
            </w:r>
          </w:p>
          <w:p w14:paraId="63879321">
            <w:pPr>
              <w:adjustRightInd w:val="0"/>
              <w:snapToGrid w:val="0"/>
              <w:ind w:firstLine="480"/>
              <w:rPr>
                <w:rFonts w:hint="eastAsia"/>
                <w:color w:val="0000FF"/>
                <w:lang w:eastAsia="zh-CN"/>
              </w:rPr>
            </w:pPr>
            <w:r>
              <w:rPr>
                <w:rFonts w:hint="eastAsia"/>
                <w:color w:val="0000FF"/>
                <w:lang w:eastAsia="zh-CN"/>
              </w:rPr>
              <w:t>设计矿山按自上而下台阶式开采，在开采过程中需修建支路与各作业平台连接，道路参数满足汽车上山要求。矿区现有两段运输平硐，靠近矿山处的平硐尺寸为宽3.5m，高3m，长1km，坡度为1%。方案采用UQ-20矿用自卸汽车（宽2.48m，高2.55m，长7.5m）运输，平硐内设人行道1.2m，运输设备与巷道壁留设0.6m间隙，因此运输巷道宽度应为4.3m，方案根据企业意愿将该运输平硐断面扩大尺寸为宽4.5m，高4.5m。另外一段平硐长0.7km，断面尺寸为宽4.5m，高4.5m，坡度1%，能满足运输要求。</w:t>
            </w:r>
          </w:p>
          <w:p w14:paraId="1E59DFCC">
            <w:pPr>
              <w:adjustRightInd w:val="0"/>
              <w:snapToGrid w:val="0"/>
              <w:ind w:firstLine="480"/>
              <w:rPr>
                <w:rFonts w:hint="eastAsia"/>
                <w:color w:val="0000FF"/>
                <w:lang w:eastAsia="zh-CN"/>
              </w:rPr>
            </w:pPr>
            <w:r>
              <w:rPr>
                <w:rFonts w:hint="eastAsia"/>
                <w:color w:val="0000FF"/>
                <w:lang w:eastAsia="zh-CN"/>
              </w:rPr>
              <w:t>②矿石运输</w:t>
            </w:r>
          </w:p>
          <w:p w14:paraId="2CC91CBF">
            <w:pPr>
              <w:adjustRightInd w:val="0"/>
              <w:snapToGrid w:val="0"/>
              <w:ind w:firstLine="480"/>
              <w:rPr>
                <w:rFonts w:hint="eastAsia"/>
                <w:color w:val="0000FF"/>
                <w:lang w:eastAsia="zh-CN"/>
              </w:rPr>
            </w:pPr>
            <w:r>
              <w:rPr>
                <w:rFonts w:hint="eastAsia"/>
                <w:color w:val="0000FF"/>
                <w:lang w:eastAsia="zh-CN"/>
              </w:rPr>
              <w:t>矿石运输选用20t级矿用自卸汽车。开采的矿石运至租赁的加工生产线。矿山采矿平台至麻池破碎加工生产线运输道路长度约7km（期间要经过两段平硐，第一段平硐长1km，第二段平硐长0.7km），经计算，全矿配置11辆20t矿用自卸汽车。</w:t>
            </w:r>
          </w:p>
          <w:p w14:paraId="2C01C329">
            <w:pPr>
              <w:adjustRightInd w:val="0"/>
              <w:snapToGrid w:val="0"/>
              <w:ind w:firstLine="480"/>
              <w:rPr>
                <w:rFonts w:hint="eastAsia"/>
                <w:color w:val="0000FF"/>
                <w:lang w:eastAsia="zh-CN"/>
              </w:rPr>
            </w:pPr>
            <w:r>
              <w:rPr>
                <w:rFonts w:hint="eastAsia"/>
                <w:color w:val="0000FF"/>
                <w:lang w:eastAsia="zh-CN"/>
              </w:rPr>
              <w:t>本方案道路工程主要包括运输道路主干线及支路，道路按《厂矿道路设计规范》（GBJ22-87）设计，在运输道路的急弯、陡坡、道路交叉口应设置限速的警示标志，各道路主要技术参数及路面标准如下：</w:t>
            </w:r>
          </w:p>
          <w:p w14:paraId="577E225C">
            <w:pPr>
              <w:adjustRightInd w:val="0"/>
              <w:snapToGrid w:val="0"/>
              <w:ind w:firstLine="480"/>
              <w:rPr>
                <w:rFonts w:hint="eastAsia"/>
                <w:color w:val="0000FF"/>
                <w:lang w:eastAsia="zh-CN"/>
              </w:rPr>
            </w:pPr>
            <w:r>
              <w:rPr>
                <w:rFonts w:hint="eastAsia"/>
                <w:color w:val="0000FF"/>
                <w:lang w:eastAsia="zh-CN"/>
              </w:rPr>
              <w:t>1）线路等级：设计公路等级为单车道 III 级，行车速度不大于20km/h；</w:t>
            </w:r>
          </w:p>
          <w:p w14:paraId="62261F07">
            <w:pPr>
              <w:adjustRightInd w:val="0"/>
              <w:snapToGrid w:val="0"/>
              <w:ind w:firstLine="480"/>
              <w:rPr>
                <w:rFonts w:hint="eastAsia"/>
                <w:color w:val="0000FF"/>
                <w:lang w:eastAsia="zh-CN"/>
              </w:rPr>
            </w:pPr>
            <w:r>
              <w:rPr>
                <w:rFonts w:hint="eastAsia"/>
                <w:color w:val="0000FF"/>
                <w:lang w:eastAsia="zh-CN"/>
              </w:rPr>
              <w:t>2）道路形式：折返式；</w:t>
            </w:r>
          </w:p>
          <w:p w14:paraId="7C65CA7A">
            <w:pPr>
              <w:adjustRightInd w:val="0"/>
              <w:snapToGrid w:val="0"/>
              <w:ind w:firstLine="480"/>
              <w:rPr>
                <w:rFonts w:hint="eastAsia"/>
                <w:color w:val="0000FF"/>
                <w:lang w:eastAsia="zh-CN"/>
              </w:rPr>
            </w:pPr>
            <w:r>
              <w:rPr>
                <w:rFonts w:hint="eastAsia"/>
                <w:color w:val="0000FF"/>
                <w:lang w:eastAsia="zh-CN"/>
              </w:rPr>
              <w:t>3）路面宽度：6m；</w:t>
            </w:r>
          </w:p>
          <w:p w14:paraId="0A93D91B">
            <w:pPr>
              <w:adjustRightInd w:val="0"/>
              <w:snapToGrid w:val="0"/>
              <w:ind w:firstLine="480"/>
              <w:rPr>
                <w:rFonts w:hint="eastAsia"/>
                <w:color w:val="0000FF"/>
                <w:lang w:eastAsia="zh-CN"/>
              </w:rPr>
            </w:pPr>
            <w:r>
              <w:rPr>
                <w:rFonts w:hint="eastAsia"/>
                <w:color w:val="0000FF"/>
                <w:lang w:eastAsia="zh-CN"/>
              </w:rPr>
              <w:t>4）荷载等级：汽-20t；</w:t>
            </w:r>
          </w:p>
          <w:p w14:paraId="329094BF">
            <w:pPr>
              <w:adjustRightInd w:val="0"/>
              <w:snapToGrid w:val="0"/>
              <w:ind w:firstLine="480"/>
              <w:rPr>
                <w:rFonts w:hint="eastAsia"/>
                <w:color w:val="0000FF"/>
                <w:lang w:eastAsia="zh-CN"/>
              </w:rPr>
            </w:pPr>
            <w:r>
              <w:rPr>
                <w:rFonts w:hint="eastAsia"/>
                <w:color w:val="0000FF"/>
                <w:lang w:eastAsia="zh-CN"/>
              </w:rPr>
              <w:t>5）路面结构：泥结碎石路面，厚度约0.3m；</w:t>
            </w:r>
          </w:p>
          <w:p w14:paraId="2F01D7C1">
            <w:pPr>
              <w:adjustRightInd w:val="0"/>
              <w:snapToGrid w:val="0"/>
              <w:ind w:firstLine="480"/>
              <w:rPr>
                <w:rFonts w:hint="eastAsia"/>
                <w:color w:val="0000FF"/>
                <w:lang w:eastAsia="zh-CN"/>
              </w:rPr>
            </w:pPr>
            <w:r>
              <w:rPr>
                <w:rFonts w:hint="eastAsia"/>
                <w:color w:val="0000FF"/>
                <w:lang w:eastAsia="zh-CN"/>
              </w:rPr>
              <w:t>6）最小平曲线半径：12m；</w:t>
            </w:r>
          </w:p>
          <w:p w14:paraId="1B71FBE3">
            <w:pPr>
              <w:adjustRightInd w:val="0"/>
              <w:snapToGrid w:val="0"/>
              <w:ind w:firstLine="480"/>
              <w:rPr>
                <w:rFonts w:hint="eastAsia"/>
                <w:color w:val="0000FF"/>
                <w:lang w:eastAsia="zh-CN"/>
              </w:rPr>
            </w:pPr>
            <w:r>
              <w:rPr>
                <w:rFonts w:hint="eastAsia"/>
                <w:color w:val="0000FF"/>
                <w:lang w:eastAsia="zh-CN"/>
              </w:rPr>
              <w:t>7）最大纵坡：8%；</w:t>
            </w:r>
          </w:p>
          <w:p w14:paraId="513BEFAD">
            <w:pPr>
              <w:adjustRightInd w:val="0"/>
              <w:snapToGrid w:val="0"/>
              <w:ind w:firstLine="480"/>
              <w:rPr>
                <w:b/>
                <w:color w:val="0000FF"/>
                <w:sz w:val="21"/>
                <w:szCs w:val="21"/>
              </w:rPr>
            </w:pPr>
            <w:r>
              <w:rPr>
                <w:rFonts w:hint="eastAsia"/>
                <w:color w:val="0000FF"/>
                <w:lang w:eastAsia="zh-CN"/>
              </w:rPr>
              <w:t>8）错车道：主运道路每隔200m设置一个错车道，设计其等宽长度15m，渐宽长度20m</w:t>
            </w:r>
            <w:r>
              <w:rPr>
                <w:color w:val="0000FF"/>
              </w:rPr>
              <w:t>。</w:t>
            </w:r>
          </w:p>
          <w:p w14:paraId="0366A4A1">
            <w:pPr>
              <w:adjustRightInd w:val="0"/>
              <w:snapToGrid w:val="0"/>
              <w:ind w:firstLine="482"/>
              <w:rPr>
                <w:b/>
                <w:bCs/>
                <w:color w:val="0000FF"/>
              </w:rPr>
            </w:pPr>
            <w:r>
              <w:rPr>
                <w:b/>
                <w:bCs/>
                <w:color w:val="0000FF"/>
              </w:rPr>
              <w:fldChar w:fldCharType="begin"/>
            </w:r>
            <w:r>
              <w:rPr>
                <w:b/>
                <w:bCs/>
                <w:color w:val="0000FF"/>
              </w:rPr>
              <w:instrText xml:space="preserve"> = 7 \* GB2 \* MERGEFORMAT </w:instrText>
            </w:r>
            <w:r>
              <w:rPr>
                <w:b/>
                <w:bCs/>
                <w:color w:val="0000FF"/>
              </w:rPr>
              <w:fldChar w:fldCharType="separate"/>
            </w:r>
            <w:r>
              <w:rPr>
                <w:b/>
                <w:bCs/>
                <w:color w:val="0000FF"/>
              </w:rPr>
              <w:t>⑺</w:t>
            </w:r>
            <w:r>
              <w:rPr>
                <w:b/>
                <w:bCs/>
                <w:color w:val="0000FF"/>
              </w:rPr>
              <w:fldChar w:fldCharType="end"/>
            </w:r>
            <w:r>
              <w:rPr>
                <w:b/>
                <w:bCs/>
                <w:color w:val="0000FF"/>
              </w:rPr>
              <w:t>采矿方法</w:t>
            </w:r>
          </w:p>
          <w:p w14:paraId="13C673BB">
            <w:pPr>
              <w:adjustRightInd w:val="0"/>
              <w:snapToGrid w:val="0"/>
              <w:ind w:firstLine="480"/>
              <w:rPr>
                <w:color w:val="0000FF"/>
              </w:rPr>
            </w:pPr>
            <w:r>
              <w:rPr>
                <w:color w:val="0000FF"/>
              </w:rPr>
              <w:t>依据该矿区的地形地质条件、矿体赋存状况及开采现状，设计矿山采用自上而下台阶式开采，台阶高度15m，工作台阶坡面角75°，终了台阶坡面角65°，最小工作平盘宽度40m，设计两个台阶同时生产，各平台布置一台挖掘机进行铲装。根据385-8型履带式挖掘机的斗容及选用的运输方式，参照同类生产矿山的经验，设计取单台挖掘机工作线长度最小60m。</w:t>
            </w:r>
          </w:p>
          <w:p w14:paraId="3F528C19">
            <w:pPr>
              <w:adjustRightInd w:val="0"/>
              <w:snapToGrid w:val="0"/>
              <w:ind w:firstLine="480"/>
              <w:rPr>
                <w:color w:val="0000FF"/>
              </w:rPr>
            </w:pPr>
            <w:r>
              <w:rPr>
                <w:color w:val="0000FF"/>
              </w:rPr>
              <w:t>矿山通过潜孔钻机向下钻凿炮孔，爆破的矿石由挖掘机、装载机铲装至自卸汽车，由自卸汽车运输至溜矿平台805m，经溜槽溜矿至采场底部745m装矿平台，通过挖掘机、装载机铲装至自卸车后运至加工厂原料场。</w:t>
            </w:r>
          </w:p>
          <w:p w14:paraId="5CD579A4">
            <w:pPr>
              <w:adjustRightInd w:val="0"/>
              <w:snapToGrid w:val="0"/>
              <w:ind w:firstLine="482"/>
              <w:rPr>
                <w:b/>
                <w:bCs/>
                <w:color w:val="0000FF"/>
              </w:rPr>
            </w:pPr>
            <w:r>
              <w:rPr>
                <w:b/>
                <w:bCs/>
                <w:color w:val="0000FF"/>
              </w:rPr>
              <w:t>（8）矿体特征</w:t>
            </w:r>
          </w:p>
          <w:p w14:paraId="04A86B43">
            <w:pPr>
              <w:adjustRightInd w:val="0"/>
              <w:snapToGrid w:val="0"/>
              <w:ind w:firstLine="480"/>
              <w:rPr>
                <w:color w:val="0000FF"/>
              </w:rPr>
            </w:pPr>
            <w:r>
              <w:rPr>
                <w:color w:val="0000FF"/>
              </w:rPr>
              <w:t>勘查区共圈定矿体6条，编号分别为KT1-1、KT1-2，KT1-3、KT3、KT2-1、KT2-2。其中KT1-1、KT1-2、KT3为主要矿体，其特征如下：</w:t>
            </w:r>
          </w:p>
          <w:p w14:paraId="4C27A548">
            <w:pPr>
              <w:adjustRightInd w:val="0"/>
              <w:snapToGrid w:val="0"/>
              <w:ind w:firstLine="480"/>
              <w:rPr>
                <w:color w:val="0000FF"/>
              </w:rPr>
            </w:pPr>
            <w:r>
              <w:rPr>
                <w:color w:val="0000FF"/>
              </w:rPr>
              <w:t>KT1-1矿体：分布于梨树沟脑10-3勘探线间，沿山脊西坡呈皮壳状顺坡分布，产于q1-1石英脉中，受F10剥离断层控制平面形态呈不规则面状，剖面</w:t>
            </w:r>
            <w:r>
              <w:rPr>
                <w:rFonts w:hint="eastAsia"/>
                <w:color w:val="0000FF"/>
                <w:lang w:eastAsia="zh-CN"/>
              </w:rPr>
              <w:t>上</w:t>
            </w:r>
            <w:r>
              <w:rPr>
                <w:color w:val="0000FF"/>
              </w:rPr>
              <w:t>呈板状。矿体地表由13条探槽控制，控制矿体长290m；倾向延伸由10个钻孔控制，控制矿体倾向延伸120～557m，总体产状250°∠22°；矿体地表出露标高1594～1788m，赋存标高1594～1788m；工程矿体真厚度9.27～39.87m，平均真厚度22.66m，厚度变化系数39.30%，属稳定类型。矿体沿走向、倾向具备中部厚大，向边部逐渐变薄尖灭的规律。矿石为青灰～灰白色石英脉，石英一般95%～99%，含少量花岗质构造碎屑。有益组分SiO</w:t>
            </w:r>
            <w:r>
              <w:rPr>
                <w:color w:val="0000FF"/>
                <w:vertAlign w:val="subscript"/>
              </w:rPr>
              <w:t>2</w:t>
            </w:r>
            <w:r>
              <w:rPr>
                <w:color w:val="0000FF"/>
              </w:rPr>
              <w:t>90.05%～99.07%，平均95.62%，品位变化系数4.49%，属均匀类型；有害组分Al</w:t>
            </w:r>
            <w:r>
              <w:rPr>
                <w:color w:val="0000FF"/>
                <w:vertAlign w:val="subscript"/>
              </w:rPr>
              <w:t>2</w:t>
            </w:r>
            <w:r>
              <w:rPr>
                <w:color w:val="0000FF"/>
              </w:rPr>
              <w:t>O</w:t>
            </w:r>
            <w:r>
              <w:rPr>
                <w:color w:val="0000FF"/>
                <w:vertAlign w:val="subscript"/>
              </w:rPr>
              <w:t>3</w:t>
            </w:r>
            <w:r>
              <w:rPr>
                <w:color w:val="0000FF"/>
              </w:rPr>
              <w:t>0.05%～8.55%，平均1.15%；Fe</w:t>
            </w:r>
            <w:r>
              <w:rPr>
                <w:color w:val="0000FF"/>
                <w:vertAlign w:val="subscript"/>
              </w:rPr>
              <w:t>2</w:t>
            </w:r>
            <w:r>
              <w:rPr>
                <w:color w:val="0000FF"/>
              </w:rPr>
              <w:t>O</w:t>
            </w:r>
            <w:r>
              <w:rPr>
                <w:color w:val="0000FF"/>
                <w:vertAlign w:val="subscript"/>
              </w:rPr>
              <w:t>3</w:t>
            </w:r>
            <w:r>
              <w:rPr>
                <w:color w:val="0000FF"/>
              </w:rPr>
              <w:t>0.06%～1.65%，平均0.31%；CaO0.01%～4.69%，平均0.77%；P</w:t>
            </w:r>
            <w:r>
              <w:rPr>
                <w:color w:val="0000FF"/>
                <w:vertAlign w:val="subscript"/>
              </w:rPr>
              <w:t>2</w:t>
            </w:r>
            <w:r>
              <w:rPr>
                <w:color w:val="0000FF"/>
              </w:rPr>
              <w:t>O</w:t>
            </w:r>
            <w:r>
              <w:rPr>
                <w:color w:val="0000FF"/>
                <w:vertAlign w:val="subscript"/>
              </w:rPr>
              <w:t>5</w:t>
            </w:r>
            <w:r>
              <w:rPr>
                <w:color w:val="0000FF"/>
              </w:rPr>
              <w:t>0.01%～0.86%，平均0.04%。有益组分SiO</w:t>
            </w:r>
            <w:r>
              <w:rPr>
                <w:color w:val="0000FF"/>
                <w:vertAlign w:val="subscript"/>
              </w:rPr>
              <w:t>2</w:t>
            </w:r>
            <w:r>
              <w:rPr>
                <w:color w:val="0000FF"/>
              </w:rPr>
              <w:t>含量具备沿走向南部高于北部、沿倾向浅部高于深部的特征。</w:t>
            </w:r>
          </w:p>
          <w:p w14:paraId="27FCA0FC">
            <w:pPr>
              <w:adjustRightInd w:val="0"/>
              <w:snapToGrid w:val="0"/>
              <w:ind w:firstLine="480"/>
              <w:rPr>
                <w:color w:val="0000FF"/>
              </w:rPr>
            </w:pPr>
            <w:r>
              <w:rPr>
                <w:color w:val="0000FF"/>
              </w:rPr>
              <w:t>KT1-2矿体：分布于梨树沟脑1-27勘探线间，位于KT1-1矿体的南部，沿山脊西坡下部呈不规则面状顺坡分布，产于q1-2石英脉中，受F10剥离断层控制平面形态呈不规则面状，剖面形态呈板状。矿体地表由27条探槽控制，控制矿体长630m；倾向延伸由18个钻孔控制，控制矿体倾向延伸115～430m，总体产状280°∠27°；矿体地表出露标高1600～1792m，赋存标高1600～1792m；工程矿体真厚度2.30～37.78m，平均真厚度16.80m，厚度变化系数67.28%，属较稳定类型。矿体沿走向、倾向中部厚大，向边部逐渐变薄尖灭。矿石为青灰～灰白色石英脉，石英一般92%～98%，含少量花岗质构造碎屑。有益组分SiO</w:t>
            </w:r>
            <w:r>
              <w:rPr>
                <w:color w:val="0000FF"/>
                <w:vertAlign w:val="subscript"/>
              </w:rPr>
              <w:t xml:space="preserve">2 </w:t>
            </w:r>
            <w:r>
              <w:rPr>
                <w:color w:val="0000FF"/>
              </w:rPr>
              <w:t>90.09%～99.70%，平均95.20%，品位变化系数2.35%，属均匀类型；有害组分Al</w:t>
            </w:r>
            <w:r>
              <w:rPr>
                <w:color w:val="0000FF"/>
                <w:vertAlign w:val="subscript"/>
              </w:rPr>
              <w:t>2</w:t>
            </w:r>
            <w:r>
              <w:rPr>
                <w:color w:val="0000FF"/>
              </w:rPr>
              <w:t>O</w:t>
            </w:r>
            <w:r>
              <w:rPr>
                <w:color w:val="0000FF"/>
                <w:vertAlign w:val="subscript"/>
              </w:rPr>
              <w:t xml:space="preserve">3 </w:t>
            </w:r>
            <w:r>
              <w:rPr>
                <w:color w:val="0000FF"/>
              </w:rPr>
              <w:t>0.12%～4.92%，平均1.75%；Fe</w:t>
            </w:r>
            <w:r>
              <w:rPr>
                <w:color w:val="0000FF"/>
                <w:vertAlign w:val="subscript"/>
              </w:rPr>
              <w:t>2</w:t>
            </w:r>
            <w:r>
              <w:rPr>
                <w:color w:val="0000FF"/>
              </w:rPr>
              <w:t>O</w:t>
            </w:r>
            <w:r>
              <w:rPr>
                <w:color w:val="0000FF"/>
                <w:vertAlign w:val="subscript"/>
              </w:rPr>
              <w:t>3</w:t>
            </w:r>
            <w:r>
              <w:rPr>
                <w:color w:val="0000FF"/>
              </w:rPr>
              <w:t>0.05%～1.47%，平均0.27%；CaO0.04%～2.70%，平均0.68%；P</w:t>
            </w:r>
            <w:r>
              <w:rPr>
                <w:color w:val="0000FF"/>
                <w:vertAlign w:val="subscript"/>
              </w:rPr>
              <w:t>2</w:t>
            </w:r>
            <w:r>
              <w:rPr>
                <w:color w:val="0000FF"/>
              </w:rPr>
              <w:t>O</w:t>
            </w:r>
            <w:r>
              <w:rPr>
                <w:color w:val="0000FF"/>
                <w:vertAlign w:val="subscript"/>
              </w:rPr>
              <w:t xml:space="preserve">5 </w:t>
            </w:r>
            <w:r>
              <w:rPr>
                <w:color w:val="0000FF"/>
              </w:rPr>
              <w:t>0.00%～0.06%，平均0.03%，有益组分SiO</w:t>
            </w:r>
            <w:r>
              <w:rPr>
                <w:color w:val="0000FF"/>
                <w:vertAlign w:val="subscript"/>
              </w:rPr>
              <w:t>2</w:t>
            </w:r>
            <w:r>
              <w:rPr>
                <w:color w:val="0000FF"/>
              </w:rPr>
              <w:t>含量变化具备沿走向北部高于南部、沿倾向浅部高于深部的规律。</w:t>
            </w:r>
          </w:p>
          <w:p w14:paraId="21B8B79E">
            <w:pPr>
              <w:adjustRightInd w:val="0"/>
              <w:snapToGrid w:val="0"/>
              <w:ind w:firstLine="480"/>
              <w:rPr>
                <w:color w:val="0000FF"/>
              </w:rPr>
            </w:pPr>
            <w:r>
              <w:rPr>
                <w:color w:val="0000FF"/>
              </w:rPr>
              <w:t>KT3矿体：分布于梨树沟脑北侧山坡4勘探线，赋存于q2脉石英中，受F10剥离断层控制平面形态呈水滴状，剖面上呈板状。矿体地表由5条探槽工程揭露，深部由1个ZK4-4钻孔控制，矿体长约85m，宽度约70m，矿体倾向延伸约75m。总体产状110°∠25°，矿体出露标高1574～1636m，赋存标高 1570～1636m。单工程矿体真厚度8.56～35.35m，矿体平均真厚度21.94m，厚度变化系数61.16%，厚度较稳定。矿体中部（4勘探线）厚度大，沿走向向两侧逐渐变薄至尖灭</w:t>
            </w:r>
            <w:r>
              <w:rPr>
                <w:rFonts w:hint="eastAsia"/>
                <w:color w:val="0000FF"/>
              </w:rPr>
              <w:t>，</w:t>
            </w:r>
            <w:r>
              <w:rPr>
                <w:color w:val="0000FF"/>
              </w:rPr>
              <w:t>矿石为浅灰～灰白色石英脉岩，矿石SiO</w:t>
            </w:r>
            <w:r>
              <w:rPr>
                <w:color w:val="0000FF"/>
                <w:vertAlign w:val="subscript"/>
              </w:rPr>
              <w:t>2</w:t>
            </w:r>
            <w:r>
              <w:rPr>
                <w:color w:val="0000FF"/>
              </w:rPr>
              <w:t>平均94.76%，Al</w:t>
            </w:r>
            <w:r>
              <w:rPr>
                <w:color w:val="0000FF"/>
                <w:vertAlign w:val="subscript"/>
              </w:rPr>
              <w:t>2</w:t>
            </w:r>
            <w:r>
              <w:rPr>
                <w:color w:val="0000FF"/>
              </w:rPr>
              <w:t>O</w:t>
            </w:r>
            <w:r>
              <w:rPr>
                <w:color w:val="0000FF"/>
                <w:vertAlign w:val="subscript"/>
              </w:rPr>
              <w:t>3</w:t>
            </w:r>
            <w:r>
              <w:rPr>
                <w:color w:val="0000FF"/>
              </w:rPr>
              <w:t>平均1.97%，Fe</w:t>
            </w:r>
            <w:r>
              <w:rPr>
                <w:color w:val="0000FF"/>
                <w:vertAlign w:val="subscript"/>
              </w:rPr>
              <w:t>2</w:t>
            </w:r>
            <w:r>
              <w:rPr>
                <w:color w:val="0000FF"/>
              </w:rPr>
              <w:t>O</w:t>
            </w:r>
            <w:r>
              <w:rPr>
                <w:color w:val="0000FF"/>
                <w:vertAlign w:val="subscript"/>
              </w:rPr>
              <w:t>3</w:t>
            </w:r>
            <w:r>
              <w:rPr>
                <w:color w:val="0000FF"/>
              </w:rPr>
              <w:t>平均0.23%，CaO平均0.96%，P</w:t>
            </w:r>
            <w:r>
              <w:rPr>
                <w:color w:val="0000FF"/>
                <w:vertAlign w:val="subscript"/>
              </w:rPr>
              <w:t>2</w:t>
            </w:r>
            <w:r>
              <w:rPr>
                <w:color w:val="0000FF"/>
              </w:rPr>
              <w:t>O</w:t>
            </w:r>
            <w:r>
              <w:rPr>
                <w:color w:val="0000FF"/>
                <w:vertAlign w:val="subscript"/>
              </w:rPr>
              <w:t>5</w:t>
            </w:r>
            <w:r>
              <w:rPr>
                <w:color w:val="0000FF"/>
              </w:rPr>
              <w:t>平均0.02%；单工程矿体SiO</w:t>
            </w:r>
            <w:r>
              <w:rPr>
                <w:color w:val="0000FF"/>
                <w:vertAlign w:val="subscript"/>
              </w:rPr>
              <w:t>2</w:t>
            </w:r>
            <w:r>
              <w:rPr>
                <w:color w:val="0000FF"/>
              </w:rPr>
              <w:t>平均94.35%～94.86%，Al</w:t>
            </w:r>
            <w:r>
              <w:rPr>
                <w:color w:val="0000FF"/>
                <w:vertAlign w:val="subscript"/>
              </w:rPr>
              <w:t>2</w:t>
            </w:r>
            <w:r>
              <w:rPr>
                <w:color w:val="0000FF"/>
              </w:rPr>
              <w:t>O</w:t>
            </w:r>
            <w:r>
              <w:rPr>
                <w:color w:val="0000FF"/>
                <w:vertAlign w:val="subscript"/>
              </w:rPr>
              <w:t>3</w:t>
            </w:r>
            <w:r>
              <w:rPr>
                <w:color w:val="0000FF"/>
              </w:rPr>
              <w:t>平均1.77%～2.83%，Fe</w:t>
            </w:r>
            <w:r>
              <w:rPr>
                <w:color w:val="0000FF"/>
                <w:vertAlign w:val="subscript"/>
              </w:rPr>
              <w:t>2</w:t>
            </w:r>
            <w:r>
              <w:rPr>
                <w:color w:val="0000FF"/>
              </w:rPr>
              <w:t>O</w:t>
            </w:r>
            <w:r>
              <w:rPr>
                <w:color w:val="0000FF"/>
                <w:vertAlign w:val="subscript"/>
              </w:rPr>
              <w:t>3</w:t>
            </w:r>
            <w:r>
              <w:rPr>
                <w:color w:val="0000FF"/>
              </w:rPr>
              <w:t>平均0.22%～0.24%，CaO平均0.11%～1.17%，P</w:t>
            </w:r>
            <w:r>
              <w:rPr>
                <w:color w:val="0000FF"/>
                <w:vertAlign w:val="subscript"/>
              </w:rPr>
              <w:t>2</w:t>
            </w:r>
            <w:r>
              <w:rPr>
                <w:color w:val="0000FF"/>
              </w:rPr>
              <w:t>O</w:t>
            </w:r>
            <w:r>
              <w:rPr>
                <w:color w:val="0000FF"/>
                <w:vertAlign w:val="subscript"/>
              </w:rPr>
              <w:t>5</w:t>
            </w:r>
            <w:r>
              <w:rPr>
                <w:color w:val="0000FF"/>
              </w:rPr>
              <w:t>平均0.02%～0.04%。单样品SiO290.08%～98.58%，品位变化系数2.03%，属稳定类型，Al</w:t>
            </w:r>
            <w:r>
              <w:rPr>
                <w:color w:val="0000FF"/>
                <w:vertAlign w:val="subscript"/>
              </w:rPr>
              <w:t>2</w:t>
            </w:r>
            <w:r>
              <w:rPr>
                <w:color w:val="0000FF"/>
              </w:rPr>
              <w:t>O</w:t>
            </w:r>
            <w:r>
              <w:rPr>
                <w:color w:val="0000FF"/>
                <w:vertAlign w:val="subscript"/>
              </w:rPr>
              <w:t>3</w:t>
            </w:r>
            <w:r>
              <w:rPr>
                <w:color w:val="0000FF"/>
              </w:rPr>
              <w:t>0.41%～4.61%，Fe</w:t>
            </w:r>
            <w:r>
              <w:rPr>
                <w:color w:val="0000FF"/>
                <w:vertAlign w:val="subscript"/>
              </w:rPr>
              <w:t>2</w:t>
            </w:r>
            <w:r>
              <w:rPr>
                <w:color w:val="0000FF"/>
              </w:rPr>
              <w:t>O</w:t>
            </w:r>
            <w:r>
              <w:rPr>
                <w:color w:val="0000FF"/>
                <w:vertAlign w:val="subscript"/>
              </w:rPr>
              <w:t>3</w:t>
            </w:r>
            <w:r>
              <w:rPr>
                <w:color w:val="0000FF"/>
              </w:rPr>
              <w:t>0.03%～0.51%，CaO0.05%～2.83%，P</w:t>
            </w:r>
            <w:r>
              <w:rPr>
                <w:color w:val="0000FF"/>
                <w:vertAlign w:val="subscript"/>
              </w:rPr>
              <w:t>2</w:t>
            </w:r>
            <w:r>
              <w:rPr>
                <w:color w:val="0000FF"/>
              </w:rPr>
              <w:t>O</w:t>
            </w:r>
            <w:r>
              <w:rPr>
                <w:color w:val="0000FF"/>
                <w:vertAlign w:val="subscript"/>
              </w:rPr>
              <w:t>5</w:t>
            </w:r>
            <w:r>
              <w:rPr>
                <w:color w:val="0000FF"/>
              </w:rPr>
              <w:t>0.01%～0.15%。</w:t>
            </w:r>
          </w:p>
          <w:p w14:paraId="4668FA98">
            <w:pPr>
              <w:adjustRightInd w:val="0"/>
              <w:snapToGrid w:val="0"/>
              <w:ind w:firstLine="482"/>
              <w:rPr>
                <w:b/>
                <w:bCs/>
                <w:color w:val="0000FF"/>
              </w:rPr>
            </w:pPr>
            <w:r>
              <w:rPr>
                <w:b/>
                <w:bCs/>
                <w:color w:val="0000FF"/>
              </w:rPr>
              <w:t>（9）矿石质量</w:t>
            </w:r>
          </w:p>
          <w:p w14:paraId="44627D06">
            <w:pPr>
              <w:adjustRightInd w:val="0"/>
              <w:snapToGrid w:val="0"/>
              <w:ind w:firstLine="480"/>
              <w:rPr>
                <w:color w:val="0000FF"/>
              </w:rPr>
            </w:pPr>
            <w:r>
              <w:rPr>
                <w:color w:val="0000FF"/>
              </w:rPr>
              <w:t>矿石矿物为石英（95%～98%），脉石矿物有白云母（＜1%）、绢云母（＜1%）、方解石（＜1%）等，金属矿物有黄铁矿（＜1%）。</w:t>
            </w:r>
          </w:p>
          <w:p w14:paraId="116326ED">
            <w:pPr>
              <w:adjustRightInd w:val="0"/>
              <w:snapToGrid w:val="0"/>
              <w:ind w:firstLine="480"/>
              <w:rPr>
                <w:color w:val="0000FF"/>
              </w:rPr>
            </w:pPr>
            <w:r>
              <w:rPr>
                <w:color w:val="0000FF"/>
              </w:rPr>
              <w:t>脉石英具细-粗粒结构，碎裂结构，块状构造。</w:t>
            </w:r>
          </w:p>
          <w:p w14:paraId="23D8FA1D">
            <w:pPr>
              <w:adjustRightInd w:val="0"/>
              <w:snapToGrid w:val="0"/>
              <w:ind w:firstLine="480"/>
              <w:rPr>
                <w:color w:val="0000FF"/>
              </w:rPr>
            </w:pPr>
            <w:r>
              <w:rPr>
                <w:color w:val="0000FF"/>
              </w:rPr>
              <w:t>对圈定的六条脉石英矿体采集的751个样品进行有益、有害组分统计，矿石中有益组分SiO</w:t>
            </w:r>
            <w:r>
              <w:rPr>
                <w:color w:val="0000FF"/>
                <w:vertAlign w:val="subscript"/>
              </w:rPr>
              <w:t>2</w:t>
            </w:r>
            <w:r>
              <w:rPr>
                <w:color w:val="0000FF"/>
              </w:rPr>
              <w:t>一般90.05%～99.70%，平均96.17%；有害组分Al</w:t>
            </w:r>
            <w:r>
              <w:rPr>
                <w:color w:val="0000FF"/>
                <w:vertAlign w:val="subscript"/>
              </w:rPr>
              <w:t>2</w:t>
            </w:r>
            <w:r>
              <w:rPr>
                <w:color w:val="0000FF"/>
              </w:rPr>
              <w:t>O</w:t>
            </w:r>
            <w:r>
              <w:rPr>
                <w:color w:val="0000FF"/>
                <w:vertAlign w:val="subscript"/>
              </w:rPr>
              <w:t>3</w:t>
            </w:r>
            <w:r>
              <w:rPr>
                <w:color w:val="0000FF"/>
              </w:rPr>
              <w:t>一般 0.05%～4.98%，平均1.52%；Fe</w:t>
            </w:r>
            <w:r>
              <w:rPr>
                <w:color w:val="0000FF"/>
                <w:vertAlign w:val="subscript"/>
              </w:rPr>
              <w:t>2</w:t>
            </w:r>
            <w:r>
              <w:rPr>
                <w:color w:val="0000FF"/>
              </w:rPr>
              <w:t>O</w:t>
            </w:r>
            <w:r>
              <w:rPr>
                <w:color w:val="0000FF"/>
                <w:vertAlign w:val="subscript"/>
              </w:rPr>
              <w:t>3</w:t>
            </w:r>
            <w:r>
              <w:rPr>
                <w:color w:val="0000FF"/>
              </w:rPr>
              <w:t>一般0.03%～1.65%，平均0.40%；CaO一般 0.01%～2.83%，平均0.23%；P</w:t>
            </w:r>
            <w:r>
              <w:rPr>
                <w:color w:val="0000FF"/>
                <w:vertAlign w:val="subscript"/>
              </w:rPr>
              <w:t>2</w:t>
            </w:r>
            <w:r>
              <w:rPr>
                <w:color w:val="0000FF"/>
              </w:rPr>
              <w:t>O</w:t>
            </w:r>
            <w:r>
              <w:rPr>
                <w:color w:val="0000FF"/>
                <w:vertAlign w:val="subscript"/>
              </w:rPr>
              <w:t>5</w:t>
            </w:r>
            <w:r>
              <w:rPr>
                <w:color w:val="0000FF"/>
              </w:rPr>
              <w:t>一般0.00%～0.15%，平均0.02%。矿石质量均符合冶金熔剂用指标要求，有益元素SiO</w:t>
            </w:r>
            <w:r>
              <w:rPr>
                <w:color w:val="0000FF"/>
                <w:vertAlign w:val="subscript"/>
              </w:rPr>
              <w:t>2</w:t>
            </w:r>
            <w:r>
              <w:rPr>
                <w:color w:val="0000FF"/>
              </w:rPr>
              <w:t>含量高，有害元素Al</w:t>
            </w:r>
            <w:r>
              <w:rPr>
                <w:color w:val="0000FF"/>
                <w:vertAlign w:val="subscript"/>
              </w:rPr>
              <w:t>2</w:t>
            </w:r>
            <w:r>
              <w:rPr>
                <w:color w:val="0000FF"/>
              </w:rPr>
              <w:t>O</w:t>
            </w:r>
            <w:r>
              <w:rPr>
                <w:color w:val="0000FF"/>
                <w:vertAlign w:val="subscript"/>
              </w:rPr>
              <w:t>3</w:t>
            </w:r>
            <w:r>
              <w:rPr>
                <w:color w:val="0000FF"/>
              </w:rPr>
              <w:t>、Fe</w:t>
            </w:r>
            <w:r>
              <w:rPr>
                <w:color w:val="0000FF"/>
                <w:vertAlign w:val="subscript"/>
              </w:rPr>
              <w:t>2</w:t>
            </w:r>
            <w:r>
              <w:rPr>
                <w:color w:val="0000FF"/>
              </w:rPr>
              <w:t>O</w:t>
            </w:r>
            <w:r>
              <w:rPr>
                <w:color w:val="0000FF"/>
                <w:vertAlign w:val="subscript"/>
              </w:rPr>
              <w:t>3</w:t>
            </w:r>
            <w:r>
              <w:rPr>
                <w:color w:val="0000FF"/>
              </w:rPr>
              <w:t>、CaO、P</w:t>
            </w:r>
            <w:r>
              <w:rPr>
                <w:color w:val="0000FF"/>
                <w:vertAlign w:val="subscript"/>
              </w:rPr>
              <w:t>2</w:t>
            </w:r>
            <w:r>
              <w:rPr>
                <w:color w:val="0000FF"/>
              </w:rPr>
              <w:t>O</w:t>
            </w:r>
            <w:r>
              <w:rPr>
                <w:color w:val="0000FF"/>
                <w:vertAlign w:val="subscript"/>
              </w:rPr>
              <w:t>5</w:t>
            </w:r>
            <w:r>
              <w:rPr>
                <w:color w:val="0000FF"/>
              </w:rPr>
              <w:t>含量低。</w:t>
            </w:r>
          </w:p>
          <w:p w14:paraId="55FFDDDC">
            <w:pPr>
              <w:adjustRightInd w:val="0"/>
              <w:snapToGrid w:val="0"/>
              <w:ind w:firstLine="480"/>
              <w:rPr>
                <w:color w:val="0000FF"/>
              </w:rPr>
            </w:pPr>
            <w:r>
              <w:rPr>
                <w:color w:val="0000FF"/>
              </w:rPr>
              <w:t>矿石自然类型为青灰～灰白色块状石英脉，工业类型为冶金硅质原料矿。</w:t>
            </w:r>
          </w:p>
          <w:p w14:paraId="53EF2B05">
            <w:pPr>
              <w:adjustRightInd w:val="0"/>
              <w:snapToGrid w:val="0"/>
              <w:ind w:firstLine="480"/>
              <w:rPr>
                <w:color w:val="0000FF"/>
              </w:rPr>
            </w:pPr>
            <w:r>
              <w:rPr>
                <w:color w:val="0000FF"/>
              </w:rPr>
              <w:t>矿体顶板剥蚀，底板为二长花岗岩，分布稳定，与矿体界线清晰，矿体内局部含花岗质构造碎屑的石英脉。</w:t>
            </w:r>
          </w:p>
          <w:p w14:paraId="19524073">
            <w:pPr>
              <w:adjustRightInd w:val="0"/>
              <w:snapToGrid w:val="0"/>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3、工程内容</w:t>
            </w:r>
          </w:p>
          <w:p w14:paraId="037F4942">
            <w:pPr>
              <w:ind w:firstLine="480"/>
              <w:rPr>
                <w:bCs/>
                <w:color w:val="000000" w:themeColor="text1"/>
                <w14:textFill>
                  <w14:solidFill>
                    <w14:schemeClr w14:val="tx1"/>
                  </w14:solidFill>
                </w14:textFill>
              </w:rPr>
            </w:pPr>
            <w:r>
              <w:rPr>
                <w:bCs/>
                <w:color w:val="000000" w:themeColor="text1"/>
                <w14:textFill>
                  <w14:solidFill>
                    <w14:schemeClr w14:val="tx1"/>
                  </w14:solidFill>
                </w14:textFill>
              </w:rPr>
              <w:t>本项目矿山爆破委托专业的民爆公司，采用露天开采方式，采用带式挖掘机进行分层开采，同时利用挖掘机/装载机卸料，公路汽车开拓运输。本项目总用地面积约2.8</w:t>
            </w:r>
            <w:r>
              <w:rPr>
                <w:rFonts w:hint="eastAsia"/>
                <w:bCs/>
                <w:color w:val="000000" w:themeColor="text1"/>
                <w14:textFill>
                  <w14:solidFill>
                    <w14:schemeClr w14:val="tx1"/>
                  </w14:solidFill>
                </w14:textFill>
              </w:rPr>
              <w:t>86</w:t>
            </w:r>
            <w:r>
              <w:rPr>
                <w:bCs/>
                <w:color w:val="000000" w:themeColor="text1"/>
                <w14:textFill>
                  <w14:solidFill>
                    <w14:schemeClr w14:val="tx1"/>
                  </w14:solidFill>
                </w14:textFill>
              </w:rPr>
              <w:t>km</w:t>
            </w:r>
            <w:r>
              <w:rPr>
                <w:bCs/>
                <w:color w:val="000000" w:themeColor="text1"/>
                <w:vertAlign w:val="superscript"/>
                <w14:textFill>
                  <w14:solidFill>
                    <w14:schemeClr w14:val="tx1"/>
                  </w14:solidFill>
                </w14:textFill>
              </w:rPr>
              <w:t>2</w:t>
            </w:r>
            <w:r>
              <w:rPr>
                <w:bCs/>
                <w:color w:val="000000" w:themeColor="text1"/>
                <w14:textFill>
                  <w14:solidFill>
                    <w14:schemeClr w14:val="tx1"/>
                  </w14:solidFill>
                </w14:textFill>
              </w:rPr>
              <w:t>。项目主要建设内容为露天采场、</w:t>
            </w:r>
            <w:r>
              <w:rPr>
                <w:rFonts w:hint="eastAsia"/>
                <w:bCs/>
                <w:color w:val="000000" w:themeColor="text1"/>
                <w:lang w:eastAsia="zh-CN"/>
                <w14:textFill>
                  <w14:solidFill>
                    <w14:schemeClr w14:val="tx1"/>
                  </w14:solidFill>
                </w14:textFill>
              </w:rPr>
              <w:t>排土场</w:t>
            </w:r>
            <w:r>
              <w:rPr>
                <w:bCs/>
                <w:color w:val="000000" w:themeColor="text1"/>
                <w14:textFill>
                  <w14:solidFill>
                    <w14:schemeClr w14:val="tx1"/>
                  </w14:solidFill>
                </w14:textFill>
              </w:rPr>
              <w:t>及矿山运输道路，破碎筛分委处理，不在本次评价范围内。</w:t>
            </w:r>
          </w:p>
          <w:p w14:paraId="452A1569">
            <w:pPr>
              <w:spacing w:line="240" w:lineRule="auto"/>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表2-</w:t>
            </w:r>
            <w:r>
              <w:rPr>
                <w:rFonts w:hint="eastAsia"/>
                <w:b/>
                <w:color w:val="000000" w:themeColor="text1"/>
                <w14:textFill>
                  <w14:solidFill>
                    <w14:schemeClr w14:val="tx1"/>
                  </w14:solidFill>
                </w14:textFill>
              </w:rPr>
              <w:t>3</w:t>
            </w:r>
            <w:r>
              <w:rPr>
                <w:b/>
                <w:color w:val="000000" w:themeColor="text1"/>
                <w14:textFill>
                  <w14:solidFill>
                    <w14:schemeClr w14:val="tx1"/>
                  </w14:solidFill>
                </w14:textFill>
              </w:rPr>
              <w:t xml:space="preserve"> 工程主要建设内容</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599"/>
              <w:gridCol w:w="790"/>
              <w:gridCol w:w="4788"/>
              <w:gridCol w:w="733"/>
            </w:tblGrid>
            <w:tr w14:paraId="429C0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361" w:type="pct"/>
                  <w:gridSpan w:val="3"/>
                  <w:tcBorders>
                    <w:tl2br w:val="nil"/>
                    <w:tr2bl w:val="nil"/>
                  </w:tcBorders>
                  <w:shd w:val="clear" w:color="auto" w:fill="auto"/>
                  <w:vAlign w:val="center"/>
                </w:tcPr>
                <w:p w14:paraId="7A842BF7">
                  <w:pPr>
                    <w:adjustRightInd w:val="0"/>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项目组成</w:t>
                  </w:r>
                </w:p>
              </w:tc>
              <w:tc>
                <w:tcPr>
                  <w:tcW w:w="3155" w:type="pct"/>
                  <w:tcBorders>
                    <w:tl2br w:val="nil"/>
                    <w:tr2bl w:val="nil"/>
                  </w:tcBorders>
                  <w:shd w:val="clear" w:color="auto" w:fill="auto"/>
                  <w:vAlign w:val="center"/>
                </w:tcPr>
                <w:p w14:paraId="3B97A63B">
                  <w:pPr>
                    <w:adjustRightInd w:val="0"/>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建设内容</w:t>
                  </w:r>
                </w:p>
              </w:tc>
              <w:tc>
                <w:tcPr>
                  <w:tcW w:w="483" w:type="pct"/>
                  <w:tcBorders>
                    <w:tl2br w:val="nil"/>
                    <w:tr2bl w:val="nil"/>
                  </w:tcBorders>
                  <w:shd w:val="clear" w:color="auto" w:fill="auto"/>
                  <w:vAlign w:val="center"/>
                </w:tcPr>
                <w:p w14:paraId="43D0F6E1">
                  <w:pPr>
                    <w:adjustRightInd w:val="0"/>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备 注</w:t>
                  </w:r>
                </w:p>
              </w:tc>
            </w:tr>
            <w:tr w14:paraId="7C8FD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tcBorders>
                    <w:tl2br w:val="nil"/>
                    <w:tr2bl w:val="nil"/>
                  </w:tcBorders>
                  <w:shd w:val="clear" w:color="auto" w:fill="auto"/>
                  <w:vAlign w:val="center"/>
                </w:tcPr>
                <w:p w14:paraId="75CF5514">
                  <w:pPr>
                    <w:adjustRightIn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主体</w:t>
                  </w:r>
                </w:p>
                <w:p w14:paraId="2DFFD142">
                  <w:pPr>
                    <w:adjustRightIn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工程</w:t>
                  </w:r>
                </w:p>
              </w:tc>
              <w:tc>
                <w:tcPr>
                  <w:tcW w:w="915" w:type="pct"/>
                  <w:gridSpan w:val="2"/>
                  <w:tcBorders>
                    <w:tl2br w:val="nil"/>
                    <w:tr2bl w:val="nil"/>
                  </w:tcBorders>
                  <w:shd w:val="clear" w:color="auto" w:fill="auto"/>
                  <w:vAlign w:val="center"/>
                </w:tcPr>
                <w:p w14:paraId="4A0BA785">
                  <w:pPr>
                    <w:adjustRightIn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露天</w:t>
                  </w:r>
                </w:p>
                <w:p w14:paraId="3C266B4A">
                  <w:pPr>
                    <w:adjustRightIn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 xml:space="preserve">采场 </w:t>
                  </w:r>
                </w:p>
              </w:tc>
              <w:tc>
                <w:tcPr>
                  <w:tcW w:w="3155" w:type="pct"/>
                  <w:tcBorders>
                    <w:tl2br w:val="nil"/>
                    <w:tr2bl w:val="nil"/>
                  </w:tcBorders>
                  <w:shd w:val="clear" w:color="auto" w:fill="auto"/>
                  <w:vAlign w:val="center"/>
                </w:tcPr>
                <w:p w14:paraId="28EEC4C9">
                  <w:pPr>
                    <w:adjustRightInd w:val="0"/>
                    <w:spacing w:line="240" w:lineRule="auto"/>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在露天采场开采，生产规模为40×10</w:t>
                  </w:r>
                  <w:r>
                    <w:rPr>
                      <w:bCs/>
                      <w:color w:val="000000" w:themeColor="text1"/>
                      <w:sz w:val="21"/>
                      <w:szCs w:val="21"/>
                      <w:vertAlign w:val="superscript"/>
                      <w14:textFill>
                        <w14:solidFill>
                          <w14:schemeClr w14:val="tx1"/>
                        </w14:solidFill>
                      </w14:textFill>
                    </w:rPr>
                    <w:t>4</w:t>
                  </w:r>
                  <w:r>
                    <w:rPr>
                      <w:bCs/>
                      <w:color w:val="000000" w:themeColor="text1"/>
                      <w:sz w:val="21"/>
                      <w:szCs w:val="21"/>
                      <w14:textFill>
                        <w14:solidFill>
                          <w14:schemeClr w14:val="tx1"/>
                        </w14:solidFill>
                      </w14:textFill>
                    </w:rPr>
                    <w:t>m</w:t>
                  </w:r>
                  <w:r>
                    <w:rPr>
                      <w:bCs/>
                      <w:color w:val="000000" w:themeColor="text1"/>
                      <w:sz w:val="21"/>
                      <w:szCs w:val="21"/>
                      <w:vertAlign w:val="superscript"/>
                      <w14:textFill>
                        <w14:solidFill>
                          <w14:schemeClr w14:val="tx1"/>
                        </w14:solidFill>
                      </w14:textFill>
                    </w:rPr>
                    <w:t>3</w:t>
                  </w:r>
                  <w:r>
                    <w:rPr>
                      <w:bCs/>
                      <w:color w:val="000000" w:themeColor="text1"/>
                      <w:sz w:val="21"/>
                      <w:szCs w:val="21"/>
                      <w14:textFill>
                        <w14:solidFill>
                          <w14:schemeClr w14:val="tx1"/>
                        </w14:solidFill>
                      </w14:textFill>
                    </w:rPr>
                    <w:t>/a，设置KT1-1、KT1-2、KT3共计3个开采面，开采标高为1570m～1794m。</w:t>
                  </w:r>
                </w:p>
              </w:tc>
              <w:tc>
                <w:tcPr>
                  <w:tcW w:w="483" w:type="pct"/>
                  <w:tcBorders>
                    <w:tl2br w:val="nil"/>
                    <w:tr2bl w:val="nil"/>
                  </w:tcBorders>
                  <w:shd w:val="clear" w:color="auto" w:fill="auto"/>
                  <w:vAlign w:val="center"/>
                </w:tcPr>
                <w:p w14:paraId="6B0010C2">
                  <w:pPr>
                    <w:adjustRightIn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新建</w:t>
                  </w:r>
                </w:p>
              </w:tc>
            </w:tr>
            <w:tr w14:paraId="201DD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5" w:type="pct"/>
                  <w:vMerge w:val="restart"/>
                  <w:tcBorders>
                    <w:tl2br w:val="nil"/>
                    <w:tr2bl w:val="nil"/>
                  </w:tcBorders>
                  <w:shd w:val="clear" w:color="auto" w:fill="auto"/>
                  <w:vAlign w:val="center"/>
                </w:tcPr>
                <w:p w14:paraId="351514AF">
                  <w:pPr>
                    <w:adjustRightIn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辅助工程</w:t>
                  </w:r>
                </w:p>
              </w:tc>
              <w:tc>
                <w:tcPr>
                  <w:tcW w:w="915" w:type="pct"/>
                  <w:gridSpan w:val="2"/>
                  <w:tcBorders>
                    <w:tl2br w:val="nil"/>
                    <w:tr2bl w:val="nil"/>
                  </w:tcBorders>
                  <w:shd w:val="clear" w:color="auto" w:fill="auto"/>
                  <w:vAlign w:val="center"/>
                </w:tcPr>
                <w:p w14:paraId="04C75FCF">
                  <w:pPr>
                    <w:adjustRightIn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办公楼</w:t>
                  </w:r>
                </w:p>
              </w:tc>
              <w:tc>
                <w:tcPr>
                  <w:tcW w:w="3155" w:type="pct"/>
                  <w:tcBorders>
                    <w:tl2br w:val="nil"/>
                    <w:tr2bl w:val="nil"/>
                  </w:tcBorders>
                  <w:shd w:val="clear" w:color="auto" w:fill="auto"/>
                  <w:vAlign w:val="center"/>
                </w:tcPr>
                <w:p w14:paraId="6FB340B1">
                  <w:pPr>
                    <w:adjustRightInd w:val="0"/>
                    <w:spacing w:line="240" w:lineRule="auto"/>
                    <w:ind w:firstLine="0" w:firstLineChars="0"/>
                    <w:jc w:val="left"/>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占地180m</w:t>
                  </w:r>
                  <w:r>
                    <w:rPr>
                      <w:bCs/>
                      <w:color w:val="000000" w:themeColor="text1"/>
                      <w:sz w:val="21"/>
                      <w:szCs w:val="21"/>
                      <w:vertAlign w:val="superscript"/>
                      <w14:textFill>
                        <w14:solidFill>
                          <w14:schemeClr w14:val="tx1"/>
                        </w14:solidFill>
                      </w14:textFill>
                    </w:rPr>
                    <w:t>2</w:t>
                  </w:r>
                  <w:r>
                    <w:rPr>
                      <w:bCs/>
                      <w:color w:val="000000" w:themeColor="text1"/>
                      <w:sz w:val="21"/>
                      <w:szCs w:val="21"/>
                      <w14:textFill>
                        <w14:solidFill>
                          <w14:schemeClr w14:val="tx1"/>
                        </w14:solidFill>
                      </w14:textFill>
                    </w:rPr>
                    <w:t>，砖混结构，办公楼1楼设置食堂，提供早中晚3餐</w:t>
                  </w:r>
                </w:p>
              </w:tc>
              <w:tc>
                <w:tcPr>
                  <w:tcW w:w="483" w:type="pct"/>
                  <w:tcBorders>
                    <w:tl2br w:val="nil"/>
                    <w:tr2bl w:val="nil"/>
                  </w:tcBorders>
                  <w:shd w:val="clear" w:color="auto" w:fill="auto"/>
                  <w:vAlign w:val="center"/>
                </w:tcPr>
                <w:p w14:paraId="4AC5C4DB">
                  <w:pPr>
                    <w:adjustRightInd w:val="0"/>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租赁麻池矿区</w:t>
                  </w:r>
                </w:p>
              </w:tc>
            </w:tr>
            <w:tr w14:paraId="4C0EF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45" w:type="pct"/>
                  <w:vMerge w:val="continue"/>
                  <w:tcBorders>
                    <w:tl2br w:val="nil"/>
                    <w:tr2bl w:val="nil"/>
                  </w:tcBorders>
                  <w:shd w:val="clear" w:color="auto" w:fill="auto"/>
                  <w:vAlign w:val="center"/>
                </w:tcPr>
                <w:p w14:paraId="33DF6B70">
                  <w:pPr>
                    <w:adjustRightInd w:val="0"/>
                    <w:spacing w:line="240" w:lineRule="auto"/>
                    <w:ind w:firstLine="0" w:firstLineChars="0"/>
                    <w:jc w:val="center"/>
                    <w:rPr>
                      <w:bCs/>
                      <w:color w:val="000000" w:themeColor="text1"/>
                      <w:sz w:val="21"/>
                      <w:szCs w:val="21"/>
                      <w14:textFill>
                        <w14:solidFill>
                          <w14:schemeClr w14:val="tx1"/>
                        </w14:solidFill>
                      </w14:textFill>
                    </w:rPr>
                  </w:pPr>
                </w:p>
              </w:tc>
              <w:tc>
                <w:tcPr>
                  <w:tcW w:w="915" w:type="pct"/>
                  <w:gridSpan w:val="2"/>
                  <w:tcBorders>
                    <w:tl2br w:val="nil"/>
                    <w:tr2bl w:val="nil"/>
                  </w:tcBorders>
                  <w:shd w:val="clear" w:color="auto" w:fill="auto"/>
                  <w:vAlign w:val="center"/>
                </w:tcPr>
                <w:p w14:paraId="1D29698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宿舍</w:t>
                  </w:r>
                </w:p>
              </w:tc>
              <w:tc>
                <w:tcPr>
                  <w:tcW w:w="3155" w:type="pct"/>
                  <w:tcBorders>
                    <w:tl2br w:val="nil"/>
                    <w:tr2bl w:val="nil"/>
                  </w:tcBorders>
                  <w:shd w:val="clear" w:color="auto" w:fill="auto"/>
                  <w:vAlign w:val="center"/>
                </w:tcPr>
                <w:p w14:paraId="58C31319">
                  <w:pPr>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占地340m</w:t>
                  </w:r>
                  <w:r>
                    <w:rPr>
                      <w:bCs/>
                      <w:color w:val="000000" w:themeColor="text1"/>
                      <w:sz w:val="21"/>
                      <w:szCs w:val="21"/>
                      <w:vertAlign w:val="superscript"/>
                      <w14:textFill>
                        <w14:solidFill>
                          <w14:schemeClr w14:val="tx1"/>
                        </w14:solidFill>
                      </w14:textFill>
                    </w:rPr>
                    <w:t>2</w:t>
                  </w:r>
                  <w:r>
                    <w:rPr>
                      <w:bCs/>
                      <w:color w:val="000000" w:themeColor="text1"/>
                      <w:sz w:val="21"/>
                      <w:szCs w:val="21"/>
                      <w14:textFill>
                        <w14:solidFill>
                          <w14:schemeClr w14:val="tx1"/>
                        </w14:solidFill>
                      </w14:textFill>
                    </w:rPr>
                    <w:t>，砖混结构，宿舍楼配备浴室，占地72m</w:t>
                  </w:r>
                  <w:r>
                    <w:rPr>
                      <w:bCs/>
                      <w:color w:val="000000" w:themeColor="text1"/>
                      <w:sz w:val="21"/>
                      <w:szCs w:val="21"/>
                      <w:vertAlign w:val="superscript"/>
                      <w14:textFill>
                        <w14:solidFill>
                          <w14:schemeClr w14:val="tx1"/>
                        </w14:solidFill>
                      </w14:textFill>
                    </w:rPr>
                    <w:t>2</w:t>
                  </w:r>
                </w:p>
              </w:tc>
              <w:tc>
                <w:tcPr>
                  <w:tcW w:w="483" w:type="pct"/>
                  <w:tcBorders>
                    <w:tl2br w:val="nil"/>
                    <w:tr2bl w:val="nil"/>
                  </w:tcBorders>
                  <w:shd w:val="clear" w:color="auto" w:fill="auto"/>
                  <w:vAlign w:val="center"/>
                </w:tcPr>
                <w:p w14:paraId="4EC08DDB">
                  <w:pPr>
                    <w:adjustRightIn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依托</w:t>
                  </w:r>
                </w:p>
              </w:tc>
            </w:tr>
            <w:tr w14:paraId="13CBB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vMerge w:val="continue"/>
                  <w:tcBorders>
                    <w:tl2br w:val="nil"/>
                    <w:tr2bl w:val="nil"/>
                  </w:tcBorders>
                  <w:shd w:val="clear" w:color="auto" w:fill="auto"/>
                  <w:vAlign w:val="center"/>
                </w:tcPr>
                <w:p w14:paraId="75A728D5">
                  <w:pPr>
                    <w:adjustRightInd w:val="0"/>
                    <w:spacing w:line="240" w:lineRule="auto"/>
                    <w:ind w:firstLine="0" w:firstLineChars="0"/>
                    <w:jc w:val="center"/>
                    <w:rPr>
                      <w:bCs/>
                      <w:color w:val="000000" w:themeColor="text1"/>
                      <w:sz w:val="21"/>
                      <w:szCs w:val="21"/>
                      <w14:textFill>
                        <w14:solidFill>
                          <w14:schemeClr w14:val="tx1"/>
                        </w14:solidFill>
                      </w14:textFill>
                    </w:rPr>
                  </w:pPr>
                </w:p>
              </w:tc>
              <w:tc>
                <w:tcPr>
                  <w:tcW w:w="915" w:type="pct"/>
                  <w:gridSpan w:val="2"/>
                  <w:tcBorders>
                    <w:tl2br w:val="nil"/>
                    <w:tr2bl w:val="nil"/>
                  </w:tcBorders>
                  <w:shd w:val="clear" w:color="auto" w:fill="auto"/>
                  <w:vAlign w:val="center"/>
                </w:tcPr>
                <w:p w14:paraId="28D660E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洗车台</w:t>
                  </w:r>
                </w:p>
              </w:tc>
              <w:tc>
                <w:tcPr>
                  <w:tcW w:w="3155" w:type="pct"/>
                  <w:tcBorders>
                    <w:tl2br w:val="nil"/>
                    <w:tr2bl w:val="nil"/>
                  </w:tcBorders>
                  <w:shd w:val="clear" w:color="auto" w:fill="auto"/>
                  <w:vAlign w:val="center"/>
                </w:tcPr>
                <w:p w14:paraId="43512D27">
                  <w:pPr>
                    <w:pStyle w:val="20"/>
                    <w:keepNext w:val="0"/>
                    <w:keepLines w:val="0"/>
                    <w:pageBreakBefore w:val="0"/>
                    <w:kinsoku/>
                    <w:wordWrap/>
                    <w:overflowPunct/>
                    <w:topLinePunct w:val="0"/>
                    <w:autoSpaceDE/>
                    <w:autoSpaceDN/>
                    <w:bidi w:val="0"/>
                    <w:adjustRightInd w:val="0"/>
                    <w:snapToGrid w:val="0"/>
                    <w:spacing w:line="240" w:lineRule="auto"/>
                    <w:jc w:val="both"/>
                    <w:textAlignment w:val="auto"/>
                  </w:pPr>
                  <w:r>
                    <w:rPr>
                      <w:rFonts w:ascii="Times New Roman" w:hAnsi="Times New Roman" w:eastAsia="宋体" w:cs="Times New Roman"/>
                      <w:b w:val="0"/>
                      <w:bCs/>
                      <w:snapToGrid/>
                      <w:color w:val="000000" w:themeColor="text1"/>
                      <w:kern w:val="2"/>
                      <w:sz w:val="21"/>
                      <w:szCs w:val="21"/>
                      <w:lang w:val="en-US" w:eastAsia="zh-CN" w:bidi="ar-SA"/>
                      <w14:textFill>
                        <w14:solidFill>
                          <w14:schemeClr w14:val="tx1"/>
                        </w14:solidFill>
                      </w14:textFill>
                    </w:rPr>
                    <w:t>位于厂区进门处，主要用于进出厂车辆的清洗</w:t>
                  </w:r>
                </w:p>
              </w:tc>
              <w:tc>
                <w:tcPr>
                  <w:tcW w:w="483" w:type="pct"/>
                  <w:tcBorders>
                    <w:tl2br w:val="nil"/>
                    <w:tr2bl w:val="nil"/>
                  </w:tcBorders>
                  <w:shd w:val="clear" w:color="auto" w:fill="auto"/>
                  <w:vAlign w:val="center"/>
                </w:tcPr>
                <w:p w14:paraId="1C3E0ED5">
                  <w:pPr>
                    <w:adjustRightInd w:val="0"/>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新建</w:t>
                  </w:r>
                </w:p>
              </w:tc>
            </w:tr>
            <w:tr w14:paraId="2C000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445" w:type="pct"/>
                  <w:vMerge w:val="continue"/>
                  <w:tcBorders>
                    <w:tl2br w:val="nil"/>
                    <w:tr2bl w:val="nil"/>
                  </w:tcBorders>
                  <w:shd w:val="clear" w:color="auto" w:fill="auto"/>
                  <w:vAlign w:val="center"/>
                </w:tcPr>
                <w:p w14:paraId="0930C3DF">
                  <w:pPr>
                    <w:adjustRightInd w:val="0"/>
                    <w:spacing w:line="240" w:lineRule="auto"/>
                    <w:ind w:firstLine="0" w:firstLineChars="0"/>
                    <w:jc w:val="center"/>
                    <w:rPr>
                      <w:bCs/>
                      <w:color w:val="000000" w:themeColor="text1"/>
                      <w:sz w:val="21"/>
                      <w:szCs w:val="21"/>
                      <w14:textFill>
                        <w14:solidFill>
                          <w14:schemeClr w14:val="tx1"/>
                        </w14:solidFill>
                      </w14:textFill>
                    </w:rPr>
                  </w:pPr>
                </w:p>
              </w:tc>
              <w:tc>
                <w:tcPr>
                  <w:tcW w:w="915" w:type="pct"/>
                  <w:gridSpan w:val="2"/>
                  <w:tcBorders>
                    <w:tl2br w:val="nil"/>
                    <w:tr2bl w:val="nil"/>
                  </w:tcBorders>
                  <w:shd w:val="clear" w:color="auto" w:fill="auto"/>
                  <w:vAlign w:val="center"/>
                </w:tcPr>
                <w:p w14:paraId="2ED6FCF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color w:val="000000" w:themeColor="text1"/>
                      <w:sz w:val="21"/>
                      <w:szCs w:val="21"/>
                      <w14:textFill>
                        <w14:solidFill>
                          <w14:schemeClr w14:val="tx1"/>
                        </w14:solidFill>
                      </w14:textFill>
                    </w:rPr>
                  </w:pPr>
                  <w:r>
                    <w:rPr>
                      <w:rFonts w:hint="eastAsia"/>
                      <w:bCs/>
                      <w:color w:val="000000" w:themeColor="text1"/>
                      <w:sz w:val="21"/>
                      <w:szCs w:val="21"/>
                      <w:lang w:eastAsia="zh-CN"/>
                      <w14:textFill>
                        <w14:solidFill>
                          <w14:schemeClr w14:val="tx1"/>
                        </w14:solidFill>
                      </w14:textFill>
                    </w:rPr>
                    <w:t>矿</w:t>
                  </w:r>
                  <w:r>
                    <w:rPr>
                      <w:bCs/>
                      <w:color w:val="000000" w:themeColor="text1"/>
                      <w:sz w:val="21"/>
                      <w:szCs w:val="21"/>
                      <w14:textFill>
                        <w14:solidFill>
                          <w14:schemeClr w14:val="tx1"/>
                        </w14:solidFill>
                      </w14:textFill>
                    </w:rPr>
                    <w:t>区道路</w:t>
                  </w:r>
                </w:p>
              </w:tc>
              <w:tc>
                <w:tcPr>
                  <w:tcW w:w="3155" w:type="pct"/>
                  <w:tcBorders>
                    <w:tl2br w:val="nil"/>
                    <w:tr2bl w:val="nil"/>
                  </w:tcBorders>
                  <w:shd w:val="clear" w:color="auto" w:fill="auto"/>
                  <w:vAlign w:val="center"/>
                </w:tcPr>
                <w:p w14:paraId="35806DB8">
                  <w:pPr>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在矿区范围内计划修建矿区运输道路（随着矿区开采掘进，开采平台的逐步形成，逐步形成简易的运输道路），长300m，宽4m，采用碎石路面</w:t>
                  </w:r>
                </w:p>
              </w:tc>
              <w:tc>
                <w:tcPr>
                  <w:tcW w:w="483" w:type="pct"/>
                  <w:tcBorders>
                    <w:tl2br w:val="nil"/>
                    <w:tr2bl w:val="nil"/>
                  </w:tcBorders>
                  <w:shd w:val="clear" w:color="auto" w:fill="auto"/>
                  <w:vAlign w:val="center"/>
                </w:tcPr>
                <w:p w14:paraId="0993137A">
                  <w:pPr>
                    <w:adjustRightIn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新建</w:t>
                  </w:r>
                </w:p>
              </w:tc>
            </w:tr>
            <w:tr w14:paraId="724C7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9" w:hRule="atLeast"/>
                <w:jc w:val="center"/>
              </w:trPr>
              <w:tc>
                <w:tcPr>
                  <w:tcW w:w="445" w:type="pct"/>
                  <w:vMerge w:val="restart"/>
                  <w:tcBorders>
                    <w:tl2br w:val="nil"/>
                    <w:tr2bl w:val="nil"/>
                  </w:tcBorders>
                  <w:shd w:val="clear" w:color="auto" w:fill="auto"/>
                  <w:vAlign w:val="center"/>
                </w:tcPr>
                <w:p w14:paraId="1E17B425">
                  <w:pPr>
                    <w:adjustRightIn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贮运</w:t>
                  </w:r>
                </w:p>
                <w:p w14:paraId="0E66B6ED">
                  <w:pPr>
                    <w:adjustRightIn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工程</w:t>
                  </w:r>
                </w:p>
              </w:tc>
              <w:tc>
                <w:tcPr>
                  <w:tcW w:w="915" w:type="pct"/>
                  <w:gridSpan w:val="2"/>
                  <w:tcBorders>
                    <w:tl2br w:val="nil"/>
                    <w:tr2bl w:val="nil"/>
                  </w:tcBorders>
                  <w:shd w:val="clear" w:color="auto" w:fill="auto"/>
                  <w:vAlign w:val="center"/>
                </w:tcPr>
                <w:p w14:paraId="0D7760C0">
                  <w:pPr>
                    <w:adjustRightInd w:val="0"/>
                    <w:spacing w:line="240" w:lineRule="auto"/>
                    <w:ind w:firstLine="0" w:firstLineChars="0"/>
                    <w:jc w:val="center"/>
                    <w:rPr>
                      <w:bCs/>
                      <w:color w:val="0000FF"/>
                      <w:sz w:val="21"/>
                      <w:szCs w:val="21"/>
                    </w:rPr>
                  </w:pPr>
                  <w:r>
                    <w:rPr>
                      <w:rFonts w:hint="eastAsia"/>
                      <w:bCs/>
                      <w:color w:val="0000FF"/>
                      <w:sz w:val="21"/>
                      <w:szCs w:val="21"/>
                      <w:lang w:eastAsia="zh-CN"/>
                    </w:rPr>
                    <w:t>排土</w:t>
                  </w:r>
                  <w:r>
                    <w:rPr>
                      <w:rFonts w:hint="eastAsia"/>
                      <w:bCs/>
                      <w:color w:val="0000FF"/>
                      <w:sz w:val="21"/>
                      <w:szCs w:val="21"/>
                    </w:rPr>
                    <w:t>场</w:t>
                  </w:r>
                </w:p>
              </w:tc>
              <w:tc>
                <w:tcPr>
                  <w:tcW w:w="3155" w:type="pct"/>
                  <w:tcBorders>
                    <w:tl2br w:val="nil"/>
                    <w:tr2bl w:val="nil"/>
                  </w:tcBorders>
                  <w:shd w:val="clear" w:color="auto" w:fill="auto"/>
                  <w:vAlign w:val="center"/>
                </w:tcPr>
                <w:p w14:paraId="2970E57E">
                  <w:pPr>
                    <w:adjustRightInd w:val="0"/>
                    <w:spacing w:line="240" w:lineRule="auto"/>
                    <w:ind w:firstLine="0" w:firstLineChars="0"/>
                    <w:jc w:val="left"/>
                    <w:rPr>
                      <w:bCs/>
                      <w:color w:val="0000FF"/>
                      <w:sz w:val="21"/>
                      <w:szCs w:val="21"/>
                    </w:rPr>
                  </w:pPr>
                  <w:r>
                    <w:rPr>
                      <w:rFonts w:hint="eastAsia"/>
                      <w:bCs/>
                      <w:color w:val="0000FF"/>
                      <w:sz w:val="21"/>
                      <w:szCs w:val="21"/>
                    </w:rPr>
                    <w:t>设计一个排土场，位于KT1-2矿体东侧的沟谷内，属于四等排土场：堆高49m、分设1679m台阶、1694m台阶，最高堆置标高为1709m，排土场台阶坡面角为25°，台阶宽度为3m，内部设置排水沟（0.5m×0.5m），最终边坡角25°16′。</w:t>
                  </w:r>
                </w:p>
              </w:tc>
              <w:tc>
                <w:tcPr>
                  <w:tcW w:w="483" w:type="pct"/>
                  <w:tcBorders>
                    <w:tl2br w:val="nil"/>
                    <w:tr2bl w:val="nil"/>
                  </w:tcBorders>
                  <w:shd w:val="clear" w:color="auto" w:fill="auto"/>
                  <w:vAlign w:val="center"/>
                </w:tcPr>
                <w:p w14:paraId="687BD765">
                  <w:pPr>
                    <w:adjustRightInd w:val="0"/>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新建</w:t>
                  </w:r>
                </w:p>
              </w:tc>
            </w:tr>
            <w:tr w14:paraId="6680A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vMerge w:val="continue"/>
                  <w:tcBorders>
                    <w:tl2br w:val="nil"/>
                    <w:tr2bl w:val="nil"/>
                  </w:tcBorders>
                  <w:shd w:val="clear" w:color="auto" w:fill="auto"/>
                  <w:vAlign w:val="center"/>
                </w:tcPr>
                <w:p w14:paraId="5BBCCA4D">
                  <w:pPr>
                    <w:adjustRightInd w:val="0"/>
                    <w:spacing w:line="240" w:lineRule="auto"/>
                    <w:ind w:firstLine="0" w:firstLineChars="0"/>
                    <w:jc w:val="center"/>
                    <w:rPr>
                      <w:bCs/>
                      <w:color w:val="000000" w:themeColor="text1"/>
                      <w:sz w:val="21"/>
                      <w:szCs w:val="21"/>
                      <w14:textFill>
                        <w14:solidFill>
                          <w14:schemeClr w14:val="tx1"/>
                        </w14:solidFill>
                      </w14:textFill>
                    </w:rPr>
                  </w:pPr>
                </w:p>
              </w:tc>
              <w:tc>
                <w:tcPr>
                  <w:tcW w:w="915" w:type="pct"/>
                  <w:gridSpan w:val="2"/>
                  <w:tcBorders>
                    <w:tl2br w:val="nil"/>
                    <w:tr2bl w:val="nil"/>
                  </w:tcBorders>
                  <w:shd w:val="clear" w:color="auto" w:fill="auto"/>
                  <w:vAlign w:val="center"/>
                </w:tcPr>
                <w:p w14:paraId="74A9E4FB">
                  <w:pPr>
                    <w:adjustRightIn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内部运输</w:t>
                  </w:r>
                </w:p>
              </w:tc>
              <w:tc>
                <w:tcPr>
                  <w:tcW w:w="3155" w:type="pct"/>
                  <w:tcBorders>
                    <w:tl2br w:val="nil"/>
                    <w:tr2bl w:val="nil"/>
                  </w:tcBorders>
                  <w:shd w:val="clear" w:color="auto" w:fill="auto"/>
                  <w:vAlign w:val="center"/>
                </w:tcPr>
                <w:p w14:paraId="34C25870">
                  <w:pPr>
                    <w:adjustRightInd w:val="0"/>
                    <w:spacing w:line="240" w:lineRule="auto"/>
                    <w:ind w:firstLine="0" w:firstLineChars="0"/>
                    <w:jc w:val="left"/>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采用</w:t>
                  </w:r>
                  <w:r>
                    <w:rPr>
                      <w:rFonts w:hint="eastAsia"/>
                      <w:bCs/>
                      <w:color w:val="000000" w:themeColor="text1"/>
                      <w:sz w:val="21"/>
                      <w:szCs w:val="21"/>
                      <w14:textFill>
                        <w14:solidFill>
                          <w14:schemeClr w14:val="tx1"/>
                        </w14:solidFill>
                      </w14:textFill>
                    </w:rPr>
                    <w:t>11辆</w:t>
                  </w:r>
                  <w:r>
                    <w:rPr>
                      <w:bCs/>
                      <w:color w:val="000000" w:themeColor="text1"/>
                      <w:sz w:val="21"/>
                      <w:szCs w:val="21"/>
                      <w14:textFill>
                        <w14:solidFill>
                          <w14:schemeClr w14:val="tx1"/>
                        </w14:solidFill>
                      </w14:textFill>
                    </w:rPr>
                    <w:t>载重20t的矿用自卸汽车运输</w:t>
                  </w:r>
                </w:p>
              </w:tc>
              <w:tc>
                <w:tcPr>
                  <w:tcW w:w="483" w:type="pct"/>
                  <w:tcBorders>
                    <w:tl2br w:val="nil"/>
                    <w:tr2bl w:val="nil"/>
                  </w:tcBorders>
                  <w:shd w:val="clear" w:color="auto" w:fill="auto"/>
                  <w:vAlign w:val="center"/>
                </w:tcPr>
                <w:p w14:paraId="1EC77FDB">
                  <w:pPr>
                    <w:adjustRightInd w:val="0"/>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新建</w:t>
                  </w:r>
                </w:p>
              </w:tc>
            </w:tr>
            <w:tr w14:paraId="67F9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vMerge w:val="restart"/>
                  <w:tcBorders>
                    <w:tl2br w:val="nil"/>
                    <w:tr2bl w:val="nil"/>
                  </w:tcBorders>
                  <w:shd w:val="clear" w:color="auto" w:fill="auto"/>
                  <w:vAlign w:val="center"/>
                </w:tcPr>
                <w:p w14:paraId="71704ACB">
                  <w:pPr>
                    <w:adjustRightIn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公用</w:t>
                  </w:r>
                </w:p>
                <w:p w14:paraId="7BF2300C">
                  <w:pPr>
                    <w:adjustRightIn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工程</w:t>
                  </w:r>
                </w:p>
              </w:tc>
              <w:tc>
                <w:tcPr>
                  <w:tcW w:w="915" w:type="pct"/>
                  <w:gridSpan w:val="2"/>
                  <w:tcBorders>
                    <w:tl2br w:val="nil"/>
                    <w:tr2bl w:val="nil"/>
                  </w:tcBorders>
                  <w:shd w:val="clear" w:color="auto" w:fill="auto"/>
                  <w:vAlign w:val="center"/>
                </w:tcPr>
                <w:p w14:paraId="152A488E">
                  <w:pPr>
                    <w:adjustRightInd w:val="0"/>
                    <w:spacing w:line="240" w:lineRule="auto"/>
                    <w:ind w:firstLine="0" w:firstLineChars="0"/>
                    <w:jc w:val="center"/>
                    <w:rPr>
                      <w:bCs/>
                      <w:sz w:val="21"/>
                      <w:szCs w:val="21"/>
                    </w:rPr>
                  </w:pPr>
                  <w:r>
                    <w:rPr>
                      <w:bCs/>
                      <w:sz w:val="21"/>
                      <w:szCs w:val="21"/>
                    </w:rPr>
                    <w:t>供 电</w:t>
                  </w:r>
                </w:p>
              </w:tc>
              <w:tc>
                <w:tcPr>
                  <w:tcW w:w="3155" w:type="pct"/>
                  <w:tcBorders>
                    <w:tl2br w:val="nil"/>
                    <w:tr2bl w:val="nil"/>
                  </w:tcBorders>
                  <w:shd w:val="clear" w:color="auto" w:fill="auto"/>
                  <w:vAlign w:val="center"/>
                </w:tcPr>
                <w:p w14:paraId="122E1D5F">
                  <w:pPr>
                    <w:adjustRightInd w:val="0"/>
                    <w:spacing w:line="240" w:lineRule="auto"/>
                    <w:ind w:firstLine="0" w:firstLineChars="0"/>
                    <w:jc w:val="left"/>
                    <w:rPr>
                      <w:bCs/>
                      <w:sz w:val="21"/>
                      <w:szCs w:val="21"/>
                    </w:rPr>
                  </w:pPr>
                  <w:r>
                    <w:rPr>
                      <w:bCs/>
                      <w:sz w:val="21"/>
                      <w:szCs w:val="21"/>
                    </w:rPr>
                    <w:t>由麻池村10KV变电所供应，引一路10kv架空专线至场地配电室</w:t>
                  </w:r>
                </w:p>
              </w:tc>
              <w:tc>
                <w:tcPr>
                  <w:tcW w:w="483" w:type="pct"/>
                  <w:tcBorders>
                    <w:tl2br w:val="nil"/>
                    <w:tr2bl w:val="nil"/>
                  </w:tcBorders>
                  <w:shd w:val="clear" w:color="auto" w:fill="auto"/>
                  <w:vAlign w:val="center"/>
                </w:tcPr>
                <w:p w14:paraId="0E297851">
                  <w:pPr>
                    <w:adjustRightInd w:val="0"/>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新建</w:t>
                  </w:r>
                </w:p>
              </w:tc>
            </w:tr>
            <w:tr w14:paraId="63E96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vMerge w:val="continue"/>
                  <w:tcBorders>
                    <w:tl2br w:val="nil"/>
                    <w:tr2bl w:val="nil"/>
                  </w:tcBorders>
                  <w:shd w:val="clear" w:color="auto" w:fill="auto"/>
                  <w:vAlign w:val="center"/>
                </w:tcPr>
                <w:p w14:paraId="68009B80">
                  <w:pPr>
                    <w:adjustRightInd w:val="0"/>
                    <w:spacing w:line="240" w:lineRule="auto"/>
                    <w:ind w:firstLine="0" w:firstLineChars="0"/>
                    <w:jc w:val="center"/>
                    <w:rPr>
                      <w:bCs/>
                      <w:color w:val="000000" w:themeColor="text1"/>
                      <w:sz w:val="21"/>
                      <w:szCs w:val="21"/>
                      <w14:textFill>
                        <w14:solidFill>
                          <w14:schemeClr w14:val="tx1"/>
                        </w14:solidFill>
                      </w14:textFill>
                    </w:rPr>
                  </w:pPr>
                </w:p>
              </w:tc>
              <w:tc>
                <w:tcPr>
                  <w:tcW w:w="915" w:type="pct"/>
                  <w:gridSpan w:val="2"/>
                  <w:tcBorders>
                    <w:tl2br w:val="nil"/>
                    <w:tr2bl w:val="nil"/>
                  </w:tcBorders>
                  <w:shd w:val="clear" w:color="auto" w:fill="auto"/>
                  <w:vAlign w:val="center"/>
                </w:tcPr>
                <w:p w14:paraId="7A5A6EB7">
                  <w:pPr>
                    <w:adjustRightInd w:val="0"/>
                    <w:spacing w:line="240" w:lineRule="auto"/>
                    <w:ind w:firstLine="0" w:firstLineChars="0"/>
                    <w:jc w:val="center"/>
                    <w:rPr>
                      <w:bCs/>
                      <w:color w:val="0000FF"/>
                      <w:sz w:val="21"/>
                      <w:szCs w:val="21"/>
                    </w:rPr>
                  </w:pPr>
                  <w:r>
                    <w:rPr>
                      <w:bCs/>
                      <w:color w:val="0000FF"/>
                      <w:sz w:val="21"/>
                      <w:szCs w:val="21"/>
                    </w:rPr>
                    <w:t>供 水</w:t>
                  </w:r>
                </w:p>
              </w:tc>
              <w:tc>
                <w:tcPr>
                  <w:tcW w:w="3155" w:type="pct"/>
                  <w:tcBorders>
                    <w:tl2br w:val="nil"/>
                    <w:tr2bl w:val="nil"/>
                  </w:tcBorders>
                  <w:shd w:val="clear" w:color="auto" w:fill="auto"/>
                  <w:vAlign w:val="center"/>
                </w:tcPr>
                <w:p w14:paraId="7A564DED">
                  <w:pPr>
                    <w:adjustRightInd w:val="0"/>
                    <w:spacing w:line="240" w:lineRule="auto"/>
                    <w:ind w:firstLine="0" w:firstLineChars="0"/>
                    <w:jc w:val="left"/>
                    <w:rPr>
                      <w:bCs/>
                      <w:color w:val="0000FF"/>
                      <w:sz w:val="21"/>
                      <w:szCs w:val="21"/>
                    </w:rPr>
                  </w:pPr>
                  <w:r>
                    <w:rPr>
                      <w:bCs/>
                      <w:color w:val="0000FF"/>
                      <w:sz w:val="21"/>
                    </w:rPr>
                    <w:t>生产用水</w:t>
                  </w:r>
                  <w:r>
                    <w:rPr>
                      <w:rFonts w:hint="eastAsia"/>
                      <w:bCs/>
                      <w:color w:val="0000FF"/>
                      <w:sz w:val="21"/>
                      <w:lang w:eastAsia="zh-CN"/>
                    </w:rPr>
                    <w:t>香泉镇购买拉运，水箱容积</w:t>
                  </w:r>
                  <w:r>
                    <w:rPr>
                      <w:rFonts w:hint="eastAsia"/>
                      <w:bCs/>
                      <w:color w:val="0000FF"/>
                      <w:sz w:val="21"/>
                      <w:lang w:val="en-US" w:eastAsia="zh-CN"/>
                    </w:rPr>
                    <w:t>8m</w:t>
                  </w:r>
                  <w:r>
                    <w:rPr>
                      <w:rFonts w:hint="eastAsia"/>
                      <w:bCs/>
                      <w:color w:val="0000FF"/>
                      <w:sz w:val="21"/>
                      <w:vertAlign w:val="superscript"/>
                      <w:lang w:val="en-US" w:eastAsia="zh-CN"/>
                    </w:rPr>
                    <w:t>3</w:t>
                  </w:r>
                  <w:r>
                    <w:rPr>
                      <w:rFonts w:hint="eastAsia"/>
                      <w:bCs/>
                      <w:color w:val="0000FF"/>
                      <w:sz w:val="21"/>
                      <w:lang w:eastAsia="zh-CN"/>
                    </w:rPr>
                    <w:t>，</w:t>
                  </w:r>
                  <w:r>
                    <w:rPr>
                      <w:bCs/>
                      <w:color w:val="0000FF"/>
                      <w:sz w:val="21"/>
                    </w:rPr>
                    <w:t>生活用水水源依托麻池加工厂现有设施自备井供水</w:t>
                  </w:r>
                </w:p>
              </w:tc>
              <w:tc>
                <w:tcPr>
                  <w:tcW w:w="483" w:type="pct"/>
                  <w:tcBorders>
                    <w:tl2br w:val="nil"/>
                    <w:tr2bl w:val="nil"/>
                  </w:tcBorders>
                  <w:shd w:val="clear" w:color="auto" w:fill="auto"/>
                  <w:vAlign w:val="center"/>
                </w:tcPr>
                <w:p w14:paraId="5BF86938">
                  <w:pPr>
                    <w:adjustRightInd w:val="0"/>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新建</w:t>
                  </w:r>
                </w:p>
              </w:tc>
            </w:tr>
            <w:tr w14:paraId="7093E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vMerge w:val="continue"/>
                  <w:tcBorders>
                    <w:tl2br w:val="nil"/>
                    <w:tr2bl w:val="nil"/>
                  </w:tcBorders>
                  <w:shd w:val="clear" w:color="auto" w:fill="auto"/>
                  <w:vAlign w:val="center"/>
                </w:tcPr>
                <w:p w14:paraId="0C2FCC82">
                  <w:pPr>
                    <w:adjustRightInd w:val="0"/>
                    <w:spacing w:line="240" w:lineRule="auto"/>
                    <w:ind w:firstLine="0" w:firstLineChars="0"/>
                    <w:jc w:val="center"/>
                    <w:rPr>
                      <w:bCs/>
                      <w:color w:val="000000" w:themeColor="text1"/>
                      <w:sz w:val="21"/>
                      <w:szCs w:val="21"/>
                      <w14:textFill>
                        <w14:solidFill>
                          <w14:schemeClr w14:val="tx1"/>
                        </w14:solidFill>
                      </w14:textFill>
                    </w:rPr>
                  </w:pPr>
                </w:p>
              </w:tc>
              <w:tc>
                <w:tcPr>
                  <w:tcW w:w="915" w:type="pct"/>
                  <w:gridSpan w:val="2"/>
                  <w:tcBorders>
                    <w:tl2br w:val="nil"/>
                    <w:tr2bl w:val="nil"/>
                  </w:tcBorders>
                  <w:shd w:val="clear" w:color="auto" w:fill="auto"/>
                  <w:vAlign w:val="center"/>
                </w:tcPr>
                <w:p w14:paraId="20C549A8">
                  <w:pPr>
                    <w:adjustRightIn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采 暖</w:t>
                  </w:r>
                </w:p>
              </w:tc>
              <w:tc>
                <w:tcPr>
                  <w:tcW w:w="3155" w:type="pct"/>
                  <w:tcBorders>
                    <w:tl2br w:val="nil"/>
                    <w:tr2bl w:val="nil"/>
                  </w:tcBorders>
                  <w:shd w:val="clear" w:color="auto" w:fill="auto"/>
                  <w:vAlign w:val="center"/>
                </w:tcPr>
                <w:p w14:paraId="4BA76EDF">
                  <w:pPr>
                    <w:adjustRightInd w:val="0"/>
                    <w:spacing w:line="240" w:lineRule="auto"/>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办公、生活各采暖建筑均采用单体空调进行采暖</w:t>
                  </w:r>
                </w:p>
              </w:tc>
              <w:tc>
                <w:tcPr>
                  <w:tcW w:w="483" w:type="pct"/>
                  <w:tcBorders>
                    <w:tl2br w:val="nil"/>
                    <w:tr2bl w:val="nil"/>
                  </w:tcBorders>
                  <w:shd w:val="clear" w:color="auto" w:fill="auto"/>
                  <w:vAlign w:val="center"/>
                </w:tcPr>
                <w:p w14:paraId="71554DBB">
                  <w:pPr>
                    <w:adjustRightIn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依托</w:t>
                  </w:r>
                </w:p>
              </w:tc>
            </w:tr>
            <w:tr w14:paraId="3ABC6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445" w:type="pct"/>
                  <w:vMerge w:val="restart"/>
                  <w:tcBorders>
                    <w:tl2br w:val="nil"/>
                    <w:tr2bl w:val="nil"/>
                  </w:tcBorders>
                  <w:shd w:val="clear" w:color="auto" w:fill="auto"/>
                  <w:vAlign w:val="center"/>
                </w:tcPr>
                <w:p w14:paraId="7628F0A2">
                  <w:pPr>
                    <w:adjustRightIn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环保工程</w:t>
                  </w:r>
                </w:p>
              </w:tc>
              <w:tc>
                <w:tcPr>
                  <w:tcW w:w="394" w:type="pct"/>
                  <w:vMerge w:val="restart"/>
                  <w:tcBorders>
                    <w:tl2br w:val="nil"/>
                    <w:tr2bl w:val="nil"/>
                  </w:tcBorders>
                  <w:shd w:val="clear" w:color="auto" w:fill="auto"/>
                  <w:vAlign w:val="center"/>
                </w:tcPr>
                <w:p w14:paraId="1BA464C6">
                  <w:pPr>
                    <w:adjustRightIn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废气</w:t>
                  </w:r>
                </w:p>
                <w:p w14:paraId="0CBAC564">
                  <w:pPr>
                    <w:adjustRightIn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治理</w:t>
                  </w:r>
                </w:p>
              </w:tc>
              <w:tc>
                <w:tcPr>
                  <w:tcW w:w="520" w:type="pct"/>
                  <w:tcBorders>
                    <w:tl2br w:val="nil"/>
                    <w:tr2bl w:val="nil"/>
                  </w:tcBorders>
                  <w:shd w:val="clear" w:color="auto" w:fill="auto"/>
                  <w:vAlign w:val="center"/>
                </w:tcPr>
                <w:p w14:paraId="74334F69">
                  <w:pPr>
                    <w:adjustRightIn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采</w:t>
                  </w:r>
                  <w:r>
                    <w:rPr>
                      <w:rFonts w:hint="eastAsia"/>
                      <w:bCs/>
                      <w:color w:val="000000" w:themeColor="text1"/>
                      <w:sz w:val="21"/>
                      <w:szCs w:val="21"/>
                      <w14:textFill>
                        <w14:solidFill>
                          <w14:schemeClr w14:val="tx1"/>
                        </w14:solidFill>
                      </w14:textFill>
                    </w:rPr>
                    <w:t>矿</w:t>
                  </w:r>
                  <w:r>
                    <w:rPr>
                      <w:bCs/>
                      <w:color w:val="000000" w:themeColor="text1"/>
                      <w:sz w:val="21"/>
                      <w:szCs w:val="21"/>
                      <w14:textFill>
                        <w14:solidFill>
                          <w14:schemeClr w14:val="tx1"/>
                        </w14:solidFill>
                      </w14:textFill>
                    </w:rPr>
                    <w:t>场</w:t>
                  </w:r>
                </w:p>
              </w:tc>
              <w:tc>
                <w:tcPr>
                  <w:tcW w:w="3155" w:type="pct"/>
                  <w:tcBorders>
                    <w:tl2br w:val="nil"/>
                    <w:tr2bl w:val="nil"/>
                  </w:tcBorders>
                  <w:shd w:val="clear" w:color="auto" w:fill="auto"/>
                  <w:vAlign w:val="center"/>
                </w:tcPr>
                <w:p w14:paraId="40CB7E0B">
                  <w:pPr>
                    <w:adjustRightInd w:val="0"/>
                    <w:spacing w:line="240" w:lineRule="auto"/>
                    <w:ind w:firstLine="0" w:firstLineChars="0"/>
                    <w:jc w:val="left"/>
                    <w:rPr>
                      <w:bCs/>
                      <w:color w:val="000000" w:themeColor="text1"/>
                      <w:sz w:val="21"/>
                      <w14:textFill>
                        <w14:solidFill>
                          <w14:schemeClr w14:val="tx1"/>
                        </w14:solidFill>
                      </w14:textFill>
                    </w:rPr>
                  </w:pPr>
                  <w:r>
                    <w:rPr>
                      <w:bCs/>
                      <w:color w:val="000000" w:themeColor="text1"/>
                      <w:sz w:val="21"/>
                      <w14:textFill>
                        <w14:solidFill>
                          <w14:schemeClr w14:val="tx1"/>
                        </w14:solidFill>
                      </w14:textFill>
                    </w:rPr>
                    <w:t>配备洒水车，洒水抑尘</w:t>
                  </w:r>
                </w:p>
              </w:tc>
              <w:tc>
                <w:tcPr>
                  <w:tcW w:w="483" w:type="pct"/>
                  <w:tcBorders>
                    <w:tl2br w:val="nil"/>
                    <w:tr2bl w:val="nil"/>
                  </w:tcBorders>
                  <w:shd w:val="clear" w:color="auto" w:fill="auto"/>
                  <w:vAlign w:val="center"/>
                </w:tcPr>
                <w:p w14:paraId="4968F787">
                  <w:pPr>
                    <w:adjustRightInd w:val="0"/>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新建</w:t>
                  </w:r>
                </w:p>
              </w:tc>
            </w:tr>
            <w:tr w14:paraId="056B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vMerge w:val="continue"/>
                  <w:tcBorders>
                    <w:tl2br w:val="nil"/>
                    <w:tr2bl w:val="nil"/>
                  </w:tcBorders>
                  <w:shd w:val="clear" w:color="auto" w:fill="auto"/>
                  <w:vAlign w:val="center"/>
                </w:tcPr>
                <w:p w14:paraId="2805C840">
                  <w:pPr>
                    <w:adjustRightInd w:val="0"/>
                    <w:spacing w:line="240" w:lineRule="auto"/>
                    <w:ind w:firstLine="0" w:firstLineChars="0"/>
                    <w:jc w:val="center"/>
                    <w:rPr>
                      <w:bCs/>
                      <w:color w:val="000000" w:themeColor="text1"/>
                      <w:sz w:val="21"/>
                      <w:szCs w:val="21"/>
                      <w14:textFill>
                        <w14:solidFill>
                          <w14:schemeClr w14:val="tx1"/>
                        </w14:solidFill>
                      </w14:textFill>
                    </w:rPr>
                  </w:pPr>
                </w:p>
              </w:tc>
              <w:tc>
                <w:tcPr>
                  <w:tcW w:w="394" w:type="pct"/>
                  <w:vMerge w:val="restart"/>
                  <w:tcBorders>
                    <w:tl2br w:val="nil"/>
                    <w:tr2bl w:val="nil"/>
                  </w:tcBorders>
                  <w:shd w:val="clear" w:color="auto" w:fill="auto"/>
                  <w:vAlign w:val="center"/>
                </w:tcPr>
                <w:p w14:paraId="00DFFE45">
                  <w:pPr>
                    <w:adjustRightIn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废水</w:t>
                  </w:r>
                </w:p>
                <w:p w14:paraId="2C2A4754">
                  <w:pPr>
                    <w:adjustRightIn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治理</w:t>
                  </w:r>
                </w:p>
              </w:tc>
              <w:tc>
                <w:tcPr>
                  <w:tcW w:w="520" w:type="pct"/>
                  <w:tcBorders>
                    <w:tl2br w:val="nil"/>
                    <w:tr2bl w:val="nil"/>
                  </w:tcBorders>
                  <w:shd w:val="clear" w:color="auto" w:fill="auto"/>
                  <w:vAlign w:val="center"/>
                </w:tcPr>
                <w:p w14:paraId="6CFF2613">
                  <w:pPr>
                    <w:adjustRightIn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采场</w:t>
                  </w:r>
                </w:p>
                <w:p w14:paraId="136493F7">
                  <w:pPr>
                    <w:adjustRightIn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雨水</w:t>
                  </w:r>
                </w:p>
              </w:tc>
              <w:tc>
                <w:tcPr>
                  <w:tcW w:w="3155" w:type="pct"/>
                  <w:tcBorders>
                    <w:tl2br w:val="nil"/>
                    <w:tr2bl w:val="nil"/>
                  </w:tcBorders>
                  <w:shd w:val="clear" w:color="auto" w:fill="auto"/>
                  <w:vAlign w:val="center"/>
                </w:tcPr>
                <w:p w14:paraId="148D1990">
                  <w:pPr>
                    <w:adjustRightInd w:val="0"/>
                    <w:spacing w:line="240" w:lineRule="auto"/>
                    <w:ind w:firstLine="0" w:firstLineChars="0"/>
                    <w:rPr>
                      <w:bCs/>
                      <w:color w:val="000000" w:themeColor="text1"/>
                      <w:sz w:val="21"/>
                      <w:szCs w:val="21"/>
                      <w14:textFill>
                        <w14:solidFill>
                          <w14:schemeClr w14:val="tx1"/>
                        </w14:solidFill>
                      </w14:textFill>
                    </w:rPr>
                  </w:pPr>
                  <w:r>
                    <w:rPr>
                      <w:bCs/>
                      <w:color w:val="000000" w:themeColor="text1"/>
                      <w:sz w:val="21"/>
                      <w14:textFill>
                        <w14:solidFill>
                          <w14:schemeClr w14:val="tx1"/>
                        </w14:solidFill>
                      </w14:textFill>
                    </w:rPr>
                    <w:t>露天采坑内各清扫平台上设置截排水沟、安全平台设临时排水沟，将雨水排出至沉淀池，经沉淀净化处理后用于道路除尘、绿化等。</w:t>
                  </w:r>
                </w:p>
              </w:tc>
              <w:tc>
                <w:tcPr>
                  <w:tcW w:w="483" w:type="pct"/>
                  <w:tcBorders>
                    <w:tl2br w:val="nil"/>
                    <w:tr2bl w:val="nil"/>
                  </w:tcBorders>
                  <w:shd w:val="clear" w:color="auto" w:fill="auto"/>
                  <w:vAlign w:val="center"/>
                </w:tcPr>
                <w:p w14:paraId="041A70F3">
                  <w:pPr>
                    <w:adjustRightInd w:val="0"/>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新建</w:t>
                  </w:r>
                </w:p>
              </w:tc>
            </w:tr>
            <w:tr w14:paraId="3DE50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vMerge w:val="continue"/>
                  <w:tcBorders>
                    <w:tl2br w:val="nil"/>
                    <w:tr2bl w:val="nil"/>
                  </w:tcBorders>
                  <w:shd w:val="clear" w:color="auto" w:fill="auto"/>
                  <w:vAlign w:val="center"/>
                </w:tcPr>
                <w:p w14:paraId="010A50EB">
                  <w:pPr>
                    <w:adjustRightInd w:val="0"/>
                    <w:spacing w:line="240" w:lineRule="auto"/>
                    <w:ind w:firstLine="0" w:firstLineChars="0"/>
                    <w:jc w:val="center"/>
                    <w:rPr>
                      <w:bCs/>
                      <w:color w:val="000000" w:themeColor="text1"/>
                      <w:sz w:val="21"/>
                      <w:szCs w:val="21"/>
                      <w14:textFill>
                        <w14:solidFill>
                          <w14:schemeClr w14:val="tx1"/>
                        </w14:solidFill>
                      </w14:textFill>
                    </w:rPr>
                  </w:pPr>
                </w:p>
              </w:tc>
              <w:tc>
                <w:tcPr>
                  <w:tcW w:w="394" w:type="pct"/>
                  <w:vMerge w:val="continue"/>
                  <w:tcBorders>
                    <w:tl2br w:val="nil"/>
                    <w:tr2bl w:val="nil"/>
                  </w:tcBorders>
                  <w:shd w:val="clear" w:color="auto" w:fill="auto"/>
                  <w:vAlign w:val="center"/>
                </w:tcPr>
                <w:p w14:paraId="03CF093D">
                  <w:pPr>
                    <w:adjustRightInd w:val="0"/>
                    <w:spacing w:line="240" w:lineRule="auto"/>
                    <w:ind w:firstLine="0" w:firstLineChars="0"/>
                    <w:jc w:val="center"/>
                    <w:rPr>
                      <w:bCs/>
                      <w:color w:val="000000" w:themeColor="text1"/>
                      <w:sz w:val="21"/>
                      <w:szCs w:val="21"/>
                      <w14:textFill>
                        <w14:solidFill>
                          <w14:schemeClr w14:val="tx1"/>
                        </w14:solidFill>
                      </w14:textFill>
                    </w:rPr>
                  </w:pPr>
                </w:p>
              </w:tc>
              <w:tc>
                <w:tcPr>
                  <w:tcW w:w="520" w:type="pct"/>
                  <w:tcBorders>
                    <w:tl2br w:val="nil"/>
                    <w:tr2bl w:val="nil"/>
                  </w:tcBorders>
                  <w:shd w:val="clear" w:color="auto" w:fill="auto"/>
                  <w:vAlign w:val="center"/>
                </w:tcPr>
                <w:p w14:paraId="38A20FA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生活</w:t>
                  </w:r>
                </w:p>
                <w:p w14:paraId="3C402CC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污水</w:t>
                  </w:r>
                </w:p>
              </w:tc>
              <w:tc>
                <w:tcPr>
                  <w:tcW w:w="3155" w:type="pct"/>
                  <w:tcBorders>
                    <w:tl2br w:val="nil"/>
                    <w:tr2bl w:val="nil"/>
                  </w:tcBorders>
                  <w:shd w:val="clear" w:color="auto" w:fill="auto"/>
                  <w:vAlign w:val="center"/>
                </w:tcPr>
                <w:p w14:paraId="0501DEF4">
                  <w:pPr>
                    <w:pStyle w:val="20"/>
                    <w:keepNext w:val="0"/>
                    <w:keepLines w:val="0"/>
                    <w:pageBreakBefore w:val="0"/>
                    <w:kinsoku/>
                    <w:wordWrap/>
                    <w:overflowPunct/>
                    <w:topLinePunct w:val="0"/>
                    <w:autoSpaceDE/>
                    <w:autoSpaceDN/>
                    <w:bidi w:val="0"/>
                    <w:adjustRightInd w:val="0"/>
                    <w:snapToGrid w:val="0"/>
                    <w:spacing w:line="240" w:lineRule="auto"/>
                    <w:textAlignment w:val="auto"/>
                    <w:rPr>
                      <w:b w:val="0"/>
                      <w:bCs/>
                      <w:sz w:val="21"/>
                      <w:szCs w:val="21"/>
                    </w:rPr>
                  </w:pPr>
                  <w:r>
                    <w:rPr>
                      <w:b w:val="0"/>
                      <w:bCs/>
                      <w:sz w:val="21"/>
                      <w:szCs w:val="21"/>
                    </w:rPr>
                    <w:t>生活污水进入化粪池处理，用于</w:t>
                  </w:r>
                  <w:r>
                    <w:rPr>
                      <w:rFonts w:hint="eastAsia"/>
                      <w:b w:val="0"/>
                      <w:bCs/>
                      <w:sz w:val="21"/>
                      <w:szCs w:val="21"/>
                    </w:rPr>
                    <w:t>周边农田</w:t>
                  </w:r>
                  <w:r>
                    <w:rPr>
                      <w:b w:val="0"/>
                      <w:bCs/>
                      <w:sz w:val="21"/>
                      <w:szCs w:val="21"/>
                    </w:rPr>
                    <w:t>等</w:t>
                  </w:r>
                </w:p>
              </w:tc>
              <w:tc>
                <w:tcPr>
                  <w:tcW w:w="483" w:type="pct"/>
                  <w:tcBorders>
                    <w:tl2br w:val="nil"/>
                    <w:tr2bl w:val="nil"/>
                  </w:tcBorders>
                  <w:shd w:val="clear" w:color="auto" w:fill="auto"/>
                  <w:vAlign w:val="center"/>
                </w:tcPr>
                <w:p w14:paraId="33D2ED44">
                  <w:pPr>
                    <w:adjustRightIn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依托</w:t>
                  </w:r>
                </w:p>
              </w:tc>
            </w:tr>
            <w:tr w14:paraId="00E50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vMerge w:val="continue"/>
                  <w:tcBorders>
                    <w:tl2br w:val="nil"/>
                    <w:tr2bl w:val="nil"/>
                  </w:tcBorders>
                  <w:shd w:val="clear" w:color="auto" w:fill="auto"/>
                  <w:vAlign w:val="center"/>
                </w:tcPr>
                <w:p w14:paraId="1735E3D7">
                  <w:pPr>
                    <w:adjustRightInd w:val="0"/>
                    <w:spacing w:line="240" w:lineRule="auto"/>
                    <w:ind w:firstLine="0" w:firstLineChars="0"/>
                    <w:jc w:val="center"/>
                    <w:rPr>
                      <w:bCs/>
                      <w:color w:val="000000" w:themeColor="text1"/>
                      <w:sz w:val="21"/>
                      <w:szCs w:val="21"/>
                      <w14:textFill>
                        <w14:solidFill>
                          <w14:schemeClr w14:val="tx1"/>
                        </w14:solidFill>
                      </w14:textFill>
                    </w:rPr>
                  </w:pPr>
                </w:p>
              </w:tc>
              <w:tc>
                <w:tcPr>
                  <w:tcW w:w="394" w:type="pct"/>
                  <w:tcBorders>
                    <w:tl2br w:val="nil"/>
                    <w:tr2bl w:val="nil"/>
                  </w:tcBorders>
                  <w:shd w:val="clear" w:color="auto" w:fill="auto"/>
                  <w:vAlign w:val="center"/>
                </w:tcPr>
                <w:p w14:paraId="097266B5">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噪声</w:t>
                  </w:r>
                </w:p>
                <w:p w14:paraId="04DAD8B1">
                  <w:pPr>
                    <w:adjustRightIn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控制</w:t>
                  </w:r>
                </w:p>
              </w:tc>
              <w:tc>
                <w:tcPr>
                  <w:tcW w:w="520" w:type="pct"/>
                  <w:tcBorders>
                    <w:tl2br w:val="nil"/>
                    <w:tr2bl w:val="nil"/>
                  </w:tcBorders>
                  <w:shd w:val="clear" w:color="auto" w:fill="auto"/>
                  <w:vAlign w:val="center"/>
                </w:tcPr>
                <w:p w14:paraId="5AB7B4D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采矿区</w:t>
                  </w:r>
                </w:p>
              </w:tc>
              <w:tc>
                <w:tcPr>
                  <w:tcW w:w="3155" w:type="pct"/>
                  <w:tcBorders>
                    <w:tl2br w:val="nil"/>
                    <w:tr2bl w:val="nil"/>
                  </w:tcBorders>
                  <w:shd w:val="clear" w:color="auto" w:fill="auto"/>
                  <w:vAlign w:val="center"/>
                </w:tcPr>
                <w:p w14:paraId="54A1CBA9">
                  <w:pPr>
                    <w:pStyle w:val="20"/>
                    <w:keepNext w:val="0"/>
                    <w:keepLines w:val="0"/>
                    <w:pageBreakBefore w:val="0"/>
                    <w:kinsoku/>
                    <w:wordWrap/>
                    <w:overflowPunct/>
                    <w:topLinePunct w:val="0"/>
                    <w:autoSpaceDE/>
                    <w:autoSpaceDN/>
                    <w:bidi w:val="0"/>
                    <w:adjustRightInd w:val="0"/>
                    <w:snapToGrid w:val="0"/>
                    <w:spacing w:line="240" w:lineRule="auto"/>
                    <w:textAlignment w:val="auto"/>
                    <w:rPr>
                      <w:b w:val="0"/>
                      <w:bCs/>
                      <w:sz w:val="21"/>
                      <w:szCs w:val="21"/>
                    </w:rPr>
                  </w:pPr>
                  <w:r>
                    <w:rPr>
                      <w:b w:val="0"/>
                      <w:bCs/>
                      <w:sz w:val="21"/>
                      <w:szCs w:val="21"/>
                    </w:rPr>
                    <w:t>采用低噪声设备，夜间禁止爆破</w:t>
                  </w:r>
                </w:p>
              </w:tc>
              <w:tc>
                <w:tcPr>
                  <w:tcW w:w="483" w:type="pct"/>
                  <w:tcBorders>
                    <w:tl2br w:val="nil"/>
                    <w:tr2bl w:val="nil"/>
                  </w:tcBorders>
                  <w:shd w:val="clear" w:color="auto" w:fill="auto"/>
                  <w:vAlign w:val="center"/>
                </w:tcPr>
                <w:p w14:paraId="5E0F02A3">
                  <w:pPr>
                    <w:adjustRightInd w:val="0"/>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新建</w:t>
                  </w:r>
                </w:p>
              </w:tc>
            </w:tr>
            <w:tr w14:paraId="097EC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vMerge w:val="continue"/>
                  <w:tcBorders>
                    <w:tl2br w:val="nil"/>
                    <w:tr2bl w:val="nil"/>
                  </w:tcBorders>
                  <w:shd w:val="clear" w:color="auto" w:fill="auto"/>
                  <w:vAlign w:val="center"/>
                </w:tcPr>
                <w:p w14:paraId="6CF6014A">
                  <w:pPr>
                    <w:adjustRightInd w:val="0"/>
                    <w:spacing w:line="240" w:lineRule="auto"/>
                    <w:ind w:firstLine="0" w:firstLineChars="0"/>
                    <w:jc w:val="center"/>
                    <w:rPr>
                      <w:bCs/>
                      <w:color w:val="000000" w:themeColor="text1"/>
                      <w:sz w:val="21"/>
                      <w:szCs w:val="21"/>
                      <w14:textFill>
                        <w14:solidFill>
                          <w14:schemeClr w14:val="tx1"/>
                        </w14:solidFill>
                      </w14:textFill>
                    </w:rPr>
                  </w:pPr>
                </w:p>
              </w:tc>
              <w:tc>
                <w:tcPr>
                  <w:tcW w:w="394" w:type="pct"/>
                  <w:vMerge w:val="restart"/>
                  <w:tcBorders>
                    <w:tl2br w:val="nil"/>
                    <w:tr2bl w:val="nil"/>
                  </w:tcBorders>
                  <w:shd w:val="clear" w:color="auto" w:fill="auto"/>
                  <w:vAlign w:val="center"/>
                </w:tcPr>
                <w:p w14:paraId="349C6567">
                  <w:pPr>
                    <w:adjustRightIn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固废</w:t>
                  </w:r>
                </w:p>
                <w:p w14:paraId="6EEAE6A0">
                  <w:pPr>
                    <w:adjustRightIn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处置</w:t>
                  </w:r>
                </w:p>
              </w:tc>
              <w:tc>
                <w:tcPr>
                  <w:tcW w:w="520" w:type="pct"/>
                  <w:tcBorders>
                    <w:tl2br w:val="nil"/>
                    <w:tr2bl w:val="nil"/>
                  </w:tcBorders>
                  <w:shd w:val="clear" w:color="auto" w:fill="auto"/>
                  <w:vAlign w:val="center"/>
                </w:tcPr>
                <w:p w14:paraId="449E698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危废暂存间</w:t>
                  </w:r>
                </w:p>
              </w:tc>
              <w:tc>
                <w:tcPr>
                  <w:tcW w:w="3155" w:type="pct"/>
                  <w:tcBorders>
                    <w:tl2br w:val="nil"/>
                    <w:tr2bl w:val="nil"/>
                  </w:tcBorders>
                  <w:shd w:val="clear" w:color="auto" w:fill="auto"/>
                  <w:vAlign w:val="center"/>
                </w:tcPr>
                <w:p w14:paraId="0C436558">
                  <w:pPr>
                    <w:pStyle w:val="20"/>
                    <w:keepNext w:val="0"/>
                    <w:keepLines w:val="0"/>
                    <w:pageBreakBefore w:val="0"/>
                    <w:kinsoku/>
                    <w:wordWrap/>
                    <w:overflowPunct/>
                    <w:topLinePunct w:val="0"/>
                    <w:autoSpaceDE/>
                    <w:autoSpaceDN/>
                    <w:bidi w:val="0"/>
                    <w:adjustRightInd w:val="0"/>
                    <w:snapToGrid w:val="0"/>
                    <w:spacing w:line="240" w:lineRule="auto"/>
                    <w:textAlignment w:val="auto"/>
                    <w:rPr>
                      <w:b w:val="0"/>
                      <w:bCs/>
                      <w:kern w:val="2"/>
                      <w:sz w:val="21"/>
                      <w:szCs w:val="21"/>
                    </w:rPr>
                  </w:pPr>
                  <w:r>
                    <w:rPr>
                      <w:b w:val="0"/>
                      <w:bCs/>
                      <w:sz w:val="21"/>
                      <w:szCs w:val="21"/>
                    </w:rPr>
                    <w:t>设置有危废暂存间一处，面积</w:t>
                  </w:r>
                  <w:r>
                    <w:rPr>
                      <w:rFonts w:hint="eastAsia"/>
                      <w:b w:val="0"/>
                      <w:bCs/>
                      <w:sz w:val="21"/>
                      <w:szCs w:val="21"/>
                    </w:rPr>
                    <w:t>5</w:t>
                  </w:r>
                  <w:r>
                    <w:rPr>
                      <w:b w:val="0"/>
                      <w:bCs/>
                      <w:sz w:val="21"/>
                      <w:szCs w:val="21"/>
                    </w:rPr>
                    <w:t>m</w:t>
                  </w:r>
                  <w:r>
                    <w:rPr>
                      <w:b w:val="0"/>
                      <w:bCs/>
                      <w:sz w:val="21"/>
                      <w:szCs w:val="21"/>
                      <w:vertAlign w:val="superscript"/>
                    </w:rPr>
                    <w:t>2</w:t>
                  </w:r>
                  <w:r>
                    <w:rPr>
                      <w:b w:val="0"/>
                      <w:bCs/>
                      <w:kern w:val="2"/>
                      <w:sz w:val="21"/>
                      <w:szCs w:val="21"/>
                    </w:rPr>
                    <w:t>，高度为2.8m</w:t>
                  </w:r>
                </w:p>
              </w:tc>
              <w:tc>
                <w:tcPr>
                  <w:tcW w:w="483" w:type="pct"/>
                  <w:tcBorders>
                    <w:tl2br w:val="nil"/>
                    <w:tr2bl w:val="nil"/>
                  </w:tcBorders>
                  <w:shd w:val="clear" w:color="auto" w:fill="auto"/>
                  <w:vAlign w:val="center"/>
                </w:tcPr>
                <w:p w14:paraId="109399C5">
                  <w:pPr>
                    <w:adjustRightInd w:val="0"/>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新建</w:t>
                  </w:r>
                </w:p>
              </w:tc>
            </w:tr>
            <w:tr w14:paraId="0B812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vMerge w:val="continue"/>
                  <w:tcBorders>
                    <w:tl2br w:val="nil"/>
                    <w:tr2bl w:val="nil"/>
                  </w:tcBorders>
                  <w:shd w:val="clear" w:color="auto" w:fill="auto"/>
                  <w:vAlign w:val="center"/>
                </w:tcPr>
                <w:p w14:paraId="5EE1A29E">
                  <w:pPr>
                    <w:adjustRightInd w:val="0"/>
                    <w:spacing w:line="240" w:lineRule="auto"/>
                    <w:ind w:firstLine="0" w:firstLineChars="0"/>
                    <w:jc w:val="center"/>
                    <w:rPr>
                      <w:bCs/>
                      <w:color w:val="000000" w:themeColor="text1"/>
                      <w:sz w:val="21"/>
                      <w:szCs w:val="21"/>
                      <w14:textFill>
                        <w14:solidFill>
                          <w14:schemeClr w14:val="tx1"/>
                        </w14:solidFill>
                      </w14:textFill>
                    </w:rPr>
                  </w:pPr>
                </w:p>
              </w:tc>
              <w:tc>
                <w:tcPr>
                  <w:tcW w:w="394" w:type="pct"/>
                  <w:vMerge w:val="continue"/>
                  <w:tcBorders>
                    <w:tl2br w:val="nil"/>
                    <w:tr2bl w:val="nil"/>
                  </w:tcBorders>
                  <w:shd w:val="clear" w:color="auto" w:fill="auto"/>
                  <w:vAlign w:val="center"/>
                </w:tcPr>
                <w:p w14:paraId="1128703A">
                  <w:pPr>
                    <w:adjustRightInd w:val="0"/>
                    <w:spacing w:line="240" w:lineRule="auto"/>
                    <w:ind w:firstLine="0" w:firstLineChars="0"/>
                    <w:jc w:val="center"/>
                    <w:rPr>
                      <w:bCs/>
                      <w:color w:val="000000" w:themeColor="text1"/>
                      <w:sz w:val="21"/>
                      <w:szCs w:val="21"/>
                      <w14:textFill>
                        <w14:solidFill>
                          <w14:schemeClr w14:val="tx1"/>
                        </w14:solidFill>
                      </w14:textFill>
                    </w:rPr>
                  </w:pPr>
                </w:p>
              </w:tc>
              <w:tc>
                <w:tcPr>
                  <w:tcW w:w="520" w:type="pct"/>
                  <w:tcBorders>
                    <w:tl2br w:val="nil"/>
                    <w:tr2bl w:val="nil"/>
                  </w:tcBorders>
                  <w:shd w:val="clear" w:color="auto" w:fill="auto"/>
                  <w:vAlign w:val="center"/>
                </w:tcPr>
                <w:p w14:paraId="576618F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采区</w:t>
                  </w:r>
                </w:p>
                <w:p w14:paraId="02D8A8E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表土</w:t>
                  </w:r>
                </w:p>
              </w:tc>
              <w:tc>
                <w:tcPr>
                  <w:tcW w:w="3155" w:type="pct"/>
                  <w:tcBorders>
                    <w:tl2br w:val="nil"/>
                    <w:tr2bl w:val="nil"/>
                  </w:tcBorders>
                  <w:shd w:val="clear" w:color="auto" w:fill="auto"/>
                  <w:vAlign w:val="center"/>
                </w:tcPr>
                <w:p w14:paraId="4CD47258">
                  <w:pPr>
                    <w:pStyle w:val="20"/>
                    <w:keepNext w:val="0"/>
                    <w:keepLines w:val="0"/>
                    <w:pageBreakBefore w:val="0"/>
                    <w:kinsoku/>
                    <w:wordWrap/>
                    <w:overflowPunct/>
                    <w:topLinePunct w:val="0"/>
                    <w:autoSpaceDE/>
                    <w:autoSpaceDN/>
                    <w:bidi w:val="0"/>
                    <w:adjustRightInd w:val="0"/>
                    <w:snapToGrid w:val="0"/>
                    <w:spacing w:line="240" w:lineRule="auto"/>
                    <w:textAlignment w:val="auto"/>
                    <w:rPr>
                      <w:b w:val="0"/>
                      <w:bCs/>
                      <w:sz w:val="21"/>
                      <w:szCs w:val="21"/>
                    </w:rPr>
                  </w:pPr>
                  <w:r>
                    <w:rPr>
                      <w:b w:val="0"/>
                      <w:bCs/>
                      <w:sz w:val="21"/>
                      <w:szCs w:val="21"/>
                    </w:rPr>
                    <w:t>对采区表土进行剥离，临时堆放在采空区，采取临时挡护措施，利用编织袋挡护、密目网临时苫盖等措施</w:t>
                  </w:r>
                </w:p>
              </w:tc>
              <w:tc>
                <w:tcPr>
                  <w:tcW w:w="483" w:type="pct"/>
                  <w:tcBorders>
                    <w:tl2br w:val="nil"/>
                    <w:tr2bl w:val="nil"/>
                  </w:tcBorders>
                  <w:shd w:val="clear" w:color="auto" w:fill="auto"/>
                  <w:vAlign w:val="center"/>
                </w:tcPr>
                <w:p w14:paraId="0D337E4E">
                  <w:pPr>
                    <w:adjustRightInd w:val="0"/>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新建</w:t>
                  </w:r>
                </w:p>
              </w:tc>
            </w:tr>
            <w:tr w14:paraId="47E1D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vMerge w:val="continue"/>
                  <w:tcBorders>
                    <w:tl2br w:val="nil"/>
                    <w:tr2bl w:val="nil"/>
                  </w:tcBorders>
                  <w:shd w:val="clear" w:color="auto" w:fill="auto"/>
                  <w:vAlign w:val="center"/>
                </w:tcPr>
                <w:p w14:paraId="741FAE63">
                  <w:pPr>
                    <w:adjustRightInd w:val="0"/>
                    <w:spacing w:line="240" w:lineRule="auto"/>
                    <w:ind w:firstLine="0" w:firstLineChars="0"/>
                    <w:jc w:val="center"/>
                    <w:rPr>
                      <w:bCs/>
                      <w:color w:val="000000" w:themeColor="text1"/>
                      <w:sz w:val="21"/>
                      <w:szCs w:val="21"/>
                      <w14:textFill>
                        <w14:solidFill>
                          <w14:schemeClr w14:val="tx1"/>
                        </w14:solidFill>
                      </w14:textFill>
                    </w:rPr>
                  </w:pPr>
                </w:p>
              </w:tc>
              <w:tc>
                <w:tcPr>
                  <w:tcW w:w="394" w:type="pct"/>
                  <w:vMerge w:val="continue"/>
                  <w:tcBorders>
                    <w:tl2br w:val="nil"/>
                    <w:tr2bl w:val="nil"/>
                  </w:tcBorders>
                  <w:shd w:val="clear" w:color="auto" w:fill="auto"/>
                  <w:vAlign w:val="center"/>
                </w:tcPr>
                <w:p w14:paraId="7E720F76">
                  <w:pPr>
                    <w:adjustRightInd w:val="0"/>
                    <w:spacing w:line="240" w:lineRule="auto"/>
                    <w:ind w:firstLine="0" w:firstLineChars="0"/>
                    <w:jc w:val="center"/>
                    <w:rPr>
                      <w:bCs/>
                      <w:color w:val="000000" w:themeColor="text1"/>
                      <w:sz w:val="21"/>
                      <w:szCs w:val="21"/>
                      <w14:textFill>
                        <w14:solidFill>
                          <w14:schemeClr w14:val="tx1"/>
                        </w14:solidFill>
                      </w14:textFill>
                    </w:rPr>
                  </w:pPr>
                </w:p>
              </w:tc>
              <w:tc>
                <w:tcPr>
                  <w:tcW w:w="520" w:type="pct"/>
                  <w:tcBorders>
                    <w:tl2br w:val="nil"/>
                    <w:tr2bl w:val="nil"/>
                  </w:tcBorders>
                  <w:shd w:val="clear" w:color="auto" w:fill="auto"/>
                  <w:vAlign w:val="center"/>
                </w:tcPr>
                <w:p w14:paraId="78C819A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生活</w:t>
                  </w:r>
                </w:p>
                <w:p w14:paraId="2F8DECC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垃圾</w:t>
                  </w:r>
                </w:p>
              </w:tc>
              <w:tc>
                <w:tcPr>
                  <w:tcW w:w="3155" w:type="pct"/>
                  <w:tcBorders>
                    <w:tl2br w:val="nil"/>
                    <w:tr2bl w:val="nil"/>
                  </w:tcBorders>
                  <w:shd w:val="clear" w:color="auto" w:fill="auto"/>
                  <w:vAlign w:val="center"/>
                </w:tcPr>
                <w:p w14:paraId="72C12332">
                  <w:pPr>
                    <w:pStyle w:val="20"/>
                    <w:keepNext w:val="0"/>
                    <w:keepLines w:val="0"/>
                    <w:pageBreakBefore w:val="0"/>
                    <w:kinsoku/>
                    <w:wordWrap/>
                    <w:overflowPunct/>
                    <w:topLinePunct w:val="0"/>
                    <w:autoSpaceDE/>
                    <w:autoSpaceDN/>
                    <w:bidi w:val="0"/>
                    <w:adjustRightInd w:val="0"/>
                    <w:snapToGrid w:val="0"/>
                    <w:spacing w:line="240" w:lineRule="auto"/>
                    <w:textAlignment w:val="auto"/>
                    <w:rPr>
                      <w:b w:val="0"/>
                      <w:bCs/>
                      <w:sz w:val="21"/>
                      <w:szCs w:val="21"/>
                    </w:rPr>
                  </w:pPr>
                  <w:r>
                    <w:rPr>
                      <w:b w:val="0"/>
                      <w:bCs/>
                      <w:sz w:val="21"/>
                      <w:szCs w:val="21"/>
                    </w:rPr>
                    <w:t>定期由香泉镇村民转运，交由香泉镇环卫部门处置</w:t>
                  </w:r>
                </w:p>
              </w:tc>
              <w:tc>
                <w:tcPr>
                  <w:tcW w:w="483" w:type="pct"/>
                  <w:tcBorders>
                    <w:tl2br w:val="nil"/>
                    <w:tr2bl w:val="nil"/>
                  </w:tcBorders>
                  <w:shd w:val="clear" w:color="auto" w:fill="auto"/>
                  <w:vAlign w:val="center"/>
                </w:tcPr>
                <w:p w14:paraId="76702900">
                  <w:pPr>
                    <w:adjustRightIn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依托</w:t>
                  </w:r>
                </w:p>
              </w:tc>
            </w:tr>
            <w:tr w14:paraId="3980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vMerge w:val="continue"/>
                  <w:tcBorders>
                    <w:tl2br w:val="nil"/>
                    <w:tr2bl w:val="nil"/>
                  </w:tcBorders>
                  <w:shd w:val="clear" w:color="auto" w:fill="auto"/>
                  <w:vAlign w:val="center"/>
                </w:tcPr>
                <w:p w14:paraId="37F0F370">
                  <w:pPr>
                    <w:adjustRightInd w:val="0"/>
                    <w:spacing w:line="240" w:lineRule="auto"/>
                    <w:ind w:firstLine="0" w:firstLineChars="0"/>
                    <w:jc w:val="center"/>
                    <w:rPr>
                      <w:bCs/>
                      <w:color w:val="000000" w:themeColor="text1"/>
                      <w:sz w:val="21"/>
                      <w:szCs w:val="21"/>
                      <w14:textFill>
                        <w14:solidFill>
                          <w14:schemeClr w14:val="tx1"/>
                        </w14:solidFill>
                      </w14:textFill>
                    </w:rPr>
                  </w:pPr>
                </w:p>
              </w:tc>
              <w:tc>
                <w:tcPr>
                  <w:tcW w:w="915" w:type="pct"/>
                  <w:gridSpan w:val="2"/>
                  <w:tcBorders>
                    <w:tl2br w:val="nil"/>
                    <w:tr2bl w:val="nil"/>
                  </w:tcBorders>
                  <w:shd w:val="clear" w:color="auto" w:fill="auto"/>
                  <w:vAlign w:val="center"/>
                </w:tcPr>
                <w:p w14:paraId="53609DA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Cs/>
                      <w:color w:val="0000FF"/>
                      <w:sz w:val="21"/>
                      <w:szCs w:val="21"/>
                    </w:rPr>
                  </w:pPr>
                  <w:r>
                    <w:rPr>
                      <w:rFonts w:hint="eastAsia"/>
                      <w:bCs/>
                      <w:color w:val="0000FF"/>
                      <w:sz w:val="21"/>
                      <w:szCs w:val="21"/>
                      <w:lang w:val="en-US" w:eastAsia="zh-CN"/>
                    </w:rPr>
                    <w:t>生态治理</w:t>
                  </w:r>
                </w:p>
              </w:tc>
              <w:tc>
                <w:tcPr>
                  <w:tcW w:w="3155" w:type="pct"/>
                  <w:tcBorders>
                    <w:tl2br w:val="nil"/>
                    <w:tr2bl w:val="nil"/>
                  </w:tcBorders>
                  <w:shd w:val="clear" w:color="auto" w:fill="auto"/>
                  <w:vAlign w:val="center"/>
                </w:tcPr>
                <w:p w14:paraId="1E5613EF">
                  <w:pPr>
                    <w:pStyle w:val="20"/>
                    <w:keepNext w:val="0"/>
                    <w:keepLines w:val="0"/>
                    <w:pageBreakBefore w:val="0"/>
                    <w:kinsoku/>
                    <w:wordWrap/>
                    <w:overflowPunct/>
                    <w:topLinePunct w:val="0"/>
                    <w:autoSpaceDE/>
                    <w:autoSpaceDN/>
                    <w:bidi w:val="0"/>
                    <w:adjustRightInd w:val="0"/>
                    <w:snapToGrid w:val="0"/>
                    <w:spacing w:line="240" w:lineRule="auto"/>
                    <w:textAlignment w:val="auto"/>
                    <w:rPr>
                      <w:rFonts w:hint="default" w:eastAsia="宋体"/>
                      <w:b w:val="0"/>
                      <w:bCs/>
                      <w:color w:val="0000FF"/>
                      <w:sz w:val="21"/>
                      <w:szCs w:val="21"/>
                      <w:lang w:val="en-US" w:eastAsia="zh-CN"/>
                    </w:rPr>
                  </w:pPr>
                  <w:r>
                    <w:rPr>
                      <w:rFonts w:hint="eastAsia"/>
                      <w:b w:val="0"/>
                      <w:bCs/>
                      <w:color w:val="0000FF"/>
                      <w:sz w:val="21"/>
                      <w:szCs w:val="21"/>
                      <w:lang w:val="en-US" w:eastAsia="zh-CN"/>
                    </w:rPr>
                    <w:t>2024年12月已编制《陕西省宝鸡市陈仓区梨树沟冶金用脉石英矿矿产资源开发利用方案》并通过审查，项目运营期严格落实方案内容，采取“边开采、边复垦”方案；要求在第一开采区开采结束后废石必须全部回填至采坑，开采过程逐年减少废石场占地，全部回填后再进行下一区域的开采。</w:t>
                  </w:r>
                </w:p>
              </w:tc>
              <w:tc>
                <w:tcPr>
                  <w:tcW w:w="483" w:type="pct"/>
                  <w:tcBorders>
                    <w:tl2br w:val="nil"/>
                    <w:tr2bl w:val="nil"/>
                  </w:tcBorders>
                  <w:shd w:val="clear" w:color="auto" w:fill="auto"/>
                  <w:vAlign w:val="center"/>
                </w:tcPr>
                <w:p w14:paraId="21A88B0C">
                  <w:pPr>
                    <w:adjustRightInd w:val="0"/>
                    <w:spacing w:line="240" w:lineRule="auto"/>
                    <w:ind w:firstLine="0" w:firstLineChars="0"/>
                    <w:jc w:val="center"/>
                    <w:rPr>
                      <w:rFonts w:hint="eastAsia" w:eastAsia="宋体"/>
                      <w:bCs/>
                      <w:color w:val="0000FF"/>
                      <w:sz w:val="21"/>
                      <w:szCs w:val="21"/>
                      <w:lang w:eastAsia="zh-CN"/>
                    </w:rPr>
                  </w:pPr>
                  <w:r>
                    <w:rPr>
                      <w:rFonts w:hint="eastAsia"/>
                      <w:bCs/>
                      <w:color w:val="0000FF"/>
                      <w:sz w:val="21"/>
                      <w:szCs w:val="21"/>
                      <w:lang w:eastAsia="zh-CN"/>
                    </w:rPr>
                    <w:t>新建</w:t>
                  </w:r>
                </w:p>
              </w:tc>
            </w:tr>
          </w:tbl>
          <w:p w14:paraId="3F1A5989">
            <w:pPr>
              <w:numPr>
                <w:ilvl w:val="0"/>
                <w:numId w:val="2"/>
              </w:numPr>
              <w:adjustRightInd w:val="0"/>
              <w:snapToGrid w:val="0"/>
              <w:spacing w:before="120" w:beforeLines="50"/>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产品方案</w:t>
            </w:r>
          </w:p>
          <w:p w14:paraId="70E9B8A1">
            <w:pPr>
              <w:pStyle w:val="51"/>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项目产品方案见表2-</w:t>
            </w:r>
            <w:r>
              <w:rPr>
                <w:rFonts w:hint="eastAsia"/>
                <w:color w:val="000000" w:themeColor="text1"/>
                <w:szCs w:val="24"/>
                <w:lang w:val="en-US" w:eastAsia="zh-CN"/>
                <w14:textFill>
                  <w14:solidFill>
                    <w14:schemeClr w14:val="tx1"/>
                  </w14:solidFill>
                </w14:textFill>
              </w:rPr>
              <w:t>4</w:t>
            </w:r>
            <w:r>
              <w:rPr>
                <w:color w:val="000000" w:themeColor="text1"/>
                <w:szCs w:val="24"/>
                <w14:textFill>
                  <w14:solidFill>
                    <w14:schemeClr w14:val="tx1"/>
                  </w14:solidFill>
                </w14:textFill>
              </w:rPr>
              <w:t>。</w:t>
            </w:r>
          </w:p>
          <w:p w14:paraId="515CECDA">
            <w:pPr>
              <w:pStyle w:val="53"/>
              <w:spacing w:after="0" w:afterLines="0" w:line="240" w:lineRule="auto"/>
              <w:ind w:firstLine="482"/>
              <w:rPr>
                <w:rFonts w:eastAsia="宋体"/>
                <w:b/>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表2-</w:t>
            </w:r>
            <w:r>
              <w:rPr>
                <w:rFonts w:hint="eastAsia" w:eastAsia="宋体"/>
                <w:b/>
                <w:bCs/>
                <w:color w:val="000000" w:themeColor="text1"/>
                <w:szCs w:val="24"/>
                <w:lang w:val="en-US" w:eastAsia="zh-CN"/>
                <w14:textFill>
                  <w14:solidFill>
                    <w14:schemeClr w14:val="tx1"/>
                  </w14:solidFill>
                </w14:textFill>
              </w:rPr>
              <w:t>4</w:t>
            </w:r>
            <w:r>
              <w:rPr>
                <w:rFonts w:eastAsia="宋体"/>
                <w:b/>
                <w:bCs/>
                <w:color w:val="000000" w:themeColor="text1"/>
                <w:szCs w:val="24"/>
                <w14:textFill>
                  <w14:solidFill>
                    <w14:schemeClr w14:val="tx1"/>
                  </w14:solidFill>
                </w14:textFill>
              </w:rPr>
              <w:t xml:space="preserve">  产品方案一览表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76"/>
              <w:gridCol w:w="2102"/>
              <w:gridCol w:w="2960"/>
              <w:gridCol w:w="1445"/>
            </w:tblGrid>
            <w:tr w14:paraId="47E1B9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10" w:type="pct"/>
                  <w:tcBorders>
                    <w:right w:val="single" w:color="auto" w:sz="4" w:space="0"/>
                  </w:tcBorders>
                  <w:vAlign w:val="center"/>
                </w:tcPr>
                <w:p w14:paraId="74F7447A">
                  <w:pPr>
                    <w:pStyle w:val="5"/>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序号</w:t>
                  </w:r>
                </w:p>
              </w:tc>
              <w:tc>
                <w:tcPr>
                  <w:tcW w:w="1385" w:type="pct"/>
                  <w:tcBorders>
                    <w:left w:val="single" w:color="auto" w:sz="4" w:space="0"/>
                  </w:tcBorders>
                  <w:vAlign w:val="center"/>
                </w:tcPr>
                <w:p w14:paraId="4D0B01FE">
                  <w:pPr>
                    <w:pStyle w:val="5"/>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产品名称</w:t>
                  </w:r>
                </w:p>
              </w:tc>
              <w:tc>
                <w:tcPr>
                  <w:tcW w:w="1951" w:type="pct"/>
                  <w:vAlign w:val="center"/>
                </w:tcPr>
                <w:p w14:paraId="3A5848E9">
                  <w:pPr>
                    <w:pStyle w:val="5"/>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项目年产量（万吨</w:t>
                  </w:r>
                  <w:r>
                    <w:rPr>
                      <w:b/>
                      <w:bCs/>
                      <w:color w:val="000000" w:themeColor="text1"/>
                      <w:sz w:val="21"/>
                      <w:szCs w:val="21"/>
                      <w:lang w:val="en-GB"/>
                      <w14:textFill>
                        <w14:solidFill>
                          <w14:schemeClr w14:val="tx1"/>
                        </w14:solidFill>
                      </w14:textFill>
                    </w:rPr>
                    <w:t>/a</w:t>
                  </w:r>
                  <w:r>
                    <w:rPr>
                      <w:b/>
                      <w:bCs/>
                      <w:color w:val="000000" w:themeColor="text1"/>
                      <w:sz w:val="21"/>
                      <w:szCs w:val="21"/>
                      <w14:textFill>
                        <w14:solidFill>
                          <w14:schemeClr w14:val="tx1"/>
                        </w14:solidFill>
                      </w14:textFill>
                    </w:rPr>
                    <w:t>）</w:t>
                  </w:r>
                </w:p>
              </w:tc>
              <w:tc>
                <w:tcPr>
                  <w:tcW w:w="952" w:type="pct"/>
                  <w:vAlign w:val="center"/>
                </w:tcPr>
                <w:p w14:paraId="67F1F21A">
                  <w:pPr>
                    <w:pStyle w:val="5"/>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备注</w:t>
                  </w:r>
                </w:p>
              </w:tc>
            </w:tr>
            <w:tr w14:paraId="1E182B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10" w:type="pct"/>
                  <w:tcBorders>
                    <w:right w:val="single" w:color="auto" w:sz="4" w:space="0"/>
                  </w:tcBorders>
                  <w:vAlign w:val="center"/>
                </w:tcPr>
                <w:p w14:paraId="3983CC09">
                  <w:pPr>
                    <w:pStyle w:val="5"/>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385" w:type="pct"/>
                  <w:tcBorders>
                    <w:left w:val="single" w:color="auto" w:sz="4" w:space="0"/>
                  </w:tcBorders>
                  <w:vAlign w:val="center"/>
                </w:tcPr>
                <w:p w14:paraId="1037393C">
                  <w:pPr>
                    <w:pStyle w:val="5"/>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石英矿</w:t>
                  </w:r>
                </w:p>
              </w:tc>
              <w:tc>
                <w:tcPr>
                  <w:tcW w:w="1951" w:type="pct"/>
                  <w:vAlign w:val="center"/>
                </w:tcPr>
                <w:p w14:paraId="319B5C9C">
                  <w:pPr>
                    <w:pStyle w:val="5"/>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w:t>
                  </w:r>
                </w:p>
              </w:tc>
              <w:tc>
                <w:tcPr>
                  <w:tcW w:w="952" w:type="pct"/>
                  <w:tcBorders>
                    <w:left w:val="single" w:color="auto" w:sz="4" w:space="0"/>
                  </w:tcBorders>
                  <w:vAlign w:val="center"/>
                </w:tcPr>
                <w:p w14:paraId="303C8DC9">
                  <w:pPr>
                    <w:pStyle w:val="5"/>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bl>
          <w:p w14:paraId="205A80D0">
            <w:pPr>
              <w:adjustRightInd w:val="0"/>
              <w:snapToGrid w:val="0"/>
              <w:spacing w:before="120" w:beforeLines="50"/>
              <w:ind w:firstLine="482"/>
              <w:rPr>
                <w:b/>
                <w:color w:val="000000" w:themeColor="text1"/>
                <w:kern w:val="0"/>
                <w14:textFill>
                  <w14:solidFill>
                    <w14:schemeClr w14:val="tx1"/>
                  </w14:solidFill>
                </w14:textFill>
              </w:rPr>
            </w:pPr>
            <w:r>
              <w:rPr>
                <w:b/>
                <w:color w:val="000000" w:themeColor="text1"/>
                <w:kern w:val="0"/>
                <w14:textFill>
                  <w14:solidFill>
                    <w14:schemeClr w14:val="tx1"/>
                  </w14:solidFill>
                </w14:textFill>
              </w:rPr>
              <w:t>5、主要原辅材料</w:t>
            </w:r>
          </w:p>
          <w:p w14:paraId="4B0C713F">
            <w:pPr>
              <w:adjustRightInd w:val="0"/>
              <w:snapToGrid w:val="0"/>
              <w:ind w:firstLine="480"/>
              <w:rPr>
                <w:b/>
                <w:bCs/>
                <w:color w:val="000000" w:themeColor="text1"/>
                <w14:textFill>
                  <w14:solidFill>
                    <w14:schemeClr w14:val="tx1"/>
                  </w14:solidFill>
                </w14:textFill>
              </w:rPr>
            </w:pPr>
            <w:r>
              <w:rPr>
                <w:bCs/>
                <w:color w:val="000000" w:themeColor="text1"/>
                <w14:textFill>
                  <w14:solidFill>
                    <w14:schemeClr w14:val="tx1"/>
                  </w14:solidFill>
                </w14:textFill>
              </w:rPr>
              <w:t>项目矿山爆破委托专业的民爆公司，爆破过程原辅材料用量如下表所示，矿区不设爆破材料库，爆破物料不进行暂存。</w:t>
            </w:r>
          </w:p>
          <w:p w14:paraId="376154E1">
            <w:pPr>
              <w:spacing w:line="240" w:lineRule="auto"/>
              <w:ind w:firstLine="482"/>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表2-</w:t>
            </w:r>
            <w:r>
              <w:rPr>
                <w:rFonts w:hint="eastAsia"/>
                <w:b/>
                <w:bCs/>
                <w:color w:val="000000" w:themeColor="text1"/>
                <w:lang w:val="en-US" w:eastAsia="zh-CN"/>
                <w14:textFill>
                  <w14:solidFill>
                    <w14:schemeClr w14:val="tx1"/>
                  </w14:solidFill>
                </w14:textFill>
              </w:rPr>
              <w:t>5</w:t>
            </w:r>
            <w:r>
              <w:rPr>
                <w:b/>
                <w:bCs/>
                <w:color w:val="000000" w:themeColor="text1"/>
                <w14:textFill>
                  <w14:solidFill>
                    <w14:schemeClr w14:val="tx1"/>
                  </w14:solidFill>
                </w14:textFill>
              </w:rPr>
              <w:t xml:space="preserve">  主要原辅材料消耗量一览表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603"/>
              <w:gridCol w:w="1381"/>
              <w:gridCol w:w="1123"/>
              <w:gridCol w:w="1205"/>
              <w:gridCol w:w="3271"/>
            </w:tblGrid>
            <w:tr w14:paraId="32293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398" w:type="pct"/>
                  <w:tcBorders>
                    <w:tl2br w:val="nil"/>
                    <w:tr2bl w:val="nil"/>
                  </w:tcBorders>
                  <w:shd w:val="clear" w:color="auto" w:fill="FFFFFF" w:themeFill="background1"/>
                  <w:vAlign w:val="center"/>
                </w:tcPr>
                <w:p w14:paraId="2C021128">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序号</w:t>
                  </w:r>
                </w:p>
              </w:tc>
              <w:tc>
                <w:tcPr>
                  <w:tcW w:w="910" w:type="pct"/>
                  <w:tcBorders>
                    <w:tl2br w:val="nil"/>
                    <w:tr2bl w:val="nil"/>
                  </w:tcBorders>
                  <w:shd w:val="clear" w:color="auto" w:fill="FFFFFF" w:themeFill="background1"/>
                  <w:vAlign w:val="center"/>
                </w:tcPr>
                <w:p w14:paraId="66590811">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名称</w:t>
                  </w:r>
                </w:p>
              </w:tc>
              <w:tc>
                <w:tcPr>
                  <w:tcW w:w="740" w:type="pct"/>
                  <w:tcBorders>
                    <w:tl2br w:val="nil"/>
                    <w:tr2bl w:val="nil"/>
                  </w:tcBorders>
                  <w:shd w:val="clear" w:color="auto" w:fill="FFFFFF" w:themeFill="background1"/>
                  <w:vAlign w:val="center"/>
                </w:tcPr>
                <w:p w14:paraId="00975A88">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单位</w:t>
                  </w:r>
                </w:p>
              </w:tc>
              <w:tc>
                <w:tcPr>
                  <w:tcW w:w="794" w:type="pct"/>
                  <w:tcBorders>
                    <w:tl2br w:val="nil"/>
                    <w:tr2bl w:val="nil"/>
                  </w:tcBorders>
                  <w:shd w:val="clear" w:color="auto" w:fill="FFFFFF" w:themeFill="background1"/>
                  <w:vAlign w:val="center"/>
                </w:tcPr>
                <w:p w14:paraId="4978CB87">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用量</w:t>
                  </w:r>
                </w:p>
              </w:tc>
              <w:tc>
                <w:tcPr>
                  <w:tcW w:w="2155" w:type="pct"/>
                  <w:tcBorders>
                    <w:tl2br w:val="nil"/>
                    <w:tr2bl w:val="nil"/>
                  </w:tcBorders>
                  <w:shd w:val="clear" w:color="auto" w:fill="FFFFFF" w:themeFill="background1"/>
                  <w:vAlign w:val="center"/>
                </w:tcPr>
                <w:p w14:paraId="3A24D5C2">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备注</w:t>
                  </w:r>
                </w:p>
              </w:tc>
            </w:tr>
            <w:tr w14:paraId="09DF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tcBorders>
                    <w:tl2br w:val="nil"/>
                    <w:tr2bl w:val="nil"/>
                  </w:tcBorders>
                  <w:shd w:val="clear" w:color="auto" w:fill="FFFFFF" w:themeFill="background1"/>
                  <w:vAlign w:val="center"/>
                </w:tcPr>
                <w:p w14:paraId="7362E6C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910" w:type="pct"/>
                  <w:tcBorders>
                    <w:tl2br w:val="nil"/>
                    <w:tr2bl w:val="nil"/>
                  </w:tcBorders>
                  <w:shd w:val="clear" w:color="auto" w:fill="FFFFFF" w:themeFill="background1"/>
                  <w:vAlign w:val="center"/>
                </w:tcPr>
                <w:p w14:paraId="343D0D5B">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乳化炸药</w:t>
                  </w:r>
                </w:p>
              </w:tc>
              <w:tc>
                <w:tcPr>
                  <w:tcW w:w="740" w:type="pct"/>
                  <w:tcBorders>
                    <w:tl2br w:val="nil"/>
                    <w:tr2bl w:val="nil"/>
                  </w:tcBorders>
                  <w:shd w:val="clear" w:color="auto" w:fill="FFFFFF" w:themeFill="background1"/>
                  <w:vAlign w:val="center"/>
                </w:tcPr>
                <w:p w14:paraId="25362F9B">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t/a</w:t>
                  </w:r>
                </w:p>
              </w:tc>
              <w:tc>
                <w:tcPr>
                  <w:tcW w:w="794" w:type="pct"/>
                  <w:tcBorders>
                    <w:tl2br w:val="nil"/>
                    <w:tr2bl w:val="nil"/>
                  </w:tcBorders>
                  <w:shd w:val="clear" w:color="auto" w:fill="FFFFFF" w:themeFill="background1"/>
                  <w:vAlign w:val="center"/>
                </w:tcPr>
                <w:p w14:paraId="2ACD151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120</w:t>
                  </w:r>
                </w:p>
              </w:tc>
              <w:tc>
                <w:tcPr>
                  <w:tcW w:w="2155" w:type="pct"/>
                  <w:vMerge w:val="restart"/>
                  <w:tcBorders>
                    <w:tl2br w:val="nil"/>
                    <w:tr2bl w:val="nil"/>
                  </w:tcBorders>
                  <w:shd w:val="clear" w:color="auto" w:fill="FFFFFF" w:themeFill="background1"/>
                  <w:vAlign w:val="center"/>
                </w:tcPr>
                <w:p w14:paraId="18AEEDA6">
                  <w:pPr>
                    <w:spacing w:line="240" w:lineRule="auto"/>
                    <w:ind w:firstLine="0" w:firstLineChars="0"/>
                    <w:jc w:val="left"/>
                    <w:rPr>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本项目矿山爆破委托专业的民爆公司，矿区不设爆破材料库，爆破物料不进行暂存</w:t>
                  </w:r>
                </w:p>
              </w:tc>
            </w:tr>
            <w:tr w14:paraId="38DA1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98" w:type="pct"/>
                  <w:tcBorders>
                    <w:tl2br w:val="nil"/>
                    <w:tr2bl w:val="nil"/>
                  </w:tcBorders>
                  <w:shd w:val="clear" w:color="auto" w:fill="FFFFFF" w:themeFill="background1"/>
                  <w:vAlign w:val="center"/>
                </w:tcPr>
                <w:p w14:paraId="643F2E7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910" w:type="pct"/>
                  <w:tcBorders>
                    <w:tl2br w:val="nil"/>
                    <w:tr2bl w:val="nil"/>
                  </w:tcBorders>
                  <w:shd w:val="clear" w:color="auto" w:fill="FFFFFF" w:themeFill="background1"/>
                  <w:vAlign w:val="center"/>
                </w:tcPr>
                <w:p w14:paraId="66E6CECB">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电雷管</w:t>
                  </w:r>
                </w:p>
              </w:tc>
              <w:tc>
                <w:tcPr>
                  <w:tcW w:w="740" w:type="pct"/>
                  <w:tcBorders>
                    <w:tl2br w:val="nil"/>
                    <w:tr2bl w:val="nil"/>
                  </w:tcBorders>
                  <w:shd w:val="clear" w:color="auto" w:fill="FFFFFF" w:themeFill="background1"/>
                  <w:vAlign w:val="center"/>
                </w:tcPr>
                <w:p w14:paraId="3F981EB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发/a</w:t>
                  </w:r>
                </w:p>
              </w:tc>
              <w:tc>
                <w:tcPr>
                  <w:tcW w:w="794" w:type="pct"/>
                  <w:tcBorders>
                    <w:tl2br w:val="nil"/>
                    <w:tr2bl w:val="nil"/>
                  </w:tcBorders>
                  <w:shd w:val="clear" w:color="auto" w:fill="FFFFFF" w:themeFill="background1"/>
                  <w:vAlign w:val="center"/>
                </w:tcPr>
                <w:p w14:paraId="49DFD5BB">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3200</w:t>
                  </w:r>
                </w:p>
              </w:tc>
              <w:tc>
                <w:tcPr>
                  <w:tcW w:w="2155" w:type="pct"/>
                  <w:vMerge w:val="continue"/>
                  <w:tcBorders>
                    <w:tl2br w:val="nil"/>
                    <w:tr2bl w:val="nil"/>
                  </w:tcBorders>
                  <w:shd w:val="clear" w:color="auto" w:fill="FFFFFF" w:themeFill="background1"/>
                  <w:vAlign w:val="center"/>
                </w:tcPr>
                <w:p w14:paraId="2B17530F">
                  <w:pPr>
                    <w:spacing w:line="240" w:lineRule="auto"/>
                    <w:ind w:firstLine="0" w:firstLineChars="0"/>
                    <w:jc w:val="left"/>
                    <w:rPr>
                      <w:color w:val="000000" w:themeColor="text1"/>
                      <w:sz w:val="21"/>
                      <w:szCs w:val="21"/>
                      <w14:textFill>
                        <w14:solidFill>
                          <w14:schemeClr w14:val="tx1"/>
                        </w14:solidFill>
                      </w14:textFill>
                    </w:rPr>
                  </w:pPr>
                </w:p>
              </w:tc>
            </w:tr>
            <w:tr w14:paraId="33C66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tcBorders>
                    <w:tl2br w:val="nil"/>
                    <w:tr2bl w:val="nil"/>
                  </w:tcBorders>
                  <w:shd w:val="clear" w:color="auto" w:fill="FFFFFF" w:themeFill="background1"/>
                  <w:vAlign w:val="center"/>
                </w:tcPr>
                <w:p w14:paraId="22BF83A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910" w:type="pct"/>
                  <w:tcBorders>
                    <w:tl2br w:val="nil"/>
                    <w:tr2bl w:val="nil"/>
                  </w:tcBorders>
                  <w:shd w:val="clear" w:color="auto" w:fill="FFFFFF" w:themeFill="background1"/>
                  <w:vAlign w:val="center"/>
                </w:tcPr>
                <w:p w14:paraId="282AA0F2">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导爆管</w:t>
                  </w:r>
                </w:p>
              </w:tc>
              <w:tc>
                <w:tcPr>
                  <w:tcW w:w="740" w:type="pct"/>
                  <w:tcBorders>
                    <w:tl2br w:val="nil"/>
                    <w:tr2bl w:val="nil"/>
                  </w:tcBorders>
                  <w:shd w:val="clear" w:color="auto" w:fill="FFFFFF" w:themeFill="background1"/>
                  <w:vAlign w:val="center"/>
                </w:tcPr>
                <w:p w14:paraId="066D206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m/a</w:t>
                  </w:r>
                </w:p>
              </w:tc>
              <w:tc>
                <w:tcPr>
                  <w:tcW w:w="794" w:type="pct"/>
                  <w:tcBorders>
                    <w:tl2br w:val="nil"/>
                    <w:tr2bl w:val="nil"/>
                  </w:tcBorders>
                  <w:shd w:val="clear" w:color="auto" w:fill="FFFFFF" w:themeFill="background1"/>
                  <w:vAlign w:val="center"/>
                </w:tcPr>
                <w:p w14:paraId="2380197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22000</w:t>
                  </w:r>
                </w:p>
              </w:tc>
              <w:tc>
                <w:tcPr>
                  <w:tcW w:w="2155" w:type="pct"/>
                  <w:vMerge w:val="continue"/>
                  <w:tcBorders>
                    <w:tl2br w:val="nil"/>
                    <w:tr2bl w:val="nil"/>
                  </w:tcBorders>
                  <w:shd w:val="clear" w:color="auto" w:fill="FFFFFF" w:themeFill="background1"/>
                  <w:vAlign w:val="center"/>
                </w:tcPr>
                <w:p w14:paraId="045E6146">
                  <w:pPr>
                    <w:spacing w:line="240" w:lineRule="auto"/>
                    <w:ind w:firstLine="0" w:firstLineChars="0"/>
                    <w:jc w:val="left"/>
                    <w:rPr>
                      <w:color w:val="000000" w:themeColor="text1"/>
                      <w:sz w:val="21"/>
                      <w:szCs w:val="21"/>
                      <w14:textFill>
                        <w14:solidFill>
                          <w14:schemeClr w14:val="tx1"/>
                        </w14:solidFill>
                      </w14:textFill>
                    </w:rPr>
                  </w:pPr>
                </w:p>
              </w:tc>
            </w:tr>
            <w:tr w14:paraId="3699F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tcBorders>
                    <w:tl2br w:val="nil"/>
                    <w:tr2bl w:val="nil"/>
                  </w:tcBorders>
                  <w:shd w:val="clear" w:color="auto" w:fill="FFFFFF" w:themeFill="background1"/>
                  <w:vAlign w:val="center"/>
                </w:tcPr>
                <w:p w14:paraId="5DB2979E">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910" w:type="pct"/>
                  <w:tcBorders>
                    <w:tl2br w:val="nil"/>
                    <w:tr2bl w:val="nil"/>
                  </w:tcBorders>
                  <w:shd w:val="clear" w:color="auto" w:fill="FFFFFF" w:themeFill="background1"/>
                  <w:vAlign w:val="center"/>
                </w:tcPr>
                <w:p w14:paraId="276F695C">
                  <w:pPr>
                    <w:spacing w:line="240" w:lineRule="auto"/>
                    <w:ind w:firstLine="0" w:firstLineChars="0"/>
                    <w:jc w:val="center"/>
                    <w:rPr>
                      <w:sz w:val="21"/>
                      <w:szCs w:val="21"/>
                    </w:rPr>
                  </w:pPr>
                  <w:r>
                    <w:rPr>
                      <w:sz w:val="21"/>
                      <w:szCs w:val="21"/>
                    </w:rPr>
                    <w:t>柴油</w:t>
                  </w:r>
                </w:p>
              </w:tc>
              <w:tc>
                <w:tcPr>
                  <w:tcW w:w="740" w:type="pct"/>
                  <w:tcBorders>
                    <w:tl2br w:val="nil"/>
                    <w:tr2bl w:val="nil"/>
                  </w:tcBorders>
                  <w:shd w:val="clear" w:color="auto" w:fill="FFFFFF" w:themeFill="background1"/>
                  <w:vAlign w:val="center"/>
                </w:tcPr>
                <w:p w14:paraId="7829A38B">
                  <w:pPr>
                    <w:spacing w:line="240" w:lineRule="auto"/>
                    <w:ind w:firstLine="0" w:firstLineChars="0"/>
                    <w:jc w:val="center"/>
                    <w:rPr>
                      <w:sz w:val="21"/>
                      <w:szCs w:val="21"/>
                    </w:rPr>
                  </w:pPr>
                  <w:r>
                    <w:rPr>
                      <w:sz w:val="21"/>
                      <w:szCs w:val="21"/>
                    </w:rPr>
                    <w:t>t/a</w:t>
                  </w:r>
                </w:p>
              </w:tc>
              <w:tc>
                <w:tcPr>
                  <w:tcW w:w="794" w:type="pct"/>
                  <w:tcBorders>
                    <w:tl2br w:val="nil"/>
                    <w:tr2bl w:val="nil"/>
                  </w:tcBorders>
                  <w:shd w:val="clear" w:color="auto" w:fill="FFFFFF" w:themeFill="background1"/>
                  <w:vAlign w:val="center"/>
                </w:tcPr>
                <w:p w14:paraId="70740361">
                  <w:pPr>
                    <w:spacing w:line="240" w:lineRule="auto"/>
                    <w:ind w:firstLine="0" w:firstLineChars="0"/>
                    <w:jc w:val="center"/>
                    <w:rPr>
                      <w:sz w:val="21"/>
                      <w:szCs w:val="21"/>
                    </w:rPr>
                  </w:pPr>
                  <w:r>
                    <w:rPr>
                      <w:rFonts w:hint="eastAsia"/>
                      <w:sz w:val="21"/>
                      <w:szCs w:val="21"/>
                    </w:rPr>
                    <w:t>18</w:t>
                  </w:r>
                </w:p>
              </w:tc>
              <w:tc>
                <w:tcPr>
                  <w:tcW w:w="2155" w:type="pct"/>
                  <w:tcBorders>
                    <w:tl2br w:val="nil"/>
                    <w:tr2bl w:val="nil"/>
                  </w:tcBorders>
                  <w:shd w:val="clear" w:color="auto" w:fill="FFFFFF" w:themeFill="background1"/>
                  <w:vAlign w:val="center"/>
                </w:tcPr>
                <w:p w14:paraId="2DB2920E">
                  <w:pPr>
                    <w:spacing w:line="240" w:lineRule="auto"/>
                    <w:ind w:firstLine="0" w:firstLineChars="0"/>
                    <w:jc w:val="center"/>
                    <w:rPr>
                      <w:sz w:val="21"/>
                      <w:szCs w:val="21"/>
                    </w:rPr>
                  </w:pPr>
                  <w:r>
                    <w:rPr>
                      <w:sz w:val="21"/>
                      <w:szCs w:val="21"/>
                    </w:rPr>
                    <w:t>不设置油库，随用随送</w:t>
                  </w:r>
                </w:p>
              </w:tc>
            </w:tr>
            <w:tr w14:paraId="39ED4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tcBorders>
                    <w:tl2br w:val="nil"/>
                    <w:tr2bl w:val="nil"/>
                  </w:tcBorders>
                  <w:shd w:val="clear" w:color="auto" w:fill="FFFFFF" w:themeFill="background1"/>
                  <w:vAlign w:val="center"/>
                </w:tcPr>
                <w:p w14:paraId="4C0A6776">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c>
                <w:tcPr>
                  <w:tcW w:w="910" w:type="pct"/>
                  <w:tcBorders>
                    <w:tl2br w:val="nil"/>
                    <w:tr2bl w:val="nil"/>
                  </w:tcBorders>
                  <w:shd w:val="clear" w:color="auto" w:fill="FFFFFF" w:themeFill="background1"/>
                  <w:vAlign w:val="center"/>
                </w:tcPr>
                <w:p w14:paraId="462FE8C4">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机油</w:t>
                  </w:r>
                </w:p>
              </w:tc>
              <w:tc>
                <w:tcPr>
                  <w:tcW w:w="740" w:type="pct"/>
                  <w:tcBorders>
                    <w:tl2br w:val="nil"/>
                    <w:tr2bl w:val="nil"/>
                  </w:tcBorders>
                  <w:shd w:val="clear" w:color="auto" w:fill="FFFFFF" w:themeFill="background1"/>
                  <w:vAlign w:val="center"/>
                </w:tcPr>
                <w:p w14:paraId="37018B4F">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t/a</w:t>
                  </w:r>
                </w:p>
              </w:tc>
              <w:tc>
                <w:tcPr>
                  <w:tcW w:w="794" w:type="pct"/>
                  <w:tcBorders>
                    <w:tl2br w:val="nil"/>
                    <w:tr2bl w:val="nil"/>
                  </w:tcBorders>
                  <w:shd w:val="clear" w:color="auto" w:fill="FFFFFF" w:themeFill="background1"/>
                  <w:vAlign w:val="center"/>
                </w:tcPr>
                <w:p w14:paraId="514A22F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2.6</w:t>
                  </w:r>
                </w:p>
              </w:tc>
              <w:tc>
                <w:tcPr>
                  <w:tcW w:w="2155" w:type="pct"/>
                  <w:tcBorders>
                    <w:tl2br w:val="nil"/>
                    <w:tr2bl w:val="nil"/>
                  </w:tcBorders>
                  <w:shd w:val="clear" w:color="auto" w:fill="FFFFFF" w:themeFill="background1"/>
                  <w:vAlign w:val="center"/>
                </w:tcPr>
                <w:p w14:paraId="242BA88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外购，汽运</w:t>
                  </w:r>
                </w:p>
              </w:tc>
            </w:tr>
            <w:tr w14:paraId="65D5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tcBorders>
                    <w:tl2br w:val="nil"/>
                    <w:tr2bl w:val="nil"/>
                  </w:tcBorders>
                  <w:shd w:val="clear" w:color="auto" w:fill="FFFFFF" w:themeFill="background1"/>
                  <w:vAlign w:val="center"/>
                </w:tcPr>
                <w:p w14:paraId="5E6D573B">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p>
              </w:tc>
              <w:tc>
                <w:tcPr>
                  <w:tcW w:w="910" w:type="pct"/>
                  <w:tcBorders>
                    <w:tl2br w:val="nil"/>
                    <w:tr2bl w:val="nil"/>
                  </w:tcBorders>
                  <w:shd w:val="clear" w:color="auto" w:fill="FFFFFF" w:themeFill="background1"/>
                  <w:vAlign w:val="center"/>
                </w:tcPr>
                <w:p w14:paraId="23B84E5F">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润滑油</w:t>
                  </w:r>
                </w:p>
              </w:tc>
              <w:tc>
                <w:tcPr>
                  <w:tcW w:w="740" w:type="pct"/>
                  <w:tcBorders>
                    <w:tl2br w:val="nil"/>
                    <w:tr2bl w:val="nil"/>
                  </w:tcBorders>
                  <w:shd w:val="clear" w:color="auto" w:fill="FFFFFF" w:themeFill="background1"/>
                  <w:vAlign w:val="center"/>
                </w:tcPr>
                <w:p w14:paraId="70A3677A">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t/a</w:t>
                  </w:r>
                </w:p>
              </w:tc>
              <w:tc>
                <w:tcPr>
                  <w:tcW w:w="794" w:type="pct"/>
                  <w:tcBorders>
                    <w:tl2br w:val="nil"/>
                    <w:tr2bl w:val="nil"/>
                  </w:tcBorders>
                  <w:shd w:val="clear" w:color="auto" w:fill="FFFFFF" w:themeFill="background1"/>
                  <w:vAlign w:val="center"/>
                </w:tcPr>
                <w:p w14:paraId="47C5B2C6">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2.8</w:t>
                  </w:r>
                </w:p>
              </w:tc>
              <w:tc>
                <w:tcPr>
                  <w:tcW w:w="2155" w:type="pct"/>
                  <w:tcBorders>
                    <w:tl2br w:val="nil"/>
                    <w:tr2bl w:val="nil"/>
                  </w:tcBorders>
                  <w:shd w:val="clear" w:color="auto" w:fill="FFFFFF" w:themeFill="background1"/>
                  <w:vAlign w:val="center"/>
                </w:tcPr>
                <w:p w14:paraId="06682EB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外购，汽运</w:t>
                  </w:r>
                </w:p>
              </w:tc>
            </w:tr>
            <w:tr w14:paraId="5BDE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tcBorders>
                    <w:tl2br w:val="nil"/>
                    <w:tr2bl w:val="nil"/>
                  </w:tcBorders>
                  <w:shd w:val="clear" w:color="auto" w:fill="FFFFFF" w:themeFill="background1"/>
                  <w:vAlign w:val="center"/>
                </w:tcPr>
                <w:p w14:paraId="3E07B515">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w:t>
                  </w:r>
                </w:p>
              </w:tc>
              <w:tc>
                <w:tcPr>
                  <w:tcW w:w="910" w:type="pct"/>
                  <w:tcBorders>
                    <w:tl2br w:val="nil"/>
                    <w:tr2bl w:val="nil"/>
                  </w:tcBorders>
                  <w:shd w:val="clear" w:color="auto" w:fill="FFFFFF" w:themeFill="background1"/>
                  <w:vAlign w:val="center"/>
                </w:tcPr>
                <w:p w14:paraId="48BAAF9C">
                  <w:pPr>
                    <w:spacing w:line="240" w:lineRule="auto"/>
                    <w:ind w:firstLine="0" w:firstLineChars="0"/>
                    <w:jc w:val="center"/>
                    <w:rPr>
                      <w:sz w:val="21"/>
                      <w:szCs w:val="21"/>
                    </w:rPr>
                  </w:pPr>
                  <w:r>
                    <w:rPr>
                      <w:sz w:val="21"/>
                      <w:szCs w:val="21"/>
                    </w:rPr>
                    <w:t>水</w:t>
                  </w:r>
                </w:p>
              </w:tc>
              <w:tc>
                <w:tcPr>
                  <w:tcW w:w="740" w:type="pct"/>
                  <w:tcBorders>
                    <w:tl2br w:val="nil"/>
                    <w:tr2bl w:val="nil"/>
                  </w:tcBorders>
                  <w:shd w:val="clear" w:color="auto" w:fill="FFFFFF" w:themeFill="background1"/>
                  <w:vAlign w:val="center"/>
                </w:tcPr>
                <w:p w14:paraId="3CEFCA5D">
                  <w:pPr>
                    <w:spacing w:line="240" w:lineRule="auto"/>
                    <w:ind w:firstLine="0" w:firstLineChars="0"/>
                    <w:jc w:val="center"/>
                    <w:rPr>
                      <w:sz w:val="21"/>
                      <w:szCs w:val="21"/>
                    </w:rPr>
                  </w:pPr>
                  <w:r>
                    <w:rPr>
                      <w:sz w:val="21"/>
                      <w:szCs w:val="21"/>
                    </w:rPr>
                    <w:t>m</w:t>
                  </w:r>
                  <w:r>
                    <w:rPr>
                      <w:sz w:val="21"/>
                      <w:szCs w:val="21"/>
                      <w:vertAlign w:val="superscript"/>
                    </w:rPr>
                    <w:t>3</w:t>
                  </w:r>
                  <w:r>
                    <w:rPr>
                      <w:sz w:val="21"/>
                      <w:szCs w:val="21"/>
                    </w:rPr>
                    <w:t>/a</w:t>
                  </w:r>
                </w:p>
              </w:tc>
              <w:tc>
                <w:tcPr>
                  <w:tcW w:w="794" w:type="pct"/>
                  <w:tcBorders>
                    <w:tl2br w:val="nil"/>
                    <w:tr2bl w:val="nil"/>
                  </w:tcBorders>
                  <w:shd w:val="clear" w:color="auto" w:fill="FFFFFF" w:themeFill="background1"/>
                  <w:vAlign w:val="center"/>
                </w:tcPr>
                <w:p w14:paraId="563331B1">
                  <w:pPr>
                    <w:spacing w:line="240" w:lineRule="auto"/>
                    <w:ind w:firstLine="0" w:firstLineChars="0"/>
                    <w:jc w:val="center"/>
                    <w:rPr>
                      <w:sz w:val="21"/>
                      <w:szCs w:val="21"/>
                    </w:rPr>
                  </w:pPr>
                  <w:r>
                    <w:rPr>
                      <w:rFonts w:hint="eastAsia"/>
                      <w:sz w:val="21"/>
                      <w:szCs w:val="21"/>
                    </w:rPr>
                    <w:t>14610</w:t>
                  </w:r>
                </w:p>
              </w:tc>
              <w:tc>
                <w:tcPr>
                  <w:tcW w:w="2155" w:type="pct"/>
                  <w:tcBorders>
                    <w:tl2br w:val="nil"/>
                    <w:tr2bl w:val="nil"/>
                  </w:tcBorders>
                  <w:shd w:val="clear" w:color="auto" w:fill="FFFFFF" w:themeFill="background1"/>
                  <w:vAlign w:val="center"/>
                </w:tcPr>
                <w:p w14:paraId="05064053">
                  <w:pPr>
                    <w:spacing w:line="240" w:lineRule="auto"/>
                    <w:ind w:firstLine="0" w:firstLineChars="0"/>
                    <w:jc w:val="center"/>
                    <w:rPr>
                      <w:sz w:val="21"/>
                      <w:szCs w:val="21"/>
                    </w:rPr>
                  </w:pPr>
                  <w:r>
                    <w:rPr>
                      <w:sz w:val="21"/>
                      <w:szCs w:val="21"/>
                    </w:rPr>
                    <w:t>/</w:t>
                  </w:r>
                </w:p>
              </w:tc>
            </w:tr>
            <w:tr w14:paraId="7F563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tcBorders>
                    <w:tl2br w:val="nil"/>
                    <w:tr2bl w:val="nil"/>
                  </w:tcBorders>
                  <w:shd w:val="clear" w:color="auto" w:fill="FFFFFF" w:themeFill="background1"/>
                  <w:vAlign w:val="center"/>
                </w:tcPr>
                <w:p w14:paraId="7F477625">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p>
              </w:tc>
              <w:tc>
                <w:tcPr>
                  <w:tcW w:w="910" w:type="pct"/>
                  <w:tcBorders>
                    <w:tl2br w:val="nil"/>
                    <w:tr2bl w:val="nil"/>
                  </w:tcBorders>
                  <w:shd w:val="clear" w:color="auto" w:fill="FFFFFF" w:themeFill="background1"/>
                  <w:vAlign w:val="center"/>
                </w:tcPr>
                <w:p w14:paraId="738C7135">
                  <w:pPr>
                    <w:spacing w:line="240" w:lineRule="auto"/>
                    <w:ind w:firstLine="0" w:firstLineChars="0"/>
                    <w:jc w:val="center"/>
                    <w:rPr>
                      <w:sz w:val="21"/>
                      <w:szCs w:val="21"/>
                    </w:rPr>
                  </w:pPr>
                  <w:r>
                    <w:rPr>
                      <w:sz w:val="21"/>
                      <w:szCs w:val="21"/>
                    </w:rPr>
                    <w:t>电</w:t>
                  </w:r>
                </w:p>
              </w:tc>
              <w:tc>
                <w:tcPr>
                  <w:tcW w:w="740" w:type="pct"/>
                  <w:tcBorders>
                    <w:tl2br w:val="nil"/>
                    <w:tr2bl w:val="nil"/>
                  </w:tcBorders>
                  <w:shd w:val="clear" w:color="auto" w:fill="FFFFFF" w:themeFill="background1"/>
                  <w:vAlign w:val="center"/>
                </w:tcPr>
                <w:p w14:paraId="6DE0038D">
                  <w:pPr>
                    <w:spacing w:line="240" w:lineRule="auto"/>
                    <w:ind w:firstLine="0" w:firstLineChars="0"/>
                    <w:jc w:val="center"/>
                    <w:rPr>
                      <w:sz w:val="21"/>
                      <w:szCs w:val="21"/>
                    </w:rPr>
                  </w:pPr>
                  <w:r>
                    <w:rPr>
                      <w:sz w:val="21"/>
                      <w:szCs w:val="21"/>
                    </w:rPr>
                    <w:t>×10</w:t>
                  </w:r>
                  <w:r>
                    <w:rPr>
                      <w:sz w:val="21"/>
                      <w:szCs w:val="21"/>
                      <w:vertAlign w:val="superscript"/>
                    </w:rPr>
                    <w:t>4</w:t>
                  </w:r>
                  <w:r>
                    <w:rPr>
                      <w:sz w:val="21"/>
                      <w:szCs w:val="21"/>
                    </w:rPr>
                    <w:t>kWh</w:t>
                  </w:r>
                </w:p>
              </w:tc>
              <w:tc>
                <w:tcPr>
                  <w:tcW w:w="794" w:type="pct"/>
                  <w:tcBorders>
                    <w:tl2br w:val="nil"/>
                    <w:tr2bl w:val="nil"/>
                  </w:tcBorders>
                  <w:shd w:val="clear" w:color="auto" w:fill="FFFFFF" w:themeFill="background1"/>
                  <w:vAlign w:val="center"/>
                </w:tcPr>
                <w:p w14:paraId="45F51775">
                  <w:pPr>
                    <w:spacing w:line="240" w:lineRule="auto"/>
                    <w:ind w:firstLine="0" w:firstLineChars="0"/>
                    <w:jc w:val="center"/>
                    <w:rPr>
                      <w:sz w:val="21"/>
                      <w:szCs w:val="21"/>
                    </w:rPr>
                  </w:pPr>
                  <w:r>
                    <w:rPr>
                      <w:rFonts w:hint="eastAsia"/>
                      <w:sz w:val="21"/>
                      <w:szCs w:val="21"/>
                    </w:rPr>
                    <w:t>6</w:t>
                  </w:r>
                </w:p>
              </w:tc>
              <w:tc>
                <w:tcPr>
                  <w:tcW w:w="2155" w:type="pct"/>
                  <w:tcBorders>
                    <w:tl2br w:val="nil"/>
                    <w:tr2bl w:val="nil"/>
                  </w:tcBorders>
                  <w:shd w:val="clear" w:color="auto" w:fill="FFFFFF" w:themeFill="background1"/>
                  <w:vAlign w:val="center"/>
                </w:tcPr>
                <w:p w14:paraId="6691B83F">
                  <w:pPr>
                    <w:spacing w:line="240" w:lineRule="auto"/>
                    <w:ind w:firstLine="0" w:firstLineChars="0"/>
                    <w:jc w:val="center"/>
                    <w:rPr>
                      <w:sz w:val="21"/>
                      <w:szCs w:val="21"/>
                    </w:rPr>
                  </w:pPr>
                  <w:r>
                    <w:rPr>
                      <w:rFonts w:hint="eastAsia"/>
                      <w:sz w:val="21"/>
                      <w:szCs w:val="21"/>
                    </w:rPr>
                    <w:t>/</w:t>
                  </w:r>
                </w:p>
              </w:tc>
            </w:tr>
          </w:tbl>
          <w:p w14:paraId="29000E67">
            <w:pPr>
              <w:adjustRightInd w:val="0"/>
              <w:snapToGrid w:val="0"/>
              <w:spacing w:before="120" w:beforeLines="50"/>
              <w:ind w:left="57" w:firstLine="42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6、主要设备</w:t>
            </w:r>
          </w:p>
          <w:p w14:paraId="0235609C">
            <w:pPr>
              <w:spacing w:line="240" w:lineRule="auto"/>
              <w:ind w:firstLine="482"/>
              <w:jc w:val="center"/>
              <w:rPr>
                <w:color w:val="000000" w:themeColor="text1"/>
                <w14:textFill>
                  <w14:solidFill>
                    <w14:schemeClr w14:val="tx1"/>
                  </w14:solidFill>
                </w14:textFill>
              </w:rPr>
            </w:pPr>
            <w:r>
              <w:rPr>
                <w:b/>
                <w:bCs/>
                <w:color w:val="000000" w:themeColor="text1"/>
                <w14:textFill>
                  <w14:solidFill>
                    <w14:schemeClr w14:val="tx1"/>
                  </w14:solidFill>
                </w14:textFill>
              </w:rPr>
              <w:t>表2-</w:t>
            </w:r>
            <w:r>
              <w:rPr>
                <w:rFonts w:hint="eastAsia"/>
                <w:b/>
                <w:bCs/>
                <w:color w:val="000000" w:themeColor="text1"/>
                <w:lang w:val="en-US" w:eastAsia="zh-CN"/>
                <w14:textFill>
                  <w14:solidFill>
                    <w14:schemeClr w14:val="tx1"/>
                  </w14:solidFill>
                </w14:textFill>
              </w:rPr>
              <w:t>6</w:t>
            </w:r>
            <w:r>
              <w:rPr>
                <w:b/>
                <w:bCs/>
                <w:color w:val="000000" w:themeColor="text1"/>
                <w14:textFill>
                  <w14:solidFill>
                    <w14:schemeClr w14:val="tx1"/>
                  </w14:solidFill>
                </w14:textFill>
              </w:rPr>
              <w:t xml:space="preserve">  主要设备一览表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786"/>
              <w:gridCol w:w="717"/>
              <w:gridCol w:w="1509"/>
              <w:gridCol w:w="3335"/>
              <w:gridCol w:w="1236"/>
            </w:tblGrid>
            <w:tr w14:paraId="71B2A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3" w:hRule="atLeast"/>
                <w:jc w:val="center"/>
              </w:trPr>
              <w:tc>
                <w:tcPr>
                  <w:tcW w:w="518"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4C7F652">
                  <w:pPr>
                    <w:pStyle w:val="54"/>
                    <w:spacing w:line="240" w:lineRule="auto"/>
                    <w:rPr>
                      <w:b/>
                      <w:bCs/>
                      <w:color w:val="000000" w:themeColor="text1"/>
                      <w14:textFill>
                        <w14:solidFill>
                          <w14:schemeClr w14:val="tx1"/>
                        </w14:solidFill>
                      </w14:textFill>
                    </w:rPr>
                  </w:pPr>
                  <w:r>
                    <w:rPr>
                      <w:b/>
                      <w:bCs/>
                      <w:color w:val="000000" w:themeColor="text1"/>
                      <w14:textFill>
                        <w14:solidFill>
                          <w14:schemeClr w14:val="tx1"/>
                        </w14:solidFill>
                      </w14:textFill>
                    </w:rPr>
                    <w:t>项目</w:t>
                  </w:r>
                </w:p>
              </w:tc>
              <w:tc>
                <w:tcPr>
                  <w:tcW w:w="47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64183BB">
                  <w:pPr>
                    <w:pStyle w:val="54"/>
                    <w:spacing w:line="240" w:lineRule="auto"/>
                    <w:rPr>
                      <w:b/>
                      <w:bCs/>
                      <w:color w:val="000000" w:themeColor="text1"/>
                      <w14:textFill>
                        <w14:solidFill>
                          <w14:schemeClr w14:val="tx1"/>
                        </w14:solidFill>
                      </w14:textFill>
                    </w:rPr>
                  </w:pPr>
                  <w:r>
                    <w:rPr>
                      <w:b/>
                      <w:bCs/>
                      <w:color w:val="000000" w:themeColor="text1"/>
                      <w14:textFill>
                        <w14:solidFill>
                          <w14:schemeClr w14:val="tx1"/>
                        </w14:solidFill>
                      </w14:textFill>
                    </w:rPr>
                    <w:t>序号</w:t>
                  </w:r>
                </w:p>
              </w:tc>
              <w:tc>
                <w:tcPr>
                  <w:tcW w:w="995" w:type="pct"/>
                  <w:tcBorders>
                    <w:top w:val="single" w:color="auto" w:sz="4" w:space="0"/>
                    <w:left w:val="nil"/>
                    <w:bottom w:val="single" w:color="auto" w:sz="4" w:space="0"/>
                    <w:right w:val="single" w:color="auto" w:sz="4" w:space="0"/>
                  </w:tcBorders>
                  <w:shd w:val="clear" w:color="auto" w:fill="FFFFFF" w:themeFill="background1"/>
                  <w:vAlign w:val="center"/>
                </w:tcPr>
                <w:p w14:paraId="6A67628A">
                  <w:pPr>
                    <w:pStyle w:val="54"/>
                    <w:spacing w:line="240" w:lineRule="auto"/>
                    <w:rPr>
                      <w:b/>
                      <w:bCs/>
                      <w:color w:val="000000" w:themeColor="text1"/>
                      <w14:textFill>
                        <w14:solidFill>
                          <w14:schemeClr w14:val="tx1"/>
                        </w14:solidFill>
                      </w14:textFill>
                    </w:rPr>
                  </w:pPr>
                  <w:r>
                    <w:rPr>
                      <w:b/>
                      <w:bCs/>
                      <w:color w:val="000000" w:themeColor="text1"/>
                      <w14:textFill>
                        <w14:solidFill>
                          <w14:schemeClr w14:val="tx1"/>
                        </w14:solidFill>
                      </w14:textFill>
                    </w:rPr>
                    <w:t>名称</w:t>
                  </w:r>
                </w:p>
              </w:tc>
              <w:tc>
                <w:tcPr>
                  <w:tcW w:w="2198" w:type="pct"/>
                  <w:tcBorders>
                    <w:top w:val="single" w:color="auto" w:sz="4" w:space="0"/>
                    <w:left w:val="nil"/>
                    <w:bottom w:val="single" w:color="auto" w:sz="4" w:space="0"/>
                    <w:right w:val="single" w:color="auto" w:sz="4" w:space="0"/>
                  </w:tcBorders>
                  <w:shd w:val="clear" w:color="auto" w:fill="FFFFFF" w:themeFill="background1"/>
                  <w:vAlign w:val="center"/>
                </w:tcPr>
                <w:p w14:paraId="1B3C3E86">
                  <w:pPr>
                    <w:pStyle w:val="54"/>
                    <w:spacing w:line="240" w:lineRule="auto"/>
                    <w:rPr>
                      <w:rFonts w:hint="eastAsia" w:eastAsia="宋体"/>
                      <w:b/>
                      <w:bCs/>
                      <w:color w:val="000000" w:themeColor="text1"/>
                      <w:lang w:eastAsia="zh-CN"/>
                      <w14:textFill>
                        <w14:solidFill>
                          <w14:schemeClr w14:val="tx1"/>
                        </w14:solidFill>
                      </w14:textFill>
                    </w:rPr>
                  </w:pPr>
                  <w:r>
                    <w:rPr>
                      <w:rFonts w:hint="eastAsia"/>
                      <w:b/>
                      <w:bCs/>
                      <w:color w:val="0000FF"/>
                      <w:lang w:eastAsia="zh-CN"/>
                    </w:rPr>
                    <w:t>设备参数</w:t>
                  </w:r>
                </w:p>
              </w:tc>
              <w:tc>
                <w:tcPr>
                  <w:tcW w:w="814" w:type="pct"/>
                  <w:tcBorders>
                    <w:top w:val="single" w:color="auto" w:sz="4" w:space="0"/>
                    <w:left w:val="nil"/>
                    <w:bottom w:val="single" w:color="auto" w:sz="4" w:space="0"/>
                    <w:right w:val="single" w:color="auto" w:sz="4" w:space="0"/>
                  </w:tcBorders>
                  <w:shd w:val="clear" w:color="auto" w:fill="FFFFFF" w:themeFill="background1"/>
                  <w:vAlign w:val="center"/>
                </w:tcPr>
                <w:p w14:paraId="71374DDA">
                  <w:pPr>
                    <w:pStyle w:val="54"/>
                    <w:spacing w:line="240" w:lineRule="auto"/>
                    <w:rPr>
                      <w:b/>
                      <w:bCs/>
                      <w:color w:val="000000" w:themeColor="text1"/>
                      <w14:textFill>
                        <w14:solidFill>
                          <w14:schemeClr w14:val="tx1"/>
                        </w14:solidFill>
                      </w14:textFill>
                    </w:rPr>
                  </w:pPr>
                  <w:r>
                    <w:rPr>
                      <w:b/>
                      <w:bCs/>
                      <w:color w:val="000000" w:themeColor="text1"/>
                      <w14:textFill>
                        <w14:solidFill>
                          <w14:schemeClr w14:val="tx1"/>
                        </w14:solidFill>
                      </w14:textFill>
                    </w:rPr>
                    <w:t>设备</w:t>
                  </w:r>
                </w:p>
              </w:tc>
            </w:tr>
            <w:tr w14:paraId="0D595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518" w:type="pct"/>
                  <w:vMerge w:val="restart"/>
                  <w:tcBorders>
                    <w:top w:val="nil"/>
                    <w:left w:val="single" w:color="auto" w:sz="4" w:space="0"/>
                    <w:right w:val="single" w:color="auto" w:sz="4" w:space="0"/>
                  </w:tcBorders>
                  <w:shd w:val="clear" w:color="auto" w:fill="FFFFFF" w:themeFill="background1"/>
                  <w:vAlign w:val="center"/>
                </w:tcPr>
                <w:p w14:paraId="6DB2CADD">
                  <w:pPr>
                    <w:pStyle w:val="5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采矿区</w:t>
                  </w:r>
                </w:p>
              </w:tc>
              <w:tc>
                <w:tcPr>
                  <w:tcW w:w="472" w:type="pct"/>
                  <w:tcBorders>
                    <w:top w:val="nil"/>
                    <w:left w:val="single" w:color="auto" w:sz="4" w:space="0"/>
                    <w:bottom w:val="single" w:color="auto" w:sz="4" w:space="0"/>
                    <w:right w:val="single" w:color="auto" w:sz="4" w:space="0"/>
                  </w:tcBorders>
                  <w:shd w:val="clear" w:color="auto" w:fill="FFFFFF" w:themeFill="background1"/>
                  <w:vAlign w:val="center"/>
                </w:tcPr>
                <w:p w14:paraId="7F1D8162">
                  <w:pPr>
                    <w:pStyle w:val="5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1</w:t>
                  </w:r>
                </w:p>
              </w:tc>
              <w:tc>
                <w:tcPr>
                  <w:tcW w:w="995" w:type="pct"/>
                  <w:tcBorders>
                    <w:top w:val="nil"/>
                    <w:left w:val="nil"/>
                    <w:bottom w:val="single" w:color="auto" w:sz="4" w:space="0"/>
                    <w:right w:val="single" w:color="auto" w:sz="4" w:space="0"/>
                  </w:tcBorders>
                  <w:shd w:val="clear" w:color="auto" w:fill="FFFFFF" w:themeFill="background1"/>
                  <w:vAlign w:val="center"/>
                </w:tcPr>
                <w:p w14:paraId="29F98B9B">
                  <w:pPr>
                    <w:pStyle w:val="5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潜孔钻机</w:t>
                  </w:r>
                </w:p>
              </w:tc>
              <w:tc>
                <w:tcPr>
                  <w:tcW w:w="2198" w:type="pct"/>
                  <w:tcBorders>
                    <w:top w:val="single" w:color="auto" w:sz="4" w:space="0"/>
                    <w:left w:val="nil"/>
                    <w:bottom w:val="single" w:color="auto" w:sz="4" w:space="0"/>
                    <w:right w:val="single" w:color="auto" w:sz="4" w:space="0"/>
                  </w:tcBorders>
                  <w:shd w:val="clear" w:color="auto" w:fill="FFFFFF" w:themeFill="background1"/>
                  <w:vAlign w:val="center"/>
                </w:tcPr>
                <w:p w14:paraId="656D8EA6">
                  <w:pPr>
                    <w:pStyle w:val="5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JK590BC-3AW型  孔径Φ105mm，自带捕尘装置</w:t>
                  </w:r>
                </w:p>
              </w:tc>
              <w:tc>
                <w:tcPr>
                  <w:tcW w:w="814" w:type="pct"/>
                  <w:tcBorders>
                    <w:top w:val="single" w:color="auto" w:sz="4" w:space="0"/>
                    <w:left w:val="nil"/>
                    <w:bottom w:val="single" w:color="auto" w:sz="4" w:space="0"/>
                    <w:right w:val="single" w:color="auto" w:sz="4" w:space="0"/>
                  </w:tcBorders>
                  <w:shd w:val="clear" w:color="auto" w:fill="FFFFFF" w:themeFill="background1"/>
                  <w:vAlign w:val="center"/>
                </w:tcPr>
                <w:p w14:paraId="3706723D">
                  <w:pPr>
                    <w:pStyle w:val="5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1台</w:t>
                  </w:r>
                </w:p>
              </w:tc>
            </w:tr>
            <w:tr w14:paraId="151C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518" w:type="pct"/>
                  <w:vMerge w:val="continue"/>
                  <w:tcBorders>
                    <w:left w:val="single" w:color="auto" w:sz="4" w:space="0"/>
                    <w:right w:val="single" w:color="auto" w:sz="4" w:space="0"/>
                  </w:tcBorders>
                  <w:shd w:val="clear" w:color="auto" w:fill="FFFFFF" w:themeFill="background1"/>
                  <w:vAlign w:val="center"/>
                </w:tcPr>
                <w:p w14:paraId="36B5FF2D">
                  <w:pPr>
                    <w:pStyle w:val="54"/>
                    <w:spacing w:line="240" w:lineRule="auto"/>
                    <w:rPr>
                      <w:color w:val="000000" w:themeColor="text1"/>
                      <w14:textFill>
                        <w14:solidFill>
                          <w14:schemeClr w14:val="tx1"/>
                        </w14:solidFill>
                      </w14:textFill>
                    </w:rPr>
                  </w:pPr>
                </w:p>
              </w:tc>
              <w:tc>
                <w:tcPr>
                  <w:tcW w:w="472" w:type="pct"/>
                  <w:tcBorders>
                    <w:top w:val="nil"/>
                    <w:left w:val="single" w:color="auto" w:sz="4" w:space="0"/>
                    <w:bottom w:val="single" w:color="auto" w:sz="4" w:space="0"/>
                    <w:right w:val="single" w:color="auto" w:sz="4" w:space="0"/>
                  </w:tcBorders>
                  <w:shd w:val="clear" w:color="auto" w:fill="FFFFFF" w:themeFill="background1"/>
                  <w:vAlign w:val="center"/>
                </w:tcPr>
                <w:p w14:paraId="7F0B4094">
                  <w:pPr>
                    <w:pStyle w:val="5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2</w:t>
                  </w:r>
                </w:p>
              </w:tc>
              <w:tc>
                <w:tcPr>
                  <w:tcW w:w="995" w:type="pct"/>
                  <w:tcBorders>
                    <w:top w:val="nil"/>
                    <w:left w:val="nil"/>
                    <w:bottom w:val="single" w:color="auto" w:sz="4" w:space="0"/>
                    <w:right w:val="single" w:color="auto" w:sz="4" w:space="0"/>
                  </w:tcBorders>
                  <w:shd w:val="clear" w:color="auto" w:fill="FFFFFF" w:themeFill="background1"/>
                  <w:vAlign w:val="center"/>
                </w:tcPr>
                <w:p w14:paraId="6DB968CC">
                  <w:pPr>
                    <w:pStyle w:val="5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手持凿岩机</w:t>
                  </w:r>
                </w:p>
              </w:tc>
              <w:tc>
                <w:tcPr>
                  <w:tcW w:w="2198" w:type="pct"/>
                  <w:tcBorders>
                    <w:top w:val="single" w:color="auto" w:sz="4" w:space="0"/>
                    <w:left w:val="nil"/>
                    <w:bottom w:val="single" w:color="auto" w:sz="4" w:space="0"/>
                    <w:right w:val="single" w:color="auto" w:sz="4" w:space="0"/>
                  </w:tcBorders>
                  <w:shd w:val="clear" w:color="auto" w:fill="FFFFFF" w:themeFill="background1"/>
                  <w:vAlign w:val="center"/>
                </w:tcPr>
                <w:p w14:paraId="7CF63DD6">
                  <w:pPr>
                    <w:pStyle w:val="5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YT-28</w:t>
                  </w:r>
                </w:p>
              </w:tc>
              <w:tc>
                <w:tcPr>
                  <w:tcW w:w="814" w:type="pct"/>
                  <w:tcBorders>
                    <w:top w:val="single" w:color="auto" w:sz="4" w:space="0"/>
                    <w:left w:val="nil"/>
                    <w:bottom w:val="single" w:color="auto" w:sz="4" w:space="0"/>
                    <w:right w:val="single" w:color="auto" w:sz="4" w:space="0"/>
                  </w:tcBorders>
                  <w:shd w:val="clear" w:color="auto" w:fill="FFFFFF" w:themeFill="background1"/>
                  <w:vAlign w:val="center"/>
                </w:tcPr>
                <w:p w14:paraId="0DAF31F5">
                  <w:pPr>
                    <w:pStyle w:val="5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2台</w:t>
                  </w:r>
                </w:p>
              </w:tc>
            </w:tr>
            <w:tr w14:paraId="1688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518" w:type="pct"/>
                  <w:vMerge w:val="continue"/>
                  <w:tcBorders>
                    <w:left w:val="single" w:color="auto" w:sz="4" w:space="0"/>
                    <w:right w:val="single" w:color="auto" w:sz="4" w:space="0"/>
                  </w:tcBorders>
                  <w:shd w:val="clear" w:color="auto" w:fill="FFFFFF" w:themeFill="background1"/>
                  <w:vAlign w:val="center"/>
                </w:tcPr>
                <w:p w14:paraId="767DBBDF">
                  <w:pPr>
                    <w:pStyle w:val="54"/>
                    <w:spacing w:line="240" w:lineRule="auto"/>
                    <w:rPr>
                      <w:color w:val="000000" w:themeColor="text1"/>
                      <w14:textFill>
                        <w14:solidFill>
                          <w14:schemeClr w14:val="tx1"/>
                        </w14:solidFill>
                      </w14:textFill>
                    </w:rPr>
                  </w:pPr>
                </w:p>
              </w:tc>
              <w:tc>
                <w:tcPr>
                  <w:tcW w:w="472" w:type="pct"/>
                  <w:vMerge w:val="restart"/>
                  <w:tcBorders>
                    <w:top w:val="nil"/>
                    <w:left w:val="single" w:color="auto" w:sz="4" w:space="0"/>
                    <w:right w:val="single" w:color="auto" w:sz="4" w:space="0"/>
                  </w:tcBorders>
                  <w:shd w:val="clear" w:color="auto" w:fill="FFFFFF" w:themeFill="background1"/>
                  <w:vAlign w:val="center"/>
                </w:tcPr>
                <w:p w14:paraId="509D43E2">
                  <w:pPr>
                    <w:pStyle w:val="5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3</w:t>
                  </w:r>
                </w:p>
              </w:tc>
              <w:tc>
                <w:tcPr>
                  <w:tcW w:w="995" w:type="pct"/>
                  <w:vMerge w:val="restart"/>
                  <w:tcBorders>
                    <w:top w:val="nil"/>
                    <w:left w:val="nil"/>
                    <w:right w:val="single" w:color="auto" w:sz="4" w:space="0"/>
                  </w:tcBorders>
                  <w:shd w:val="clear" w:color="auto" w:fill="FFFFFF" w:themeFill="background1"/>
                  <w:vAlign w:val="center"/>
                </w:tcPr>
                <w:p w14:paraId="3C422844">
                  <w:pPr>
                    <w:pStyle w:val="5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履带式挖掘机</w:t>
                  </w:r>
                </w:p>
              </w:tc>
              <w:tc>
                <w:tcPr>
                  <w:tcW w:w="2198" w:type="pct"/>
                  <w:tcBorders>
                    <w:top w:val="single" w:color="auto" w:sz="4" w:space="0"/>
                    <w:left w:val="nil"/>
                    <w:bottom w:val="single" w:color="auto" w:sz="4" w:space="0"/>
                    <w:right w:val="single" w:color="auto" w:sz="4" w:space="0"/>
                  </w:tcBorders>
                  <w:shd w:val="clear" w:color="auto" w:fill="FFFFFF" w:themeFill="background1"/>
                  <w:vAlign w:val="center"/>
                </w:tcPr>
                <w:p w14:paraId="510F9982">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ZX450H型，斗容：1.9m³</w:t>
                  </w:r>
                </w:p>
              </w:tc>
              <w:tc>
                <w:tcPr>
                  <w:tcW w:w="814" w:type="pct"/>
                  <w:tcBorders>
                    <w:top w:val="single" w:color="auto" w:sz="4" w:space="0"/>
                    <w:left w:val="nil"/>
                    <w:bottom w:val="single" w:color="auto" w:sz="4" w:space="0"/>
                    <w:right w:val="single" w:color="auto" w:sz="4" w:space="0"/>
                  </w:tcBorders>
                  <w:shd w:val="clear" w:color="auto" w:fill="FFFFFF" w:themeFill="background1"/>
                  <w:vAlign w:val="center"/>
                </w:tcPr>
                <w:p w14:paraId="5E810424">
                  <w:pPr>
                    <w:pStyle w:val="5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2台</w:t>
                  </w:r>
                </w:p>
              </w:tc>
            </w:tr>
            <w:tr w14:paraId="2D8DB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518" w:type="pct"/>
                  <w:vMerge w:val="continue"/>
                  <w:tcBorders>
                    <w:left w:val="single" w:color="auto" w:sz="4" w:space="0"/>
                    <w:right w:val="single" w:color="auto" w:sz="4" w:space="0"/>
                  </w:tcBorders>
                  <w:shd w:val="clear" w:color="auto" w:fill="FFFFFF" w:themeFill="background1"/>
                  <w:vAlign w:val="center"/>
                </w:tcPr>
                <w:p w14:paraId="1541D32D">
                  <w:pPr>
                    <w:pStyle w:val="54"/>
                    <w:spacing w:line="240" w:lineRule="auto"/>
                    <w:rPr>
                      <w:color w:val="000000" w:themeColor="text1"/>
                      <w14:textFill>
                        <w14:solidFill>
                          <w14:schemeClr w14:val="tx1"/>
                        </w14:solidFill>
                      </w14:textFill>
                    </w:rPr>
                  </w:pPr>
                </w:p>
              </w:tc>
              <w:tc>
                <w:tcPr>
                  <w:tcW w:w="472" w:type="pct"/>
                  <w:vMerge w:val="continue"/>
                  <w:tcBorders>
                    <w:left w:val="single" w:color="auto" w:sz="4" w:space="0"/>
                    <w:bottom w:val="single" w:color="auto" w:sz="4" w:space="0"/>
                    <w:right w:val="single" w:color="auto" w:sz="4" w:space="0"/>
                  </w:tcBorders>
                  <w:shd w:val="clear" w:color="auto" w:fill="FFFFFF" w:themeFill="background1"/>
                  <w:vAlign w:val="center"/>
                </w:tcPr>
                <w:p w14:paraId="194F1C7F">
                  <w:pPr>
                    <w:pStyle w:val="54"/>
                    <w:spacing w:line="240" w:lineRule="auto"/>
                    <w:rPr>
                      <w:color w:val="000000" w:themeColor="text1"/>
                      <w14:textFill>
                        <w14:solidFill>
                          <w14:schemeClr w14:val="tx1"/>
                        </w14:solidFill>
                      </w14:textFill>
                    </w:rPr>
                  </w:pPr>
                </w:p>
              </w:tc>
              <w:tc>
                <w:tcPr>
                  <w:tcW w:w="995" w:type="pct"/>
                  <w:vMerge w:val="continue"/>
                  <w:tcBorders>
                    <w:left w:val="nil"/>
                    <w:bottom w:val="single" w:color="auto" w:sz="4" w:space="0"/>
                    <w:right w:val="single" w:color="auto" w:sz="4" w:space="0"/>
                  </w:tcBorders>
                  <w:shd w:val="clear" w:color="auto" w:fill="FFFFFF" w:themeFill="background1"/>
                  <w:vAlign w:val="center"/>
                </w:tcPr>
                <w:p w14:paraId="0B0501FE">
                  <w:pPr>
                    <w:pStyle w:val="54"/>
                    <w:spacing w:line="240" w:lineRule="auto"/>
                    <w:rPr>
                      <w:color w:val="000000" w:themeColor="text1"/>
                      <w14:textFill>
                        <w14:solidFill>
                          <w14:schemeClr w14:val="tx1"/>
                        </w14:solidFill>
                      </w14:textFill>
                    </w:rPr>
                  </w:pPr>
                </w:p>
              </w:tc>
              <w:tc>
                <w:tcPr>
                  <w:tcW w:w="2198" w:type="pct"/>
                  <w:tcBorders>
                    <w:top w:val="single" w:color="auto" w:sz="4" w:space="0"/>
                    <w:left w:val="nil"/>
                    <w:bottom w:val="single" w:color="auto" w:sz="4" w:space="0"/>
                    <w:right w:val="single" w:color="auto" w:sz="4" w:space="0"/>
                  </w:tcBorders>
                  <w:shd w:val="clear" w:color="auto" w:fill="FFFFFF" w:themeFill="background1"/>
                  <w:vAlign w:val="center"/>
                </w:tcPr>
                <w:p w14:paraId="5A2A162F">
                  <w:pPr>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PC220-8，斗容：1.0m³</w:t>
                  </w:r>
                </w:p>
              </w:tc>
              <w:tc>
                <w:tcPr>
                  <w:tcW w:w="814" w:type="pct"/>
                  <w:tcBorders>
                    <w:top w:val="single" w:color="auto" w:sz="4" w:space="0"/>
                    <w:left w:val="nil"/>
                    <w:bottom w:val="single" w:color="auto" w:sz="4" w:space="0"/>
                    <w:right w:val="single" w:color="auto" w:sz="4" w:space="0"/>
                  </w:tcBorders>
                  <w:shd w:val="clear" w:color="auto" w:fill="FFFFFF" w:themeFill="background1"/>
                  <w:vAlign w:val="center"/>
                </w:tcPr>
                <w:p w14:paraId="1BA1E9A9">
                  <w:pPr>
                    <w:pStyle w:val="5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2台</w:t>
                  </w:r>
                </w:p>
              </w:tc>
            </w:tr>
            <w:tr w14:paraId="67789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518" w:type="pct"/>
                  <w:vMerge w:val="continue"/>
                  <w:tcBorders>
                    <w:left w:val="single" w:color="auto" w:sz="4" w:space="0"/>
                    <w:right w:val="single" w:color="auto" w:sz="4" w:space="0"/>
                  </w:tcBorders>
                  <w:shd w:val="clear" w:color="auto" w:fill="FFFFFF" w:themeFill="background1"/>
                  <w:vAlign w:val="center"/>
                </w:tcPr>
                <w:p w14:paraId="2FCDB2C3">
                  <w:pPr>
                    <w:pStyle w:val="54"/>
                    <w:spacing w:line="240" w:lineRule="auto"/>
                    <w:rPr>
                      <w:color w:val="000000" w:themeColor="text1"/>
                      <w14:textFill>
                        <w14:solidFill>
                          <w14:schemeClr w14:val="tx1"/>
                        </w14:solidFill>
                      </w14:textFill>
                    </w:rPr>
                  </w:pPr>
                </w:p>
              </w:tc>
              <w:tc>
                <w:tcPr>
                  <w:tcW w:w="472" w:type="pct"/>
                  <w:tcBorders>
                    <w:top w:val="nil"/>
                    <w:left w:val="single" w:color="auto" w:sz="4" w:space="0"/>
                    <w:bottom w:val="single" w:color="auto" w:sz="4" w:space="0"/>
                    <w:right w:val="single" w:color="auto" w:sz="4" w:space="0"/>
                  </w:tcBorders>
                  <w:shd w:val="clear" w:color="auto" w:fill="FFFFFF" w:themeFill="background1"/>
                  <w:vAlign w:val="center"/>
                </w:tcPr>
                <w:p w14:paraId="014FAC6C">
                  <w:pPr>
                    <w:pStyle w:val="5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4</w:t>
                  </w:r>
                </w:p>
              </w:tc>
              <w:tc>
                <w:tcPr>
                  <w:tcW w:w="995" w:type="pct"/>
                  <w:tcBorders>
                    <w:top w:val="nil"/>
                    <w:left w:val="nil"/>
                    <w:bottom w:val="single" w:color="auto" w:sz="4" w:space="0"/>
                    <w:right w:val="single" w:color="auto" w:sz="4" w:space="0"/>
                  </w:tcBorders>
                  <w:shd w:val="clear" w:color="auto" w:fill="FFFFFF" w:themeFill="background1"/>
                  <w:vAlign w:val="center"/>
                </w:tcPr>
                <w:p w14:paraId="68966CF2">
                  <w:pPr>
                    <w:pStyle w:val="5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自卸汽车</w:t>
                  </w:r>
                </w:p>
              </w:tc>
              <w:tc>
                <w:tcPr>
                  <w:tcW w:w="2198" w:type="pct"/>
                  <w:tcBorders>
                    <w:top w:val="single" w:color="auto" w:sz="4" w:space="0"/>
                    <w:left w:val="nil"/>
                    <w:bottom w:val="single" w:color="auto" w:sz="4" w:space="0"/>
                    <w:right w:val="single" w:color="auto" w:sz="4" w:space="0"/>
                  </w:tcBorders>
                  <w:shd w:val="clear" w:color="auto" w:fill="FFFFFF" w:themeFill="background1"/>
                  <w:vAlign w:val="center"/>
                </w:tcPr>
                <w:p w14:paraId="6DDE6537">
                  <w:pPr>
                    <w:pStyle w:val="5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UQ-20（额定载重20t）</w:t>
                  </w:r>
                </w:p>
              </w:tc>
              <w:tc>
                <w:tcPr>
                  <w:tcW w:w="814" w:type="pct"/>
                  <w:tcBorders>
                    <w:top w:val="single" w:color="auto" w:sz="4" w:space="0"/>
                    <w:left w:val="nil"/>
                    <w:bottom w:val="single" w:color="auto" w:sz="4" w:space="0"/>
                    <w:right w:val="single" w:color="auto" w:sz="4" w:space="0"/>
                  </w:tcBorders>
                  <w:shd w:val="clear" w:color="auto" w:fill="FFFFFF" w:themeFill="background1"/>
                  <w:vAlign w:val="center"/>
                </w:tcPr>
                <w:p w14:paraId="07DDEA77">
                  <w:pPr>
                    <w:pStyle w:val="5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11辆</w:t>
                  </w:r>
                </w:p>
              </w:tc>
            </w:tr>
            <w:tr w14:paraId="2198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18" w:type="pct"/>
                  <w:vMerge w:val="continue"/>
                  <w:tcBorders>
                    <w:left w:val="single" w:color="auto" w:sz="4" w:space="0"/>
                    <w:right w:val="single" w:color="auto" w:sz="4" w:space="0"/>
                  </w:tcBorders>
                  <w:shd w:val="clear" w:color="auto" w:fill="FFFFFF" w:themeFill="background1"/>
                  <w:vAlign w:val="center"/>
                </w:tcPr>
                <w:p w14:paraId="1867FCAB">
                  <w:pPr>
                    <w:pStyle w:val="54"/>
                    <w:spacing w:line="240" w:lineRule="auto"/>
                    <w:rPr>
                      <w:color w:val="000000" w:themeColor="text1"/>
                      <w14:textFill>
                        <w14:solidFill>
                          <w14:schemeClr w14:val="tx1"/>
                        </w14:solidFill>
                      </w14:textFill>
                    </w:rPr>
                  </w:pPr>
                </w:p>
              </w:tc>
              <w:tc>
                <w:tcPr>
                  <w:tcW w:w="472" w:type="pct"/>
                  <w:tcBorders>
                    <w:top w:val="nil"/>
                    <w:left w:val="single" w:color="auto" w:sz="4" w:space="0"/>
                    <w:bottom w:val="single" w:color="auto" w:sz="4" w:space="0"/>
                    <w:right w:val="single" w:color="auto" w:sz="4" w:space="0"/>
                  </w:tcBorders>
                  <w:shd w:val="clear" w:color="auto" w:fill="FFFFFF" w:themeFill="background1"/>
                  <w:vAlign w:val="center"/>
                </w:tcPr>
                <w:p w14:paraId="6854E2BE">
                  <w:pPr>
                    <w:pStyle w:val="5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5</w:t>
                  </w:r>
                </w:p>
              </w:tc>
              <w:tc>
                <w:tcPr>
                  <w:tcW w:w="995" w:type="pct"/>
                  <w:tcBorders>
                    <w:top w:val="nil"/>
                    <w:left w:val="nil"/>
                    <w:bottom w:val="single" w:color="auto" w:sz="4" w:space="0"/>
                    <w:right w:val="single" w:color="auto" w:sz="4" w:space="0"/>
                  </w:tcBorders>
                  <w:shd w:val="clear" w:color="auto" w:fill="FFFFFF" w:themeFill="background1"/>
                  <w:vAlign w:val="center"/>
                </w:tcPr>
                <w:p w14:paraId="1B8B7CD3">
                  <w:pPr>
                    <w:pStyle w:val="5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空压机</w:t>
                  </w:r>
                </w:p>
              </w:tc>
              <w:tc>
                <w:tcPr>
                  <w:tcW w:w="2198" w:type="pct"/>
                  <w:tcBorders>
                    <w:top w:val="single" w:color="auto" w:sz="4" w:space="0"/>
                    <w:left w:val="nil"/>
                    <w:bottom w:val="single" w:color="auto" w:sz="4" w:space="0"/>
                    <w:right w:val="single" w:color="auto" w:sz="4" w:space="0"/>
                  </w:tcBorders>
                  <w:shd w:val="clear" w:color="auto" w:fill="FFFFFF" w:themeFill="background1"/>
                  <w:vAlign w:val="center"/>
                </w:tcPr>
                <w:p w14:paraId="51407069">
                  <w:pPr>
                    <w:pStyle w:val="5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10-13型  10m</w:t>
                  </w:r>
                  <w:r>
                    <w:rPr>
                      <w:color w:val="000000" w:themeColor="text1"/>
                      <w:vertAlign w:val="superscript"/>
                      <w14:textFill>
                        <w14:solidFill>
                          <w14:schemeClr w14:val="tx1"/>
                        </w14:solidFill>
                      </w14:textFill>
                    </w:rPr>
                    <w:t>3</w:t>
                  </w:r>
                </w:p>
              </w:tc>
              <w:tc>
                <w:tcPr>
                  <w:tcW w:w="814" w:type="pct"/>
                  <w:tcBorders>
                    <w:top w:val="single" w:color="auto" w:sz="4" w:space="0"/>
                    <w:left w:val="nil"/>
                    <w:bottom w:val="single" w:color="auto" w:sz="4" w:space="0"/>
                    <w:right w:val="single" w:color="auto" w:sz="4" w:space="0"/>
                  </w:tcBorders>
                  <w:shd w:val="clear" w:color="auto" w:fill="FFFFFF" w:themeFill="background1"/>
                  <w:vAlign w:val="center"/>
                </w:tcPr>
                <w:p w14:paraId="30254A1B">
                  <w:pPr>
                    <w:pStyle w:val="5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1台</w:t>
                  </w:r>
                </w:p>
              </w:tc>
            </w:tr>
            <w:tr w14:paraId="4B422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518" w:type="pct"/>
                  <w:vMerge w:val="continue"/>
                  <w:tcBorders>
                    <w:left w:val="single" w:color="auto" w:sz="4" w:space="0"/>
                    <w:right w:val="single" w:color="auto" w:sz="4" w:space="0"/>
                  </w:tcBorders>
                  <w:shd w:val="clear" w:color="auto" w:fill="FFFFFF" w:themeFill="background1"/>
                  <w:vAlign w:val="center"/>
                </w:tcPr>
                <w:p w14:paraId="7BE84BB7">
                  <w:pPr>
                    <w:pStyle w:val="54"/>
                    <w:spacing w:line="240" w:lineRule="auto"/>
                    <w:rPr>
                      <w:color w:val="000000" w:themeColor="text1"/>
                      <w14:textFill>
                        <w14:solidFill>
                          <w14:schemeClr w14:val="tx1"/>
                        </w14:solidFill>
                      </w14:textFill>
                    </w:rPr>
                  </w:pPr>
                </w:p>
              </w:tc>
              <w:tc>
                <w:tcPr>
                  <w:tcW w:w="47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9ADB4AD">
                  <w:pPr>
                    <w:pStyle w:val="54"/>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995" w:type="pct"/>
                  <w:tcBorders>
                    <w:top w:val="single" w:color="auto" w:sz="4" w:space="0"/>
                    <w:left w:val="nil"/>
                    <w:bottom w:val="single" w:color="auto" w:sz="4" w:space="0"/>
                    <w:right w:val="single" w:color="auto" w:sz="4" w:space="0"/>
                  </w:tcBorders>
                  <w:shd w:val="clear" w:color="auto" w:fill="FFFFFF" w:themeFill="background1"/>
                  <w:vAlign w:val="center"/>
                </w:tcPr>
                <w:p w14:paraId="37F91ACD">
                  <w:pPr>
                    <w:pStyle w:val="5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洒水车</w:t>
                  </w:r>
                </w:p>
              </w:tc>
              <w:tc>
                <w:tcPr>
                  <w:tcW w:w="2198" w:type="pct"/>
                  <w:tcBorders>
                    <w:top w:val="single" w:color="auto" w:sz="4" w:space="0"/>
                    <w:left w:val="nil"/>
                    <w:bottom w:val="single" w:color="auto" w:sz="4" w:space="0"/>
                    <w:right w:val="single" w:color="auto" w:sz="4" w:space="0"/>
                  </w:tcBorders>
                  <w:shd w:val="clear" w:color="auto" w:fill="FFFFFF" w:themeFill="background1"/>
                  <w:vAlign w:val="center"/>
                </w:tcPr>
                <w:p w14:paraId="6A860F06">
                  <w:pPr>
                    <w:pStyle w:val="5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8m</w:t>
                  </w:r>
                  <w:r>
                    <w:rPr>
                      <w:color w:val="000000" w:themeColor="text1"/>
                      <w:vertAlign w:val="superscript"/>
                      <w14:textFill>
                        <w14:solidFill>
                          <w14:schemeClr w14:val="tx1"/>
                        </w14:solidFill>
                      </w14:textFill>
                    </w:rPr>
                    <w:t>3</w:t>
                  </w:r>
                </w:p>
              </w:tc>
              <w:tc>
                <w:tcPr>
                  <w:tcW w:w="814" w:type="pct"/>
                  <w:tcBorders>
                    <w:top w:val="single" w:color="auto" w:sz="4" w:space="0"/>
                    <w:left w:val="nil"/>
                    <w:bottom w:val="single" w:color="auto" w:sz="4" w:space="0"/>
                    <w:right w:val="single" w:color="auto" w:sz="4" w:space="0"/>
                  </w:tcBorders>
                  <w:shd w:val="clear" w:color="auto" w:fill="FFFFFF" w:themeFill="background1"/>
                  <w:vAlign w:val="center"/>
                </w:tcPr>
                <w:p w14:paraId="33FB503E">
                  <w:pPr>
                    <w:pStyle w:val="5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1台</w:t>
                  </w:r>
                </w:p>
              </w:tc>
            </w:tr>
            <w:tr w14:paraId="4BAB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518" w:type="pct"/>
                  <w:vMerge w:val="continue"/>
                  <w:tcBorders>
                    <w:left w:val="single" w:color="auto" w:sz="4" w:space="0"/>
                    <w:bottom w:val="single" w:color="auto" w:sz="4" w:space="0"/>
                    <w:right w:val="single" w:color="auto" w:sz="4" w:space="0"/>
                  </w:tcBorders>
                  <w:shd w:val="clear" w:color="auto" w:fill="FFFFFF" w:themeFill="background1"/>
                  <w:vAlign w:val="center"/>
                </w:tcPr>
                <w:p w14:paraId="43BA9E29">
                  <w:pPr>
                    <w:pStyle w:val="54"/>
                    <w:spacing w:line="240" w:lineRule="auto"/>
                    <w:rPr>
                      <w:color w:val="000000" w:themeColor="text1"/>
                      <w14:textFill>
                        <w14:solidFill>
                          <w14:schemeClr w14:val="tx1"/>
                        </w14:solidFill>
                      </w14:textFill>
                    </w:rPr>
                  </w:pPr>
                </w:p>
              </w:tc>
              <w:tc>
                <w:tcPr>
                  <w:tcW w:w="47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95251C6">
                  <w:pPr>
                    <w:pStyle w:val="54"/>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995" w:type="pct"/>
                  <w:tcBorders>
                    <w:top w:val="single" w:color="auto" w:sz="4" w:space="0"/>
                    <w:left w:val="nil"/>
                    <w:bottom w:val="single" w:color="auto" w:sz="4" w:space="0"/>
                    <w:right w:val="single" w:color="auto" w:sz="4" w:space="0"/>
                  </w:tcBorders>
                  <w:shd w:val="clear" w:color="auto" w:fill="FFFFFF" w:themeFill="background1"/>
                  <w:vAlign w:val="center"/>
                </w:tcPr>
                <w:p w14:paraId="161812B1">
                  <w:pPr>
                    <w:pStyle w:val="54"/>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喷雾设施</w:t>
                  </w:r>
                </w:p>
              </w:tc>
              <w:tc>
                <w:tcPr>
                  <w:tcW w:w="2198" w:type="pct"/>
                  <w:tcBorders>
                    <w:top w:val="single" w:color="auto" w:sz="4" w:space="0"/>
                    <w:left w:val="nil"/>
                    <w:bottom w:val="single" w:color="auto" w:sz="4" w:space="0"/>
                    <w:right w:val="single" w:color="auto" w:sz="4" w:space="0"/>
                  </w:tcBorders>
                  <w:shd w:val="clear" w:color="auto" w:fill="FFFFFF" w:themeFill="background1"/>
                  <w:vAlign w:val="center"/>
                </w:tcPr>
                <w:p w14:paraId="3491CA25">
                  <w:pPr>
                    <w:pStyle w:val="54"/>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14" w:type="pct"/>
                  <w:tcBorders>
                    <w:top w:val="single" w:color="auto" w:sz="4" w:space="0"/>
                    <w:left w:val="nil"/>
                    <w:bottom w:val="single" w:color="auto" w:sz="4" w:space="0"/>
                    <w:right w:val="single" w:color="auto" w:sz="4" w:space="0"/>
                  </w:tcBorders>
                  <w:shd w:val="clear" w:color="auto" w:fill="FFFFFF" w:themeFill="background1"/>
                  <w:vAlign w:val="center"/>
                </w:tcPr>
                <w:p w14:paraId="5804CFF9">
                  <w:pPr>
                    <w:pStyle w:val="54"/>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2台</w:t>
                  </w:r>
                </w:p>
              </w:tc>
            </w:tr>
          </w:tbl>
          <w:p w14:paraId="075527BA">
            <w:pPr>
              <w:adjustRightInd w:val="0"/>
              <w:snapToGrid w:val="0"/>
              <w:spacing w:before="120" w:beforeLines="50"/>
              <w:ind w:left="57" w:firstLine="420" w:firstLineChars="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7</w:t>
            </w:r>
            <w:r>
              <w:rPr>
                <w:b/>
                <w:bCs/>
                <w:color w:val="000000" w:themeColor="text1"/>
                <w14:textFill>
                  <w14:solidFill>
                    <w14:schemeClr w14:val="tx1"/>
                  </w14:solidFill>
                </w14:textFill>
              </w:rPr>
              <w:t>、公用工程</w:t>
            </w:r>
          </w:p>
          <w:p w14:paraId="68E1B786">
            <w:pPr>
              <w:pStyle w:val="51"/>
              <w:ind w:left="480" w:leftChars="200" w:firstLine="0" w:firstLineChars="0"/>
              <w:rPr>
                <w:color w:val="000000" w:themeColor="text1"/>
                <w:kern w:val="2"/>
                <w:szCs w:val="24"/>
                <w14:textFill>
                  <w14:solidFill>
                    <w14:schemeClr w14:val="tx1"/>
                  </w14:solidFill>
                </w14:textFill>
              </w:rPr>
            </w:pPr>
            <w:r>
              <w:rPr>
                <w:color w:val="000000" w:themeColor="text1"/>
                <w:kern w:val="2"/>
                <w:szCs w:val="24"/>
                <w14:textFill>
                  <w14:solidFill>
                    <w14:schemeClr w14:val="tx1"/>
                  </w14:solidFill>
                </w14:textFill>
              </w:rPr>
              <w:fldChar w:fldCharType="begin"/>
            </w:r>
            <w:r>
              <w:rPr>
                <w:color w:val="000000" w:themeColor="text1"/>
                <w:kern w:val="2"/>
                <w:szCs w:val="24"/>
                <w14:textFill>
                  <w14:solidFill>
                    <w14:schemeClr w14:val="tx1"/>
                  </w14:solidFill>
                </w14:textFill>
              </w:rPr>
              <w:instrText xml:space="preserve"> = 1 \* GB2 \* MERGEFORMAT </w:instrText>
            </w:r>
            <w:r>
              <w:rPr>
                <w:color w:val="000000" w:themeColor="text1"/>
                <w:kern w:val="2"/>
                <w:szCs w:val="24"/>
                <w14:textFill>
                  <w14:solidFill>
                    <w14:schemeClr w14:val="tx1"/>
                  </w14:solidFill>
                </w14:textFill>
              </w:rPr>
              <w:fldChar w:fldCharType="separate"/>
            </w:r>
            <w:r>
              <w:rPr>
                <w:color w:val="000000" w:themeColor="text1"/>
                <w14:textFill>
                  <w14:solidFill>
                    <w14:schemeClr w14:val="tx1"/>
                  </w14:solidFill>
                </w14:textFill>
              </w:rPr>
              <w:t>⑴</w:t>
            </w:r>
            <w:r>
              <w:rPr>
                <w:color w:val="000000" w:themeColor="text1"/>
                <w:kern w:val="2"/>
                <w:szCs w:val="24"/>
                <w14:textFill>
                  <w14:solidFill>
                    <w14:schemeClr w14:val="tx1"/>
                  </w14:solidFill>
                </w14:textFill>
              </w:rPr>
              <w:fldChar w:fldCharType="end"/>
            </w:r>
            <w:r>
              <w:rPr>
                <w:color w:val="000000" w:themeColor="text1"/>
                <w:kern w:val="2"/>
                <w:szCs w:val="24"/>
                <w14:textFill>
                  <w14:solidFill>
                    <w14:schemeClr w14:val="tx1"/>
                  </w14:solidFill>
                </w14:textFill>
              </w:rPr>
              <w:t>供电</w:t>
            </w:r>
          </w:p>
          <w:p w14:paraId="364A8F49">
            <w:pPr>
              <w:pStyle w:val="51"/>
              <w:ind w:firstLine="480"/>
              <w:rPr>
                <w:kern w:val="2"/>
                <w:szCs w:val="24"/>
              </w:rPr>
            </w:pPr>
            <w:r>
              <w:rPr>
                <w:kern w:val="2"/>
                <w:szCs w:val="24"/>
              </w:rPr>
              <w:t>由麻池村10KV变电所供应，引一路10kv架空专线至场地配电室，可满足矿山生产用电。</w:t>
            </w:r>
          </w:p>
          <w:p w14:paraId="6567A3CE">
            <w:pPr>
              <w:pStyle w:val="51"/>
              <w:ind w:left="480" w:firstLine="0" w:firstLineChars="0"/>
              <w:rPr>
                <w:color w:val="000000" w:themeColor="text1"/>
                <w:kern w:val="2"/>
                <w:szCs w:val="24"/>
                <w14:textFill>
                  <w14:solidFill>
                    <w14:schemeClr w14:val="tx1"/>
                  </w14:solidFill>
                </w14:textFill>
              </w:rPr>
            </w:pPr>
            <w:r>
              <w:rPr>
                <w:color w:val="000000" w:themeColor="text1"/>
                <w:kern w:val="2"/>
                <w:szCs w:val="24"/>
                <w14:textFill>
                  <w14:solidFill>
                    <w14:schemeClr w14:val="tx1"/>
                  </w14:solidFill>
                </w14:textFill>
              </w:rPr>
              <w:fldChar w:fldCharType="begin"/>
            </w:r>
            <w:r>
              <w:rPr>
                <w:color w:val="000000" w:themeColor="text1"/>
                <w:kern w:val="2"/>
                <w:szCs w:val="24"/>
                <w14:textFill>
                  <w14:solidFill>
                    <w14:schemeClr w14:val="tx1"/>
                  </w14:solidFill>
                </w14:textFill>
              </w:rPr>
              <w:instrText xml:space="preserve"> = 2 \* GB2 \* MERGEFORMAT </w:instrText>
            </w:r>
            <w:r>
              <w:rPr>
                <w:color w:val="000000" w:themeColor="text1"/>
                <w:kern w:val="2"/>
                <w:szCs w:val="24"/>
                <w14:textFill>
                  <w14:solidFill>
                    <w14:schemeClr w14:val="tx1"/>
                  </w14:solidFill>
                </w14:textFill>
              </w:rPr>
              <w:fldChar w:fldCharType="separate"/>
            </w:r>
            <w:r>
              <w:rPr>
                <w:color w:val="000000" w:themeColor="text1"/>
                <w14:textFill>
                  <w14:solidFill>
                    <w14:schemeClr w14:val="tx1"/>
                  </w14:solidFill>
                </w14:textFill>
              </w:rPr>
              <w:t>⑵</w:t>
            </w:r>
            <w:r>
              <w:rPr>
                <w:color w:val="000000" w:themeColor="text1"/>
                <w:kern w:val="2"/>
                <w:szCs w:val="24"/>
                <w14:textFill>
                  <w14:solidFill>
                    <w14:schemeClr w14:val="tx1"/>
                  </w14:solidFill>
                </w14:textFill>
              </w:rPr>
              <w:fldChar w:fldCharType="end"/>
            </w:r>
            <w:r>
              <w:rPr>
                <w:color w:val="000000" w:themeColor="text1"/>
                <w:kern w:val="2"/>
                <w:szCs w:val="24"/>
                <w14:textFill>
                  <w14:solidFill>
                    <w14:schemeClr w14:val="tx1"/>
                  </w14:solidFill>
                </w14:textFill>
              </w:rPr>
              <w:t>给水</w:t>
            </w:r>
          </w:p>
          <w:p w14:paraId="54041031">
            <w:pPr>
              <w:pStyle w:val="51"/>
              <w:ind w:firstLine="480"/>
              <w:rPr>
                <w:rFonts w:hint="eastAsia" w:eastAsia="宋体"/>
                <w:color w:val="0000FF"/>
                <w:szCs w:val="24"/>
                <w:lang w:eastAsia="zh-CN"/>
              </w:rPr>
            </w:pPr>
            <w:r>
              <w:rPr>
                <w:rFonts w:hint="eastAsia"/>
                <w:color w:val="000000" w:themeColor="text1"/>
                <w:kern w:val="2"/>
                <w:szCs w:val="24"/>
                <w14:textFill>
                  <w14:solidFill>
                    <w14:schemeClr w14:val="tx1"/>
                  </w14:solidFill>
                </w14:textFill>
              </w:rPr>
              <w:t>生活</w:t>
            </w:r>
            <w:r>
              <w:rPr>
                <w:color w:val="000000" w:themeColor="text1"/>
                <w:kern w:val="2"/>
                <w:szCs w:val="24"/>
                <w14:textFill>
                  <w14:solidFill>
                    <w14:schemeClr w14:val="tx1"/>
                  </w14:solidFill>
                </w14:textFill>
              </w:rPr>
              <w:t>给水采用</w:t>
            </w:r>
            <w:r>
              <w:rPr>
                <w:rFonts w:hint="eastAsia"/>
                <w:color w:val="000000" w:themeColor="text1"/>
                <w:kern w:val="2"/>
                <w:szCs w:val="24"/>
                <w14:textFill>
                  <w14:solidFill>
                    <w14:schemeClr w14:val="tx1"/>
                  </w14:solidFill>
                </w14:textFill>
              </w:rPr>
              <w:t>租赁麻池矿</w:t>
            </w:r>
            <w:r>
              <w:rPr>
                <w:color w:val="000000" w:themeColor="text1"/>
                <w:kern w:val="2"/>
                <w:szCs w:val="24"/>
                <w14:textFill>
                  <w14:solidFill>
                    <w14:schemeClr w14:val="tx1"/>
                  </w14:solidFill>
                </w14:textFill>
              </w:rPr>
              <w:t>现有给水设施。</w:t>
            </w:r>
            <w:r>
              <w:rPr>
                <w:color w:val="0000FF"/>
                <w:kern w:val="2"/>
                <w:szCs w:val="24"/>
              </w:rPr>
              <w:t>生产用水主要</w:t>
            </w:r>
            <w:r>
              <w:rPr>
                <w:rFonts w:hint="eastAsia"/>
                <w:color w:val="0000FF"/>
                <w:kern w:val="2"/>
                <w:szCs w:val="24"/>
                <w:lang w:eastAsia="zh-CN"/>
              </w:rPr>
              <w:t>为</w:t>
            </w:r>
            <w:r>
              <w:rPr>
                <w:rFonts w:hint="eastAsia"/>
                <w:color w:val="0000FF"/>
                <w:kern w:val="2"/>
                <w:szCs w:val="24"/>
              </w:rPr>
              <w:t>喷雾抑尘用水</w:t>
            </w:r>
            <w:r>
              <w:rPr>
                <w:rFonts w:hint="eastAsia"/>
                <w:color w:val="0000FF"/>
                <w:kern w:val="2"/>
                <w:szCs w:val="24"/>
                <w:lang w:eastAsia="zh-CN"/>
              </w:rPr>
              <w:t>和</w:t>
            </w:r>
            <w:r>
              <w:rPr>
                <w:rFonts w:hint="eastAsia"/>
                <w:color w:val="0000FF"/>
                <w:kern w:val="2"/>
                <w:szCs w:val="24"/>
              </w:rPr>
              <w:t>洒水车用水</w:t>
            </w:r>
            <w:r>
              <w:rPr>
                <w:rFonts w:hint="eastAsia"/>
                <w:color w:val="0000FF"/>
                <w:kern w:val="2"/>
                <w:szCs w:val="24"/>
                <w:lang w:eastAsia="zh-CN"/>
              </w:rPr>
              <w:t>，直接从镇上购买罐装好，用量约</w:t>
            </w:r>
            <w:r>
              <w:rPr>
                <w:color w:val="0000FF"/>
                <w:szCs w:val="24"/>
              </w:rPr>
              <w:t>900m</w:t>
            </w:r>
            <w:r>
              <w:rPr>
                <w:color w:val="0000FF"/>
                <w:szCs w:val="24"/>
                <w:vertAlign w:val="superscript"/>
              </w:rPr>
              <w:t>3</w:t>
            </w:r>
            <w:r>
              <w:rPr>
                <w:color w:val="0000FF"/>
                <w:szCs w:val="24"/>
              </w:rPr>
              <w:t>/a</w:t>
            </w:r>
            <w:r>
              <w:rPr>
                <w:color w:val="0000FF"/>
                <w:kern w:val="2"/>
                <w:szCs w:val="24"/>
              </w:rPr>
              <w:t>。生活用水水源</w:t>
            </w:r>
            <w:r>
              <w:rPr>
                <w:rFonts w:hint="eastAsia"/>
                <w:color w:val="0000FF"/>
                <w:kern w:val="2"/>
                <w:szCs w:val="24"/>
              </w:rPr>
              <w:t>依托</w:t>
            </w:r>
            <w:r>
              <w:rPr>
                <w:color w:val="0000FF"/>
                <w:kern w:val="2"/>
                <w:szCs w:val="24"/>
              </w:rPr>
              <w:t>麻池加工厂现有设施自备井供水。经核算</w:t>
            </w:r>
            <w:r>
              <w:rPr>
                <w:rFonts w:hint="eastAsia"/>
                <w:color w:val="0000FF"/>
                <w:kern w:val="2"/>
                <w:szCs w:val="24"/>
              </w:rPr>
              <w:t>本</w:t>
            </w:r>
            <w:r>
              <w:rPr>
                <w:color w:val="0000FF"/>
                <w:kern w:val="2"/>
                <w:szCs w:val="24"/>
              </w:rPr>
              <w:t>项目用水量合计</w:t>
            </w:r>
            <w:r>
              <w:rPr>
                <w:rFonts w:hint="eastAsia"/>
                <w:color w:val="0000FF"/>
                <w:szCs w:val="24"/>
              </w:rPr>
              <w:t>14</w:t>
            </w:r>
            <w:r>
              <w:rPr>
                <w:rFonts w:hint="eastAsia"/>
                <w:color w:val="0000FF"/>
                <w:szCs w:val="24"/>
                <w:lang w:val="en-US" w:eastAsia="zh-CN"/>
              </w:rPr>
              <w:t>1</w:t>
            </w:r>
            <w:r>
              <w:rPr>
                <w:rFonts w:hint="eastAsia"/>
                <w:color w:val="0000FF"/>
                <w:szCs w:val="24"/>
              </w:rPr>
              <w:t>0</w:t>
            </w:r>
            <w:r>
              <w:rPr>
                <w:color w:val="0000FF"/>
                <w:szCs w:val="24"/>
              </w:rPr>
              <w:t>m</w:t>
            </w:r>
            <w:r>
              <w:rPr>
                <w:color w:val="0000FF"/>
                <w:szCs w:val="24"/>
                <w:vertAlign w:val="superscript"/>
              </w:rPr>
              <w:t>3</w:t>
            </w:r>
            <w:r>
              <w:rPr>
                <w:color w:val="0000FF"/>
                <w:szCs w:val="24"/>
              </w:rPr>
              <w:t>/a。</w:t>
            </w:r>
          </w:p>
          <w:p w14:paraId="3AEE1965">
            <w:pPr>
              <w:pStyle w:val="51"/>
              <w:ind w:firstLine="480"/>
              <w:rPr>
                <w:color w:val="000000" w:themeColor="text1"/>
                <w:kern w:val="2"/>
                <w:szCs w:val="24"/>
                <w14:textFill>
                  <w14:solidFill>
                    <w14:schemeClr w14:val="tx1"/>
                  </w14:solidFill>
                </w14:textFill>
              </w:rPr>
            </w:pPr>
            <w:r>
              <w:rPr>
                <w:color w:val="000000" w:themeColor="text1"/>
                <w:kern w:val="2"/>
                <w:szCs w:val="24"/>
                <w14:textFill>
                  <w14:solidFill>
                    <w14:schemeClr w14:val="tx1"/>
                  </w14:solidFill>
                </w14:textFill>
              </w:rPr>
              <w:t>1）生产用水</w:t>
            </w:r>
          </w:p>
          <w:p w14:paraId="5B50F941">
            <w:pPr>
              <w:pStyle w:val="51"/>
              <w:ind w:firstLine="480"/>
              <w:rPr>
                <w:color w:val="000000" w:themeColor="text1"/>
                <w:kern w:val="2"/>
                <w:szCs w:val="24"/>
                <w14:textFill>
                  <w14:solidFill>
                    <w14:schemeClr w14:val="tx1"/>
                  </w14:solidFill>
                </w14:textFill>
              </w:rPr>
            </w:pPr>
            <w:r>
              <w:rPr>
                <w:color w:val="000000" w:themeColor="text1"/>
                <w:kern w:val="2"/>
                <w:szCs w:val="24"/>
                <w14:textFill>
                  <w14:solidFill>
                    <w14:schemeClr w14:val="tx1"/>
                  </w14:solidFill>
                </w14:textFill>
              </w:rPr>
              <w:t>矿山生产用水主要喷雾抑尘用水、道路洒水降尘用水。</w:t>
            </w:r>
          </w:p>
          <w:p w14:paraId="4C7709FB">
            <w:pPr>
              <w:pStyle w:val="51"/>
              <w:ind w:firstLine="480"/>
              <w:rPr>
                <w:color w:val="000000" w:themeColor="text1"/>
                <w:szCs w:val="24"/>
                <w:lang w:val="zh-CN"/>
                <w14:textFill>
                  <w14:solidFill>
                    <w14:schemeClr w14:val="tx1"/>
                  </w14:solidFill>
                </w14:textFill>
              </w:rPr>
            </w:pPr>
            <w:r>
              <w:rPr>
                <w:color w:val="000000" w:themeColor="text1"/>
                <w:kern w:val="2"/>
                <w:szCs w:val="24"/>
                <w14:textFill>
                  <w14:solidFill>
                    <w14:schemeClr w14:val="tx1"/>
                  </w14:solidFill>
                </w14:textFill>
              </w:rPr>
              <w:t>①喷雾</w:t>
            </w:r>
            <w:r>
              <w:rPr>
                <w:color w:val="000000" w:themeColor="text1"/>
                <w:szCs w:val="24"/>
                <w:lang w:val="zh-CN"/>
                <w14:textFill>
                  <w14:solidFill>
                    <w14:schemeClr w14:val="tx1"/>
                  </w14:solidFill>
                </w14:textFill>
              </w:rPr>
              <w:t>抑尘</w:t>
            </w:r>
            <w:r>
              <w:rPr>
                <w:color w:val="000000" w:themeColor="text1"/>
                <w:szCs w:val="24"/>
                <w14:textFill>
                  <w14:solidFill>
                    <w14:schemeClr w14:val="tx1"/>
                  </w14:solidFill>
                </w14:textFill>
              </w:rPr>
              <w:t>用水</w:t>
            </w:r>
            <w:r>
              <w:rPr>
                <w:rFonts w:hint="eastAsia"/>
                <w:color w:val="000000" w:themeColor="text1"/>
                <w:szCs w:val="24"/>
                <w14:textFill>
                  <w14:solidFill>
                    <w14:schemeClr w14:val="tx1"/>
                  </w14:solidFill>
                </w14:textFill>
              </w:rPr>
              <w:t>、洒水车用水</w:t>
            </w:r>
            <w:r>
              <w:rPr>
                <w:color w:val="000000" w:themeColor="text1"/>
                <w:szCs w:val="24"/>
                <w:lang w:val="zh-CN"/>
                <w14:textFill>
                  <w14:solidFill>
                    <w14:schemeClr w14:val="tx1"/>
                  </w14:solidFill>
                </w14:textFill>
              </w:rPr>
              <w:t>：</w:t>
            </w:r>
          </w:p>
          <w:p w14:paraId="0DC6B415">
            <w:pPr>
              <w:pStyle w:val="51"/>
              <w:ind w:firstLine="480"/>
              <w:rPr>
                <w:color w:val="000000" w:themeColor="text1"/>
                <w:kern w:val="2"/>
                <w:szCs w:val="24"/>
                <w14:textFill>
                  <w14:solidFill>
                    <w14:schemeClr w14:val="tx1"/>
                  </w14:solidFill>
                </w14:textFill>
              </w:rPr>
            </w:pPr>
            <w:r>
              <w:rPr>
                <w:color w:val="000000" w:themeColor="text1"/>
                <w:szCs w:val="24"/>
                <w14:textFill>
                  <w14:solidFill>
                    <w14:schemeClr w14:val="tx1"/>
                  </w14:solidFill>
                </w14:textFill>
              </w:rPr>
              <w:t>根据建设单位提供的资料，本项目喷雾装置及洒水车用水约3m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/d，900m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/a。除尘废水蒸发损耗。</w:t>
            </w:r>
          </w:p>
          <w:p w14:paraId="414C6239">
            <w:pPr>
              <w:pStyle w:val="51"/>
              <w:ind w:firstLine="480"/>
              <w:rPr>
                <w:color w:val="000000" w:themeColor="text1"/>
                <w:kern w:val="2"/>
                <w:szCs w:val="24"/>
                <w14:textFill>
                  <w14:solidFill>
                    <w14:schemeClr w14:val="tx1"/>
                  </w14:solidFill>
                </w14:textFill>
              </w:rPr>
            </w:pPr>
            <w:r>
              <w:rPr>
                <w:color w:val="000000" w:themeColor="text1"/>
                <w:kern w:val="2"/>
                <w:szCs w:val="24"/>
                <w14:textFill>
                  <w14:solidFill>
                    <w14:schemeClr w14:val="tx1"/>
                  </w14:solidFill>
                </w14:textFill>
              </w:rPr>
              <w:t>2）生活用水</w:t>
            </w:r>
          </w:p>
          <w:p w14:paraId="2A610C7C">
            <w:pPr>
              <w:pStyle w:val="51"/>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项目劳动定员</w:t>
            </w:r>
            <w:r>
              <w:rPr>
                <w:rFonts w:hint="eastAsia"/>
                <w:color w:val="000000" w:themeColor="text1"/>
                <w:szCs w:val="24"/>
                <w14:textFill>
                  <w14:solidFill>
                    <w14:schemeClr w14:val="tx1"/>
                  </w14:solidFill>
                </w14:textFill>
              </w:rPr>
              <w:t>34人，根据《陕西省行业用水定额（DB61/T943-2020）》，生活用水量按50L/人·d计算</w:t>
            </w:r>
            <w:r>
              <w:rPr>
                <w:color w:val="000000" w:themeColor="text1"/>
                <w:szCs w:val="24"/>
                <w14:textFill>
                  <w14:solidFill>
                    <w14:schemeClr w14:val="tx1"/>
                  </w14:solidFill>
                </w14:textFill>
              </w:rPr>
              <w:t>。年工作时间300天，</w:t>
            </w:r>
            <w:r>
              <w:rPr>
                <w:color w:val="000000" w:themeColor="text1"/>
                <w:kern w:val="2"/>
                <w:szCs w:val="24"/>
                <w14:textFill>
                  <w14:solidFill>
                    <w14:schemeClr w14:val="tx1"/>
                  </w14:solidFill>
                </w14:textFill>
              </w:rPr>
              <w:t>则生活用水量为</w:t>
            </w:r>
            <w:r>
              <w:rPr>
                <w:rFonts w:hint="eastAsia"/>
                <w:color w:val="000000" w:themeColor="text1"/>
                <w:kern w:val="2"/>
                <w:szCs w:val="24"/>
                <w14:textFill>
                  <w14:solidFill>
                    <w14:schemeClr w14:val="tx1"/>
                  </w14:solidFill>
                </w14:textFill>
              </w:rPr>
              <w:t>510</w:t>
            </w:r>
            <w:r>
              <w:rPr>
                <w:color w:val="000000" w:themeColor="text1"/>
                <w:kern w:val="2"/>
                <w:szCs w:val="24"/>
                <w14:textFill>
                  <w14:solidFill>
                    <w14:schemeClr w14:val="tx1"/>
                  </w14:solidFill>
                </w14:textFill>
              </w:rPr>
              <w:t>t/a</w:t>
            </w:r>
            <w:r>
              <w:rPr>
                <w:rFonts w:hint="eastAsia"/>
                <w:color w:val="000000" w:themeColor="text1"/>
                <w:kern w:val="2"/>
                <w:szCs w:val="24"/>
                <w14:textFill>
                  <w14:solidFill>
                    <w14:schemeClr w14:val="tx1"/>
                  </w14:solidFill>
                </w14:textFill>
              </w:rPr>
              <w:t>（1.7m</w:t>
            </w:r>
            <w:r>
              <w:rPr>
                <w:rFonts w:hint="eastAsia"/>
                <w:color w:val="000000" w:themeColor="text1"/>
                <w:kern w:val="2"/>
                <w:szCs w:val="24"/>
                <w:vertAlign w:val="superscript"/>
                <w14:textFill>
                  <w14:solidFill>
                    <w14:schemeClr w14:val="tx1"/>
                  </w14:solidFill>
                </w14:textFill>
              </w:rPr>
              <w:t>3</w:t>
            </w:r>
            <w:r>
              <w:rPr>
                <w:rFonts w:hint="eastAsia"/>
                <w:color w:val="000000" w:themeColor="text1"/>
                <w:kern w:val="2"/>
                <w:szCs w:val="24"/>
                <w14:textFill>
                  <w14:solidFill>
                    <w14:schemeClr w14:val="tx1"/>
                  </w14:solidFill>
                </w14:textFill>
              </w:rPr>
              <w:t>/d）</w:t>
            </w:r>
            <w:r>
              <w:rPr>
                <w:color w:val="000000" w:themeColor="text1"/>
                <w:kern w:val="2"/>
                <w:szCs w:val="24"/>
                <w14:textFill>
                  <w14:solidFill>
                    <w14:schemeClr w14:val="tx1"/>
                  </w14:solidFill>
                </w14:textFill>
              </w:rPr>
              <w:t>。生活污水量按用水量的80%计，则生活污水的产生量为</w:t>
            </w:r>
            <w:r>
              <w:rPr>
                <w:rFonts w:hint="eastAsia"/>
                <w:color w:val="000000" w:themeColor="text1"/>
                <w:kern w:val="2"/>
                <w:szCs w:val="24"/>
                <w14:textFill>
                  <w14:solidFill>
                    <w14:schemeClr w14:val="tx1"/>
                  </w14:solidFill>
                </w14:textFill>
              </w:rPr>
              <w:t>408</w:t>
            </w:r>
            <w:r>
              <w:rPr>
                <w:color w:val="000000" w:themeColor="text1"/>
                <w:kern w:val="2"/>
                <w:szCs w:val="24"/>
                <w14:textFill>
                  <w14:solidFill>
                    <w14:schemeClr w14:val="tx1"/>
                  </w14:solidFill>
                </w14:textFill>
              </w:rPr>
              <w:t>t/a</w:t>
            </w:r>
            <w:r>
              <w:rPr>
                <w:rFonts w:hint="eastAsia"/>
                <w:color w:val="000000" w:themeColor="text1"/>
                <w:kern w:val="2"/>
                <w:szCs w:val="24"/>
                <w14:textFill>
                  <w14:solidFill>
                    <w14:schemeClr w14:val="tx1"/>
                  </w14:solidFill>
                </w14:textFill>
              </w:rPr>
              <w:t>（1.36m</w:t>
            </w:r>
            <w:r>
              <w:rPr>
                <w:rFonts w:hint="eastAsia"/>
                <w:color w:val="000000" w:themeColor="text1"/>
                <w:kern w:val="2"/>
                <w:szCs w:val="24"/>
                <w:vertAlign w:val="superscript"/>
                <w14:textFill>
                  <w14:solidFill>
                    <w14:schemeClr w14:val="tx1"/>
                  </w14:solidFill>
                </w14:textFill>
              </w:rPr>
              <w:t>3</w:t>
            </w:r>
            <w:r>
              <w:rPr>
                <w:rFonts w:hint="eastAsia"/>
                <w:color w:val="000000" w:themeColor="text1"/>
                <w:kern w:val="2"/>
                <w:szCs w:val="24"/>
                <w14:textFill>
                  <w14:solidFill>
                    <w14:schemeClr w14:val="tx1"/>
                  </w14:solidFill>
                </w14:textFill>
              </w:rPr>
              <w:t>/d）</w:t>
            </w:r>
            <w:r>
              <w:rPr>
                <w:color w:val="000000" w:themeColor="text1"/>
                <w:kern w:val="2"/>
                <w:szCs w:val="24"/>
                <w14:textFill>
                  <w14:solidFill>
                    <w14:schemeClr w14:val="tx1"/>
                  </w14:solidFill>
                </w14:textFill>
              </w:rPr>
              <w:t>，主要污染物为COD、BOD</w:t>
            </w:r>
            <w:r>
              <w:rPr>
                <w:color w:val="000000" w:themeColor="text1"/>
                <w:kern w:val="2"/>
                <w:szCs w:val="24"/>
                <w:vertAlign w:val="subscript"/>
                <w14:textFill>
                  <w14:solidFill>
                    <w14:schemeClr w14:val="tx1"/>
                  </w14:solidFill>
                </w14:textFill>
              </w:rPr>
              <w:t>5</w:t>
            </w:r>
            <w:r>
              <w:rPr>
                <w:color w:val="000000" w:themeColor="text1"/>
                <w:kern w:val="2"/>
                <w:szCs w:val="24"/>
                <w14:textFill>
                  <w14:solidFill>
                    <w14:schemeClr w14:val="tx1"/>
                  </w14:solidFill>
                </w14:textFill>
              </w:rPr>
              <w:t>、NH</w:t>
            </w:r>
            <w:r>
              <w:rPr>
                <w:color w:val="000000" w:themeColor="text1"/>
                <w:kern w:val="2"/>
                <w:szCs w:val="24"/>
                <w:vertAlign w:val="subscript"/>
                <w14:textFill>
                  <w14:solidFill>
                    <w14:schemeClr w14:val="tx1"/>
                  </w14:solidFill>
                </w14:textFill>
              </w:rPr>
              <w:t>3</w:t>
            </w:r>
            <w:r>
              <w:rPr>
                <w:color w:val="000000" w:themeColor="text1"/>
                <w:kern w:val="2"/>
                <w:szCs w:val="24"/>
                <w14:textFill>
                  <w14:solidFill>
                    <w14:schemeClr w14:val="tx1"/>
                  </w14:solidFill>
                </w14:textFill>
              </w:rPr>
              <w:t>-N、SS等。生活污水利用</w:t>
            </w:r>
            <w:r>
              <w:rPr>
                <w:rFonts w:hint="eastAsia"/>
                <w:color w:val="000000" w:themeColor="text1"/>
                <w:kern w:val="2"/>
                <w:szCs w:val="24"/>
                <w14:textFill>
                  <w14:solidFill>
                    <w14:schemeClr w14:val="tx1"/>
                  </w14:solidFill>
                </w14:textFill>
              </w:rPr>
              <w:t>租赁生活区的</w:t>
            </w:r>
            <w:r>
              <w:rPr>
                <w:color w:val="000000" w:themeColor="text1"/>
                <w:kern w:val="2"/>
                <w:szCs w:val="24"/>
                <w14:textFill>
                  <w14:solidFill>
                    <w14:schemeClr w14:val="tx1"/>
                  </w14:solidFill>
                </w14:textFill>
              </w:rPr>
              <w:t>旱厕处理后清掏用作农肥。</w:t>
            </w:r>
          </w:p>
          <w:p w14:paraId="6828BA79">
            <w:pPr>
              <w:ind w:firstLine="482"/>
              <w:rPr>
                <w:color w:val="000000" w:themeColor="text1"/>
                <w14:textFill>
                  <w14:solidFill>
                    <w14:schemeClr w14:val="tx1"/>
                  </w14:solidFill>
                </w14:textFill>
              </w:rPr>
            </w:pPr>
            <w:r>
              <w:rPr>
                <w:b/>
                <w:bCs/>
                <w:color w:val="000000" w:themeColor="text1"/>
                <w14:textFill>
                  <w14:solidFill>
                    <w14:schemeClr w14:val="tx1"/>
                  </w14:solidFill>
                </w14:textFill>
              </w:rPr>
              <w:t>8、职工定员及工作制度</w:t>
            </w:r>
          </w:p>
          <w:p w14:paraId="7D86B475">
            <w:pPr>
              <w:pStyle w:val="51"/>
              <w:ind w:firstLine="480"/>
              <w:rPr>
                <w:b/>
                <w:bCs/>
                <w:color w:val="000000" w:themeColor="text1"/>
                <w:kern w:val="2"/>
                <w:sz w:val="21"/>
                <w14:textFill>
                  <w14:solidFill>
                    <w14:schemeClr w14:val="tx1"/>
                  </w14:solidFill>
                </w14:textFill>
              </w:rPr>
            </w:pPr>
            <w:r>
              <w:rPr>
                <w:color w:val="000000" w:themeColor="text1"/>
                <w:kern w:val="2"/>
                <w:szCs w:val="24"/>
                <w14:textFill>
                  <w14:solidFill>
                    <w14:schemeClr w14:val="tx1"/>
                  </w14:solidFill>
                </w14:textFill>
              </w:rPr>
              <w:t>工作制度：项目劳动定员34人，年工作日300天，每天1班，每班8h。</w:t>
            </w:r>
          </w:p>
        </w:tc>
      </w:tr>
      <w:tr w14:paraId="0D375D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35" w:hRule="atLeast"/>
          <w:jc w:val="center"/>
        </w:trPr>
        <w:tc>
          <w:tcPr>
            <w:tcW w:w="471" w:type="pct"/>
            <w:vAlign w:val="center"/>
          </w:tcPr>
          <w:p w14:paraId="484AEDC7">
            <w:pPr>
              <w:spacing w:line="240" w:lineRule="auto"/>
              <w:ind w:firstLine="0" w:firstLineChars="0"/>
              <w:jc w:val="center"/>
              <w:rPr>
                <w:b/>
                <w:bCs/>
                <w:color w:val="000000" w:themeColor="text1"/>
                <w:kern w:val="0"/>
                <w14:textFill>
                  <w14:solidFill>
                    <w14:schemeClr w14:val="tx1"/>
                  </w14:solidFill>
                </w14:textFill>
              </w:rPr>
            </w:pPr>
            <w:r>
              <w:rPr>
                <w:color w:val="000000" w:themeColor="text1"/>
                <w:kern w:val="0"/>
                <w14:textFill>
                  <w14:solidFill>
                    <w14:schemeClr w14:val="tx1"/>
                  </w14:solidFill>
                </w14:textFill>
              </w:rPr>
              <w:t>总平面及现场布置</w:t>
            </w:r>
          </w:p>
        </w:tc>
        <w:tc>
          <w:tcPr>
            <w:tcW w:w="4528" w:type="pct"/>
          </w:tcPr>
          <w:p w14:paraId="7D90C8F3">
            <w:pPr>
              <w:ind w:firstLine="480"/>
            </w:pPr>
            <w:r>
              <w:t>矿区主要由采矿区、</w:t>
            </w:r>
            <w:r>
              <w:rPr>
                <w:rFonts w:hint="eastAsia"/>
              </w:rPr>
              <w:t>表土堆场</w:t>
            </w:r>
            <w:r>
              <w:t>及矿区运输道路组成，依山而下依海拔地势依次布设。</w:t>
            </w:r>
          </w:p>
          <w:p w14:paraId="367A146E">
            <w:pPr>
              <w:ind w:firstLine="482"/>
              <w:rPr>
                <w:b/>
                <w:bCs/>
              </w:rPr>
            </w:pPr>
            <w:r>
              <w:rPr>
                <w:b/>
                <w:bCs/>
              </w:rPr>
              <w:t>采矿场：</w:t>
            </w:r>
          </w:p>
          <w:p w14:paraId="046E8712">
            <w:pPr>
              <w:ind w:firstLine="480"/>
            </w:pPr>
            <w:r>
              <w:t>矿区面积2.886km</w:t>
            </w:r>
            <w:r>
              <w:rPr>
                <w:vertAlign w:val="superscript"/>
              </w:rPr>
              <w:t>2</w:t>
            </w:r>
            <w:r>
              <w:t>，矿区范围由9个拐点坐标组成，设计开采标高：1570m～1792m，开采矿种为冶金用脉石英，开采方式为露天开采。</w:t>
            </w:r>
          </w:p>
          <w:p w14:paraId="1F407F7A">
            <w:pPr>
              <w:ind w:firstLine="482"/>
            </w:pPr>
            <w:r>
              <w:rPr>
                <w:rFonts w:hint="eastAsia"/>
                <w:b/>
                <w:bCs/>
                <w:lang w:eastAsia="zh-CN"/>
              </w:rPr>
              <w:t>排土</w:t>
            </w:r>
            <w:r>
              <w:rPr>
                <w:rFonts w:hint="eastAsia"/>
                <w:b/>
                <w:bCs/>
              </w:rPr>
              <w:t>场</w:t>
            </w:r>
            <w:r>
              <w:t>：</w:t>
            </w:r>
          </w:p>
          <w:p w14:paraId="7BEF11E9">
            <w:pPr>
              <w:ind w:firstLine="480"/>
            </w:pPr>
            <w:r>
              <w:t>共设置</w:t>
            </w:r>
            <w:r>
              <w:rPr>
                <w:rFonts w:hint="eastAsia"/>
                <w:lang w:val="en-US" w:eastAsia="zh-CN"/>
              </w:rPr>
              <w:t>1</w:t>
            </w:r>
            <w:r>
              <w:t>个排土场。</w:t>
            </w:r>
            <w:r>
              <w:rPr>
                <w:rFonts w:hint="eastAsia"/>
              </w:rPr>
              <w:t>位于KT1-2矿体东侧的沟谷内，属于四等排土场：堆高49m、分设1679m台阶、1694m台阶，最高堆置标高为1709m，排土场台阶坡面角为25°，台阶宽度为3m，内部设置排水沟（0.5m×0.5m），最终边坡角25°16′。</w:t>
            </w:r>
          </w:p>
          <w:p w14:paraId="1D8F07D1">
            <w:pPr>
              <w:ind w:firstLine="482"/>
              <w:rPr>
                <w:color w:val="000000" w:themeColor="text1"/>
                <w:kern w:val="0"/>
                <w14:textFill>
                  <w14:solidFill>
                    <w14:schemeClr w14:val="tx1"/>
                  </w14:solidFill>
                </w14:textFill>
              </w:rPr>
            </w:pPr>
            <w:r>
              <w:rPr>
                <w:b/>
                <w:bCs/>
                <w:color w:val="000000" w:themeColor="text1"/>
                <w:kern w:val="0"/>
                <w14:textFill>
                  <w14:solidFill>
                    <w14:schemeClr w14:val="tx1"/>
                  </w14:solidFill>
                </w14:textFill>
              </w:rPr>
              <w:t>矿区运输道路</w:t>
            </w:r>
            <w:r>
              <w:rPr>
                <w:color w:val="000000" w:themeColor="text1"/>
                <w:kern w:val="0"/>
                <w14:textFill>
                  <w14:solidFill>
                    <w14:schemeClr w14:val="tx1"/>
                  </w14:solidFill>
                </w14:textFill>
              </w:rPr>
              <w:t>：</w:t>
            </w:r>
          </w:p>
          <w:p w14:paraId="45534BD2">
            <w:pPr>
              <w:ind w:firstLine="480"/>
              <w:rPr>
                <w:color w:val="000000" w:themeColor="text1"/>
                <w:kern w:val="0"/>
                <w14:textFill>
                  <w14:solidFill>
                    <w14:schemeClr w14:val="tx1"/>
                  </w14:solidFill>
                </w14:textFill>
              </w:rPr>
            </w:pPr>
            <w:r>
              <w:rPr>
                <w:color w:val="000000" w:themeColor="text1"/>
                <w:kern w:val="0"/>
                <w14:textFill>
                  <w14:solidFill>
                    <w14:schemeClr w14:val="tx1"/>
                  </w14:solidFill>
                </w14:textFill>
              </w:rPr>
              <w:t>矿山建设期开采870m及以上剥离平台开拓时利用采场北侧原有的供人员及材料上山道路开采855m及以下各平台前，设计自矿山西北侧隧道口+770m水平向采场830m平台修建简易挖掘机上山道路，兼做人员及材料上山道路，长300m，路面宽4m，采用碎石路面，平均坡度16%；设计采场内部修建简易道路至各作业平台。采场内简易道路利用西侧新建的简易挖掘机上山道路，随开采平台的下降修建，设计简易道路路面宽度4m，最大纵坡10%，矿山现有3141G7DH型自卸汽车空车爬坡能力为25%，挖掘机(385-8)爬坡能力为30°，设计采场道路平均坡度满足挖掘机、自卸汽车空车上山要求。采场设备及材料的运送采用装载机联合自卸汽车辅助运输，通过供人员及材料上山道路、西侧新建的简易上山道路运至采场，人员步行进入采场。由745m装矿平台至原料场的现有运矿道路路面宽5m，水泥路面，平均坡度6.3%，道路总长度约300m，多年来，矿山一直利用此路进行矿石运输，满足矿山汽车运输要求。</w:t>
            </w:r>
          </w:p>
          <w:p w14:paraId="34F09957">
            <w:pPr>
              <w:ind w:firstLine="480"/>
              <w:rPr>
                <w:vertAlign w:val="baseline"/>
              </w:rPr>
            </w:pPr>
            <w:r>
              <w:rPr>
                <w:rFonts w:hint="eastAsia"/>
                <w:color w:val="000000" w:themeColor="text1"/>
                <w:kern w:val="0"/>
                <w14:textFill>
                  <w14:solidFill>
                    <w14:schemeClr w14:val="tx1"/>
                  </w14:solidFill>
                </w14:textFill>
              </w:rPr>
              <w:t>项目</w:t>
            </w:r>
            <w:r>
              <w:rPr>
                <w:rFonts w:hint="eastAsia"/>
                <w:color w:val="000000" w:themeColor="text1"/>
                <w:kern w:val="0"/>
                <w:lang w:eastAsia="zh-CN"/>
                <w14:textFill>
                  <w14:solidFill>
                    <w14:schemeClr w14:val="tx1"/>
                  </w14:solidFill>
                </w14:textFill>
              </w:rPr>
              <w:t>矿区</w:t>
            </w:r>
            <w:r>
              <w:rPr>
                <w:rFonts w:hint="eastAsia"/>
                <w:color w:val="000000" w:themeColor="text1"/>
                <w:kern w:val="0"/>
                <w14:textFill>
                  <w14:solidFill>
                    <w14:schemeClr w14:val="tx1"/>
                  </w14:solidFill>
                </w14:textFill>
              </w:rPr>
              <w:t>现状见</w:t>
            </w:r>
            <w:r>
              <w:rPr>
                <w:rFonts w:hint="eastAsia"/>
                <w:color w:val="000000" w:themeColor="text1"/>
                <w:kern w:val="0"/>
                <w:lang w:eastAsia="zh-CN"/>
                <w14:textFill>
                  <w14:solidFill>
                    <w14:schemeClr w14:val="tx1"/>
                  </w14:solidFill>
                </w14:textFill>
              </w:rPr>
              <w:t>下图</w:t>
            </w:r>
            <w:r>
              <w:rPr>
                <w:rFonts w:hint="eastAsia"/>
                <w:color w:val="000000" w:themeColor="text1"/>
                <w:kern w:val="0"/>
                <w14:textFill>
                  <w14:solidFill>
                    <w14:schemeClr w14:val="tx1"/>
                  </w14:solidFill>
                </w14:textFill>
              </w:rPr>
              <w:t>。</w:t>
            </w:r>
          </w:p>
          <w:tbl>
            <w:tblPr>
              <w:tblStyle w:val="25"/>
              <w:tblW w:w="83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6"/>
              <w:gridCol w:w="4116"/>
            </w:tblGrid>
            <w:tr w14:paraId="26C8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14:paraId="66253A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vertAlign w:val="baseline"/>
                      <w:lang w:val="en-US" w:eastAsia="zh-CN"/>
                    </w:rPr>
                  </w:pPr>
                </w:p>
                <w:p w14:paraId="3ECD4A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vertAlign w:val="baseline"/>
                      <w:lang w:val="en-US" w:eastAsia="zh-CN"/>
                    </w:rPr>
                  </w:pPr>
                </w:p>
                <w:p w14:paraId="052AA3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vertAlign w:val="baseline"/>
                      <w:lang w:val="en-US" w:eastAsia="zh-CN"/>
                    </w:rPr>
                  </w:pPr>
                </w:p>
                <w:p w14:paraId="6B650F4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eastAsia="宋体"/>
                      <w:vertAlign w:val="baseline"/>
                      <w:lang w:val="en-US" w:eastAsia="zh-CN"/>
                    </w:rPr>
                  </w:pPr>
                  <w:r>
                    <w:rPr>
                      <w:rFonts w:hint="default" w:eastAsia="宋体"/>
                      <w:vertAlign w:val="baseline"/>
                      <w:lang w:val="en-US" w:eastAsia="zh-CN"/>
                    </w:rPr>
                    <w:drawing>
                      <wp:inline distT="0" distB="0" distL="114300" distR="114300">
                        <wp:extent cx="2569845" cy="1927225"/>
                        <wp:effectExtent l="0" t="0" r="1905" b="15875"/>
                        <wp:docPr id="4" name="图片 4" descr="d41c227c82590213b88b8ecf36adb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41c227c82590213b88b8ecf36adb98"/>
                                <pic:cNvPicPr>
                                  <a:picLocks noChangeAspect="1"/>
                                </pic:cNvPicPr>
                              </pic:nvPicPr>
                              <pic:blipFill>
                                <a:blip r:embed="rId11"/>
                                <a:stretch>
                                  <a:fillRect/>
                                </a:stretch>
                              </pic:blipFill>
                              <pic:spPr>
                                <a:xfrm>
                                  <a:off x="0" y="0"/>
                                  <a:ext cx="2569845" cy="1927225"/>
                                </a:xfrm>
                                <a:prstGeom prst="rect">
                                  <a:avLst/>
                                </a:prstGeom>
                              </pic:spPr>
                            </pic:pic>
                          </a:graphicData>
                        </a:graphic>
                      </wp:inline>
                    </w:drawing>
                  </w:r>
                </w:p>
              </w:tc>
              <w:tc>
                <w:tcPr>
                  <w:tcW w:w="4116" w:type="dxa"/>
                </w:tcPr>
                <w:p w14:paraId="7A4A58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eastAsia="宋体"/>
                      <w:vertAlign w:val="baseline"/>
                      <w:lang w:eastAsia="zh-CN"/>
                    </w:rPr>
                  </w:pPr>
                  <w:r>
                    <w:rPr>
                      <w:rFonts w:hint="eastAsia" w:eastAsia="宋体"/>
                      <w:vertAlign w:val="baseline"/>
                      <w:lang w:eastAsia="zh-CN"/>
                    </w:rPr>
                    <w:drawing>
                      <wp:inline distT="0" distB="0" distL="114300" distR="114300">
                        <wp:extent cx="2473325" cy="3298825"/>
                        <wp:effectExtent l="0" t="0" r="3175" b="15875"/>
                        <wp:docPr id="1" name="图片 1" descr="5410e1f0cc9819574e3befe8e0d8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410e1f0cc9819574e3befe8e0d8d3d"/>
                                <pic:cNvPicPr>
                                  <a:picLocks noChangeAspect="1"/>
                                </pic:cNvPicPr>
                              </pic:nvPicPr>
                              <pic:blipFill>
                                <a:blip r:embed="rId12"/>
                                <a:stretch>
                                  <a:fillRect/>
                                </a:stretch>
                              </pic:blipFill>
                              <pic:spPr>
                                <a:xfrm>
                                  <a:off x="0" y="0"/>
                                  <a:ext cx="2473325" cy="3298825"/>
                                </a:xfrm>
                                <a:prstGeom prst="rect">
                                  <a:avLst/>
                                </a:prstGeom>
                              </pic:spPr>
                            </pic:pic>
                          </a:graphicData>
                        </a:graphic>
                      </wp:inline>
                    </w:drawing>
                  </w:r>
                </w:p>
              </w:tc>
            </w:tr>
            <w:tr w14:paraId="3A89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2" w:type="dxa"/>
                  <w:gridSpan w:val="2"/>
                  <w:vAlign w:val="center"/>
                </w:tcPr>
                <w:p w14:paraId="5C30F3A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vertAlign w:val="baseline"/>
                      <w:lang w:eastAsia="zh-CN"/>
                    </w:rPr>
                  </w:pPr>
                  <w:r>
                    <w:rPr>
                      <w:rFonts w:hint="eastAsia"/>
                      <w:vertAlign w:val="baseline"/>
                      <w:lang w:eastAsia="zh-CN"/>
                    </w:rPr>
                    <w:t>矿区进场道路（依托现有防火通道）</w:t>
                  </w:r>
                </w:p>
              </w:tc>
            </w:tr>
            <w:tr w14:paraId="1234A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14:paraId="3E2203A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eastAsia="宋体"/>
                      <w:vertAlign w:val="baseline"/>
                      <w:lang w:eastAsia="zh-CN"/>
                    </w:rPr>
                  </w:pPr>
                </w:p>
                <w:p w14:paraId="62F959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eastAsia="宋体"/>
                      <w:vertAlign w:val="baseline"/>
                      <w:lang w:eastAsia="zh-CN"/>
                    </w:rPr>
                  </w:pPr>
                  <w:r>
                    <w:rPr>
                      <w:rFonts w:hint="eastAsia" w:eastAsia="宋体"/>
                      <w:vertAlign w:val="baseline"/>
                      <w:lang w:eastAsia="zh-CN"/>
                    </w:rPr>
                    <w:drawing>
                      <wp:inline distT="0" distB="0" distL="114300" distR="114300">
                        <wp:extent cx="2556510" cy="1278890"/>
                        <wp:effectExtent l="0" t="0" r="15240" b="16510"/>
                        <wp:docPr id="6" name="图片 6" descr="f09d9bf7989a3757f8b0e5cd4ad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09d9bf7989a3757f8b0e5cd4ad3228"/>
                                <pic:cNvPicPr>
                                  <a:picLocks noChangeAspect="1"/>
                                </pic:cNvPicPr>
                              </pic:nvPicPr>
                              <pic:blipFill>
                                <a:blip r:embed="rId13"/>
                                <a:stretch>
                                  <a:fillRect/>
                                </a:stretch>
                              </pic:blipFill>
                              <pic:spPr>
                                <a:xfrm>
                                  <a:off x="0" y="0"/>
                                  <a:ext cx="2556510" cy="1278890"/>
                                </a:xfrm>
                                <a:prstGeom prst="rect">
                                  <a:avLst/>
                                </a:prstGeom>
                              </pic:spPr>
                            </pic:pic>
                          </a:graphicData>
                        </a:graphic>
                      </wp:inline>
                    </w:drawing>
                  </w:r>
                </w:p>
              </w:tc>
              <w:tc>
                <w:tcPr>
                  <w:tcW w:w="4116" w:type="dxa"/>
                </w:tcPr>
                <w:p w14:paraId="2DA4D8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eastAsia="宋体"/>
                      <w:vertAlign w:val="baseline"/>
                      <w:lang w:eastAsia="zh-CN"/>
                    </w:rPr>
                  </w:pPr>
                  <w:r>
                    <w:rPr>
                      <w:rFonts w:hint="eastAsia" w:eastAsia="宋体"/>
                      <w:vertAlign w:val="baseline"/>
                      <w:lang w:eastAsia="zh-CN"/>
                    </w:rPr>
                    <w:drawing>
                      <wp:inline distT="0" distB="0" distL="114300" distR="114300">
                        <wp:extent cx="2438400" cy="1828800"/>
                        <wp:effectExtent l="0" t="0" r="0" b="0"/>
                        <wp:docPr id="9" name="图片 9" descr="微信图片_2024120410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1204104009"/>
                                <pic:cNvPicPr>
                                  <a:picLocks noChangeAspect="1"/>
                                </pic:cNvPicPr>
                              </pic:nvPicPr>
                              <pic:blipFill>
                                <a:blip r:embed="rId14"/>
                                <a:stretch>
                                  <a:fillRect/>
                                </a:stretch>
                              </pic:blipFill>
                              <pic:spPr>
                                <a:xfrm>
                                  <a:off x="0" y="0"/>
                                  <a:ext cx="2438400" cy="1828800"/>
                                </a:xfrm>
                                <a:prstGeom prst="rect">
                                  <a:avLst/>
                                </a:prstGeom>
                              </pic:spPr>
                            </pic:pic>
                          </a:graphicData>
                        </a:graphic>
                      </wp:inline>
                    </w:drawing>
                  </w:r>
                </w:p>
              </w:tc>
            </w:tr>
            <w:tr w14:paraId="1BC7E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14:paraId="06767D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eastAsia="宋体"/>
                      <w:vertAlign w:val="baseline"/>
                      <w:lang w:eastAsia="zh-CN"/>
                    </w:rPr>
                  </w:pPr>
                  <w:r>
                    <w:rPr>
                      <w:rFonts w:hint="eastAsia" w:eastAsia="宋体"/>
                      <w:vertAlign w:val="baseline"/>
                      <w:lang w:eastAsia="zh-CN"/>
                    </w:rPr>
                    <w:drawing>
                      <wp:inline distT="0" distB="0" distL="114300" distR="114300">
                        <wp:extent cx="2564765" cy="1710055"/>
                        <wp:effectExtent l="0" t="0" r="6985" b="4445"/>
                        <wp:docPr id="15" name="图片 15" descr="screen_a8a566a26387cdf9_174719712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screen_a8a566a26387cdf9_1747197127333"/>
                                <pic:cNvPicPr>
                                  <a:picLocks noChangeAspect="1"/>
                                </pic:cNvPicPr>
                              </pic:nvPicPr>
                              <pic:blipFill>
                                <a:blip r:embed="rId15"/>
                                <a:stretch>
                                  <a:fillRect/>
                                </a:stretch>
                              </pic:blipFill>
                              <pic:spPr>
                                <a:xfrm>
                                  <a:off x="0" y="0"/>
                                  <a:ext cx="2564765" cy="1710055"/>
                                </a:xfrm>
                                <a:prstGeom prst="rect">
                                  <a:avLst/>
                                </a:prstGeom>
                              </pic:spPr>
                            </pic:pic>
                          </a:graphicData>
                        </a:graphic>
                      </wp:inline>
                    </w:drawing>
                  </w:r>
                </w:p>
              </w:tc>
              <w:tc>
                <w:tcPr>
                  <w:tcW w:w="4116" w:type="dxa"/>
                </w:tcPr>
                <w:p w14:paraId="2EA5615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eastAsia="宋体"/>
                      <w:vertAlign w:val="baseline"/>
                      <w:lang w:eastAsia="zh-CN"/>
                    </w:rPr>
                  </w:pPr>
                  <w:r>
                    <w:rPr>
                      <w:rFonts w:hint="eastAsia" w:eastAsia="宋体"/>
                      <w:vertAlign w:val="baseline"/>
                      <w:lang w:eastAsia="zh-CN"/>
                    </w:rPr>
                    <w:drawing>
                      <wp:inline distT="0" distB="0" distL="114300" distR="114300">
                        <wp:extent cx="2471420" cy="1647825"/>
                        <wp:effectExtent l="0" t="0" r="5080" b="9525"/>
                        <wp:docPr id="16" name="图片 16" descr="screen_7e262116e5502278_174719718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screen_7e262116e5502278_1747197180574"/>
                                <pic:cNvPicPr>
                                  <a:picLocks noChangeAspect="1"/>
                                </pic:cNvPicPr>
                              </pic:nvPicPr>
                              <pic:blipFill>
                                <a:blip r:embed="rId16"/>
                                <a:stretch>
                                  <a:fillRect/>
                                </a:stretch>
                              </pic:blipFill>
                              <pic:spPr>
                                <a:xfrm>
                                  <a:off x="0" y="0"/>
                                  <a:ext cx="2471420" cy="1647825"/>
                                </a:xfrm>
                                <a:prstGeom prst="rect">
                                  <a:avLst/>
                                </a:prstGeom>
                              </pic:spPr>
                            </pic:pic>
                          </a:graphicData>
                        </a:graphic>
                      </wp:inline>
                    </w:drawing>
                  </w:r>
                </w:p>
              </w:tc>
            </w:tr>
            <w:tr w14:paraId="30D0C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2" w:type="dxa"/>
                  <w:gridSpan w:val="2"/>
                </w:tcPr>
                <w:p w14:paraId="00DBF6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vertAlign w:val="baseline"/>
                      <w:lang w:eastAsia="zh-CN"/>
                    </w:rPr>
                  </w:pPr>
                  <w:r>
                    <w:rPr>
                      <w:rFonts w:hint="eastAsia"/>
                      <w:vertAlign w:val="baseline"/>
                      <w:lang w:eastAsia="zh-CN"/>
                    </w:rPr>
                    <w:t>矿区开采面</w:t>
                  </w:r>
                </w:p>
              </w:tc>
            </w:tr>
            <w:tr w14:paraId="3E232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14:paraId="2C77EDE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eastAsia="宋体"/>
                      <w:vertAlign w:val="baseline"/>
                      <w:lang w:eastAsia="zh-CN"/>
                    </w:rPr>
                  </w:pPr>
                  <w:r>
                    <w:rPr>
                      <w:rFonts w:hint="eastAsia" w:eastAsia="宋体"/>
                      <w:vertAlign w:val="baseline"/>
                      <w:lang w:eastAsia="zh-CN"/>
                    </w:rPr>
                    <w:drawing>
                      <wp:inline distT="0" distB="0" distL="114300" distR="114300">
                        <wp:extent cx="2569845" cy="1927860"/>
                        <wp:effectExtent l="0" t="0" r="1905" b="15240"/>
                        <wp:docPr id="22" name="图片 22" descr="IMG_20250514_12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50514_122636"/>
                                <pic:cNvPicPr>
                                  <a:picLocks noChangeAspect="1"/>
                                </pic:cNvPicPr>
                              </pic:nvPicPr>
                              <pic:blipFill>
                                <a:blip r:embed="rId17"/>
                                <a:stretch>
                                  <a:fillRect/>
                                </a:stretch>
                              </pic:blipFill>
                              <pic:spPr>
                                <a:xfrm>
                                  <a:off x="0" y="0"/>
                                  <a:ext cx="2569845" cy="1927860"/>
                                </a:xfrm>
                                <a:prstGeom prst="rect">
                                  <a:avLst/>
                                </a:prstGeom>
                              </pic:spPr>
                            </pic:pic>
                          </a:graphicData>
                        </a:graphic>
                      </wp:inline>
                    </w:drawing>
                  </w:r>
                </w:p>
              </w:tc>
              <w:tc>
                <w:tcPr>
                  <w:tcW w:w="4116" w:type="dxa"/>
                </w:tcPr>
                <w:p w14:paraId="6C0A19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eastAsia="宋体"/>
                      <w:vertAlign w:val="baseline"/>
                      <w:lang w:eastAsia="zh-CN"/>
                    </w:rPr>
                  </w:pPr>
                  <w:r>
                    <w:drawing>
                      <wp:inline distT="0" distB="0" distL="114300" distR="114300">
                        <wp:extent cx="2439670" cy="1767205"/>
                        <wp:effectExtent l="0" t="0" r="17780" b="444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8"/>
                                <a:stretch>
                                  <a:fillRect/>
                                </a:stretch>
                              </pic:blipFill>
                              <pic:spPr>
                                <a:xfrm>
                                  <a:off x="0" y="0"/>
                                  <a:ext cx="2439670" cy="1767205"/>
                                </a:xfrm>
                                <a:prstGeom prst="rect">
                                  <a:avLst/>
                                </a:prstGeom>
                                <a:noFill/>
                                <a:ln>
                                  <a:noFill/>
                                </a:ln>
                              </pic:spPr>
                            </pic:pic>
                          </a:graphicData>
                        </a:graphic>
                      </wp:inline>
                    </w:drawing>
                  </w:r>
                </w:p>
              </w:tc>
            </w:tr>
            <w:tr w14:paraId="4194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14:paraId="2C2FCE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vertAlign w:val="baseline"/>
                      <w:lang w:eastAsia="zh-CN"/>
                    </w:rPr>
                  </w:pPr>
                  <w:r>
                    <w:rPr>
                      <w:rFonts w:hint="eastAsia"/>
                      <w:vertAlign w:val="baseline"/>
                      <w:lang w:eastAsia="zh-CN"/>
                    </w:rPr>
                    <w:t>矿区道路</w:t>
                  </w:r>
                </w:p>
              </w:tc>
              <w:tc>
                <w:tcPr>
                  <w:tcW w:w="4116" w:type="dxa"/>
                </w:tcPr>
                <w:p w14:paraId="346958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vertAlign w:val="baseline"/>
                      <w:lang w:eastAsia="zh-CN"/>
                    </w:rPr>
                  </w:pPr>
                  <w:r>
                    <w:rPr>
                      <w:rFonts w:hint="eastAsia"/>
                      <w:vertAlign w:val="baseline"/>
                      <w:lang w:eastAsia="zh-CN"/>
                    </w:rPr>
                    <w:t>排土场</w:t>
                  </w:r>
                </w:p>
              </w:tc>
            </w:tr>
          </w:tbl>
          <w:p w14:paraId="0AF551C8">
            <w:pPr>
              <w:ind w:firstLine="480"/>
            </w:pPr>
          </w:p>
        </w:tc>
      </w:tr>
      <w:tr w14:paraId="1DA12F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471" w:type="pct"/>
            <w:vAlign w:val="center"/>
          </w:tcPr>
          <w:p w14:paraId="1FFB4E4B">
            <w:pPr>
              <w:spacing w:line="240" w:lineRule="auto"/>
              <w:ind w:firstLine="0" w:firstLineChars="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施工</w:t>
            </w:r>
          </w:p>
          <w:p w14:paraId="06F74E4B">
            <w:pPr>
              <w:spacing w:line="240" w:lineRule="auto"/>
              <w:ind w:firstLine="0" w:firstLineChars="0"/>
              <w:jc w:val="center"/>
              <w:rPr>
                <w:b/>
                <w:bCs/>
                <w:color w:val="000000" w:themeColor="text1"/>
                <w:kern w:val="0"/>
                <w14:textFill>
                  <w14:solidFill>
                    <w14:schemeClr w14:val="tx1"/>
                  </w14:solidFill>
                </w14:textFill>
              </w:rPr>
            </w:pPr>
            <w:r>
              <w:rPr>
                <w:color w:val="000000" w:themeColor="text1"/>
                <w:kern w:val="0"/>
                <w14:textFill>
                  <w14:solidFill>
                    <w14:schemeClr w14:val="tx1"/>
                  </w14:solidFill>
                </w14:textFill>
              </w:rPr>
              <w:t>方案</w:t>
            </w:r>
          </w:p>
        </w:tc>
        <w:tc>
          <w:tcPr>
            <w:tcW w:w="4528" w:type="pct"/>
            <w:vAlign w:val="center"/>
          </w:tcPr>
          <w:p w14:paraId="58834BD1">
            <w:pPr>
              <w:numPr>
                <w:ilvl w:val="0"/>
                <w:numId w:val="3"/>
              </w:numPr>
              <w:ind w:firstLine="482"/>
              <w:rPr>
                <w:b/>
                <w:bCs/>
                <w:color w:val="0000FF"/>
              </w:rPr>
            </w:pPr>
            <w:r>
              <w:rPr>
                <w:b/>
                <w:bCs/>
                <w:color w:val="0000FF"/>
              </w:rPr>
              <w:t>施工期</w:t>
            </w:r>
          </w:p>
          <w:p w14:paraId="4D392F2D">
            <w:pPr>
              <w:pStyle w:val="23"/>
              <w:spacing w:after="0"/>
              <w:ind w:left="0" w:leftChars="0" w:firstLine="0" w:firstLineChars="0"/>
              <w:rPr>
                <w:rFonts w:hint="eastAsia" w:eastAsia="宋体"/>
                <w:b/>
                <w:bCs/>
                <w:color w:val="0000FF"/>
                <w:lang w:eastAsia="zh-CN"/>
              </w:rPr>
            </w:pPr>
            <w:r>
              <w:rPr>
                <w:color w:val="0000FF"/>
              </w:rPr>
              <w:t xml:space="preserve">    </w:t>
            </w:r>
            <w:r>
              <w:rPr>
                <w:rFonts w:hint="eastAsia"/>
                <w:b/>
                <w:bCs/>
                <w:color w:val="0000FF"/>
                <w:lang w:eastAsia="zh-CN"/>
              </w:rPr>
              <w:t>（</w:t>
            </w:r>
            <w:r>
              <w:rPr>
                <w:rFonts w:hint="eastAsia"/>
                <w:b/>
                <w:bCs/>
                <w:color w:val="0000FF"/>
                <w:lang w:val="en-US" w:eastAsia="zh-CN"/>
              </w:rPr>
              <w:t>1</w:t>
            </w:r>
            <w:r>
              <w:rPr>
                <w:rFonts w:hint="eastAsia"/>
                <w:b/>
                <w:bCs/>
                <w:color w:val="0000FF"/>
                <w:lang w:eastAsia="zh-CN"/>
              </w:rPr>
              <w:t>）施工总体布置</w:t>
            </w:r>
          </w:p>
          <w:p w14:paraId="28871E02">
            <w:pPr>
              <w:pStyle w:val="23"/>
              <w:spacing w:after="0"/>
              <w:ind w:left="0" w:leftChars="0" w:firstLine="480" w:firstLineChars="200"/>
              <w:rPr>
                <w:rFonts w:hint="eastAsia"/>
                <w:color w:val="0000FF"/>
              </w:rPr>
            </w:pPr>
            <w:r>
              <w:rPr>
                <w:rFonts w:hint="eastAsia"/>
                <w:color w:val="0000FF"/>
              </w:rPr>
              <w:t>1.统筹安排各场地位置，满足使用要求。充分利用已有设施和现有道路。</w:t>
            </w:r>
          </w:p>
          <w:p w14:paraId="4340E1E0">
            <w:pPr>
              <w:pStyle w:val="23"/>
              <w:spacing w:after="0"/>
              <w:ind w:left="0" w:leftChars="0" w:firstLine="480" w:firstLineChars="200"/>
              <w:rPr>
                <w:rFonts w:hint="eastAsia"/>
                <w:color w:val="0000FF"/>
              </w:rPr>
            </w:pPr>
            <w:r>
              <w:rPr>
                <w:rFonts w:hint="eastAsia"/>
                <w:color w:val="0000FF"/>
              </w:rPr>
              <w:t>2.矿山建设确保主体；压缩辅助，不集中建工人村。</w:t>
            </w:r>
          </w:p>
          <w:p w14:paraId="5D0CC5D7">
            <w:pPr>
              <w:pStyle w:val="23"/>
              <w:spacing w:after="0"/>
              <w:ind w:left="0" w:leftChars="0" w:firstLine="480" w:firstLineChars="200"/>
              <w:rPr>
                <w:rFonts w:hint="eastAsia"/>
                <w:color w:val="0000FF"/>
              </w:rPr>
            </w:pPr>
            <w:r>
              <w:rPr>
                <w:rFonts w:hint="eastAsia"/>
                <w:color w:val="0000FF"/>
              </w:rPr>
              <w:t>3.节约用地，尽量不占农田、耕地。</w:t>
            </w:r>
          </w:p>
          <w:p w14:paraId="16233937">
            <w:pPr>
              <w:pStyle w:val="23"/>
              <w:spacing w:after="0"/>
              <w:ind w:left="0" w:leftChars="0" w:firstLine="480" w:firstLineChars="200"/>
              <w:rPr>
                <w:color w:val="0000FF"/>
              </w:rPr>
            </w:pPr>
            <w:r>
              <w:rPr>
                <w:rFonts w:hint="eastAsia"/>
                <w:color w:val="0000FF"/>
              </w:rPr>
              <w:t>4.注重环境保护，减少水土流失，满足各种安全、防护距离要求，尽量减轻对村民的干扰。</w:t>
            </w:r>
          </w:p>
          <w:p w14:paraId="40007016">
            <w:pPr>
              <w:pStyle w:val="23"/>
              <w:spacing w:after="0"/>
              <w:ind w:left="0" w:leftChars="0" w:firstLine="482" w:firstLineChars="200"/>
              <w:rPr>
                <w:b/>
                <w:bCs/>
                <w:color w:val="0000FF"/>
              </w:rPr>
            </w:pPr>
            <w:r>
              <w:rPr>
                <w:b/>
                <w:bCs/>
                <w:color w:val="0000FF"/>
              </w:rPr>
              <w:t>（</w:t>
            </w:r>
            <w:r>
              <w:rPr>
                <w:rFonts w:hint="eastAsia"/>
                <w:b/>
                <w:bCs/>
                <w:color w:val="0000FF"/>
                <w:lang w:val="en-US" w:eastAsia="zh-CN"/>
              </w:rPr>
              <w:t>2</w:t>
            </w:r>
            <w:r>
              <w:rPr>
                <w:b/>
                <w:bCs/>
                <w:color w:val="0000FF"/>
              </w:rPr>
              <w:t>）施工工艺</w:t>
            </w:r>
          </w:p>
          <w:p w14:paraId="6BD8C9B1">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480"/>
              <w:jc w:val="left"/>
              <w:textAlignment w:val="auto"/>
              <w:rPr>
                <w:color w:val="0000FF"/>
              </w:rPr>
            </w:pPr>
            <w:r>
              <w:rPr>
                <w:color w:val="0000FF"/>
              </w:rPr>
              <w:t>本项目为新建项目，施工期间产生施工扬尘、燃油施工设备和车辆运行时排放废气、生活污水、施工设备机械性和空气动力性噪声、车辆交通噪声、施工垃圾、生活垃圾及占地、植被和土壤破坏、水土流失等生态影响，均会对环境造成一定影响；本项目施工期间污染源随施工阶段不同略有差异，产生污染物排放均为阶段性排放，除部分永久性占地为持续性影响外，其余影响仅会在施工期间存在，并且影响范围小、时间短，会随着施工期的结束而消失。</w:t>
            </w:r>
            <w:r>
              <w:rPr>
                <w:rFonts w:hint="eastAsia"/>
                <w:color w:val="0000FF"/>
                <w:lang w:val="en-US" w:eastAsia="zh-CN"/>
              </w:rPr>
              <w:t xml:space="preserve">   </w:t>
            </w:r>
            <w:r>
              <w:rPr>
                <w:color w:val="0000FF"/>
              </w:rPr>
              <w:drawing>
                <wp:inline distT="0" distB="0" distL="114300" distR="114300">
                  <wp:extent cx="4777105" cy="1056005"/>
                  <wp:effectExtent l="0" t="0" r="4445" b="1079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9"/>
                          <a:stretch>
                            <a:fillRect/>
                          </a:stretch>
                        </pic:blipFill>
                        <pic:spPr>
                          <a:xfrm>
                            <a:off x="0" y="0"/>
                            <a:ext cx="4777105" cy="1056005"/>
                          </a:xfrm>
                          <a:prstGeom prst="rect">
                            <a:avLst/>
                          </a:prstGeom>
                          <a:noFill/>
                          <a:ln>
                            <a:noFill/>
                          </a:ln>
                        </pic:spPr>
                      </pic:pic>
                    </a:graphicData>
                  </a:graphic>
                </wp:inline>
              </w:drawing>
            </w:r>
          </w:p>
          <w:p w14:paraId="76BE7300">
            <w:pPr>
              <w:pStyle w:val="23"/>
              <w:spacing w:after="0"/>
              <w:ind w:left="0" w:leftChars="0" w:firstLine="0" w:firstLineChars="0"/>
              <w:jc w:val="center"/>
              <w:rPr>
                <w:color w:val="0000FF"/>
              </w:rPr>
            </w:pPr>
            <w:r>
              <w:rPr>
                <w:b/>
                <w:bCs/>
                <w:color w:val="0000FF"/>
              </w:rPr>
              <w:t>图 2-</w:t>
            </w:r>
            <w:r>
              <w:rPr>
                <w:rFonts w:hint="eastAsia"/>
                <w:b/>
                <w:bCs/>
                <w:color w:val="0000FF"/>
                <w:lang w:val="en-US" w:eastAsia="zh-CN"/>
              </w:rPr>
              <w:t>1</w:t>
            </w:r>
            <w:r>
              <w:rPr>
                <w:b/>
                <w:bCs/>
                <w:color w:val="0000FF"/>
              </w:rPr>
              <w:t xml:space="preserve"> 施工期工艺流程及产污节点图</w:t>
            </w:r>
          </w:p>
          <w:p w14:paraId="034EAFD4">
            <w:pPr>
              <w:ind w:firstLine="482"/>
              <w:rPr>
                <w:b/>
                <w:bCs/>
                <w:color w:val="0000FF"/>
              </w:rPr>
            </w:pPr>
            <w:r>
              <w:rPr>
                <w:b/>
                <w:bCs/>
                <w:color w:val="0000FF"/>
              </w:rPr>
              <w:t>（</w:t>
            </w:r>
            <w:r>
              <w:rPr>
                <w:rFonts w:hint="eastAsia"/>
                <w:b/>
                <w:bCs/>
                <w:color w:val="0000FF"/>
                <w:lang w:val="en-US" w:eastAsia="zh-CN"/>
              </w:rPr>
              <w:t>3</w:t>
            </w:r>
            <w:r>
              <w:rPr>
                <w:b/>
                <w:bCs/>
                <w:color w:val="0000FF"/>
              </w:rPr>
              <w:t>）施工时序</w:t>
            </w:r>
          </w:p>
          <w:p w14:paraId="7CBC0FFC">
            <w:pPr>
              <w:ind w:firstLine="480"/>
              <w:rPr>
                <w:b/>
                <w:bCs/>
                <w:color w:val="0000FF"/>
              </w:rPr>
            </w:pPr>
            <w:r>
              <w:rPr>
                <w:color w:val="0000FF"/>
              </w:rPr>
              <w:t>在施工准备期间，主要完成临时施工场地的布设及施工用水、电等的接入；进入施工期后，工程进行全面的开发建设。设主体工程包括建构筑物基坑开挖、建筑物基础建设，同时进行道路建设。</w:t>
            </w:r>
          </w:p>
          <w:p w14:paraId="55BE2AB0">
            <w:pPr>
              <w:ind w:firstLine="482"/>
              <w:rPr>
                <w:b/>
                <w:bCs/>
                <w:color w:val="0000FF"/>
              </w:rPr>
            </w:pPr>
            <w:r>
              <w:rPr>
                <w:b/>
                <w:bCs/>
                <w:color w:val="0000FF"/>
              </w:rPr>
              <w:t>（</w:t>
            </w:r>
            <w:r>
              <w:rPr>
                <w:rFonts w:hint="eastAsia"/>
                <w:b/>
                <w:bCs/>
                <w:color w:val="0000FF"/>
                <w:lang w:val="en-US" w:eastAsia="zh-CN"/>
              </w:rPr>
              <w:t>4</w:t>
            </w:r>
            <w:r>
              <w:rPr>
                <w:b/>
                <w:bCs/>
                <w:color w:val="0000FF"/>
              </w:rPr>
              <w:t>）建设周期</w:t>
            </w:r>
          </w:p>
          <w:p w14:paraId="7B788151">
            <w:pPr>
              <w:ind w:firstLine="480"/>
              <w:rPr>
                <w:b/>
                <w:bCs/>
                <w:color w:val="000000" w:themeColor="text1"/>
                <w14:textFill>
                  <w14:solidFill>
                    <w14:schemeClr w14:val="tx1"/>
                  </w14:solidFill>
                </w14:textFill>
              </w:rPr>
            </w:pPr>
            <w:r>
              <w:rPr>
                <w:color w:val="0000FF"/>
              </w:rPr>
              <w:t>本项工程计划2025年12月开始施工，2026年5月竣工。考虑施工前期准备工作、气候及工人休息时间，项目有效施工期以150天计。</w:t>
            </w:r>
          </w:p>
          <w:p w14:paraId="59060965">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2、运营期</w:t>
            </w:r>
          </w:p>
          <w:p w14:paraId="57A34307">
            <w:pPr>
              <w:ind w:firstLine="48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1 \* GB2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⑴</w:t>
            </w:r>
            <w:r>
              <w:rPr>
                <w:color w:val="000000" w:themeColor="text1"/>
                <w14:textFill>
                  <w14:solidFill>
                    <w14:schemeClr w14:val="tx1"/>
                  </w14:solidFill>
                </w14:textFill>
              </w:rPr>
              <w:fldChar w:fldCharType="end"/>
            </w:r>
            <w:r>
              <w:rPr>
                <w:color w:val="000000" w:themeColor="text1"/>
                <w14:textFill>
                  <w14:solidFill>
                    <w14:schemeClr w14:val="tx1"/>
                  </w14:solidFill>
                </w14:textFill>
              </w:rPr>
              <w:t>采矿工业流程及产污环节</w:t>
            </w:r>
          </w:p>
          <w:p w14:paraId="2D4F4D7E">
            <w:pPr>
              <w:ind w:firstLine="480"/>
              <w:rPr>
                <w:color w:val="000000" w:themeColor="text1"/>
                <w14:textFill>
                  <w14:solidFill>
                    <w14:schemeClr w14:val="tx1"/>
                  </w14:solidFill>
                </w14:textFill>
              </w:rPr>
            </w:pPr>
            <w:r>
              <w:rPr>
                <w:color w:val="000000" w:themeColor="text1"/>
                <w14:textFill>
                  <w14:solidFill>
                    <w14:schemeClr w14:val="tx1"/>
                  </w14:solidFill>
                </w14:textFill>
              </w:rPr>
              <w:t>露天开采主要工序有采剥、穿孔、爆破、采装、矿石装运。采矿生产工艺流程及产污环节见图2-</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w:t>
            </w:r>
          </w:p>
          <w:p w14:paraId="565CAE78">
            <w:pPr>
              <w:spacing w:line="240" w:lineRule="auto"/>
              <w:ind w:firstLine="0" w:firstLineChars="0"/>
              <w:jc w:val="center"/>
              <w:rPr>
                <w:color w:val="000000" w:themeColor="text1"/>
                <w:sz w:val="21"/>
                <w:szCs w:val="21"/>
                <w14:textFill>
                  <w14:solidFill>
                    <w14:schemeClr w14:val="tx1"/>
                  </w14:solidFill>
                </w14:textFill>
              </w:rPr>
            </w:pPr>
            <w:r>
              <w:drawing>
                <wp:inline distT="0" distB="0" distL="114300" distR="114300">
                  <wp:extent cx="3460750" cy="1407795"/>
                  <wp:effectExtent l="0" t="0" r="6350" b="19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0"/>
                          <a:stretch>
                            <a:fillRect/>
                          </a:stretch>
                        </pic:blipFill>
                        <pic:spPr>
                          <a:xfrm>
                            <a:off x="0" y="0"/>
                            <a:ext cx="3460750" cy="1407795"/>
                          </a:xfrm>
                          <a:prstGeom prst="rect">
                            <a:avLst/>
                          </a:prstGeom>
                          <a:noFill/>
                          <a:ln>
                            <a:noFill/>
                          </a:ln>
                        </pic:spPr>
                      </pic:pic>
                    </a:graphicData>
                  </a:graphic>
                </wp:inline>
              </w:drawing>
            </w:r>
          </w:p>
          <w:p w14:paraId="3C9E0750">
            <w:pPr>
              <w:spacing w:line="240" w:lineRule="auto"/>
              <w:ind w:firstLine="0" w:firstLineChars="0"/>
              <w:jc w:val="center"/>
              <w:rPr>
                <w:color w:val="000000" w:themeColor="text1"/>
                <w:sz w:val="21"/>
                <w:szCs w:val="21"/>
                <w14:textFill>
                  <w14:solidFill>
                    <w14:schemeClr w14:val="tx1"/>
                  </w14:solidFill>
                </w14:textFill>
              </w:rPr>
            </w:pPr>
          </w:p>
          <w:p w14:paraId="158B5A1D">
            <w:pPr>
              <w:ind w:firstLine="422"/>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图2-</w:t>
            </w:r>
            <w:r>
              <w:rPr>
                <w:rFonts w:hint="eastAsia"/>
                <w:b/>
                <w:bCs/>
                <w:color w:val="000000" w:themeColor="text1"/>
                <w:sz w:val="21"/>
                <w:szCs w:val="21"/>
                <w:lang w:val="en-US" w:eastAsia="zh-CN"/>
                <w14:textFill>
                  <w14:solidFill>
                    <w14:schemeClr w14:val="tx1"/>
                  </w14:solidFill>
                </w14:textFill>
              </w:rPr>
              <w:t>2</w:t>
            </w:r>
            <w:r>
              <w:rPr>
                <w:b/>
                <w:bCs/>
                <w:color w:val="000000" w:themeColor="text1"/>
                <w:sz w:val="21"/>
                <w:szCs w:val="21"/>
                <w14:textFill>
                  <w14:solidFill>
                    <w14:schemeClr w14:val="tx1"/>
                  </w14:solidFill>
                </w14:textFill>
              </w:rPr>
              <w:t xml:space="preserve">    </w:t>
            </w:r>
            <w:r>
              <w:rPr>
                <w:b/>
                <w:bCs/>
                <w:color w:val="0000FF"/>
                <w:sz w:val="21"/>
                <w:szCs w:val="21"/>
              </w:rPr>
              <w:t>露天开采工艺流程及污染环节图</w:t>
            </w:r>
          </w:p>
          <w:p w14:paraId="1E0CBA0B">
            <w:pPr>
              <w:adjustRightInd w:val="0"/>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生产工艺简述：</w:t>
            </w:r>
          </w:p>
          <w:p w14:paraId="6949F19D">
            <w:pPr>
              <w:adjustRightInd w:val="0"/>
              <w:ind w:firstLine="480"/>
              <w:rPr>
                <w:color w:val="000000" w:themeColor="text1"/>
                <w14:textFill>
                  <w14:solidFill>
                    <w14:schemeClr w14:val="tx1"/>
                  </w14:solidFill>
                </w14:textFill>
              </w:rPr>
            </w:pPr>
            <w:r>
              <w:rPr>
                <w:color w:val="000000" w:themeColor="text1"/>
                <w14:textFill>
                  <w14:solidFill>
                    <w14:schemeClr w14:val="tx1"/>
                  </w14:solidFill>
                </w14:textFill>
              </w:rPr>
              <w:t>①穿孔爆破</w:t>
            </w:r>
          </w:p>
          <w:p w14:paraId="54C70806">
            <w:pPr>
              <w:adjustRightInd w:val="0"/>
              <w:ind w:firstLine="480"/>
              <w:rPr>
                <w:color w:val="000000" w:themeColor="text1"/>
                <w14:textFill>
                  <w14:solidFill>
                    <w14:schemeClr w14:val="tx1"/>
                  </w14:solidFill>
                </w14:textFill>
              </w:rPr>
            </w:pPr>
            <w:r>
              <w:rPr>
                <w:color w:val="000000" w:themeColor="text1"/>
                <w14:textFill>
                  <w14:solidFill>
                    <w14:schemeClr w14:val="tx1"/>
                  </w14:solidFill>
                </w14:textFill>
              </w:rPr>
              <w:t>矿山采用1台JK590BC-3AW型履带式液压潜孔钻机进行穿孔作业（自带干式捕尘装置），孔径为Φ105mm。另外利用2台YT-28型手持凿岩机作为边坡修整、靠近边界等特殊地带的凿岩作业辅助作业。</w:t>
            </w:r>
          </w:p>
          <w:p w14:paraId="728BAEE9">
            <w:pPr>
              <w:ind w:firstLine="480"/>
              <w:rPr>
                <w:color w:val="000000" w:themeColor="text1"/>
                <w14:textFill>
                  <w14:solidFill>
                    <w14:schemeClr w14:val="tx1"/>
                  </w14:solidFill>
                </w14:textFill>
              </w:rPr>
            </w:pPr>
            <w:r>
              <w:rPr>
                <w:color w:val="000000" w:themeColor="text1"/>
                <w14:textFill>
                  <w14:solidFill>
                    <w14:schemeClr w14:val="tx1"/>
                  </w14:solidFill>
                </w14:textFill>
              </w:rPr>
              <w:t>此过程产生扬尘和噪声污染，在钻孔作业时进行水喷淋降尘处理。</w:t>
            </w:r>
          </w:p>
          <w:p w14:paraId="73C20D96">
            <w:pPr>
              <w:ind w:firstLine="480"/>
              <w:rPr>
                <w:color w:val="000000" w:themeColor="text1"/>
                <w14:textFill>
                  <w14:solidFill>
                    <w14:schemeClr w14:val="tx1"/>
                  </w14:solidFill>
                </w14:textFill>
              </w:rPr>
            </w:pPr>
            <w:r>
              <w:rPr>
                <w:bCs/>
                <w:color w:val="000000" w:themeColor="text1"/>
                <w14:textFill>
                  <w14:solidFill>
                    <w14:schemeClr w14:val="tx1"/>
                  </w14:solidFill>
                </w14:textFill>
              </w:rPr>
              <w:t>②</w:t>
            </w:r>
            <w:r>
              <w:rPr>
                <w:color w:val="000000" w:themeColor="text1"/>
                <w14:textFill>
                  <w14:solidFill>
                    <w14:schemeClr w14:val="tx1"/>
                  </w14:solidFill>
                </w14:textFill>
              </w:rPr>
              <w:t>爆破工作</w:t>
            </w:r>
          </w:p>
          <w:p w14:paraId="769037E3">
            <w:pPr>
              <w:ind w:firstLine="480"/>
              <w:rPr>
                <w:color w:val="000000" w:themeColor="text1"/>
                <w14:textFill>
                  <w14:solidFill>
                    <w14:schemeClr w14:val="tx1"/>
                  </w14:solidFill>
                </w14:textFill>
              </w:rPr>
            </w:pPr>
            <w:r>
              <w:rPr>
                <w:color w:val="000000" w:themeColor="text1"/>
                <w14:textFill>
                  <w14:solidFill>
                    <w14:schemeClr w14:val="tx1"/>
                  </w14:solidFill>
                </w14:textFill>
              </w:rPr>
              <w:t>项目爆破工作委托当地民爆公司负责，不在矿区设置爆破器材库等。矿山采用倾斜中深孔爆破，爆破布孔采用三角形布置为佳，爆破采用微差爆破方式，选用非电塑料导爆管起爆，炸药用乳化炸药，炮泥采用岩粉、粘土、砂土等材料。此过程产生扬尘和噪声污染。项目在爆破作业后及时采用水喷淋降尘处理。</w:t>
            </w:r>
          </w:p>
          <w:p w14:paraId="15BCFE2C">
            <w:pPr>
              <w:ind w:firstLine="480"/>
              <w:rPr>
                <w:bCs/>
                <w:color w:val="000000" w:themeColor="text1"/>
                <w14:textFill>
                  <w14:solidFill>
                    <w14:schemeClr w14:val="tx1"/>
                  </w14:solidFill>
                </w14:textFill>
              </w:rPr>
            </w:pPr>
            <w:r>
              <w:rPr>
                <w:bCs/>
                <w:color w:val="000000" w:themeColor="text1"/>
                <w14:textFill>
                  <w14:solidFill>
                    <w14:schemeClr w14:val="tx1"/>
                  </w14:solidFill>
                </w14:textFill>
              </w:rPr>
              <w:t>③采装工作</w:t>
            </w:r>
          </w:p>
          <w:p w14:paraId="0E6F9775">
            <w:pPr>
              <w:ind w:firstLine="480"/>
              <w:rPr>
                <w:color w:val="000000" w:themeColor="text1"/>
                <w14:textFill>
                  <w14:solidFill>
                    <w14:schemeClr w14:val="tx1"/>
                  </w14:solidFill>
                </w14:textFill>
              </w:rPr>
            </w:pPr>
            <w:r>
              <w:rPr>
                <w:color w:val="000000" w:themeColor="text1"/>
                <w14:textFill>
                  <w14:solidFill>
                    <w14:schemeClr w14:val="tx1"/>
                  </w14:solidFill>
                </w14:textFill>
              </w:rPr>
              <w:t>采用松动爆破技术，岩石被松动后，用挖掘机和装载机进行铲装。剥离的表土及强风化岩用挖掘机直接挖装，或用推土机配合装载机进行集堆，然后铲装。采剥下来的矿石经铲装后用矿用自卸汽车从采场运输至矿石加工厂破碎（委外）。</w:t>
            </w:r>
          </w:p>
          <w:p w14:paraId="6A122331">
            <w:pPr>
              <w:ind w:firstLine="480"/>
              <w:rPr>
                <w:bCs/>
              </w:rPr>
            </w:pPr>
            <w:r>
              <w:t>项</w:t>
            </w:r>
            <w:r>
              <w:rPr>
                <w:bCs/>
              </w:rPr>
              <w:t>目选用4台履带式挖掘机用于矿石采掘，矿石运输选用11辆20t自卸汽车。</w:t>
            </w:r>
          </w:p>
          <w:p w14:paraId="3C1A5320">
            <w:pPr>
              <w:ind w:firstLine="480"/>
              <w:rPr>
                <w:bCs/>
                <w:color w:val="000000" w:themeColor="text1"/>
                <w14:textFill>
                  <w14:solidFill>
                    <w14:schemeClr w14:val="tx1"/>
                  </w14:solidFill>
                </w14:textFill>
              </w:rPr>
            </w:pP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4 \* GB3 \* MERGEFORMAT </w:instrText>
            </w:r>
            <w:r>
              <w:rPr>
                <w:bCs/>
                <w:color w:val="000000" w:themeColor="text1"/>
                <w14:textFill>
                  <w14:solidFill>
                    <w14:schemeClr w14:val="tx1"/>
                  </w14:solidFill>
                </w14:textFill>
              </w:rPr>
              <w:fldChar w:fldCharType="separate"/>
            </w:r>
            <w:r>
              <w:rPr>
                <w:color w:val="000000" w:themeColor="text1"/>
                <w14:textFill>
                  <w14:solidFill>
                    <w14:schemeClr w14:val="tx1"/>
                  </w14:solidFill>
                </w14:textFill>
              </w:rPr>
              <w:t>④</w:t>
            </w:r>
            <w:r>
              <w:rPr>
                <w:bCs/>
                <w:color w:val="000000" w:themeColor="text1"/>
                <w14:textFill>
                  <w14:solidFill>
                    <w14:schemeClr w14:val="tx1"/>
                  </w14:solidFill>
                </w14:textFill>
              </w:rPr>
              <w:fldChar w:fldCharType="end"/>
            </w:r>
            <w:r>
              <w:rPr>
                <w:bCs/>
                <w:color w:val="000000" w:themeColor="text1"/>
                <w14:textFill>
                  <w14:solidFill>
                    <w14:schemeClr w14:val="tx1"/>
                  </w14:solidFill>
                </w14:textFill>
              </w:rPr>
              <w:t>废石处理</w:t>
            </w:r>
          </w:p>
          <w:p w14:paraId="58F3D78D">
            <w:pPr>
              <w:ind w:firstLine="480"/>
              <w:rPr>
                <w:color w:val="000000" w:themeColor="text1"/>
                <w:sz w:val="21"/>
                <w:szCs w:val="21"/>
                <w14:textFill>
                  <w14:solidFill>
                    <w14:schemeClr w14:val="tx1"/>
                  </w14:solidFill>
                </w14:textFill>
              </w:rPr>
            </w:pPr>
            <w:r>
              <w:rPr>
                <w:bCs/>
                <w:color w:val="000000" w:themeColor="text1"/>
                <w14:textFill>
                  <w14:solidFill>
                    <w14:schemeClr w14:val="tx1"/>
                  </w14:solidFill>
                </w14:textFill>
              </w:rPr>
              <w:t>项目矿山的工作面已形成，剥离的地表覆盖土量很小，产生的表土堆放在采空区，用于矿山后期绿化用土。开采过程中产生的废石用于矿山道路平整。</w:t>
            </w:r>
          </w:p>
        </w:tc>
      </w:tr>
      <w:tr w14:paraId="1DFE9F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471" w:type="pct"/>
            <w:vAlign w:val="center"/>
          </w:tcPr>
          <w:p w14:paraId="4BB22920">
            <w:pPr>
              <w:adjustRightInd w:val="0"/>
              <w:snapToGrid w:val="0"/>
              <w:ind w:firstLine="0" w:firstLineChars="0"/>
              <w:jc w:val="center"/>
              <w:rPr>
                <w:b/>
                <w:bCs/>
                <w:color w:val="000000" w:themeColor="text1"/>
                <w:kern w:val="0"/>
                <w14:textFill>
                  <w14:solidFill>
                    <w14:schemeClr w14:val="tx1"/>
                  </w14:solidFill>
                </w14:textFill>
              </w:rPr>
            </w:pPr>
            <w:r>
              <w:rPr>
                <w:bCs/>
                <w:spacing w:val="10"/>
              </w:rPr>
              <w:t>其他</w:t>
            </w:r>
          </w:p>
        </w:tc>
        <w:tc>
          <w:tcPr>
            <w:tcW w:w="4528" w:type="pct"/>
            <w:vAlign w:val="center"/>
          </w:tcPr>
          <w:p w14:paraId="0CE08FF0">
            <w:pPr>
              <w:ind w:firstLine="480"/>
              <w:jc w:val="center"/>
              <w:rPr>
                <w:bCs/>
                <w:color w:val="000000" w:themeColor="text1"/>
                <w14:textFill>
                  <w14:solidFill>
                    <w14:schemeClr w14:val="tx1"/>
                  </w14:solidFill>
                </w14:textFill>
              </w:rPr>
            </w:pPr>
            <w:r>
              <w:rPr>
                <w:bCs/>
                <w:color w:val="000000" w:themeColor="text1"/>
                <w14:textFill>
                  <w14:solidFill>
                    <w14:schemeClr w14:val="tx1"/>
                  </w14:solidFill>
                </w14:textFill>
              </w:rPr>
              <w:t>无</w:t>
            </w:r>
          </w:p>
        </w:tc>
      </w:tr>
    </w:tbl>
    <w:p w14:paraId="01E6BEE0">
      <w:pPr>
        <w:pStyle w:val="20"/>
      </w:pPr>
    </w:p>
    <w:p w14:paraId="1F3A05EB">
      <w:pPr>
        <w:pStyle w:val="20"/>
      </w:pPr>
    </w:p>
    <w:p w14:paraId="3359D6CF">
      <w:pPr>
        <w:pStyle w:val="20"/>
      </w:pPr>
    </w:p>
    <w:p w14:paraId="3AFF0925">
      <w:pPr>
        <w:pStyle w:val="20"/>
      </w:pPr>
      <w:r>
        <w:t>三、生态环境现状、保护目标及评价标准</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8081"/>
      </w:tblGrid>
      <w:tr w14:paraId="09947D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04" w:hRule="atLeast"/>
          <w:jc w:val="center"/>
        </w:trPr>
        <w:tc>
          <w:tcPr>
            <w:tcW w:w="498" w:type="pct"/>
            <w:vAlign w:val="center"/>
          </w:tcPr>
          <w:p w14:paraId="650E918D">
            <w:pPr>
              <w:adjustRightInd w:val="0"/>
              <w:snapToGrid w:val="0"/>
              <w:spacing w:line="240" w:lineRule="auto"/>
              <w:ind w:firstLine="0" w:firstLineChars="0"/>
              <w:jc w:val="center"/>
              <w:rPr>
                <w:kern w:val="0"/>
              </w:rPr>
            </w:pPr>
            <w:r>
              <w:rPr>
                <w:kern w:val="0"/>
              </w:rPr>
              <w:t>生态环境现状</w:t>
            </w:r>
          </w:p>
        </w:tc>
        <w:tc>
          <w:tcPr>
            <w:tcW w:w="4501" w:type="pct"/>
          </w:tcPr>
          <w:p w14:paraId="7AF2C881">
            <w:pPr>
              <w:pStyle w:val="2"/>
              <w:spacing w:before="120" w:beforeLines="50"/>
              <w:ind w:firstLine="482" w:firstLineChars="200"/>
              <w:rPr>
                <w:rFonts w:eastAsia="宋体"/>
                <w:color w:val="auto"/>
                <w:szCs w:val="24"/>
              </w:rPr>
            </w:pPr>
            <w:r>
              <w:rPr>
                <w:rFonts w:hint="eastAsia" w:eastAsia="宋体"/>
                <w:color w:val="auto"/>
                <w:szCs w:val="24"/>
              </w:rPr>
              <w:t>1、</w:t>
            </w:r>
            <w:r>
              <w:rPr>
                <w:rFonts w:eastAsia="宋体"/>
                <w:color w:val="auto"/>
                <w:szCs w:val="24"/>
              </w:rPr>
              <w:t>主体功能区规划和生态功能区划情况</w:t>
            </w:r>
          </w:p>
          <w:p w14:paraId="4F02E77C">
            <w:pPr>
              <w:ind w:firstLine="480"/>
            </w:pPr>
            <w:r>
              <w:t>根据《陕西省主体功能区规划》，项目位于陕西省宝鸡市陈仓区</w:t>
            </w:r>
            <w:r>
              <w:rPr>
                <w:rFonts w:hint="eastAsia"/>
              </w:rPr>
              <w:t>香泉镇梨树沟</w:t>
            </w:r>
            <w:r>
              <w:t>，属于国家层面重点开发区域。重点开发区域主体功能是提供工业和服务产品，项目符合主体功能区规划要求。</w:t>
            </w:r>
          </w:p>
          <w:p w14:paraId="3D776C2B">
            <w:pPr>
              <w:ind w:firstLine="0" w:firstLineChars="0"/>
              <w:jc w:val="center"/>
            </w:pPr>
            <w:r>
              <w:rPr>
                <w:sz w:val="22"/>
              </w:rPr>
              <mc:AlternateContent>
                <mc:Choice Requires="wps">
                  <w:drawing>
                    <wp:anchor distT="0" distB="0" distL="114300" distR="114300" simplePos="0" relativeHeight="251660288" behindDoc="0" locked="0" layoutInCell="1" allowOverlap="1">
                      <wp:simplePos x="0" y="0"/>
                      <wp:positionH relativeFrom="column">
                        <wp:posOffset>838835</wp:posOffset>
                      </wp:positionH>
                      <wp:positionV relativeFrom="paragraph">
                        <wp:posOffset>2991485</wp:posOffset>
                      </wp:positionV>
                      <wp:extent cx="930910" cy="358140"/>
                      <wp:effectExtent l="12700" t="12700" r="46990" b="657860"/>
                      <wp:wrapNone/>
                      <wp:docPr id="21" name="圆角矩形标注 21"/>
                      <wp:cNvGraphicFramePr/>
                      <a:graphic xmlns:a="http://schemas.openxmlformats.org/drawingml/2006/main">
                        <a:graphicData uri="http://schemas.microsoft.com/office/word/2010/wordprocessingShape">
                          <wps:wsp>
                            <wps:cNvSpPr/>
                            <wps:spPr>
                              <a:xfrm>
                                <a:off x="0" y="0"/>
                                <a:ext cx="930910" cy="358140"/>
                              </a:xfrm>
                              <a:prstGeom prst="wedgeRoundRectCallout">
                                <a:avLst>
                                  <a:gd name="adj1" fmla="val 52609"/>
                                  <a:gd name="adj2" fmla="val 227295"/>
                                  <a:gd name="adj3" fmla="val 1666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1B0AEE2">
                                  <w:pPr>
                                    <w:ind w:firstLine="0" w:firstLineChars="0"/>
                                    <w:rPr>
                                      <w:b/>
                                      <w:bCs/>
                                      <w:color w:val="FF0000"/>
                                    </w:rPr>
                                  </w:pPr>
                                  <w:r>
                                    <w:rPr>
                                      <w:rFonts w:hint="eastAsia"/>
                                      <w:b/>
                                      <w:bCs/>
                                      <w:color w:val="FF0000"/>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66.05pt;margin-top:235.55pt;height:28.2pt;width:73.3pt;z-index:251660288;v-text-anchor:middle;mso-width-relative:page;mso-height-relative:page;" filled="f" stroked="t" coordsize="21600,21600" o:gfxdata="UEsDBAoAAAAAAIdO4kAAAAAAAAAAAAAAAAAEAAAAZHJzL1BLAwQUAAAACACHTuJAPLKm69sAAAAL&#10;AQAADwAAAGRycy9kb3ducmV2LnhtbE2PwU7DMAyG70i8Q2QkLoglLR0dpekkhhDigCoGEtesMW2h&#10;caom28rbY05w8y9/+v25XM9uEAecQu9JQ7JQIJAab3tqNby9PlyuQIRoyJrBE2r4xgDr6vSkNIX1&#10;R3rBwza2gksoFEZDF+NYSBmaDp0JCz8i8e7DT85EjlMr7WSOXO4GmSp1LZ3piS90ZsRNh83Xdu80&#10;3GT34/PdsJnr9vH94kmp2meftdbnZ4m6BRFxjn8w/OqzOlTstPN7skEMnK/ShFENWZ7wwESar3IQ&#10;Ow3LNF+CrEr5/4fqB1BLAwQUAAAACACHTuJAj765DLUCAABTBQAADgAAAGRycy9lMm9Eb2MueG1s&#10;rVTNbhMxEL4j8Q6W73R/mqRN1E0VJQpCqmjUgjg7Xu8P8h+2N5vyAHDnjATiApw58zgtPAZj77YN&#10;LYceyGEzszM7M9/3eXx0vBUcbZixtZIZTvZijJikKq9lmeGXL5ZPDjGyjsiccCVZhi+YxcfTx4+O&#10;Wj1hqaoUz5lBUETaSaszXDmnJ1FkacUEsXtKMwnBQhlBHLimjHJDWqgueJTG8Shqlcm1UZRZC28X&#10;XRD3Fc1DCqqiqClbKNoIJl1X1TBOHECyVa0tnoZpi4JRd1oUljnEMwxIXXhCE7DX/hlNj8ikNERX&#10;Ne1HIA8Z4Q4mQWoJTW9KLYgjqDH1vVKipkZZVbg9qkTUAQmMAIokvsPNeUU0C1iAaqtvSLf/ryx9&#10;vlkZVOcZThOMJBGg+OXHd7+/fvj16fvlzy9Xn99f/fiGIAhMtdpO4INzvTK9Z8H0sLeFEf4fAKFt&#10;YPfihl22dYjCy/F+PE6Adwqh/eFhMgjsR7cfa2PdU6YE8kaGW5aX7Ew1Mj8DGeeEc9W4QDLZnFgX&#10;2M77kUn+GsYvBAfxNoSjYTqKx724Oznpbk6aHqTj4f2k/d2kZDQaHfgcmLNvC9b1pH4GqZY15+Ec&#10;cYlaIHI4iD1MAstRwKEEU2gg2MoSI8JL2DrqTABiFa9z/7kvZE25nnODYP4ML5cx/PrGf6X53gti&#10;qy4vhPo0LmFMr1Gnirfcdr3tpVqr/AKkNqrbAavpsoZSJ8S6FTHAG8wM14I7hUfBFQBRvYVRpczb&#10;f733+XAWIYpRC0sEIN80xDCM+DMJp3ScDEBl5IIzGB6k4JjdyHo3IhsxV4AdlITpgunzHb82C6PE&#10;K7g9Zr4rhIik0Lujs3fmrltuuH8om81CGmyaJu5Enmvqi3eizRqnitp5ZT1RHTu9A7sWBO/vBb/M&#10;u37Iur0Lp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PLKm69sAAAALAQAADwAAAAAAAAABACAA&#10;AAAiAAAAZHJzL2Rvd25yZXYueG1sUEsBAhQAFAAAAAgAh07iQI++uQy1AgAAUwUAAA4AAAAAAAAA&#10;AQAgAAAAKgEAAGRycy9lMm9Eb2MueG1sUEsFBgAAAAAGAAYAWQEAAFEGAAAAAA==&#10;" adj="22164,59896,14400">
                      <v:fill on="f" focussize="0,0"/>
                      <v:stroke weight="2pt" color="#FF0000 [2404]" joinstyle="round"/>
                      <v:imagedata o:title=""/>
                      <o:lock v:ext="edit" aspectratio="f"/>
                      <v:textbox>
                        <w:txbxContent>
                          <w:p w14:paraId="31B0AEE2">
                            <w:pPr>
                              <w:ind w:firstLine="0" w:firstLineChars="0"/>
                              <w:rPr>
                                <w:b/>
                                <w:bCs/>
                                <w:color w:val="FF0000"/>
                              </w:rPr>
                            </w:pPr>
                            <w:r>
                              <w:rPr>
                                <w:rFonts w:hint="eastAsia"/>
                                <w:b/>
                                <w:bCs/>
                                <w:color w:val="FF0000"/>
                              </w:rPr>
                              <w:t>项目位置</w:t>
                            </w:r>
                          </w:p>
                        </w:txbxContent>
                      </v:textbox>
                    </v:shape>
                  </w:pict>
                </mc:Fallback>
              </mc:AlternateContent>
            </w:r>
            <w:r>
              <w:rPr>
                <w:sz w:val="22"/>
              </w:rPr>
              <mc:AlternateContent>
                <mc:Choice Requires="wps">
                  <w:drawing>
                    <wp:anchor distT="0" distB="0" distL="114300" distR="114300" simplePos="0" relativeHeight="251659264" behindDoc="0" locked="0" layoutInCell="1" allowOverlap="1">
                      <wp:simplePos x="0" y="0"/>
                      <wp:positionH relativeFrom="column">
                        <wp:posOffset>1696720</wp:posOffset>
                      </wp:positionH>
                      <wp:positionV relativeFrom="paragraph">
                        <wp:posOffset>3906520</wp:posOffset>
                      </wp:positionV>
                      <wp:extent cx="234315" cy="205105"/>
                      <wp:effectExtent l="12700" t="12700" r="19685" b="29845"/>
                      <wp:wrapNone/>
                      <wp:docPr id="13" name="五角星 13"/>
                      <wp:cNvGraphicFramePr/>
                      <a:graphic xmlns:a="http://schemas.openxmlformats.org/drawingml/2006/main">
                        <a:graphicData uri="http://schemas.microsoft.com/office/word/2010/wordprocessingShape">
                          <wps:wsp>
                            <wps:cNvSpPr/>
                            <wps:spPr>
                              <a:xfrm>
                                <a:off x="0" y="0"/>
                                <a:ext cx="234315" cy="205105"/>
                              </a:xfrm>
                              <a:prstGeom prst="star5">
                                <a:avLst/>
                              </a:prstGeom>
                              <a:solidFill>
                                <a:srgbClr val="FF0000"/>
                              </a:solidFill>
                              <a:ln>
                                <a:solidFill>
                                  <a:schemeClr val="tx1">
                                    <a:lumMod val="95000"/>
                                    <a:lumOff val="5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33.6pt;margin-top:307.6pt;height:16.15pt;width:18.45pt;z-index:251659264;v-text-anchor:middle;mso-width-relative:page;mso-height-relative:page;" fillcolor="#FF0000" filled="t" stroked="t" coordsize="234315,205105" o:gfxdata="UEsDBAoAAAAAAIdO4kAAAAAAAAAAAAAAAAAEAAAAZHJzL1BLAwQUAAAACACHTuJAvxOYvtsAAAAL&#10;AQAADwAAAGRycy9kb3ducmV2LnhtbE2PPU/DMBCGdyT+g3VILIjaSdqUhjgVimBi6QcdurnxkQRi&#10;O4rdNPx7rhNs9/Hovefy9WQ6NuLgW2clRDMBDG3ldGtrCR/7t8cnYD4oq1XnLEr4QQ/r4vYmV5l2&#10;F7vFcRdqRiHWZ0pCE0Kfce6rBo3yM9ejpd2nG4wK1A4114O6ULjpeCxEyo1qLV1oVI9lg9X37mwk&#10;JA+YlF8v0/7dj2LzutmuyuNhJeX9XSSegQWcwh8MV31Sh4KcTu5stWedhDhdxoRKSKMFFUQkYh4B&#10;O9FkvlwAL3L+/4fiF1BLAwQUAAAACACHTuJA3pQhsIMCAAAaBQAADgAAAGRycy9lMm9Eb2MueG1s&#10;rVTLbhMxFN0j8Q+W93QmaQZolKSKGgUhFVopINaOx5MZyS9sJ5PyGYgFO5b8A9+DEJ/BsWfapIVF&#10;FySS5758r8/xvZ6c75UkO+F8Y/SUDk5ySoTmpmz0Zkrfv1s+e0mJD0yXTBotpvRGeHo+e/pk0tqx&#10;GJrayFI4giTaj1s7pXUIdpxlntdCMX9irNBwVsYpFqC6TVY61iK7ktkwz59nrXGldYYL72FddE7a&#10;Z3SPSWiqquFiYfhWCR26rE5IFgDJ1431dJZOW1WCh6uq8iIQOaVAGtKKIpDXcc1mEzbeOGbrhvdH&#10;YI85wgNMijUaRe9SLVhgZOuav1KphjvjTRVOuFFZByQxAhSD/AE3q5pZkbCAam/vSPf/Ly1/u7t2&#10;pCnRCaeUaKZw4z9/fPn9/fOvr98IbCCotX6MuJW9dr3mIUa0+8qp+AUOsk+k3tyRKvaBcBiHp6PT&#10;QUEJh2uYF4O8iDmzw2brfHgljCJRmFL0nisSl2x36UMXexsTi3kjm3LZSJkUt1lfSEd2DBe8XOb4&#10;9envhUlNWpQvRnATztC2FdoForKA7vWGEiY3mAceXKp9b7c/LpIv4j8Fya16Y8qu9lnRl2ZjmNF0&#10;nfnWCrx9loT9XvoIbsF83e1Irh6D1IiO9HeER2ltyhvcmDNdK3vLlw32XzIfrplD7wIgpjtcYamk&#10;AWrTS5TUxn36lz3Go6XgpaTFLICRj1vmBCXytUaznQ1Gozg8SRkVL4ZQ3LFnfezRW3VhcBsDvCOW&#10;JzHGB3krVs6oD3gE5rEqXExz1O6475WL0M0onhEu5vMUhoGxLFzqleUxebx9bebbYKomdcmBnZ40&#10;jEwiux/vOJPHeoo6PGmz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L8TmL7bAAAACwEAAA8AAAAA&#10;AAAAAQAgAAAAIgAAAGRycy9kb3ducmV2LnhtbFBLAQIUABQAAAAIAIdO4kDelCGwgwIAABoFAAAO&#10;AAAAAAAAAAEAIAAAACoBAABkcnMvZTJvRG9jLnhtbFBLBQYAAAAABgAGAFkBAAAfBgAAAAA=&#10;" path="m0,78342l89500,78343,117157,0,144814,78343,234314,78342,161906,126761,189564,205104,117157,156685,44750,205104,72408,126761xe">
                      <v:path o:connectlocs="117157,0;0,78342;44750,205104;189564,205104;234314,78342" o:connectangles="247,164,82,82,0"/>
                      <v:fill on="t" focussize="0,0"/>
                      <v:stroke weight="2pt" color="#0D0D0D [3069]" joinstyle="round"/>
                      <v:imagedata o:title=""/>
                      <o:lock v:ext="edit" aspectratio="f"/>
                    </v:shape>
                  </w:pict>
                </mc:Fallback>
              </mc:AlternateContent>
            </w:r>
            <w:r>
              <w:drawing>
                <wp:inline distT="0" distB="0" distL="114300" distR="114300">
                  <wp:extent cx="4343400" cy="6212840"/>
                  <wp:effectExtent l="19050" t="19050" r="19050" b="16510"/>
                  <wp:docPr id="17" name="图片 4" descr="78f3d18833ce67903d4d2bb064fe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78f3d18833ce67903d4d2bb064fe325"/>
                          <pic:cNvPicPr>
                            <a:picLocks noChangeAspect="1"/>
                          </pic:cNvPicPr>
                        </pic:nvPicPr>
                        <pic:blipFill>
                          <a:blip r:embed="rId21"/>
                          <a:srcRect b="-408"/>
                          <a:stretch>
                            <a:fillRect/>
                          </a:stretch>
                        </pic:blipFill>
                        <pic:spPr>
                          <a:xfrm>
                            <a:off x="0" y="0"/>
                            <a:ext cx="4344457" cy="6214591"/>
                          </a:xfrm>
                          <a:prstGeom prst="rect">
                            <a:avLst/>
                          </a:prstGeom>
                          <a:noFill/>
                          <a:ln>
                            <a:solidFill>
                              <a:schemeClr val="tx1"/>
                            </a:solidFill>
                          </a:ln>
                        </pic:spPr>
                      </pic:pic>
                    </a:graphicData>
                  </a:graphic>
                </wp:inline>
              </w:drawing>
            </w:r>
          </w:p>
          <w:p w14:paraId="297D8B95">
            <w:pPr>
              <w:ind w:firstLine="0" w:firstLineChars="0"/>
              <w:jc w:val="center"/>
            </w:pPr>
            <w:r>
              <w:rPr>
                <w:b/>
                <w:bCs/>
                <w:sz w:val="21"/>
                <w:szCs w:val="21"/>
              </w:rPr>
              <w:t>图3-1 陕西省主体功能区划图</w:t>
            </w:r>
          </w:p>
          <w:p w14:paraId="5060A46D">
            <w:pPr>
              <w:ind w:firstLine="480"/>
            </w:pPr>
            <w:r>
              <w:t>根据《陕西省生态功能区划》，本项目位于陕西省宝鸡市陈仓区</w:t>
            </w:r>
            <w:r>
              <w:rPr>
                <w:rFonts w:hint="eastAsia"/>
              </w:rPr>
              <w:t>香泉镇梨树沟</w:t>
            </w:r>
            <w:r>
              <w:t>，属于三、渭河谷地农业生态区（六）渭河两侧黄土台</w:t>
            </w:r>
            <w:r>
              <w:rPr>
                <w:rFonts w:hint="eastAsia"/>
              </w:rPr>
              <w:t>塬</w:t>
            </w:r>
            <w:r>
              <w:t>农业</w:t>
            </w:r>
            <w:r>
              <w:rPr>
                <w:rFonts w:hint="eastAsia"/>
              </w:rPr>
              <w:t>亚区</w:t>
            </w:r>
            <w:r>
              <w:t>17渭河两侧黄土台</w:t>
            </w:r>
            <w:r>
              <w:rPr>
                <w:rFonts w:hint="eastAsia"/>
              </w:rPr>
              <w:t>源</w:t>
            </w:r>
            <w:r>
              <w:t>农业区。</w:t>
            </w:r>
          </w:p>
          <w:p w14:paraId="2690C683">
            <w:pPr>
              <w:ind w:firstLine="0" w:firstLineChars="0"/>
            </w:pPr>
            <w:r>
              <w:rPr>
                <w:sz w:val="21"/>
              </w:rPr>
              <mc:AlternateContent>
                <mc:Choice Requires="wps">
                  <w:drawing>
                    <wp:anchor distT="0" distB="0" distL="114300" distR="114300" simplePos="0" relativeHeight="251663360" behindDoc="0" locked="0" layoutInCell="1" allowOverlap="1">
                      <wp:simplePos x="0" y="0"/>
                      <wp:positionH relativeFrom="column">
                        <wp:posOffset>1327150</wp:posOffset>
                      </wp:positionH>
                      <wp:positionV relativeFrom="paragraph">
                        <wp:posOffset>3021965</wp:posOffset>
                      </wp:positionV>
                      <wp:extent cx="948690" cy="403860"/>
                      <wp:effectExtent l="12700" t="12700" r="29210" b="574040"/>
                      <wp:wrapNone/>
                      <wp:docPr id="20" name="圆角矩形标注 20"/>
                      <wp:cNvGraphicFramePr/>
                      <a:graphic xmlns:a="http://schemas.openxmlformats.org/drawingml/2006/main">
                        <a:graphicData uri="http://schemas.microsoft.com/office/word/2010/wordprocessingShape">
                          <wps:wsp>
                            <wps:cNvSpPr/>
                            <wps:spPr>
                              <a:xfrm>
                                <a:off x="0" y="0"/>
                                <a:ext cx="948690" cy="403860"/>
                              </a:xfrm>
                              <a:prstGeom prst="wedgeRoundRectCallout">
                                <a:avLst>
                                  <a:gd name="adj1" fmla="val 35809"/>
                                  <a:gd name="adj2" fmla="val 186949"/>
                                  <a:gd name="adj3" fmla="val 1666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D0F8FED">
                                  <w:pPr>
                                    <w:ind w:firstLine="0" w:firstLineChars="0"/>
                                    <w:rPr>
                                      <w:b/>
                                      <w:bCs/>
                                      <w:color w:val="FF0000"/>
                                    </w:rPr>
                                  </w:pPr>
                                  <w:r>
                                    <w:rPr>
                                      <w:rFonts w:hint="eastAsia"/>
                                      <w:b/>
                                      <w:bCs/>
                                      <w:color w:val="FF0000"/>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04.5pt;margin-top:237.95pt;height:31.8pt;width:74.7pt;z-index:251663360;v-text-anchor:middle;mso-width-relative:page;mso-height-relative:page;" filled="f" stroked="t" coordsize="21600,21600" o:gfxdata="UEsDBAoAAAAAAIdO4kAAAAAAAAAAAAAAAAAEAAAAZHJzL1BLAwQUAAAACACHTuJAx5wRFNsAAAAL&#10;AQAADwAAAGRycy9kb3ducmV2LnhtbE2PzU7DMBCE70i8g7VI3KjdtGmbkE1VVXDohYrCA2xik0T4&#10;J7KdtvD0mBMcRzOa+abaXo1mZ+XD4CzCfCaAKds6OdgO4f3t+WEDLESykrSzCuFLBdjWtzcVldJd&#10;7Ks6n2LHUokNJSH0MY4l56HtlaEwc6Oyyftw3lBM0ndcerqkcqN5JsSKGxpsWuhpVPtetZ+nySA8&#10;HWgn8sPKf3c7d5xetG+y/Rrx/m4uHoFFdY1/YfjFT+hQJ6bGTVYGphEyUaQvEWG5zgtgKbHIN0tg&#10;DUK+KHLgdcX/f6h/AFBLAwQUAAAACACHTuJAL7Mc9rMCAABTBQAADgAAAGRycy9lMm9Eb2MueG1s&#10;rVTNbhMxEL4j8Q6W73Q36TZNom6qKFEQUkWrFsTZ8dq7i/yH7WRTHoDeOSOBuABnzjxOC4/B2Ltt&#10;09JDD+TgjHfG38z3jccHhxsp0JpZV2uV495OihFTVBe1KnP8+tXi2RAj54kqiNCK5ficOXw4efrk&#10;oDFj1teVFgWzCECUGzcmx5X3ZpwkjlZMErejDVPg5NpK4mFry6SwpAF0KZJ+mg6SRtvCWE2Zc/B1&#10;3jpxh2gfA6g5rymba7qSTPkW1TJBPFByVW0cnsRqOWfUH3PumEcix8DUxxWSgL0MazI5IOPSElPV&#10;tCuBPKaEe5wkqRUkvYGaE0/Qytb/QMmaWu009ztUy6QlEhUBFr30njZnFTEscgGpnbkR3f0/WPpy&#10;fWJRXeS4D5IoIqHjl58+/Pn28ffnH5e/vl59ubj6+R2BE5RqjBvDgTNzYrudAzPQ3nArwz8QQpuo&#10;7vmNumzjEYWPo2w4GEESCq4s3R0OImZye9hY558zLVEwctywomSneqWKU2jjjAihVz6KTNZHzke1&#10;i65kUrztYcSlgOatiUC7e8N01DV3K6a/HdODcrIHgnbvBA0Gg/0ABHV2acG6rjTUoPSiFiLeI6FQ&#10;A0LuZWmgSWA4OFxKMKUBgZ0qMSKihKmj3kYiTou6CMcDkLPlciYsgvpzvFik8OsS3wkLuefEVW1c&#10;dHVhQkGZoUdtV4LlN8tN16qlLs6h1Va3M+AMXdQAdUScPyEWdIOa4Vnwx7BwoYGI7iyMKm3fP/Q9&#10;xMNdBC9GDQwRkHy3IpZhJF4ouKWjXpYBrI+bbG8/3DG77Vlue9RKzjRwh05CddEM8V5cm9xq+QZe&#10;j2nICi6iKORu5ew2M98ON7w/lE2nMQwmzRB/pM4MDeBt06Yrr3ntQ2eDUK063QZmLTa8exfCMG/v&#10;Y9TtWzj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MecERTbAAAACwEAAA8AAAAAAAAAAQAgAAAA&#10;IgAAAGRycy9kb3ducmV2LnhtbFBLAQIUABQAAAAIAIdO4kAvsxz2swIAAFMFAAAOAAAAAAAAAAEA&#10;IAAAACoBAABkcnMvZTJvRG9jLnhtbFBLBQYAAAAABgAGAFkBAABPBgAAAAA=&#10;" adj="18535,51181,14400">
                      <v:fill on="f" focussize="0,0"/>
                      <v:stroke weight="2pt" color="#FF0000 [2404]" joinstyle="round"/>
                      <v:imagedata o:title=""/>
                      <o:lock v:ext="edit" aspectratio="f"/>
                      <v:textbox>
                        <w:txbxContent>
                          <w:p w14:paraId="2D0F8FED">
                            <w:pPr>
                              <w:ind w:firstLine="0" w:firstLineChars="0"/>
                              <w:rPr>
                                <w:b/>
                                <w:bCs/>
                                <w:color w:val="FF0000"/>
                              </w:rPr>
                            </w:pPr>
                            <w:r>
                              <w:rPr>
                                <w:rFonts w:hint="eastAsia"/>
                                <w:b/>
                                <w:bCs/>
                                <w:color w:val="FF0000"/>
                              </w:rPr>
                              <w:t>项目位置</w:t>
                            </w:r>
                          </w:p>
                        </w:txbxContent>
                      </v:textbox>
                    </v:shape>
                  </w:pict>
                </mc:Fallback>
              </mc:AlternateContent>
            </w:r>
            <w:r>
              <w:rPr>
                <w:sz w:val="22"/>
              </w:rPr>
              <mc:AlternateContent>
                <mc:Choice Requires="wps">
                  <w:drawing>
                    <wp:anchor distT="0" distB="0" distL="114300" distR="114300" simplePos="0" relativeHeight="251661312" behindDoc="0" locked="0" layoutInCell="1" allowOverlap="1">
                      <wp:simplePos x="0" y="0"/>
                      <wp:positionH relativeFrom="column">
                        <wp:posOffset>2028190</wp:posOffset>
                      </wp:positionH>
                      <wp:positionV relativeFrom="paragraph">
                        <wp:posOffset>3851275</wp:posOffset>
                      </wp:positionV>
                      <wp:extent cx="263525" cy="248920"/>
                      <wp:effectExtent l="12700" t="12700" r="28575" b="24130"/>
                      <wp:wrapNone/>
                      <wp:docPr id="19" name="五角星 19"/>
                      <wp:cNvGraphicFramePr/>
                      <a:graphic xmlns:a="http://schemas.openxmlformats.org/drawingml/2006/main">
                        <a:graphicData uri="http://schemas.microsoft.com/office/word/2010/wordprocessingShape">
                          <wps:wsp>
                            <wps:cNvSpPr/>
                            <wps:spPr>
                              <a:xfrm>
                                <a:off x="0" y="0"/>
                                <a:ext cx="263525" cy="248920"/>
                              </a:xfrm>
                              <a:prstGeom prst="star5">
                                <a:avLst/>
                              </a:prstGeom>
                              <a:solidFill>
                                <a:srgbClr val="FF00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9.7pt;margin-top:303.25pt;height:19.6pt;width:20.75pt;z-index:251661312;v-text-anchor:middle;mso-width-relative:page;mso-height-relative:page;" fillcolor="#FF0000" filled="t" stroked="t" coordsize="263525,248920" o:gfxdata="UEsDBAoAAAAAAIdO4kAAAAAAAAAAAAAAAAAEAAAAZHJzL1BLAwQUAAAACACHTuJAzxghpdgAAAAL&#10;AQAADwAAAGRycy9kb3ducmV2LnhtbE2PTU/DMAyG70j8h8hI3FjSfRRamu4w4ApiICRuWWPSQuNM&#10;SbaOf485wdH2o9fP26xPfhRHjGkIpKGYKRBIXbADOQ2vLw9XNyBSNmTNGAg1fGOCdXt+1pjahome&#10;8bjNTnAIpdpo6HPe11Kmrkdv0izskfj2EaI3mcfopI1m4nA/yrlSpfRmIP7Qmz1ueuy+tgevoXrs&#10;ntzd/XuR3eDc2zSPn3YTtb68KNQtiIyn/AfDrz6rQ8tOu3Agm8SoYVFUS0Y1lKpcgWBiUaoKxI43&#10;y9U1yLaR/zu0P1BLAwQUAAAACACHTuJAJ4jJ+W0CAADiBAAADgAAAGRycy9lMm9Eb2MueG1srVTN&#10;bhMxEL4j8Q6W73STkJQ2alJFiYKQKlqpIM6O186u5D9sJ5vyGIgDtx55B54HIR6Dz95tk5YeeiCH&#10;zYxnPD/ffOOz851WZCt8qK2Z0P5RjxJhuC1rs57Qjx+Wr04oCZGZkilrxITeiEDPpy9fnDVuLAa2&#10;sqoUniCICePGTWgVoxsXReCV0CwcWScMjNJ6zSJUvy5KzxpE16oY9HrHRWN96bzlIgScLloj7SL6&#10;5wS0UtZcLCzfaGFiG9ULxSJaClXtAp3maqUUPF5KGUQkakLRacxfJIG8St9iesbGa89cVfOuBPac&#10;Eh71pFltkPQ+1IJFRja+/ieUrrm3wcp4xK0u2kYyIuii33uEzXXFnMi9AOrg7kEP/y8sf7+98qQu&#10;wYRTSgzTmPivn9/+/Pj6+/stwRkAalwYw+/aXflOCxBTtzvpdfpHH2SXQb25B1XsIuE4HBy/Hg1G&#10;lHCYBsOT00EGvdhfdj7Et8JqkoQJBff8KGPJthchIiN873xSsmBVXS5rpbLi16u58mTLMODlsodf&#10;KhlXHrgpQxqkHw1hJpyBthJ0gagdWg9mTQlTa+wDjz7nfnA7HCZJKZ5OkopcsFC1xeQIXS3KoKQE&#10;Ywtckla2vAHy3raUDI4va9y/YCFeMQ8OolBsabzERyqL6m0nUVJZ/+Wp8+QPasBKSQNOo7PPG+YF&#10;JeqdAWlO+8NhWoKsDEdvMAriDy2rQ4vZ6LkFqn28B45nMflHdSdKb/UnLPMsZYWJGY7cLYadMo/t&#10;ruE54GI2y24gvmPxwlw7noKnKRo720Qr6zztPTodaKB+nmi3pmm3DvXstX+ap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zxghpdgAAAALAQAADwAAAAAAAAABACAAAAAiAAAAZHJzL2Rvd25yZXYu&#10;eG1sUEsBAhQAFAAAAAgAh07iQCeIyfltAgAA4gQAAA4AAAAAAAAAAQAgAAAAJwEAAGRycy9lMm9E&#10;b2MueG1sUEsFBgAAAAAGAAYAWQEAAAYGAAAAAA==&#10;" path="m0,95078l100658,95079,131762,0,162866,95079,263524,95078,182090,153840,213196,248919,131762,190156,50328,248919,81434,153840xe">
                      <v:path o:connectlocs="131762,0;0,95078;50328,248919;213196,248919;263524,95078" o:connectangles="247,164,82,82,0"/>
                      <v:fill on="t" focussize="0,0"/>
                      <v:stroke weight="2pt" color="#000000 [3213]" joinstyle="round"/>
                      <v:imagedata o:title=""/>
                      <o:lock v:ext="edit" aspectratio="f"/>
                    </v:shape>
                  </w:pict>
                </mc:Fallback>
              </mc:AlternateContent>
            </w:r>
            <w:r>
              <w:drawing>
                <wp:inline distT="0" distB="0" distL="114300" distR="114300">
                  <wp:extent cx="4850130" cy="6110605"/>
                  <wp:effectExtent l="9525" t="9525" r="17145" b="13970"/>
                  <wp:docPr id="18" name="图片 5" descr="65faaeef0722c45aed252ee0c12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65faaeef0722c45aed252ee0c126857"/>
                          <pic:cNvPicPr>
                            <a:picLocks noChangeAspect="1"/>
                          </pic:cNvPicPr>
                        </pic:nvPicPr>
                        <pic:blipFill>
                          <a:blip r:embed="rId22"/>
                          <a:stretch>
                            <a:fillRect/>
                          </a:stretch>
                        </pic:blipFill>
                        <pic:spPr>
                          <a:xfrm>
                            <a:off x="0" y="0"/>
                            <a:ext cx="4850130" cy="6110605"/>
                          </a:xfrm>
                          <a:prstGeom prst="rect">
                            <a:avLst/>
                          </a:prstGeom>
                          <a:noFill/>
                          <a:ln>
                            <a:solidFill>
                              <a:schemeClr val="tx1"/>
                            </a:solidFill>
                          </a:ln>
                        </pic:spPr>
                      </pic:pic>
                    </a:graphicData>
                  </a:graphic>
                </wp:inline>
              </w:drawing>
            </w:r>
          </w:p>
          <w:p w14:paraId="1B1C4C0F">
            <w:pPr>
              <w:ind w:firstLine="0" w:firstLineChars="0"/>
              <w:jc w:val="center"/>
            </w:pPr>
            <w:r>
              <w:rPr>
                <w:b/>
                <w:bCs/>
                <w:sz w:val="21"/>
                <w:szCs w:val="21"/>
              </w:rPr>
              <w:t>图3-2 陕西省生态功能区划图</w:t>
            </w:r>
          </w:p>
          <w:p w14:paraId="279EA555">
            <w:pPr>
              <w:ind w:firstLine="480"/>
            </w:pPr>
            <w:r>
              <w:rPr>
                <w:rFonts w:hint="eastAsia"/>
              </w:rPr>
              <w:t>2、</w:t>
            </w:r>
            <w:r>
              <w:t>环境空气质量现状</w:t>
            </w:r>
          </w:p>
          <w:p w14:paraId="0C39651B">
            <w:pPr>
              <w:ind w:firstLine="480"/>
            </w:pPr>
            <w:r>
              <w:fldChar w:fldCharType="begin"/>
            </w:r>
            <w:r>
              <w:instrText xml:space="preserve"> = 1 \* GB2 \* MERGEFORMAT </w:instrText>
            </w:r>
            <w:r>
              <w:fldChar w:fldCharType="separate"/>
            </w:r>
            <w:r>
              <w:t>⑴</w:t>
            </w:r>
            <w:r>
              <w:fldChar w:fldCharType="end"/>
            </w:r>
            <w:r>
              <w:t>空气质量达标区判定</w:t>
            </w:r>
          </w:p>
          <w:p w14:paraId="10E86B44">
            <w:pPr>
              <w:ind w:firstLine="480"/>
            </w:pPr>
            <w:r>
              <w:t>项目所在地属于二类环境空气质量功能区，执行《环境空气质量标准》（GB3095-2012）中的二级标准。</w:t>
            </w:r>
          </w:p>
          <w:p w14:paraId="3F67DADB">
            <w:pPr>
              <w:ind w:firstLine="480"/>
            </w:pPr>
            <w:r>
              <w:t>本次评价基本污染物环境质量现状采用宝鸡市生态环境局办公室发布的《202</w:t>
            </w:r>
            <w:r>
              <w:rPr>
                <w:rFonts w:hint="eastAsia"/>
              </w:rPr>
              <w:t>4</w:t>
            </w:r>
            <w:r>
              <w:t>年1~12月份各县（区）空气质量状况统计》中陈仓区的统计数据，如表3-1所示：</w:t>
            </w:r>
          </w:p>
          <w:p w14:paraId="0E43E485">
            <w:pPr>
              <w:pStyle w:val="46"/>
              <w:spacing w:beforeLines="0" w:afterLines="0" w:line="240" w:lineRule="auto"/>
              <w:ind w:firstLine="0" w:firstLineChars="0"/>
              <w:rPr>
                <w:rFonts w:ascii="Times New Roman"/>
                <w:b/>
                <w:bCs/>
                <w:sz w:val="21"/>
              </w:rPr>
            </w:pPr>
            <w:r>
              <w:rPr>
                <w:rFonts w:ascii="Times New Roman"/>
                <w:b/>
                <w:bCs/>
                <w:sz w:val="24"/>
                <w:szCs w:val="24"/>
              </w:rPr>
              <w:t>表3-1  区域空气质量现状评价表</w:t>
            </w:r>
          </w:p>
          <w:tbl>
            <w:tblPr>
              <w:tblStyle w:val="24"/>
              <w:tblW w:w="491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955"/>
              <w:gridCol w:w="2115"/>
              <w:gridCol w:w="1163"/>
              <w:gridCol w:w="1163"/>
              <w:gridCol w:w="1090"/>
              <w:gridCol w:w="1242"/>
            </w:tblGrid>
            <w:tr w14:paraId="74BCC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9" w:hRule="atLeast"/>
              </w:trPr>
              <w:tc>
                <w:tcPr>
                  <w:tcW w:w="624" w:type="pct"/>
                  <w:tcBorders>
                    <w:tl2br w:val="nil"/>
                    <w:tr2bl w:val="nil"/>
                  </w:tcBorders>
                  <w:shd w:val="clear" w:color="auto" w:fill="FFFFFF" w:themeFill="background1"/>
                  <w:vAlign w:val="center"/>
                </w:tcPr>
                <w:p w14:paraId="5DA27770">
                  <w:pPr>
                    <w:pStyle w:val="3"/>
                    <w:numPr>
                      <w:ilvl w:val="0"/>
                      <w:numId w:val="0"/>
                    </w:numPr>
                    <w:spacing w:line="240" w:lineRule="auto"/>
                    <w:jc w:val="center"/>
                    <w:rPr>
                      <w:rFonts w:ascii="Times New Roman" w:hAnsi="Times New Roman"/>
                      <w:b/>
                      <w:bCs/>
                      <w:sz w:val="21"/>
                      <w:szCs w:val="21"/>
                    </w:rPr>
                  </w:pPr>
                  <w:r>
                    <w:rPr>
                      <w:rFonts w:ascii="Times New Roman" w:hAnsi="Times New Roman"/>
                      <w:b/>
                      <w:bCs/>
                      <w:sz w:val="21"/>
                      <w:szCs w:val="21"/>
                    </w:rPr>
                    <w:t>污染物</w:t>
                  </w:r>
                </w:p>
              </w:tc>
              <w:tc>
                <w:tcPr>
                  <w:tcW w:w="1374" w:type="pct"/>
                  <w:tcBorders>
                    <w:tl2br w:val="nil"/>
                    <w:tr2bl w:val="nil"/>
                  </w:tcBorders>
                  <w:shd w:val="clear" w:color="auto" w:fill="FFFFFF" w:themeFill="background1"/>
                  <w:vAlign w:val="center"/>
                </w:tcPr>
                <w:p w14:paraId="3CCCFB93">
                  <w:pPr>
                    <w:pStyle w:val="3"/>
                    <w:numPr>
                      <w:ilvl w:val="0"/>
                      <w:numId w:val="0"/>
                    </w:numPr>
                    <w:spacing w:line="240" w:lineRule="auto"/>
                    <w:jc w:val="center"/>
                    <w:rPr>
                      <w:rFonts w:ascii="Times New Roman" w:hAnsi="Times New Roman"/>
                      <w:b/>
                      <w:bCs/>
                      <w:sz w:val="21"/>
                      <w:szCs w:val="21"/>
                    </w:rPr>
                  </w:pPr>
                  <w:r>
                    <w:rPr>
                      <w:rFonts w:ascii="Times New Roman" w:hAnsi="Times New Roman"/>
                      <w:b/>
                      <w:bCs/>
                      <w:sz w:val="21"/>
                      <w:szCs w:val="21"/>
                    </w:rPr>
                    <w:t>年评价指标</w:t>
                  </w:r>
                </w:p>
              </w:tc>
              <w:tc>
                <w:tcPr>
                  <w:tcW w:w="751" w:type="pct"/>
                  <w:tcBorders>
                    <w:tl2br w:val="nil"/>
                    <w:tr2bl w:val="nil"/>
                  </w:tcBorders>
                  <w:shd w:val="clear" w:color="auto" w:fill="FFFFFF" w:themeFill="background1"/>
                  <w:vAlign w:val="center"/>
                </w:tcPr>
                <w:p w14:paraId="1EDC01DC">
                  <w:pPr>
                    <w:pStyle w:val="3"/>
                    <w:numPr>
                      <w:ilvl w:val="0"/>
                      <w:numId w:val="0"/>
                    </w:numPr>
                    <w:spacing w:line="240" w:lineRule="auto"/>
                    <w:jc w:val="center"/>
                    <w:rPr>
                      <w:rFonts w:ascii="Times New Roman" w:hAnsi="Times New Roman"/>
                      <w:b/>
                      <w:bCs/>
                      <w:sz w:val="21"/>
                      <w:szCs w:val="21"/>
                    </w:rPr>
                  </w:pPr>
                  <w:r>
                    <w:rPr>
                      <w:rFonts w:ascii="Times New Roman" w:hAnsi="Times New Roman"/>
                      <w:b/>
                      <w:bCs/>
                      <w:sz w:val="21"/>
                      <w:szCs w:val="21"/>
                    </w:rPr>
                    <w:t>现状浓度（μg/m</w:t>
                  </w:r>
                  <w:r>
                    <w:rPr>
                      <w:rFonts w:ascii="Times New Roman" w:hAnsi="Times New Roman"/>
                      <w:b/>
                      <w:bCs/>
                      <w:sz w:val="21"/>
                      <w:szCs w:val="21"/>
                      <w:vertAlign w:val="superscript"/>
                    </w:rPr>
                    <w:t>3</w:t>
                  </w:r>
                  <w:r>
                    <w:rPr>
                      <w:rFonts w:ascii="Times New Roman" w:hAnsi="Times New Roman"/>
                      <w:b/>
                      <w:bCs/>
                      <w:sz w:val="21"/>
                      <w:szCs w:val="21"/>
                    </w:rPr>
                    <w:t>）</w:t>
                  </w:r>
                </w:p>
              </w:tc>
              <w:tc>
                <w:tcPr>
                  <w:tcW w:w="728" w:type="pct"/>
                  <w:tcBorders>
                    <w:tl2br w:val="nil"/>
                    <w:tr2bl w:val="nil"/>
                  </w:tcBorders>
                  <w:shd w:val="clear" w:color="auto" w:fill="FFFFFF" w:themeFill="background1"/>
                  <w:vAlign w:val="center"/>
                </w:tcPr>
                <w:p w14:paraId="79400506">
                  <w:pPr>
                    <w:pStyle w:val="3"/>
                    <w:numPr>
                      <w:ilvl w:val="0"/>
                      <w:numId w:val="0"/>
                    </w:numPr>
                    <w:spacing w:line="240" w:lineRule="auto"/>
                    <w:jc w:val="center"/>
                    <w:rPr>
                      <w:rFonts w:ascii="Times New Roman" w:hAnsi="Times New Roman"/>
                      <w:b/>
                      <w:bCs/>
                      <w:sz w:val="21"/>
                      <w:szCs w:val="21"/>
                    </w:rPr>
                  </w:pPr>
                  <w:r>
                    <w:rPr>
                      <w:rFonts w:ascii="Times New Roman" w:hAnsi="Times New Roman"/>
                      <w:b/>
                      <w:bCs/>
                      <w:sz w:val="21"/>
                      <w:szCs w:val="21"/>
                    </w:rPr>
                    <w:t>标准值（μg/m</w:t>
                  </w:r>
                  <w:r>
                    <w:rPr>
                      <w:rFonts w:ascii="Times New Roman" w:hAnsi="Times New Roman"/>
                      <w:b/>
                      <w:bCs/>
                      <w:sz w:val="21"/>
                      <w:szCs w:val="21"/>
                      <w:vertAlign w:val="superscript"/>
                    </w:rPr>
                    <w:t>3</w:t>
                  </w:r>
                  <w:r>
                    <w:rPr>
                      <w:rFonts w:ascii="Times New Roman" w:hAnsi="Times New Roman"/>
                      <w:b/>
                      <w:bCs/>
                      <w:sz w:val="21"/>
                      <w:szCs w:val="21"/>
                    </w:rPr>
                    <w:t>）</w:t>
                  </w:r>
                </w:p>
              </w:tc>
              <w:tc>
                <w:tcPr>
                  <w:tcW w:w="711" w:type="pct"/>
                  <w:tcBorders>
                    <w:tl2br w:val="nil"/>
                    <w:tr2bl w:val="nil"/>
                  </w:tcBorders>
                  <w:shd w:val="clear" w:color="auto" w:fill="FFFFFF" w:themeFill="background1"/>
                  <w:vAlign w:val="center"/>
                </w:tcPr>
                <w:p w14:paraId="280DA88C">
                  <w:pPr>
                    <w:pStyle w:val="3"/>
                    <w:numPr>
                      <w:ilvl w:val="0"/>
                      <w:numId w:val="0"/>
                    </w:numPr>
                    <w:spacing w:line="240" w:lineRule="auto"/>
                    <w:jc w:val="center"/>
                    <w:rPr>
                      <w:rFonts w:ascii="Times New Roman" w:hAnsi="Times New Roman"/>
                      <w:b/>
                      <w:bCs/>
                      <w:sz w:val="21"/>
                      <w:szCs w:val="21"/>
                    </w:rPr>
                  </w:pPr>
                  <w:r>
                    <w:rPr>
                      <w:rFonts w:ascii="Times New Roman" w:hAnsi="Times New Roman"/>
                      <w:b/>
                      <w:bCs/>
                      <w:sz w:val="21"/>
                      <w:szCs w:val="21"/>
                    </w:rPr>
                    <w:t>占标率（%）</w:t>
                  </w:r>
                </w:p>
              </w:tc>
              <w:tc>
                <w:tcPr>
                  <w:tcW w:w="809" w:type="pct"/>
                  <w:tcBorders>
                    <w:tl2br w:val="nil"/>
                    <w:tr2bl w:val="nil"/>
                  </w:tcBorders>
                  <w:shd w:val="clear" w:color="auto" w:fill="FFFFFF" w:themeFill="background1"/>
                  <w:vAlign w:val="center"/>
                </w:tcPr>
                <w:p w14:paraId="2F07D5F5">
                  <w:pPr>
                    <w:pStyle w:val="3"/>
                    <w:numPr>
                      <w:ilvl w:val="0"/>
                      <w:numId w:val="0"/>
                    </w:numPr>
                    <w:spacing w:line="240" w:lineRule="auto"/>
                    <w:jc w:val="center"/>
                    <w:rPr>
                      <w:rFonts w:ascii="Times New Roman" w:hAnsi="Times New Roman"/>
                      <w:b/>
                      <w:bCs/>
                      <w:sz w:val="21"/>
                      <w:szCs w:val="21"/>
                    </w:rPr>
                  </w:pPr>
                  <w:r>
                    <w:rPr>
                      <w:rFonts w:ascii="Times New Roman" w:hAnsi="Times New Roman"/>
                      <w:b/>
                      <w:bCs/>
                      <w:sz w:val="21"/>
                      <w:szCs w:val="21"/>
                    </w:rPr>
                    <w:t>达标</w:t>
                  </w:r>
                </w:p>
                <w:p w14:paraId="5AA7DC56">
                  <w:pPr>
                    <w:pStyle w:val="3"/>
                    <w:numPr>
                      <w:ilvl w:val="0"/>
                      <w:numId w:val="0"/>
                    </w:numPr>
                    <w:spacing w:line="240" w:lineRule="auto"/>
                    <w:jc w:val="center"/>
                    <w:rPr>
                      <w:rFonts w:ascii="Times New Roman" w:hAnsi="Times New Roman"/>
                      <w:b/>
                      <w:bCs/>
                      <w:sz w:val="21"/>
                      <w:szCs w:val="21"/>
                    </w:rPr>
                  </w:pPr>
                  <w:r>
                    <w:rPr>
                      <w:rFonts w:ascii="Times New Roman" w:hAnsi="Times New Roman"/>
                      <w:b/>
                      <w:bCs/>
                      <w:sz w:val="21"/>
                      <w:szCs w:val="21"/>
                    </w:rPr>
                    <w:t>情况</w:t>
                  </w:r>
                </w:p>
              </w:tc>
            </w:tr>
            <w:tr w14:paraId="22770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624" w:type="pct"/>
                  <w:tcBorders>
                    <w:tl2br w:val="nil"/>
                    <w:tr2bl w:val="nil"/>
                  </w:tcBorders>
                  <w:shd w:val="clear" w:color="auto" w:fill="FFFFFF" w:themeFill="background1"/>
                  <w:vAlign w:val="center"/>
                </w:tcPr>
                <w:p w14:paraId="087530DA">
                  <w:pPr>
                    <w:pStyle w:val="3"/>
                    <w:numPr>
                      <w:ilvl w:val="0"/>
                      <w:numId w:val="0"/>
                    </w:numPr>
                    <w:spacing w:line="240" w:lineRule="auto"/>
                    <w:jc w:val="center"/>
                    <w:rPr>
                      <w:rFonts w:ascii="Times New Roman" w:hAnsi="Times New Roman"/>
                      <w:sz w:val="21"/>
                      <w:szCs w:val="21"/>
                    </w:rPr>
                  </w:pPr>
                  <w:r>
                    <w:rPr>
                      <w:rFonts w:ascii="Times New Roman" w:hAnsi="Times New Roman"/>
                      <w:sz w:val="21"/>
                      <w:szCs w:val="21"/>
                    </w:rPr>
                    <w:t>PM</w:t>
                  </w:r>
                  <w:r>
                    <w:rPr>
                      <w:rFonts w:ascii="Times New Roman" w:hAnsi="Times New Roman"/>
                      <w:sz w:val="21"/>
                      <w:szCs w:val="21"/>
                      <w:vertAlign w:val="subscript"/>
                    </w:rPr>
                    <w:t>10</w:t>
                  </w:r>
                </w:p>
              </w:tc>
              <w:tc>
                <w:tcPr>
                  <w:tcW w:w="1374" w:type="pct"/>
                  <w:tcBorders>
                    <w:tl2br w:val="nil"/>
                    <w:tr2bl w:val="nil"/>
                  </w:tcBorders>
                  <w:shd w:val="clear" w:color="auto" w:fill="FFFFFF" w:themeFill="background1"/>
                  <w:vAlign w:val="center"/>
                </w:tcPr>
                <w:p w14:paraId="12DFCAC7">
                  <w:pPr>
                    <w:pStyle w:val="3"/>
                    <w:numPr>
                      <w:ilvl w:val="0"/>
                      <w:numId w:val="0"/>
                    </w:numPr>
                    <w:spacing w:line="240" w:lineRule="auto"/>
                    <w:jc w:val="center"/>
                    <w:rPr>
                      <w:rFonts w:ascii="Times New Roman" w:hAnsi="Times New Roman"/>
                      <w:sz w:val="21"/>
                      <w:szCs w:val="21"/>
                    </w:rPr>
                  </w:pPr>
                  <w:r>
                    <w:rPr>
                      <w:rFonts w:ascii="Times New Roman" w:hAnsi="Times New Roman"/>
                      <w:sz w:val="21"/>
                      <w:szCs w:val="21"/>
                    </w:rPr>
                    <w:t>年平均浓度</w:t>
                  </w:r>
                </w:p>
              </w:tc>
              <w:tc>
                <w:tcPr>
                  <w:tcW w:w="751" w:type="pct"/>
                  <w:tcBorders>
                    <w:tl2br w:val="nil"/>
                    <w:tr2bl w:val="nil"/>
                  </w:tcBorders>
                  <w:shd w:val="clear" w:color="auto" w:fill="FFFFFF" w:themeFill="background1"/>
                  <w:vAlign w:val="center"/>
                </w:tcPr>
                <w:p w14:paraId="2E72F4E2">
                  <w:pPr>
                    <w:pStyle w:val="3"/>
                    <w:numPr>
                      <w:ilvl w:val="0"/>
                      <w:numId w:val="0"/>
                    </w:numPr>
                    <w:spacing w:line="240" w:lineRule="auto"/>
                    <w:jc w:val="center"/>
                    <w:rPr>
                      <w:rFonts w:ascii="Times New Roman" w:hAnsi="Times New Roman"/>
                      <w:sz w:val="21"/>
                      <w:szCs w:val="21"/>
                    </w:rPr>
                  </w:pPr>
                  <w:r>
                    <w:rPr>
                      <w:rFonts w:hint="eastAsia" w:ascii="Times New Roman" w:hAnsi="Times New Roman"/>
                      <w:sz w:val="21"/>
                      <w:szCs w:val="21"/>
                    </w:rPr>
                    <w:t>70</w:t>
                  </w:r>
                </w:p>
              </w:tc>
              <w:tc>
                <w:tcPr>
                  <w:tcW w:w="728" w:type="pct"/>
                  <w:tcBorders>
                    <w:tl2br w:val="nil"/>
                    <w:tr2bl w:val="nil"/>
                  </w:tcBorders>
                  <w:shd w:val="clear" w:color="auto" w:fill="FFFFFF" w:themeFill="background1"/>
                  <w:vAlign w:val="center"/>
                </w:tcPr>
                <w:p w14:paraId="0B294B9C">
                  <w:pPr>
                    <w:pStyle w:val="3"/>
                    <w:numPr>
                      <w:ilvl w:val="0"/>
                      <w:numId w:val="0"/>
                    </w:numPr>
                    <w:spacing w:line="240" w:lineRule="auto"/>
                    <w:jc w:val="center"/>
                    <w:rPr>
                      <w:rFonts w:ascii="Times New Roman" w:hAnsi="Times New Roman"/>
                      <w:sz w:val="21"/>
                      <w:szCs w:val="21"/>
                    </w:rPr>
                  </w:pPr>
                  <w:r>
                    <w:rPr>
                      <w:rFonts w:ascii="Times New Roman" w:hAnsi="Times New Roman"/>
                      <w:sz w:val="21"/>
                      <w:szCs w:val="21"/>
                    </w:rPr>
                    <w:t>70</w:t>
                  </w:r>
                </w:p>
              </w:tc>
              <w:tc>
                <w:tcPr>
                  <w:tcW w:w="711" w:type="pct"/>
                  <w:tcBorders>
                    <w:tl2br w:val="nil"/>
                    <w:tr2bl w:val="nil"/>
                  </w:tcBorders>
                  <w:shd w:val="clear" w:color="auto" w:fill="FFFFFF" w:themeFill="background1"/>
                  <w:vAlign w:val="center"/>
                </w:tcPr>
                <w:p w14:paraId="4A465A6A">
                  <w:pPr>
                    <w:pStyle w:val="3"/>
                    <w:numPr>
                      <w:ilvl w:val="0"/>
                      <w:numId w:val="0"/>
                    </w:numPr>
                    <w:spacing w:line="240" w:lineRule="auto"/>
                    <w:jc w:val="center"/>
                    <w:rPr>
                      <w:rFonts w:ascii="Times New Roman" w:hAnsi="Times New Roman"/>
                      <w:sz w:val="21"/>
                      <w:szCs w:val="21"/>
                    </w:rPr>
                  </w:pPr>
                  <w:r>
                    <w:rPr>
                      <w:rFonts w:ascii="Times New Roman" w:hAnsi="Times New Roman"/>
                      <w:sz w:val="21"/>
                      <w:szCs w:val="21"/>
                    </w:rPr>
                    <w:t>1</w:t>
                  </w:r>
                  <w:r>
                    <w:rPr>
                      <w:rFonts w:hint="eastAsia" w:ascii="Times New Roman" w:hAnsi="Times New Roman"/>
                      <w:sz w:val="21"/>
                      <w:szCs w:val="21"/>
                    </w:rPr>
                    <w:t>00</w:t>
                  </w:r>
                </w:p>
              </w:tc>
              <w:tc>
                <w:tcPr>
                  <w:tcW w:w="809" w:type="pct"/>
                  <w:tcBorders>
                    <w:tl2br w:val="nil"/>
                    <w:tr2bl w:val="nil"/>
                  </w:tcBorders>
                  <w:shd w:val="clear" w:color="auto" w:fill="FFFFFF" w:themeFill="background1"/>
                  <w:vAlign w:val="center"/>
                </w:tcPr>
                <w:p w14:paraId="08077DF0">
                  <w:pPr>
                    <w:pStyle w:val="3"/>
                    <w:numPr>
                      <w:ilvl w:val="0"/>
                      <w:numId w:val="0"/>
                    </w:numPr>
                    <w:spacing w:line="240" w:lineRule="auto"/>
                    <w:jc w:val="center"/>
                    <w:rPr>
                      <w:rFonts w:ascii="Times New Roman" w:hAnsi="Times New Roman"/>
                      <w:sz w:val="21"/>
                      <w:szCs w:val="21"/>
                    </w:rPr>
                  </w:pPr>
                  <w:r>
                    <w:rPr>
                      <w:rFonts w:ascii="Times New Roman" w:hAnsi="Times New Roman"/>
                      <w:sz w:val="21"/>
                      <w:szCs w:val="21"/>
                    </w:rPr>
                    <w:t>达标</w:t>
                  </w:r>
                </w:p>
              </w:tc>
            </w:tr>
            <w:tr w14:paraId="2F3DF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624" w:type="pct"/>
                  <w:tcBorders>
                    <w:tl2br w:val="nil"/>
                    <w:tr2bl w:val="nil"/>
                  </w:tcBorders>
                  <w:shd w:val="clear" w:color="auto" w:fill="FFFFFF" w:themeFill="background1"/>
                  <w:vAlign w:val="center"/>
                </w:tcPr>
                <w:p w14:paraId="4ABEEF03">
                  <w:pPr>
                    <w:pStyle w:val="3"/>
                    <w:numPr>
                      <w:ilvl w:val="0"/>
                      <w:numId w:val="0"/>
                    </w:numPr>
                    <w:spacing w:line="240" w:lineRule="auto"/>
                    <w:jc w:val="center"/>
                    <w:rPr>
                      <w:rFonts w:ascii="Times New Roman" w:hAnsi="Times New Roman"/>
                      <w:sz w:val="21"/>
                      <w:szCs w:val="21"/>
                    </w:rPr>
                  </w:pPr>
                  <w:r>
                    <w:rPr>
                      <w:rFonts w:ascii="Times New Roman" w:hAnsi="Times New Roman"/>
                      <w:sz w:val="21"/>
                      <w:szCs w:val="21"/>
                    </w:rPr>
                    <w:t>PM</w:t>
                  </w:r>
                  <w:r>
                    <w:rPr>
                      <w:rFonts w:ascii="Times New Roman" w:hAnsi="Times New Roman"/>
                      <w:sz w:val="21"/>
                      <w:szCs w:val="21"/>
                      <w:vertAlign w:val="subscript"/>
                    </w:rPr>
                    <w:t>2.5</w:t>
                  </w:r>
                </w:p>
              </w:tc>
              <w:tc>
                <w:tcPr>
                  <w:tcW w:w="1374" w:type="pct"/>
                  <w:tcBorders>
                    <w:tl2br w:val="nil"/>
                    <w:tr2bl w:val="nil"/>
                  </w:tcBorders>
                  <w:shd w:val="clear" w:color="auto" w:fill="FFFFFF" w:themeFill="background1"/>
                  <w:vAlign w:val="center"/>
                </w:tcPr>
                <w:p w14:paraId="19E41584">
                  <w:pPr>
                    <w:pStyle w:val="3"/>
                    <w:numPr>
                      <w:ilvl w:val="0"/>
                      <w:numId w:val="0"/>
                    </w:numPr>
                    <w:spacing w:line="240" w:lineRule="auto"/>
                    <w:jc w:val="center"/>
                    <w:rPr>
                      <w:rFonts w:ascii="Times New Roman" w:hAnsi="Times New Roman"/>
                      <w:sz w:val="21"/>
                      <w:szCs w:val="21"/>
                    </w:rPr>
                  </w:pPr>
                  <w:r>
                    <w:rPr>
                      <w:rFonts w:ascii="Times New Roman" w:hAnsi="Times New Roman"/>
                      <w:sz w:val="21"/>
                      <w:szCs w:val="21"/>
                    </w:rPr>
                    <w:t>年平均浓度</w:t>
                  </w:r>
                </w:p>
              </w:tc>
              <w:tc>
                <w:tcPr>
                  <w:tcW w:w="751" w:type="pct"/>
                  <w:tcBorders>
                    <w:tl2br w:val="nil"/>
                    <w:tr2bl w:val="nil"/>
                  </w:tcBorders>
                  <w:shd w:val="clear" w:color="auto" w:fill="FFFFFF" w:themeFill="background1"/>
                  <w:vAlign w:val="center"/>
                </w:tcPr>
                <w:p w14:paraId="5E1A311C">
                  <w:pPr>
                    <w:pStyle w:val="3"/>
                    <w:numPr>
                      <w:ilvl w:val="0"/>
                      <w:numId w:val="0"/>
                    </w:numPr>
                    <w:spacing w:line="240" w:lineRule="auto"/>
                    <w:jc w:val="center"/>
                    <w:rPr>
                      <w:rFonts w:ascii="Times New Roman" w:hAnsi="Times New Roman"/>
                      <w:sz w:val="21"/>
                      <w:szCs w:val="21"/>
                    </w:rPr>
                  </w:pPr>
                  <w:r>
                    <w:rPr>
                      <w:rFonts w:ascii="Times New Roman" w:hAnsi="Times New Roman"/>
                      <w:sz w:val="21"/>
                      <w:szCs w:val="21"/>
                    </w:rPr>
                    <w:t>4</w:t>
                  </w:r>
                  <w:r>
                    <w:rPr>
                      <w:rFonts w:hint="eastAsia" w:ascii="Times New Roman" w:hAnsi="Times New Roman"/>
                      <w:sz w:val="21"/>
                      <w:szCs w:val="21"/>
                    </w:rPr>
                    <w:t>3</w:t>
                  </w:r>
                </w:p>
              </w:tc>
              <w:tc>
                <w:tcPr>
                  <w:tcW w:w="728" w:type="pct"/>
                  <w:tcBorders>
                    <w:tl2br w:val="nil"/>
                    <w:tr2bl w:val="nil"/>
                  </w:tcBorders>
                  <w:shd w:val="clear" w:color="auto" w:fill="FFFFFF" w:themeFill="background1"/>
                  <w:vAlign w:val="center"/>
                </w:tcPr>
                <w:p w14:paraId="2DDAD5F1">
                  <w:pPr>
                    <w:pStyle w:val="3"/>
                    <w:numPr>
                      <w:ilvl w:val="0"/>
                      <w:numId w:val="0"/>
                    </w:numPr>
                    <w:spacing w:line="240" w:lineRule="auto"/>
                    <w:jc w:val="center"/>
                    <w:rPr>
                      <w:rFonts w:ascii="Times New Roman" w:hAnsi="Times New Roman"/>
                      <w:sz w:val="21"/>
                      <w:szCs w:val="21"/>
                    </w:rPr>
                  </w:pPr>
                  <w:r>
                    <w:rPr>
                      <w:rFonts w:ascii="Times New Roman" w:hAnsi="Times New Roman"/>
                      <w:sz w:val="21"/>
                      <w:szCs w:val="21"/>
                    </w:rPr>
                    <w:t>35</w:t>
                  </w:r>
                </w:p>
              </w:tc>
              <w:tc>
                <w:tcPr>
                  <w:tcW w:w="711" w:type="pct"/>
                  <w:tcBorders>
                    <w:tl2br w:val="nil"/>
                    <w:tr2bl w:val="nil"/>
                  </w:tcBorders>
                  <w:shd w:val="clear" w:color="auto" w:fill="FFFFFF" w:themeFill="background1"/>
                  <w:vAlign w:val="center"/>
                </w:tcPr>
                <w:p w14:paraId="3F4E3F10">
                  <w:pPr>
                    <w:pStyle w:val="3"/>
                    <w:numPr>
                      <w:ilvl w:val="0"/>
                      <w:numId w:val="0"/>
                    </w:numPr>
                    <w:spacing w:line="240" w:lineRule="auto"/>
                    <w:jc w:val="center"/>
                    <w:rPr>
                      <w:rFonts w:ascii="Times New Roman" w:hAnsi="Times New Roman"/>
                      <w:sz w:val="21"/>
                      <w:szCs w:val="21"/>
                    </w:rPr>
                  </w:pPr>
                  <w:r>
                    <w:rPr>
                      <w:rFonts w:ascii="Times New Roman" w:hAnsi="Times New Roman"/>
                      <w:sz w:val="21"/>
                      <w:szCs w:val="21"/>
                    </w:rPr>
                    <w:t>1</w:t>
                  </w:r>
                  <w:r>
                    <w:rPr>
                      <w:rFonts w:hint="eastAsia" w:ascii="Times New Roman" w:hAnsi="Times New Roman"/>
                      <w:sz w:val="21"/>
                      <w:szCs w:val="21"/>
                    </w:rPr>
                    <w:t>22.8</w:t>
                  </w:r>
                </w:p>
              </w:tc>
              <w:tc>
                <w:tcPr>
                  <w:tcW w:w="809" w:type="pct"/>
                  <w:tcBorders>
                    <w:tl2br w:val="nil"/>
                    <w:tr2bl w:val="nil"/>
                  </w:tcBorders>
                  <w:shd w:val="clear" w:color="auto" w:fill="FFFFFF" w:themeFill="background1"/>
                  <w:vAlign w:val="center"/>
                </w:tcPr>
                <w:p w14:paraId="37D631B7">
                  <w:pPr>
                    <w:pStyle w:val="3"/>
                    <w:numPr>
                      <w:ilvl w:val="0"/>
                      <w:numId w:val="0"/>
                    </w:numPr>
                    <w:spacing w:line="240" w:lineRule="auto"/>
                    <w:jc w:val="center"/>
                    <w:rPr>
                      <w:rFonts w:ascii="Times New Roman" w:hAnsi="Times New Roman"/>
                      <w:sz w:val="21"/>
                      <w:szCs w:val="21"/>
                    </w:rPr>
                  </w:pPr>
                  <w:r>
                    <w:rPr>
                      <w:rFonts w:ascii="Times New Roman" w:hAnsi="Times New Roman"/>
                      <w:sz w:val="21"/>
                      <w:szCs w:val="21"/>
                    </w:rPr>
                    <w:t>不达标</w:t>
                  </w:r>
                </w:p>
              </w:tc>
            </w:tr>
            <w:tr w14:paraId="2593B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624" w:type="pct"/>
                  <w:tcBorders>
                    <w:tl2br w:val="nil"/>
                    <w:tr2bl w:val="nil"/>
                  </w:tcBorders>
                  <w:shd w:val="clear" w:color="auto" w:fill="FFFFFF" w:themeFill="background1"/>
                  <w:vAlign w:val="center"/>
                </w:tcPr>
                <w:p w14:paraId="776D3104">
                  <w:pPr>
                    <w:pStyle w:val="3"/>
                    <w:numPr>
                      <w:ilvl w:val="0"/>
                      <w:numId w:val="0"/>
                    </w:numPr>
                    <w:spacing w:line="240" w:lineRule="auto"/>
                    <w:jc w:val="center"/>
                    <w:rPr>
                      <w:rFonts w:ascii="Times New Roman" w:hAnsi="Times New Roman"/>
                      <w:sz w:val="21"/>
                      <w:szCs w:val="21"/>
                    </w:rPr>
                  </w:pPr>
                  <w:r>
                    <w:rPr>
                      <w:rFonts w:ascii="Times New Roman" w:hAnsi="Times New Roman"/>
                      <w:sz w:val="21"/>
                      <w:szCs w:val="21"/>
                    </w:rPr>
                    <w:t>SO</w:t>
                  </w:r>
                  <w:r>
                    <w:rPr>
                      <w:rFonts w:ascii="Times New Roman" w:hAnsi="Times New Roman"/>
                      <w:sz w:val="21"/>
                      <w:szCs w:val="21"/>
                      <w:vertAlign w:val="subscript"/>
                    </w:rPr>
                    <w:t>2</w:t>
                  </w:r>
                </w:p>
              </w:tc>
              <w:tc>
                <w:tcPr>
                  <w:tcW w:w="1374" w:type="pct"/>
                  <w:tcBorders>
                    <w:tl2br w:val="nil"/>
                    <w:tr2bl w:val="nil"/>
                  </w:tcBorders>
                  <w:shd w:val="clear" w:color="auto" w:fill="FFFFFF" w:themeFill="background1"/>
                  <w:vAlign w:val="center"/>
                </w:tcPr>
                <w:p w14:paraId="32FE599E">
                  <w:pPr>
                    <w:pStyle w:val="3"/>
                    <w:numPr>
                      <w:ilvl w:val="0"/>
                      <w:numId w:val="0"/>
                    </w:numPr>
                    <w:spacing w:line="240" w:lineRule="auto"/>
                    <w:jc w:val="center"/>
                    <w:rPr>
                      <w:rFonts w:ascii="Times New Roman" w:hAnsi="Times New Roman"/>
                      <w:sz w:val="21"/>
                      <w:szCs w:val="21"/>
                    </w:rPr>
                  </w:pPr>
                  <w:r>
                    <w:rPr>
                      <w:rFonts w:ascii="Times New Roman" w:hAnsi="Times New Roman"/>
                      <w:sz w:val="21"/>
                      <w:szCs w:val="21"/>
                    </w:rPr>
                    <w:t>年平均浓度</w:t>
                  </w:r>
                </w:p>
              </w:tc>
              <w:tc>
                <w:tcPr>
                  <w:tcW w:w="751" w:type="pct"/>
                  <w:tcBorders>
                    <w:tl2br w:val="nil"/>
                    <w:tr2bl w:val="nil"/>
                  </w:tcBorders>
                  <w:shd w:val="clear" w:color="auto" w:fill="FFFFFF" w:themeFill="background1"/>
                  <w:vAlign w:val="center"/>
                </w:tcPr>
                <w:p w14:paraId="62C0E347">
                  <w:pPr>
                    <w:pStyle w:val="3"/>
                    <w:numPr>
                      <w:ilvl w:val="0"/>
                      <w:numId w:val="0"/>
                    </w:numPr>
                    <w:spacing w:line="240" w:lineRule="auto"/>
                    <w:jc w:val="center"/>
                    <w:rPr>
                      <w:rFonts w:ascii="Times New Roman" w:hAnsi="Times New Roman"/>
                      <w:sz w:val="21"/>
                      <w:szCs w:val="21"/>
                    </w:rPr>
                  </w:pPr>
                  <w:r>
                    <w:rPr>
                      <w:rFonts w:ascii="Times New Roman" w:hAnsi="Times New Roman"/>
                      <w:sz w:val="21"/>
                      <w:szCs w:val="21"/>
                    </w:rPr>
                    <w:t>1</w:t>
                  </w:r>
                  <w:r>
                    <w:rPr>
                      <w:rFonts w:hint="eastAsia" w:ascii="Times New Roman" w:hAnsi="Times New Roman"/>
                      <w:sz w:val="21"/>
                      <w:szCs w:val="21"/>
                    </w:rPr>
                    <w:t>3</w:t>
                  </w:r>
                </w:p>
              </w:tc>
              <w:tc>
                <w:tcPr>
                  <w:tcW w:w="728" w:type="pct"/>
                  <w:tcBorders>
                    <w:tl2br w:val="nil"/>
                    <w:tr2bl w:val="nil"/>
                  </w:tcBorders>
                  <w:shd w:val="clear" w:color="auto" w:fill="FFFFFF" w:themeFill="background1"/>
                  <w:vAlign w:val="center"/>
                </w:tcPr>
                <w:p w14:paraId="1CDC15AE">
                  <w:pPr>
                    <w:pStyle w:val="3"/>
                    <w:numPr>
                      <w:ilvl w:val="0"/>
                      <w:numId w:val="0"/>
                    </w:numPr>
                    <w:spacing w:line="240" w:lineRule="auto"/>
                    <w:jc w:val="center"/>
                    <w:rPr>
                      <w:rFonts w:ascii="Times New Roman" w:hAnsi="Times New Roman"/>
                      <w:sz w:val="21"/>
                      <w:szCs w:val="21"/>
                    </w:rPr>
                  </w:pPr>
                  <w:r>
                    <w:rPr>
                      <w:rFonts w:ascii="Times New Roman" w:hAnsi="Times New Roman"/>
                      <w:sz w:val="21"/>
                      <w:szCs w:val="21"/>
                    </w:rPr>
                    <w:t>60</w:t>
                  </w:r>
                </w:p>
              </w:tc>
              <w:tc>
                <w:tcPr>
                  <w:tcW w:w="711" w:type="pct"/>
                  <w:tcBorders>
                    <w:tl2br w:val="nil"/>
                    <w:tr2bl w:val="nil"/>
                  </w:tcBorders>
                  <w:shd w:val="clear" w:color="auto" w:fill="FFFFFF" w:themeFill="background1"/>
                  <w:vAlign w:val="center"/>
                </w:tcPr>
                <w:p w14:paraId="4238637E">
                  <w:pPr>
                    <w:pStyle w:val="3"/>
                    <w:numPr>
                      <w:ilvl w:val="0"/>
                      <w:numId w:val="0"/>
                    </w:numPr>
                    <w:spacing w:line="240" w:lineRule="auto"/>
                    <w:jc w:val="center"/>
                    <w:rPr>
                      <w:rFonts w:ascii="Times New Roman" w:hAnsi="Times New Roman"/>
                      <w:sz w:val="21"/>
                      <w:szCs w:val="21"/>
                    </w:rPr>
                  </w:pPr>
                  <w:r>
                    <w:rPr>
                      <w:rFonts w:ascii="Times New Roman" w:hAnsi="Times New Roman"/>
                      <w:sz w:val="21"/>
                      <w:szCs w:val="21"/>
                    </w:rPr>
                    <w:t>2</w:t>
                  </w:r>
                  <w:r>
                    <w:rPr>
                      <w:rFonts w:hint="eastAsia" w:ascii="Times New Roman" w:hAnsi="Times New Roman"/>
                      <w:sz w:val="21"/>
                      <w:szCs w:val="21"/>
                    </w:rPr>
                    <w:t>1.7</w:t>
                  </w:r>
                </w:p>
              </w:tc>
              <w:tc>
                <w:tcPr>
                  <w:tcW w:w="809" w:type="pct"/>
                  <w:tcBorders>
                    <w:tl2br w:val="nil"/>
                    <w:tr2bl w:val="nil"/>
                  </w:tcBorders>
                  <w:shd w:val="clear" w:color="auto" w:fill="FFFFFF" w:themeFill="background1"/>
                  <w:vAlign w:val="center"/>
                </w:tcPr>
                <w:p w14:paraId="084DA3DB">
                  <w:pPr>
                    <w:pStyle w:val="3"/>
                    <w:numPr>
                      <w:ilvl w:val="0"/>
                      <w:numId w:val="0"/>
                    </w:numPr>
                    <w:spacing w:line="240" w:lineRule="auto"/>
                    <w:jc w:val="center"/>
                    <w:rPr>
                      <w:rFonts w:ascii="Times New Roman" w:hAnsi="Times New Roman"/>
                      <w:sz w:val="21"/>
                      <w:szCs w:val="21"/>
                    </w:rPr>
                  </w:pPr>
                  <w:r>
                    <w:rPr>
                      <w:rFonts w:ascii="Times New Roman" w:hAnsi="Times New Roman"/>
                      <w:sz w:val="21"/>
                      <w:szCs w:val="21"/>
                    </w:rPr>
                    <w:t>达标</w:t>
                  </w:r>
                </w:p>
              </w:tc>
            </w:tr>
            <w:tr w14:paraId="7FFB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624" w:type="pct"/>
                  <w:tcBorders>
                    <w:tl2br w:val="nil"/>
                    <w:tr2bl w:val="nil"/>
                  </w:tcBorders>
                  <w:shd w:val="clear" w:color="auto" w:fill="FFFFFF" w:themeFill="background1"/>
                  <w:vAlign w:val="center"/>
                </w:tcPr>
                <w:p w14:paraId="2FA736AF">
                  <w:pPr>
                    <w:pStyle w:val="3"/>
                    <w:numPr>
                      <w:ilvl w:val="0"/>
                      <w:numId w:val="0"/>
                    </w:numPr>
                    <w:spacing w:line="240" w:lineRule="auto"/>
                    <w:jc w:val="center"/>
                    <w:rPr>
                      <w:rFonts w:ascii="Times New Roman" w:hAnsi="Times New Roman"/>
                      <w:sz w:val="21"/>
                      <w:szCs w:val="21"/>
                    </w:rPr>
                  </w:pPr>
                  <w:r>
                    <w:rPr>
                      <w:rFonts w:ascii="Times New Roman" w:hAnsi="Times New Roman"/>
                      <w:sz w:val="21"/>
                      <w:szCs w:val="21"/>
                    </w:rPr>
                    <w:t>NO</w:t>
                  </w:r>
                  <w:r>
                    <w:rPr>
                      <w:rFonts w:ascii="Times New Roman" w:hAnsi="Times New Roman"/>
                      <w:sz w:val="21"/>
                      <w:szCs w:val="21"/>
                      <w:vertAlign w:val="subscript"/>
                    </w:rPr>
                    <w:t>2</w:t>
                  </w:r>
                </w:p>
              </w:tc>
              <w:tc>
                <w:tcPr>
                  <w:tcW w:w="1374" w:type="pct"/>
                  <w:tcBorders>
                    <w:tl2br w:val="nil"/>
                    <w:tr2bl w:val="nil"/>
                  </w:tcBorders>
                  <w:shd w:val="clear" w:color="auto" w:fill="FFFFFF" w:themeFill="background1"/>
                  <w:vAlign w:val="center"/>
                </w:tcPr>
                <w:p w14:paraId="3CE9A8B9">
                  <w:pPr>
                    <w:pStyle w:val="3"/>
                    <w:numPr>
                      <w:ilvl w:val="0"/>
                      <w:numId w:val="0"/>
                    </w:numPr>
                    <w:spacing w:line="240" w:lineRule="auto"/>
                    <w:jc w:val="center"/>
                    <w:rPr>
                      <w:rFonts w:ascii="Times New Roman" w:hAnsi="Times New Roman"/>
                      <w:sz w:val="21"/>
                      <w:szCs w:val="21"/>
                    </w:rPr>
                  </w:pPr>
                  <w:r>
                    <w:rPr>
                      <w:rFonts w:ascii="Times New Roman" w:hAnsi="Times New Roman"/>
                      <w:sz w:val="21"/>
                      <w:szCs w:val="21"/>
                    </w:rPr>
                    <w:t>年平均浓度</w:t>
                  </w:r>
                </w:p>
              </w:tc>
              <w:tc>
                <w:tcPr>
                  <w:tcW w:w="751" w:type="pct"/>
                  <w:tcBorders>
                    <w:tl2br w:val="nil"/>
                    <w:tr2bl w:val="nil"/>
                  </w:tcBorders>
                  <w:shd w:val="clear" w:color="auto" w:fill="FFFFFF" w:themeFill="background1"/>
                  <w:vAlign w:val="center"/>
                </w:tcPr>
                <w:p w14:paraId="6AFA902E">
                  <w:pPr>
                    <w:pStyle w:val="3"/>
                    <w:numPr>
                      <w:ilvl w:val="0"/>
                      <w:numId w:val="0"/>
                    </w:numPr>
                    <w:spacing w:line="240" w:lineRule="auto"/>
                    <w:jc w:val="center"/>
                    <w:rPr>
                      <w:rFonts w:ascii="Times New Roman" w:hAnsi="Times New Roman"/>
                      <w:sz w:val="21"/>
                      <w:szCs w:val="21"/>
                    </w:rPr>
                  </w:pPr>
                  <w:r>
                    <w:rPr>
                      <w:rFonts w:hint="eastAsia" w:ascii="Times New Roman" w:hAnsi="Times New Roman"/>
                      <w:sz w:val="21"/>
                      <w:szCs w:val="21"/>
                    </w:rPr>
                    <w:t>29</w:t>
                  </w:r>
                </w:p>
              </w:tc>
              <w:tc>
                <w:tcPr>
                  <w:tcW w:w="728" w:type="pct"/>
                  <w:tcBorders>
                    <w:tl2br w:val="nil"/>
                    <w:tr2bl w:val="nil"/>
                  </w:tcBorders>
                  <w:shd w:val="clear" w:color="auto" w:fill="FFFFFF" w:themeFill="background1"/>
                  <w:vAlign w:val="center"/>
                </w:tcPr>
                <w:p w14:paraId="297A1FC9">
                  <w:pPr>
                    <w:pStyle w:val="3"/>
                    <w:numPr>
                      <w:ilvl w:val="0"/>
                      <w:numId w:val="0"/>
                    </w:numPr>
                    <w:spacing w:line="240" w:lineRule="auto"/>
                    <w:jc w:val="center"/>
                    <w:rPr>
                      <w:rFonts w:ascii="Times New Roman" w:hAnsi="Times New Roman"/>
                      <w:sz w:val="21"/>
                      <w:szCs w:val="21"/>
                    </w:rPr>
                  </w:pPr>
                  <w:r>
                    <w:rPr>
                      <w:rFonts w:ascii="Times New Roman" w:hAnsi="Times New Roman"/>
                      <w:sz w:val="21"/>
                      <w:szCs w:val="21"/>
                    </w:rPr>
                    <w:t>40</w:t>
                  </w:r>
                </w:p>
              </w:tc>
              <w:tc>
                <w:tcPr>
                  <w:tcW w:w="711" w:type="pct"/>
                  <w:tcBorders>
                    <w:tl2br w:val="nil"/>
                    <w:tr2bl w:val="nil"/>
                  </w:tcBorders>
                  <w:shd w:val="clear" w:color="auto" w:fill="FFFFFF" w:themeFill="background1"/>
                  <w:vAlign w:val="center"/>
                </w:tcPr>
                <w:p w14:paraId="4D222B39">
                  <w:pPr>
                    <w:pStyle w:val="3"/>
                    <w:numPr>
                      <w:ilvl w:val="0"/>
                      <w:numId w:val="0"/>
                    </w:numPr>
                    <w:spacing w:line="240" w:lineRule="auto"/>
                    <w:jc w:val="center"/>
                    <w:rPr>
                      <w:rFonts w:ascii="Times New Roman" w:hAnsi="Times New Roman"/>
                      <w:sz w:val="21"/>
                      <w:szCs w:val="21"/>
                    </w:rPr>
                  </w:pPr>
                  <w:r>
                    <w:rPr>
                      <w:rFonts w:hint="eastAsia" w:ascii="Times New Roman" w:hAnsi="Times New Roman"/>
                      <w:sz w:val="21"/>
                      <w:szCs w:val="21"/>
                    </w:rPr>
                    <w:t>72.5</w:t>
                  </w:r>
                </w:p>
              </w:tc>
              <w:tc>
                <w:tcPr>
                  <w:tcW w:w="809" w:type="pct"/>
                  <w:tcBorders>
                    <w:tl2br w:val="nil"/>
                    <w:tr2bl w:val="nil"/>
                  </w:tcBorders>
                  <w:shd w:val="clear" w:color="auto" w:fill="FFFFFF" w:themeFill="background1"/>
                  <w:vAlign w:val="center"/>
                </w:tcPr>
                <w:p w14:paraId="32E1154E">
                  <w:pPr>
                    <w:pStyle w:val="3"/>
                    <w:numPr>
                      <w:ilvl w:val="0"/>
                      <w:numId w:val="0"/>
                    </w:numPr>
                    <w:spacing w:line="240" w:lineRule="auto"/>
                    <w:jc w:val="center"/>
                    <w:rPr>
                      <w:rFonts w:ascii="Times New Roman" w:hAnsi="Times New Roman"/>
                      <w:sz w:val="21"/>
                      <w:szCs w:val="21"/>
                    </w:rPr>
                  </w:pPr>
                  <w:r>
                    <w:rPr>
                      <w:rFonts w:ascii="Times New Roman" w:hAnsi="Times New Roman"/>
                      <w:sz w:val="21"/>
                      <w:szCs w:val="21"/>
                    </w:rPr>
                    <w:t>达标</w:t>
                  </w:r>
                </w:p>
              </w:tc>
            </w:tr>
            <w:tr w14:paraId="17056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624" w:type="pct"/>
                  <w:tcBorders>
                    <w:tl2br w:val="nil"/>
                    <w:tr2bl w:val="nil"/>
                  </w:tcBorders>
                  <w:shd w:val="clear" w:color="auto" w:fill="FFFFFF" w:themeFill="background1"/>
                  <w:vAlign w:val="center"/>
                </w:tcPr>
                <w:p w14:paraId="60C2B9E2">
                  <w:pPr>
                    <w:pStyle w:val="3"/>
                    <w:numPr>
                      <w:ilvl w:val="0"/>
                      <w:numId w:val="0"/>
                    </w:numPr>
                    <w:spacing w:line="240" w:lineRule="auto"/>
                    <w:jc w:val="center"/>
                    <w:rPr>
                      <w:rFonts w:ascii="Times New Roman" w:hAnsi="Times New Roman"/>
                      <w:sz w:val="21"/>
                      <w:szCs w:val="21"/>
                    </w:rPr>
                  </w:pPr>
                  <w:r>
                    <w:rPr>
                      <w:rFonts w:ascii="Times New Roman" w:hAnsi="Times New Roman"/>
                      <w:sz w:val="21"/>
                      <w:szCs w:val="21"/>
                    </w:rPr>
                    <w:t>CO</w:t>
                  </w:r>
                </w:p>
              </w:tc>
              <w:tc>
                <w:tcPr>
                  <w:tcW w:w="1374" w:type="pct"/>
                  <w:tcBorders>
                    <w:tl2br w:val="nil"/>
                    <w:tr2bl w:val="nil"/>
                  </w:tcBorders>
                  <w:shd w:val="clear" w:color="auto" w:fill="FFFFFF" w:themeFill="background1"/>
                  <w:vAlign w:val="center"/>
                </w:tcPr>
                <w:p w14:paraId="2961ED8B">
                  <w:pPr>
                    <w:pStyle w:val="3"/>
                    <w:numPr>
                      <w:ilvl w:val="0"/>
                      <w:numId w:val="0"/>
                    </w:numPr>
                    <w:spacing w:line="240" w:lineRule="auto"/>
                    <w:jc w:val="center"/>
                    <w:rPr>
                      <w:rFonts w:ascii="Times New Roman" w:hAnsi="Times New Roman"/>
                      <w:sz w:val="21"/>
                      <w:szCs w:val="21"/>
                    </w:rPr>
                  </w:pPr>
                  <w:r>
                    <w:rPr>
                      <w:rFonts w:ascii="Times New Roman" w:hAnsi="Times New Roman"/>
                      <w:sz w:val="21"/>
                      <w:szCs w:val="21"/>
                    </w:rPr>
                    <w:t>24小时平均第95百分位数</w:t>
                  </w:r>
                </w:p>
              </w:tc>
              <w:tc>
                <w:tcPr>
                  <w:tcW w:w="751" w:type="pct"/>
                  <w:tcBorders>
                    <w:tl2br w:val="nil"/>
                    <w:tr2bl w:val="nil"/>
                  </w:tcBorders>
                  <w:shd w:val="clear" w:color="auto" w:fill="FFFFFF" w:themeFill="background1"/>
                  <w:vAlign w:val="center"/>
                </w:tcPr>
                <w:p w14:paraId="2CE2AA31">
                  <w:pPr>
                    <w:pStyle w:val="3"/>
                    <w:numPr>
                      <w:ilvl w:val="0"/>
                      <w:numId w:val="0"/>
                    </w:numPr>
                    <w:spacing w:line="240" w:lineRule="auto"/>
                    <w:jc w:val="center"/>
                    <w:rPr>
                      <w:rFonts w:ascii="Times New Roman" w:hAnsi="Times New Roman"/>
                      <w:sz w:val="21"/>
                      <w:szCs w:val="21"/>
                    </w:rPr>
                  </w:pPr>
                  <w:r>
                    <w:rPr>
                      <w:rFonts w:hint="eastAsia" w:ascii="Times New Roman" w:hAnsi="Times New Roman"/>
                      <w:sz w:val="21"/>
                      <w:szCs w:val="21"/>
                    </w:rPr>
                    <w:t>1200</w:t>
                  </w:r>
                </w:p>
              </w:tc>
              <w:tc>
                <w:tcPr>
                  <w:tcW w:w="728" w:type="pct"/>
                  <w:tcBorders>
                    <w:tl2br w:val="nil"/>
                    <w:tr2bl w:val="nil"/>
                  </w:tcBorders>
                  <w:shd w:val="clear" w:color="auto" w:fill="FFFFFF" w:themeFill="background1"/>
                  <w:vAlign w:val="center"/>
                </w:tcPr>
                <w:p w14:paraId="0EA7D23A">
                  <w:pPr>
                    <w:pStyle w:val="3"/>
                    <w:numPr>
                      <w:ilvl w:val="0"/>
                      <w:numId w:val="0"/>
                    </w:numPr>
                    <w:spacing w:line="240" w:lineRule="auto"/>
                    <w:jc w:val="center"/>
                    <w:rPr>
                      <w:rFonts w:ascii="Times New Roman" w:hAnsi="Times New Roman"/>
                      <w:sz w:val="21"/>
                      <w:szCs w:val="21"/>
                    </w:rPr>
                  </w:pPr>
                  <w:r>
                    <w:rPr>
                      <w:rFonts w:ascii="Times New Roman" w:hAnsi="Times New Roman"/>
                      <w:sz w:val="21"/>
                      <w:szCs w:val="21"/>
                    </w:rPr>
                    <w:t>4000</w:t>
                  </w:r>
                </w:p>
              </w:tc>
              <w:tc>
                <w:tcPr>
                  <w:tcW w:w="711" w:type="pct"/>
                  <w:tcBorders>
                    <w:tl2br w:val="nil"/>
                    <w:tr2bl w:val="nil"/>
                  </w:tcBorders>
                  <w:shd w:val="clear" w:color="auto" w:fill="FFFFFF" w:themeFill="background1"/>
                  <w:vAlign w:val="center"/>
                </w:tcPr>
                <w:p w14:paraId="5738A5EE">
                  <w:pPr>
                    <w:pStyle w:val="3"/>
                    <w:numPr>
                      <w:ilvl w:val="0"/>
                      <w:numId w:val="0"/>
                    </w:numPr>
                    <w:spacing w:line="240" w:lineRule="auto"/>
                    <w:jc w:val="center"/>
                    <w:rPr>
                      <w:rFonts w:ascii="Times New Roman" w:hAnsi="Times New Roman"/>
                      <w:sz w:val="21"/>
                      <w:szCs w:val="21"/>
                    </w:rPr>
                  </w:pPr>
                  <w:r>
                    <w:rPr>
                      <w:rFonts w:hint="eastAsia" w:ascii="Times New Roman" w:hAnsi="Times New Roman"/>
                      <w:sz w:val="21"/>
                      <w:szCs w:val="21"/>
                    </w:rPr>
                    <w:t>3</w:t>
                  </w:r>
                  <w:r>
                    <w:rPr>
                      <w:rFonts w:ascii="Times New Roman" w:hAnsi="Times New Roman"/>
                      <w:sz w:val="21"/>
                      <w:szCs w:val="21"/>
                    </w:rPr>
                    <w:t>0</w:t>
                  </w:r>
                </w:p>
              </w:tc>
              <w:tc>
                <w:tcPr>
                  <w:tcW w:w="809" w:type="pct"/>
                  <w:tcBorders>
                    <w:tl2br w:val="nil"/>
                    <w:tr2bl w:val="nil"/>
                  </w:tcBorders>
                  <w:shd w:val="clear" w:color="auto" w:fill="FFFFFF" w:themeFill="background1"/>
                  <w:vAlign w:val="center"/>
                </w:tcPr>
                <w:p w14:paraId="33427168">
                  <w:pPr>
                    <w:pStyle w:val="3"/>
                    <w:numPr>
                      <w:ilvl w:val="0"/>
                      <w:numId w:val="0"/>
                    </w:numPr>
                    <w:spacing w:line="240" w:lineRule="auto"/>
                    <w:jc w:val="center"/>
                    <w:rPr>
                      <w:rFonts w:ascii="Times New Roman" w:hAnsi="Times New Roman"/>
                      <w:sz w:val="21"/>
                      <w:szCs w:val="21"/>
                    </w:rPr>
                  </w:pPr>
                  <w:r>
                    <w:rPr>
                      <w:rFonts w:ascii="Times New Roman" w:hAnsi="Times New Roman"/>
                      <w:sz w:val="21"/>
                      <w:szCs w:val="21"/>
                    </w:rPr>
                    <w:t>达标</w:t>
                  </w:r>
                </w:p>
              </w:tc>
            </w:tr>
            <w:tr w14:paraId="65B5D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624" w:type="pct"/>
                  <w:tcBorders>
                    <w:tl2br w:val="nil"/>
                    <w:tr2bl w:val="nil"/>
                  </w:tcBorders>
                  <w:shd w:val="clear" w:color="auto" w:fill="FFFFFF" w:themeFill="background1"/>
                  <w:vAlign w:val="center"/>
                </w:tcPr>
                <w:p w14:paraId="44C1FD04">
                  <w:pPr>
                    <w:pStyle w:val="3"/>
                    <w:numPr>
                      <w:ilvl w:val="0"/>
                      <w:numId w:val="0"/>
                    </w:numPr>
                    <w:spacing w:line="240" w:lineRule="auto"/>
                    <w:jc w:val="center"/>
                    <w:rPr>
                      <w:rFonts w:ascii="Times New Roman" w:hAnsi="Times New Roman"/>
                      <w:sz w:val="21"/>
                      <w:szCs w:val="21"/>
                    </w:rPr>
                  </w:pPr>
                  <w:r>
                    <w:rPr>
                      <w:rFonts w:ascii="Times New Roman" w:hAnsi="Times New Roman"/>
                      <w:sz w:val="21"/>
                      <w:szCs w:val="21"/>
                    </w:rPr>
                    <w:t>O</w:t>
                  </w:r>
                  <w:r>
                    <w:rPr>
                      <w:rFonts w:ascii="Times New Roman" w:hAnsi="Times New Roman"/>
                      <w:sz w:val="21"/>
                      <w:szCs w:val="21"/>
                      <w:vertAlign w:val="subscript"/>
                    </w:rPr>
                    <w:t>3</w:t>
                  </w:r>
                </w:p>
              </w:tc>
              <w:tc>
                <w:tcPr>
                  <w:tcW w:w="1374" w:type="pct"/>
                  <w:tcBorders>
                    <w:tl2br w:val="nil"/>
                    <w:tr2bl w:val="nil"/>
                  </w:tcBorders>
                  <w:shd w:val="clear" w:color="auto" w:fill="FFFFFF" w:themeFill="background1"/>
                  <w:vAlign w:val="center"/>
                </w:tcPr>
                <w:p w14:paraId="6114638F">
                  <w:pPr>
                    <w:pStyle w:val="3"/>
                    <w:numPr>
                      <w:ilvl w:val="0"/>
                      <w:numId w:val="0"/>
                    </w:numPr>
                    <w:spacing w:line="240" w:lineRule="auto"/>
                    <w:jc w:val="center"/>
                    <w:rPr>
                      <w:rFonts w:ascii="Times New Roman" w:hAnsi="Times New Roman"/>
                      <w:sz w:val="21"/>
                      <w:szCs w:val="21"/>
                    </w:rPr>
                  </w:pPr>
                  <w:r>
                    <w:rPr>
                      <w:rFonts w:ascii="Times New Roman" w:hAnsi="Times New Roman"/>
                      <w:sz w:val="21"/>
                      <w:szCs w:val="21"/>
                    </w:rPr>
                    <w:t>日最大8小时平均第90百分位数</w:t>
                  </w:r>
                </w:p>
              </w:tc>
              <w:tc>
                <w:tcPr>
                  <w:tcW w:w="751" w:type="pct"/>
                  <w:tcBorders>
                    <w:tl2br w:val="nil"/>
                    <w:tr2bl w:val="nil"/>
                  </w:tcBorders>
                  <w:shd w:val="clear" w:color="auto" w:fill="FFFFFF" w:themeFill="background1"/>
                  <w:vAlign w:val="center"/>
                </w:tcPr>
                <w:p w14:paraId="663C4E5F">
                  <w:pPr>
                    <w:pStyle w:val="3"/>
                    <w:numPr>
                      <w:ilvl w:val="0"/>
                      <w:numId w:val="0"/>
                    </w:numPr>
                    <w:spacing w:line="240" w:lineRule="auto"/>
                    <w:jc w:val="center"/>
                    <w:rPr>
                      <w:rFonts w:ascii="Times New Roman" w:hAnsi="Times New Roman"/>
                      <w:sz w:val="21"/>
                      <w:szCs w:val="21"/>
                    </w:rPr>
                  </w:pPr>
                  <w:r>
                    <w:rPr>
                      <w:rFonts w:ascii="Times New Roman" w:hAnsi="Times New Roman"/>
                      <w:sz w:val="21"/>
                      <w:szCs w:val="21"/>
                    </w:rPr>
                    <w:t>15</w:t>
                  </w:r>
                  <w:r>
                    <w:rPr>
                      <w:rFonts w:hint="eastAsia" w:ascii="Times New Roman" w:hAnsi="Times New Roman"/>
                      <w:sz w:val="21"/>
                      <w:szCs w:val="21"/>
                    </w:rPr>
                    <w:t>6</w:t>
                  </w:r>
                </w:p>
              </w:tc>
              <w:tc>
                <w:tcPr>
                  <w:tcW w:w="728" w:type="pct"/>
                  <w:tcBorders>
                    <w:tl2br w:val="nil"/>
                    <w:tr2bl w:val="nil"/>
                  </w:tcBorders>
                  <w:shd w:val="clear" w:color="auto" w:fill="FFFFFF" w:themeFill="background1"/>
                  <w:vAlign w:val="center"/>
                </w:tcPr>
                <w:p w14:paraId="32978228">
                  <w:pPr>
                    <w:pStyle w:val="3"/>
                    <w:numPr>
                      <w:ilvl w:val="0"/>
                      <w:numId w:val="0"/>
                    </w:numPr>
                    <w:spacing w:line="240" w:lineRule="auto"/>
                    <w:jc w:val="center"/>
                    <w:rPr>
                      <w:rFonts w:ascii="Times New Roman" w:hAnsi="Times New Roman"/>
                      <w:sz w:val="21"/>
                      <w:szCs w:val="21"/>
                    </w:rPr>
                  </w:pPr>
                  <w:r>
                    <w:rPr>
                      <w:rFonts w:ascii="Times New Roman" w:hAnsi="Times New Roman"/>
                      <w:sz w:val="21"/>
                      <w:szCs w:val="21"/>
                    </w:rPr>
                    <w:t>160</w:t>
                  </w:r>
                </w:p>
              </w:tc>
              <w:tc>
                <w:tcPr>
                  <w:tcW w:w="711" w:type="pct"/>
                  <w:tcBorders>
                    <w:tl2br w:val="nil"/>
                    <w:tr2bl w:val="nil"/>
                  </w:tcBorders>
                  <w:shd w:val="clear" w:color="auto" w:fill="FFFFFF" w:themeFill="background1"/>
                  <w:vAlign w:val="center"/>
                </w:tcPr>
                <w:p w14:paraId="796904BB">
                  <w:pPr>
                    <w:pStyle w:val="3"/>
                    <w:numPr>
                      <w:ilvl w:val="0"/>
                      <w:numId w:val="0"/>
                    </w:numPr>
                    <w:spacing w:line="240" w:lineRule="auto"/>
                    <w:jc w:val="center"/>
                    <w:rPr>
                      <w:rFonts w:ascii="Times New Roman" w:hAnsi="Times New Roman"/>
                      <w:sz w:val="21"/>
                      <w:szCs w:val="21"/>
                    </w:rPr>
                  </w:pPr>
                  <w:r>
                    <w:rPr>
                      <w:rFonts w:ascii="Times New Roman" w:hAnsi="Times New Roman"/>
                      <w:sz w:val="21"/>
                      <w:szCs w:val="21"/>
                    </w:rPr>
                    <w:t>9</w:t>
                  </w:r>
                  <w:r>
                    <w:rPr>
                      <w:rFonts w:hint="eastAsia" w:ascii="Times New Roman" w:hAnsi="Times New Roman"/>
                      <w:sz w:val="21"/>
                      <w:szCs w:val="21"/>
                    </w:rPr>
                    <w:t>7.5</w:t>
                  </w:r>
                </w:p>
              </w:tc>
              <w:tc>
                <w:tcPr>
                  <w:tcW w:w="809" w:type="pct"/>
                  <w:tcBorders>
                    <w:tl2br w:val="nil"/>
                    <w:tr2bl w:val="nil"/>
                  </w:tcBorders>
                  <w:shd w:val="clear" w:color="auto" w:fill="FFFFFF" w:themeFill="background1"/>
                  <w:vAlign w:val="center"/>
                </w:tcPr>
                <w:p w14:paraId="4CE76FB8">
                  <w:pPr>
                    <w:pStyle w:val="3"/>
                    <w:numPr>
                      <w:ilvl w:val="0"/>
                      <w:numId w:val="0"/>
                    </w:numPr>
                    <w:spacing w:line="240" w:lineRule="auto"/>
                    <w:jc w:val="center"/>
                    <w:rPr>
                      <w:rFonts w:ascii="Times New Roman" w:hAnsi="Times New Roman"/>
                      <w:sz w:val="21"/>
                      <w:szCs w:val="21"/>
                    </w:rPr>
                  </w:pPr>
                  <w:r>
                    <w:rPr>
                      <w:rFonts w:ascii="Times New Roman" w:hAnsi="Times New Roman"/>
                      <w:sz w:val="21"/>
                      <w:szCs w:val="21"/>
                    </w:rPr>
                    <w:t>达标</w:t>
                  </w:r>
                </w:p>
              </w:tc>
            </w:tr>
          </w:tbl>
          <w:p w14:paraId="0BA0CA8E">
            <w:pPr>
              <w:spacing w:before="120" w:beforeLines="50"/>
              <w:ind w:firstLine="480"/>
            </w:pPr>
            <w:r>
              <w:t>根据表3-1可知，陈仓区202</w:t>
            </w:r>
            <w:r>
              <w:rPr>
                <w:rFonts w:hint="eastAsia"/>
              </w:rPr>
              <w:t>4</w:t>
            </w:r>
            <w:r>
              <w:t>年环境空气中的PM</w:t>
            </w:r>
            <w:r>
              <w:rPr>
                <w:vertAlign w:val="subscript"/>
              </w:rPr>
              <w:t>10</w:t>
            </w:r>
            <w:r>
              <w:rPr>
                <w:rFonts w:hint="eastAsia"/>
              </w:rPr>
              <w:t>、</w:t>
            </w:r>
            <w:r>
              <w:t>SO</w:t>
            </w:r>
            <w:r>
              <w:rPr>
                <w:vertAlign w:val="subscript"/>
              </w:rPr>
              <w:t>2</w:t>
            </w:r>
            <w:r>
              <w:t>、CO、O</w:t>
            </w:r>
            <w:r>
              <w:rPr>
                <w:vertAlign w:val="subscript"/>
              </w:rPr>
              <w:t>3</w:t>
            </w:r>
            <w:r>
              <w:t>和NO</w:t>
            </w:r>
            <w:r>
              <w:rPr>
                <w:vertAlign w:val="subscript"/>
              </w:rPr>
              <w:t>2</w:t>
            </w:r>
            <w:r>
              <w:t>均达到国家环境空气质量二级标准，PM</w:t>
            </w:r>
            <w:r>
              <w:rPr>
                <w:vertAlign w:val="subscript"/>
              </w:rPr>
              <w:t>2.5</w:t>
            </w:r>
            <w:r>
              <w:t>超过国家环境空气质量二级标准。因此，项目所在地区域为不达标区。</w:t>
            </w:r>
          </w:p>
          <w:p w14:paraId="32876A1A">
            <w:pPr>
              <w:ind w:firstLine="480"/>
            </w:pPr>
            <w:r>
              <w:fldChar w:fldCharType="begin"/>
            </w:r>
            <w:r>
              <w:instrText xml:space="preserve"> = 2 \* GB2 \* MERGEFORMAT </w:instrText>
            </w:r>
            <w:r>
              <w:fldChar w:fldCharType="separate"/>
            </w:r>
            <w:r>
              <w:t>⑵</w:t>
            </w:r>
            <w:r>
              <w:fldChar w:fldCharType="end"/>
            </w:r>
            <w:r>
              <w:t>其他污染物环境质量现状</w:t>
            </w:r>
          </w:p>
          <w:p w14:paraId="0FFE29FC">
            <w:pPr>
              <w:ind w:firstLine="480"/>
            </w:pPr>
            <w:r>
              <w:rPr>
                <w:kern w:val="0"/>
                <w:lang w:bidi="ar"/>
              </w:rPr>
              <w:t>为了解项目区域与项目有关的其他污染物达标情况，本次环评委托陕西明铖检测技术有限公司于</w:t>
            </w:r>
            <w:r>
              <w:t>202</w:t>
            </w:r>
            <w:r>
              <w:rPr>
                <w:rFonts w:hint="eastAsia"/>
              </w:rPr>
              <w:t>5</w:t>
            </w:r>
            <w:r>
              <w:t>年</w:t>
            </w:r>
            <w:r>
              <w:rPr>
                <w:rFonts w:hint="eastAsia"/>
              </w:rPr>
              <w:t>5</w:t>
            </w:r>
            <w:r>
              <w:t>月</w:t>
            </w:r>
            <w:r>
              <w:rPr>
                <w:rFonts w:hint="eastAsia"/>
              </w:rPr>
              <w:t>18</w:t>
            </w:r>
            <w:r>
              <w:t>日至</w:t>
            </w:r>
            <w:r>
              <w:rPr>
                <w:rFonts w:hint="eastAsia"/>
              </w:rPr>
              <w:t>5</w:t>
            </w:r>
            <w:r>
              <w:t>月</w:t>
            </w:r>
            <w:r>
              <w:rPr>
                <w:rFonts w:hint="eastAsia"/>
              </w:rPr>
              <w:t>20</w:t>
            </w:r>
            <w:r>
              <w:t>日对项目所在区域TSP环境质量进行现状监测。</w:t>
            </w:r>
          </w:p>
          <w:p w14:paraId="249D676A">
            <w:pPr>
              <w:ind w:left="480" w:leftChars="200" w:firstLine="0" w:firstLineChars="0"/>
            </w:pPr>
            <w:r>
              <w:rPr>
                <w:rFonts w:ascii="Calibri" w:hAnsi="Calibri" w:cs="Calibri"/>
              </w:rPr>
              <w:t>①</w:t>
            </w:r>
            <w:r>
              <w:t>监测因子：TSP监测点位：项目所在地</w:t>
            </w:r>
          </w:p>
          <w:p w14:paraId="45951032">
            <w:pPr>
              <w:ind w:left="480" w:leftChars="200" w:firstLine="0" w:firstLineChars="0"/>
            </w:pPr>
            <w:r>
              <w:rPr>
                <w:rFonts w:ascii="Calibri" w:hAnsi="Calibri" w:cs="Calibri"/>
                <w:spacing w:val="2"/>
                <w:lang w:bidi="ar"/>
              </w:rPr>
              <w:t>②</w:t>
            </w:r>
            <w:r>
              <w:rPr>
                <w:spacing w:val="2"/>
                <w:lang w:bidi="ar"/>
              </w:rPr>
              <w:t>监测时间及频次：监测3天</w:t>
            </w:r>
          </w:p>
          <w:p w14:paraId="029B1AF8">
            <w:pPr>
              <w:autoSpaceDE w:val="0"/>
              <w:autoSpaceDN w:val="0"/>
              <w:adjustRightInd w:val="0"/>
              <w:spacing w:line="240" w:lineRule="auto"/>
              <w:ind w:firstLine="0" w:firstLineChars="0"/>
              <w:jc w:val="center"/>
              <w:rPr>
                <w:b/>
                <w:spacing w:val="2"/>
                <w:lang w:bidi="ar"/>
              </w:rPr>
            </w:pPr>
            <w:r>
              <w:rPr>
                <w:b/>
                <w:spacing w:val="2"/>
                <w:lang w:bidi="ar"/>
              </w:rPr>
              <w:t>表3-2   大气环境现状监测结果</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66"/>
              <w:gridCol w:w="3987"/>
            </w:tblGrid>
            <w:tr w14:paraId="616A5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2461" w:type="pct"/>
                  <w:vMerge w:val="restart"/>
                  <w:tcBorders>
                    <w:tl2br w:val="nil"/>
                    <w:tr2bl w:val="nil"/>
                  </w:tcBorders>
                  <w:vAlign w:val="center"/>
                </w:tcPr>
                <w:p w14:paraId="1366568A">
                  <w:pPr>
                    <w:pStyle w:val="69"/>
                    <w:widowControl/>
                    <w:spacing w:line="240" w:lineRule="auto"/>
                    <w:ind w:firstLine="0" w:firstLineChars="0"/>
                    <w:rPr>
                      <w:b/>
                      <w:bCs/>
                    </w:rPr>
                  </w:pPr>
                  <w:r>
                    <w:rPr>
                      <w:b/>
                      <w:bCs/>
                    </w:rPr>
                    <w:t>时间</w:t>
                  </w:r>
                </w:p>
              </w:tc>
              <w:tc>
                <w:tcPr>
                  <w:tcW w:w="2538" w:type="pct"/>
                  <w:tcBorders>
                    <w:tl2br w:val="nil"/>
                    <w:tr2bl w:val="nil"/>
                  </w:tcBorders>
                  <w:vAlign w:val="center"/>
                </w:tcPr>
                <w:p w14:paraId="5812B9AF">
                  <w:pPr>
                    <w:pStyle w:val="69"/>
                    <w:widowControl/>
                    <w:spacing w:line="240" w:lineRule="auto"/>
                    <w:ind w:firstLine="0" w:firstLineChars="0"/>
                    <w:rPr>
                      <w:b/>
                      <w:bCs/>
                    </w:rPr>
                  </w:pPr>
                  <w:r>
                    <w:rPr>
                      <w:b/>
                      <w:bCs/>
                    </w:rPr>
                    <w:t>TSP</w:t>
                  </w:r>
                </w:p>
              </w:tc>
            </w:tr>
            <w:tr w14:paraId="5E695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461" w:type="pct"/>
                  <w:vMerge w:val="continue"/>
                  <w:tcBorders>
                    <w:tl2br w:val="nil"/>
                    <w:tr2bl w:val="nil"/>
                  </w:tcBorders>
                  <w:vAlign w:val="center"/>
                </w:tcPr>
                <w:p w14:paraId="48D8749B">
                  <w:pPr>
                    <w:spacing w:line="240" w:lineRule="auto"/>
                    <w:ind w:firstLine="0" w:firstLineChars="0"/>
                    <w:rPr>
                      <w:b/>
                      <w:bCs/>
                      <w:sz w:val="21"/>
                      <w:szCs w:val="21"/>
                    </w:rPr>
                  </w:pPr>
                </w:p>
              </w:tc>
              <w:tc>
                <w:tcPr>
                  <w:tcW w:w="2538" w:type="pct"/>
                  <w:tcBorders>
                    <w:tl2br w:val="nil"/>
                    <w:tr2bl w:val="nil"/>
                  </w:tcBorders>
                  <w:vAlign w:val="center"/>
                </w:tcPr>
                <w:p w14:paraId="32FE3CA5">
                  <w:pPr>
                    <w:spacing w:line="240" w:lineRule="auto"/>
                    <w:ind w:firstLine="0" w:firstLineChars="0"/>
                    <w:jc w:val="center"/>
                    <w:rPr>
                      <w:b/>
                      <w:bCs/>
                      <w:sz w:val="21"/>
                      <w:szCs w:val="21"/>
                    </w:rPr>
                  </w:pPr>
                  <w:r>
                    <w:rPr>
                      <w:b/>
                      <w:bCs/>
                      <w:spacing w:val="2"/>
                      <w:sz w:val="21"/>
                      <w:szCs w:val="21"/>
                      <w:lang w:bidi="ar"/>
                    </w:rPr>
                    <w:t>24小时平均</w:t>
                  </w:r>
                  <w:r>
                    <w:rPr>
                      <w:b/>
                      <w:bCs/>
                      <w:kern w:val="0"/>
                      <w:sz w:val="21"/>
                      <w:szCs w:val="21"/>
                      <w:lang w:bidi="ar"/>
                    </w:rPr>
                    <w:t>（μg/m</w:t>
                  </w:r>
                  <w:r>
                    <w:rPr>
                      <w:b/>
                      <w:bCs/>
                      <w:kern w:val="0"/>
                      <w:sz w:val="21"/>
                      <w:szCs w:val="21"/>
                      <w:vertAlign w:val="superscript"/>
                      <w:lang w:bidi="ar"/>
                    </w:rPr>
                    <w:t>3</w:t>
                  </w:r>
                  <w:r>
                    <w:rPr>
                      <w:b/>
                      <w:bCs/>
                      <w:kern w:val="0"/>
                      <w:sz w:val="21"/>
                      <w:szCs w:val="21"/>
                      <w:lang w:bidi="ar"/>
                    </w:rPr>
                    <w:t>）</w:t>
                  </w:r>
                </w:p>
              </w:tc>
            </w:tr>
            <w:tr w14:paraId="3FE9E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461" w:type="pct"/>
                  <w:tcBorders>
                    <w:tl2br w:val="nil"/>
                    <w:tr2bl w:val="nil"/>
                  </w:tcBorders>
                  <w:vAlign w:val="center"/>
                </w:tcPr>
                <w:p w14:paraId="09BD8227">
                  <w:pPr>
                    <w:spacing w:line="240" w:lineRule="auto"/>
                    <w:ind w:firstLine="0" w:firstLineChars="0"/>
                    <w:jc w:val="center"/>
                    <w:rPr>
                      <w:sz w:val="21"/>
                      <w:szCs w:val="21"/>
                    </w:rPr>
                  </w:pPr>
                  <w:r>
                    <w:rPr>
                      <w:rFonts w:hint="eastAsia"/>
                      <w:spacing w:val="2"/>
                      <w:sz w:val="21"/>
                      <w:szCs w:val="21"/>
                      <w:lang w:bidi="ar"/>
                    </w:rPr>
                    <w:t>5</w:t>
                  </w:r>
                  <w:r>
                    <w:rPr>
                      <w:spacing w:val="2"/>
                      <w:sz w:val="21"/>
                      <w:szCs w:val="21"/>
                      <w:lang w:bidi="ar"/>
                    </w:rPr>
                    <w:t>月</w:t>
                  </w:r>
                  <w:r>
                    <w:rPr>
                      <w:rFonts w:hint="eastAsia"/>
                      <w:spacing w:val="2"/>
                      <w:sz w:val="21"/>
                      <w:szCs w:val="21"/>
                      <w:lang w:bidi="ar"/>
                    </w:rPr>
                    <w:t>18</w:t>
                  </w:r>
                  <w:r>
                    <w:rPr>
                      <w:spacing w:val="2"/>
                      <w:sz w:val="21"/>
                      <w:szCs w:val="21"/>
                      <w:lang w:bidi="ar"/>
                    </w:rPr>
                    <w:t>日</w:t>
                  </w:r>
                </w:p>
              </w:tc>
              <w:tc>
                <w:tcPr>
                  <w:tcW w:w="2538" w:type="pct"/>
                  <w:tcBorders>
                    <w:tl2br w:val="nil"/>
                    <w:tr2bl w:val="nil"/>
                  </w:tcBorders>
                  <w:vAlign w:val="center"/>
                </w:tcPr>
                <w:p w14:paraId="4636D082">
                  <w:pPr>
                    <w:spacing w:line="240" w:lineRule="auto"/>
                    <w:ind w:firstLine="0" w:firstLineChars="0"/>
                    <w:jc w:val="center"/>
                    <w:rPr>
                      <w:sz w:val="21"/>
                      <w:szCs w:val="21"/>
                    </w:rPr>
                  </w:pPr>
                  <w:r>
                    <w:rPr>
                      <w:rFonts w:hint="eastAsia"/>
                      <w:sz w:val="21"/>
                      <w:szCs w:val="21"/>
                    </w:rPr>
                    <w:t>230</w:t>
                  </w:r>
                </w:p>
              </w:tc>
            </w:tr>
            <w:tr w14:paraId="3CCB0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461" w:type="pct"/>
                  <w:tcBorders>
                    <w:tl2br w:val="nil"/>
                    <w:tr2bl w:val="nil"/>
                  </w:tcBorders>
                  <w:vAlign w:val="center"/>
                </w:tcPr>
                <w:p w14:paraId="0BBD8693">
                  <w:pPr>
                    <w:spacing w:line="240" w:lineRule="auto"/>
                    <w:ind w:firstLine="0" w:firstLineChars="0"/>
                    <w:jc w:val="center"/>
                    <w:rPr>
                      <w:sz w:val="21"/>
                      <w:szCs w:val="21"/>
                    </w:rPr>
                  </w:pPr>
                  <w:r>
                    <w:rPr>
                      <w:rFonts w:hint="eastAsia"/>
                      <w:spacing w:val="2"/>
                      <w:sz w:val="21"/>
                      <w:szCs w:val="21"/>
                      <w:lang w:bidi="ar"/>
                    </w:rPr>
                    <w:t>5</w:t>
                  </w:r>
                  <w:r>
                    <w:rPr>
                      <w:spacing w:val="2"/>
                      <w:sz w:val="21"/>
                      <w:szCs w:val="21"/>
                      <w:lang w:bidi="ar"/>
                    </w:rPr>
                    <w:t>月</w:t>
                  </w:r>
                  <w:r>
                    <w:rPr>
                      <w:rFonts w:hint="eastAsia"/>
                      <w:spacing w:val="2"/>
                      <w:sz w:val="21"/>
                      <w:szCs w:val="21"/>
                      <w:lang w:bidi="ar"/>
                    </w:rPr>
                    <w:t>19</w:t>
                  </w:r>
                  <w:r>
                    <w:rPr>
                      <w:spacing w:val="2"/>
                      <w:sz w:val="21"/>
                      <w:szCs w:val="21"/>
                      <w:lang w:bidi="ar"/>
                    </w:rPr>
                    <w:t>日</w:t>
                  </w:r>
                </w:p>
              </w:tc>
              <w:tc>
                <w:tcPr>
                  <w:tcW w:w="2538" w:type="pct"/>
                  <w:tcBorders>
                    <w:tl2br w:val="nil"/>
                    <w:tr2bl w:val="nil"/>
                  </w:tcBorders>
                  <w:vAlign w:val="center"/>
                </w:tcPr>
                <w:p w14:paraId="00E06D3A">
                  <w:pPr>
                    <w:spacing w:line="240" w:lineRule="auto"/>
                    <w:ind w:firstLine="0" w:firstLineChars="0"/>
                    <w:jc w:val="center"/>
                    <w:rPr>
                      <w:sz w:val="21"/>
                      <w:szCs w:val="21"/>
                    </w:rPr>
                  </w:pPr>
                  <w:r>
                    <w:rPr>
                      <w:rFonts w:hint="eastAsia"/>
                      <w:sz w:val="21"/>
                      <w:szCs w:val="21"/>
                    </w:rPr>
                    <w:t>104</w:t>
                  </w:r>
                </w:p>
              </w:tc>
            </w:tr>
            <w:tr w14:paraId="4885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461" w:type="pct"/>
                  <w:tcBorders>
                    <w:tl2br w:val="nil"/>
                    <w:tr2bl w:val="nil"/>
                  </w:tcBorders>
                  <w:vAlign w:val="center"/>
                </w:tcPr>
                <w:p w14:paraId="54480031">
                  <w:pPr>
                    <w:spacing w:line="240" w:lineRule="auto"/>
                    <w:ind w:firstLine="0" w:firstLineChars="0"/>
                    <w:jc w:val="center"/>
                    <w:rPr>
                      <w:sz w:val="21"/>
                      <w:szCs w:val="21"/>
                    </w:rPr>
                  </w:pPr>
                  <w:r>
                    <w:rPr>
                      <w:rFonts w:hint="eastAsia"/>
                      <w:spacing w:val="2"/>
                      <w:sz w:val="21"/>
                      <w:szCs w:val="21"/>
                      <w:lang w:bidi="ar"/>
                    </w:rPr>
                    <w:t>5</w:t>
                  </w:r>
                  <w:r>
                    <w:rPr>
                      <w:spacing w:val="2"/>
                      <w:sz w:val="21"/>
                      <w:szCs w:val="21"/>
                      <w:lang w:bidi="ar"/>
                    </w:rPr>
                    <w:t>月</w:t>
                  </w:r>
                  <w:r>
                    <w:rPr>
                      <w:rFonts w:hint="eastAsia"/>
                      <w:spacing w:val="2"/>
                      <w:sz w:val="21"/>
                      <w:szCs w:val="21"/>
                      <w:lang w:bidi="ar"/>
                    </w:rPr>
                    <w:t>20</w:t>
                  </w:r>
                  <w:r>
                    <w:rPr>
                      <w:spacing w:val="2"/>
                      <w:sz w:val="21"/>
                      <w:szCs w:val="21"/>
                      <w:lang w:bidi="ar"/>
                    </w:rPr>
                    <w:t>日</w:t>
                  </w:r>
                </w:p>
              </w:tc>
              <w:tc>
                <w:tcPr>
                  <w:tcW w:w="2538" w:type="pct"/>
                  <w:tcBorders>
                    <w:tl2br w:val="nil"/>
                    <w:tr2bl w:val="nil"/>
                  </w:tcBorders>
                  <w:vAlign w:val="center"/>
                </w:tcPr>
                <w:p w14:paraId="693C4738">
                  <w:pPr>
                    <w:spacing w:line="240" w:lineRule="auto"/>
                    <w:ind w:firstLine="0" w:firstLineChars="0"/>
                    <w:jc w:val="center"/>
                    <w:rPr>
                      <w:sz w:val="21"/>
                      <w:szCs w:val="21"/>
                    </w:rPr>
                  </w:pPr>
                  <w:r>
                    <w:rPr>
                      <w:rFonts w:hint="eastAsia"/>
                      <w:sz w:val="21"/>
                      <w:szCs w:val="21"/>
                    </w:rPr>
                    <w:t>98</w:t>
                  </w:r>
                </w:p>
              </w:tc>
            </w:tr>
            <w:tr w14:paraId="1DE41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461" w:type="pct"/>
                  <w:tcBorders>
                    <w:tl2br w:val="nil"/>
                    <w:tr2bl w:val="nil"/>
                  </w:tcBorders>
                  <w:vAlign w:val="center"/>
                </w:tcPr>
                <w:p w14:paraId="3350BB27">
                  <w:pPr>
                    <w:pStyle w:val="69"/>
                    <w:widowControl/>
                    <w:spacing w:line="240" w:lineRule="auto"/>
                    <w:ind w:firstLine="0" w:firstLineChars="0"/>
                  </w:pPr>
                  <w:r>
                    <w:t>标准值</w:t>
                  </w:r>
                </w:p>
              </w:tc>
              <w:tc>
                <w:tcPr>
                  <w:tcW w:w="2538" w:type="pct"/>
                  <w:tcBorders>
                    <w:tl2br w:val="nil"/>
                    <w:tr2bl w:val="nil"/>
                  </w:tcBorders>
                  <w:vAlign w:val="center"/>
                </w:tcPr>
                <w:p w14:paraId="3B288E33">
                  <w:pPr>
                    <w:spacing w:line="240" w:lineRule="auto"/>
                    <w:ind w:firstLine="0" w:firstLineChars="0"/>
                    <w:jc w:val="center"/>
                    <w:rPr>
                      <w:sz w:val="21"/>
                      <w:szCs w:val="21"/>
                    </w:rPr>
                  </w:pPr>
                  <w:r>
                    <w:rPr>
                      <w:spacing w:val="2"/>
                      <w:sz w:val="21"/>
                      <w:szCs w:val="21"/>
                      <w:lang w:bidi="ar"/>
                    </w:rPr>
                    <w:t>300</w:t>
                  </w:r>
                </w:p>
              </w:tc>
            </w:tr>
            <w:tr w14:paraId="16D46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461" w:type="pct"/>
                  <w:tcBorders>
                    <w:tl2br w:val="nil"/>
                    <w:tr2bl w:val="nil"/>
                  </w:tcBorders>
                  <w:vAlign w:val="center"/>
                </w:tcPr>
                <w:p w14:paraId="530D9EE3">
                  <w:pPr>
                    <w:pStyle w:val="69"/>
                    <w:widowControl/>
                    <w:spacing w:line="240" w:lineRule="auto"/>
                    <w:ind w:firstLine="0" w:firstLineChars="0"/>
                  </w:pPr>
                  <w:r>
                    <w:t>达标结果</w:t>
                  </w:r>
                </w:p>
              </w:tc>
              <w:tc>
                <w:tcPr>
                  <w:tcW w:w="2538" w:type="pct"/>
                  <w:tcBorders>
                    <w:tl2br w:val="nil"/>
                    <w:tr2bl w:val="nil"/>
                  </w:tcBorders>
                  <w:vAlign w:val="center"/>
                </w:tcPr>
                <w:p w14:paraId="4C954DBF">
                  <w:pPr>
                    <w:pStyle w:val="69"/>
                    <w:widowControl/>
                    <w:spacing w:line="240" w:lineRule="auto"/>
                    <w:ind w:firstLine="0" w:firstLineChars="0"/>
                  </w:pPr>
                  <w:r>
                    <w:t>达标</w:t>
                  </w:r>
                </w:p>
              </w:tc>
            </w:tr>
          </w:tbl>
          <w:p w14:paraId="6D4EE256">
            <w:pPr>
              <w:spacing w:before="120" w:beforeLines="50"/>
              <w:ind w:firstLine="488"/>
            </w:pPr>
            <w:r>
              <w:rPr>
                <w:spacing w:val="2"/>
                <w:lang w:bidi="ar"/>
              </w:rPr>
              <w:t>从监测结果可以看出，项目所在区域环境空气指标TSP可达到《环境空气质量标准》（GB3095-2012）中的二级标准浓度限值。</w:t>
            </w:r>
          </w:p>
          <w:p w14:paraId="064DFAAD">
            <w:pPr>
              <w:pStyle w:val="2"/>
              <w:ind w:firstLine="480" w:firstLineChars="200"/>
              <w:rPr>
                <w:rFonts w:eastAsia="宋体"/>
                <w:b w:val="0"/>
                <w:bCs w:val="0"/>
                <w:color w:val="auto"/>
                <w:szCs w:val="24"/>
              </w:rPr>
            </w:pPr>
            <w:r>
              <w:rPr>
                <w:rFonts w:hint="eastAsia" w:eastAsia="宋体"/>
                <w:b w:val="0"/>
                <w:bCs w:val="0"/>
                <w:color w:val="auto"/>
                <w:szCs w:val="24"/>
              </w:rPr>
              <w:t>3、</w:t>
            </w:r>
            <w:r>
              <w:rPr>
                <w:rFonts w:eastAsia="宋体"/>
                <w:b w:val="0"/>
                <w:bCs w:val="0"/>
                <w:color w:val="auto"/>
                <w:szCs w:val="24"/>
              </w:rPr>
              <w:t>声环境质量现状</w:t>
            </w:r>
          </w:p>
          <w:p w14:paraId="78967505">
            <w:pPr>
              <w:autoSpaceDE w:val="0"/>
              <w:autoSpaceDN w:val="0"/>
              <w:adjustRightInd w:val="0"/>
              <w:snapToGrid w:val="0"/>
              <w:ind w:firstLine="480"/>
              <w:rPr>
                <w:kern w:val="0"/>
                <w:lang w:val="zh-CN"/>
              </w:rPr>
            </w:pPr>
            <w:r>
              <w:rPr>
                <w:kern w:val="0"/>
              </w:rPr>
              <w:t>根据《建设项目环境影响报告表编制技术指南（生态影响类）试行》和《建设项目环境影响报告表编制技术指南（污染影响类）试行》，区域环境质量现状对声环境的监测要求，厂界外周边50m范围内存在声环境保护目标的建设项目，应监测保护目标声环境质量现状并评价达标情况。</w:t>
            </w:r>
          </w:p>
          <w:p w14:paraId="3F14272B">
            <w:pPr>
              <w:pStyle w:val="2"/>
              <w:ind w:firstLine="480" w:firstLineChars="200"/>
              <w:rPr>
                <w:rFonts w:eastAsia="宋体"/>
                <w:b w:val="0"/>
                <w:bCs w:val="0"/>
                <w:color w:val="auto"/>
                <w:szCs w:val="24"/>
              </w:rPr>
            </w:pPr>
            <w:r>
              <w:rPr>
                <w:rFonts w:eastAsia="宋体"/>
                <w:b w:val="0"/>
                <w:bCs w:val="0"/>
                <w:color w:val="auto"/>
                <w:szCs w:val="24"/>
              </w:rPr>
              <w:t>本项目位于</w:t>
            </w:r>
            <w:r>
              <w:rPr>
                <w:rFonts w:hint="eastAsia" w:eastAsia="宋体"/>
                <w:b w:val="0"/>
                <w:bCs w:val="0"/>
                <w:color w:val="auto"/>
                <w:szCs w:val="24"/>
              </w:rPr>
              <w:t>宝鸡市陈仓区香泉镇梨树沟</w:t>
            </w:r>
            <w:r>
              <w:rPr>
                <w:rFonts w:eastAsia="宋体"/>
                <w:b w:val="0"/>
                <w:bCs w:val="0"/>
                <w:color w:val="auto"/>
                <w:szCs w:val="24"/>
              </w:rPr>
              <w:t>，项目厂界外周边50m范围内无声环境保护目标，因此不需要开展声环境质量现状监测</w:t>
            </w:r>
            <w:r>
              <w:rPr>
                <w:rFonts w:hint="eastAsia" w:eastAsia="宋体"/>
                <w:b w:val="0"/>
                <w:bCs w:val="0"/>
                <w:color w:val="auto"/>
                <w:szCs w:val="24"/>
              </w:rPr>
              <w:t>。</w:t>
            </w:r>
          </w:p>
          <w:p w14:paraId="032F7B42">
            <w:pPr>
              <w:pStyle w:val="2"/>
              <w:ind w:firstLine="480" w:firstLineChars="200"/>
              <w:rPr>
                <w:rFonts w:eastAsia="宋体"/>
                <w:b w:val="0"/>
                <w:bCs w:val="0"/>
                <w:color w:val="0000FF"/>
                <w:szCs w:val="24"/>
              </w:rPr>
            </w:pPr>
            <w:r>
              <w:rPr>
                <w:rFonts w:hint="eastAsia" w:eastAsia="宋体"/>
                <w:b w:val="0"/>
                <w:bCs w:val="0"/>
                <w:color w:val="0000FF"/>
                <w:szCs w:val="24"/>
              </w:rPr>
              <w:t>4、地表水环境质量现状</w:t>
            </w:r>
          </w:p>
          <w:p w14:paraId="4F985643">
            <w:pPr>
              <w:pStyle w:val="2"/>
              <w:ind w:firstLine="480" w:firstLineChars="200"/>
              <w:rPr>
                <w:rFonts w:eastAsia="宋体"/>
                <w:b w:val="0"/>
                <w:bCs w:val="0"/>
                <w:color w:val="0000FF"/>
                <w:szCs w:val="24"/>
              </w:rPr>
            </w:pPr>
            <w:r>
              <w:rPr>
                <w:rFonts w:eastAsia="宋体"/>
                <w:b w:val="0"/>
                <w:bCs w:val="0"/>
                <w:color w:val="0000FF"/>
                <w:szCs w:val="24"/>
              </w:rPr>
              <w:t>本项目废水主要为生活污水；生活污水经</w:t>
            </w:r>
            <w:r>
              <w:rPr>
                <w:rFonts w:hint="eastAsia" w:eastAsia="宋体"/>
                <w:b w:val="0"/>
                <w:bCs w:val="0"/>
                <w:color w:val="0000FF"/>
                <w:szCs w:val="24"/>
              </w:rPr>
              <w:t>化粪池后用于周边</w:t>
            </w:r>
            <w:r>
              <w:rPr>
                <w:rFonts w:hint="eastAsia" w:eastAsia="宋体"/>
                <w:b w:val="0"/>
                <w:bCs w:val="0"/>
                <w:color w:val="0000FF"/>
                <w:szCs w:val="24"/>
                <w:lang w:eastAsia="zh-CN"/>
              </w:rPr>
              <w:t>林地等</w:t>
            </w:r>
            <w:r>
              <w:rPr>
                <w:rFonts w:eastAsia="宋体"/>
                <w:b w:val="0"/>
                <w:bCs w:val="0"/>
                <w:color w:val="0000FF"/>
                <w:szCs w:val="24"/>
              </w:rPr>
              <w:t>。本项目不向地表水水体排放污水。</w:t>
            </w:r>
          </w:p>
          <w:p w14:paraId="22322687">
            <w:pPr>
              <w:pStyle w:val="2"/>
              <w:ind w:firstLine="480" w:firstLineChars="200"/>
              <w:rPr>
                <w:rFonts w:eastAsia="宋体"/>
                <w:b w:val="0"/>
                <w:bCs w:val="0"/>
                <w:color w:val="0000FF"/>
                <w:szCs w:val="24"/>
              </w:rPr>
            </w:pPr>
            <w:r>
              <w:rPr>
                <w:rFonts w:eastAsia="宋体"/>
                <w:b w:val="0"/>
                <w:bCs w:val="0"/>
                <w:color w:val="0000FF"/>
                <w:szCs w:val="24"/>
              </w:rPr>
              <w:t>根据《环境影响评价技术导则 地表水环境》（HJ2.3-2018），间接排放建设项目评价等级为三级B，因此本项目地表水评价等级为三级B，因此本次不进行地表水环境质量现状调查。</w:t>
            </w:r>
          </w:p>
          <w:p w14:paraId="78FCDFE2">
            <w:pPr>
              <w:pStyle w:val="2"/>
              <w:ind w:firstLine="480" w:firstLineChars="200"/>
              <w:rPr>
                <w:rFonts w:eastAsia="宋体"/>
                <w:b w:val="0"/>
                <w:bCs w:val="0"/>
                <w:color w:val="auto"/>
                <w:szCs w:val="24"/>
              </w:rPr>
            </w:pPr>
            <w:r>
              <w:rPr>
                <w:rFonts w:hint="eastAsia" w:eastAsia="宋体"/>
                <w:b w:val="0"/>
                <w:bCs w:val="0"/>
                <w:color w:val="auto"/>
                <w:szCs w:val="24"/>
              </w:rPr>
              <w:t>5</w:t>
            </w:r>
            <w:r>
              <w:rPr>
                <w:rFonts w:eastAsia="宋体"/>
                <w:b w:val="0"/>
                <w:bCs w:val="0"/>
                <w:color w:val="auto"/>
                <w:szCs w:val="24"/>
              </w:rPr>
              <w:t>、生态环境质量现状</w:t>
            </w:r>
          </w:p>
          <w:p w14:paraId="1825CEF3">
            <w:pPr>
              <w:ind w:firstLine="480"/>
              <w:rPr>
                <w:color w:val="auto"/>
              </w:rPr>
            </w:pPr>
            <w:bookmarkStart w:id="2" w:name="_Toc34090829"/>
            <w:r>
              <w:rPr>
                <w:color w:val="auto"/>
                <w:kern w:val="0"/>
                <w:lang w:val="zh-CN"/>
              </w:rPr>
              <w:t>项目</w:t>
            </w:r>
            <w:r>
              <w:rPr>
                <w:color w:val="auto"/>
              </w:rPr>
              <w:t>位于陕西省</w:t>
            </w:r>
            <w:r>
              <w:rPr>
                <w:rFonts w:hint="eastAsia"/>
                <w:color w:val="auto"/>
                <w:kern w:val="44"/>
              </w:rPr>
              <w:t>宝鸡市陈仓区香泉镇梨树沟</w:t>
            </w:r>
            <w:r>
              <w:rPr>
                <w:color w:val="auto"/>
              </w:rPr>
              <w:t>，不涉及国家公园、自然公园等自然保护地、世界自然遗产等区域，不涉及重要物种的天然集中分布区、栖息地。</w:t>
            </w:r>
          </w:p>
          <w:p w14:paraId="7D80FED7">
            <w:pPr>
              <w:ind w:firstLine="480"/>
              <w:rPr>
                <w:color w:val="auto"/>
              </w:rPr>
            </w:pPr>
            <w:r>
              <w:rPr>
                <w:rFonts w:hint="eastAsia"/>
                <w:color w:val="auto"/>
              </w:rPr>
              <w:t>项目</w:t>
            </w:r>
            <w:r>
              <w:rPr>
                <w:color w:val="auto"/>
              </w:rPr>
              <w:t>区域地处秦岭北麓，属暖温带半湿润气候区，森林植被属暖温带落叶阔叶林带。</w:t>
            </w:r>
            <w:r>
              <w:rPr>
                <w:rFonts w:hint="eastAsia"/>
                <w:color w:val="auto"/>
              </w:rPr>
              <w:t>根据《陕西省宝鸡市陈仓区—陇县梨树沟—中南沟脉石英矿详查项目临时使用林地可行性报告》可知，</w:t>
            </w:r>
            <w:r>
              <w:rPr>
                <w:rFonts w:hint="eastAsia"/>
                <w:color w:val="auto"/>
                <w:lang w:eastAsia="zh-CN"/>
              </w:rPr>
              <w:t>项目区评价范围内</w:t>
            </w:r>
            <w:r>
              <w:rPr>
                <w:color w:val="auto"/>
              </w:rPr>
              <w:t>以天然次生林为主。优势树种主要树种为栎类阔叶树种、龄组中龄林、平均树高11米、平均胸径14厘米、郁闭度0.4。灌木主要有忍冬、绣线菊、胡枝子、胡颓子、野樱桃等，覆盖度30%。地被物主要有禾草、蒿类、菊科草等，覆盖度0.6。</w:t>
            </w:r>
          </w:p>
          <w:p w14:paraId="58BD71A5">
            <w:pPr>
              <w:ind w:firstLine="480"/>
              <w:rPr>
                <w:color w:val="auto"/>
              </w:rPr>
            </w:pPr>
            <w:r>
              <w:rPr>
                <w:color w:val="auto"/>
              </w:rPr>
              <w:t>灌木主要有胡颓子、绣线菊、忍冬、粗榧、黄蔷薇、黄栌，地被物为蒿类、莎草、菅草、蕨类等。项目区内地表覆盖层较薄，植被发育以草丛及灌木为主。除天然森林植被外，还有丰富的药用植物等。本项目区无古树名木和珍稀树种。</w:t>
            </w:r>
          </w:p>
          <w:p w14:paraId="29D9757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b/>
                <w:bCs/>
                <w:color w:val="0000FF"/>
                <w:sz w:val="24"/>
                <w:szCs w:val="24"/>
                <w:vertAlign w:val="baseline"/>
                <w:lang w:val="en-US" w:eastAsia="zh-CN"/>
              </w:rPr>
            </w:pPr>
            <w:r>
              <w:rPr>
                <w:rFonts w:hint="eastAsia" w:cs="Times New Roman"/>
                <w:b/>
                <w:bCs/>
                <w:color w:val="0000FF"/>
                <w:sz w:val="24"/>
                <w:szCs w:val="24"/>
                <w:vertAlign w:val="baseline"/>
                <w:lang w:val="en-US" w:eastAsia="zh-CN"/>
              </w:rPr>
              <w:drawing>
                <wp:inline distT="0" distB="0" distL="114300" distR="114300">
                  <wp:extent cx="4867275" cy="3444240"/>
                  <wp:effectExtent l="0" t="0" r="9525" b="3810"/>
                  <wp:docPr id="10" name="图片 10" descr="生态系统类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生态系统类型图"/>
                          <pic:cNvPicPr>
                            <a:picLocks noChangeAspect="1"/>
                          </pic:cNvPicPr>
                        </pic:nvPicPr>
                        <pic:blipFill>
                          <a:blip r:embed="rId23"/>
                          <a:stretch>
                            <a:fillRect/>
                          </a:stretch>
                        </pic:blipFill>
                        <pic:spPr>
                          <a:xfrm>
                            <a:off x="0" y="0"/>
                            <a:ext cx="4867275" cy="3444240"/>
                          </a:xfrm>
                          <a:prstGeom prst="rect">
                            <a:avLst/>
                          </a:prstGeom>
                        </pic:spPr>
                      </pic:pic>
                    </a:graphicData>
                  </a:graphic>
                </wp:inline>
              </w:drawing>
            </w:r>
          </w:p>
          <w:p w14:paraId="54DB1A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0000FF"/>
                <w:sz w:val="24"/>
                <w:szCs w:val="24"/>
                <w:vertAlign w:val="baseline"/>
                <w:lang w:val="en-US" w:eastAsia="zh-CN"/>
              </w:rPr>
            </w:pPr>
          </w:p>
          <w:p w14:paraId="39284B4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b/>
                <w:bCs/>
                <w:color w:val="0000FF"/>
                <w:sz w:val="24"/>
                <w:szCs w:val="24"/>
                <w:vertAlign w:val="baseline"/>
                <w:lang w:val="en-US" w:eastAsia="zh-CN"/>
              </w:rPr>
            </w:pPr>
            <w:r>
              <w:rPr>
                <w:rFonts w:hint="eastAsia" w:cs="Times New Roman"/>
                <w:b/>
                <w:bCs/>
                <w:color w:val="0000FF"/>
                <w:sz w:val="24"/>
                <w:szCs w:val="24"/>
                <w:vertAlign w:val="baseline"/>
                <w:lang w:val="en-US" w:eastAsia="zh-CN"/>
              </w:rPr>
              <w:drawing>
                <wp:inline distT="0" distB="0" distL="114300" distR="114300">
                  <wp:extent cx="4867275" cy="3444240"/>
                  <wp:effectExtent l="0" t="0" r="9525" b="3810"/>
                  <wp:docPr id="11" name="图片 11" descr="植被覆盖度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植被覆盖度图"/>
                          <pic:cNvPicPr>
                            <a:picLocks noChangeAspect="1"/>
                          </pic:cNvPicPr>
                        </pic:nvPicPr>
                        <pic:blipFill>
                          <a:blip r:embed="rId24"/>
                          <a:stretch>
                            <a:fillRect/>
                          </a:stretch>
                        </pic:blipFill>
                        <pic:spPr>
                          <a:xfrm>
                            <a:off x="0" y="0"/>
                            <a:ext cx="4867275" cy="3444240"/>
                          </a:xfrm>
                          <a:prstGeom prst="rect">
                            <a:avLst/>
                          </a:prstGeom>
                        </pic:spPr>
                      </pic:pic>
                    </a:graphicData>
                  </a:graphic>
                </wp:inline>
              </w:drawing>
            </w:r>
          </w:p>
          <w:p w14:paraId="6563BE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0000FF"/>
                <w:sz w:val="24"/>
                <w:szCs w:val="24"/>
                <w:vertAlign w:val="baseline"/>
                <w:lang w:val="en-US" w:eastAsia="zh-CN"/>
              </w:rPr>
            </w:pPr>
          </w:p>
          <w:p w14:paraId="7592A13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b/>
                <w:bCs/>
                <w:color w:val="0000FF"/>
                <w:sz w:val="24"/>
                <w:szCs w:val="24"/>
                <w:vertAlign w:val="baseline"/>
                <w:lang w:val="en-US" w:eastAsia="zh-CN"/>
              </w:rPr>
            </w:pPr>
            <w:r>
              <w:rPr>
                <w:rFonts w:hint="eastAsia" w:cs="Times New Roman"/>
                <w:b/>
                <w:bCs/>
                <w:color w:val="0000FF"/>
                <w:sz w:val="24"/>
                <w:szCs w:val="24"/>
                <w:vertAlign w:val="baseline"/>
                <w:lang w:val="en-US" w:eastAsia="zh-CN"/>
              </w:rPr>
              <w:drawing>
                <wp:inline distT="0" distB="0" distL="114300" distR="114300">
                  <wp:extent cx="4867275" cy="3444240"/>
                  <wp:effectExtent l="0" t="0" r="9525" b="3810"/>
                  <wp:docPr id="14" name="图片 14" descr="v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vage"/>
                          <pic:cNvPicPr>
                            <a:picLocks noChangeAspect="1"/>
                          </pic:cNvPicPr>
                        </pic:nvPicPr>
                        <pic:blipFill>
                          <a:blip r:embed="rId25"/>
                          <a:stretch>
                            <a:fillRect/>
                          </a:stretch>
                        </pic:blipFill>
                        <pic:spPr>
                          <a:xfrm>
                            <a:off x="0" y="0"/>
                            <a:ext cx="4867275" cy="3444240"/>
                          </a:xfrm>
                          <a:prstGeom prst="rect">
                            <a:avLst/>
                          </a:prstGeom>
                        </pic:spPr>
                      </pic:pic>
                    </a:graphicData>
                  </a:graphic>
                </wp:inline>
              </w:drawing>
            </w:r>
          </w:p>
          <w:p w14:paraId="6CBD0D9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b/>
                <w:bCs/>
                <w:color w:val="0000FF"/>
                <w:sz w:val="24"/>
                <w:szCs w:val="24"/>
                <w:vertAlign w:val="baseline"/>
                <w:lang w:val="en-US" w:eastAsia="zh-CN"/>
              </w:rPr>
            </w:pPr>
            <w:r>
              <w:rPr>
                <w:rFonts w:hint="eastAsia" w:cs="Times New Roman"/>
                <w:b/>
                <w:bCs/>
                <w:color w:val="0000FF"/>
                <w:sz w:val="24"/>
                <w:szCs w:val="24"/>
                <w:vertAlign w:val="baseline"/>
                <w:lang w:val="en-US" w:eastAsia="zh-CN"/>
              </w:rPr>
              <w:t>评价范围：200m</w:t>
            </w:r>
          </w:p>
          <w:p w14:paraId="3B0F5C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FF"/>
                <w:sz w:val="24"/>
              </w:rPr>
            </w:pPr>
            <w:r>
              <w:rPr>
                <w:b/>
                <w:bCs/>
                <w:color w:val="0000FF"/>
                <w:sz w:val="24"/>
              </w:rPr>
              <w:t>表3-</w:t>
            </w:r>
            <w:r>
              <w:rPr>
                <w:rFonts w:hint="eastAsia"/>
                <w:b/>
                <w:bCs/>
                <w:color w:val="0000FF"/>
                <w:sz w:val="24"/>
                <w:lang w:val="en-US" w:eastAsia="zh-CN"/>
              </w:rPr>
              <w:t>3</w:t>
            </w:r>
            <w:r>
              <w:rPr>
                <w:rFonts w:hint="eastAsia"/>
                <w:b/>
                <w:bCs/>
                <w:color w:val="0000FF"/>
                <w:sz w:val="24"/>
              </w:rPr>
              <w:t xml:space="preserve">  植被类型</w:t>
            </w:r>
            <w:r>
              <w:rPr>
                <w:b/>
                <w:bCs/>
                <w:color w:val="0000FF"/>
                <w:sz w:val="24"/>
              </w:rPr>
              <w:t>统计表</w:t>
            </w:r>
          </w:p>
          <w:tbl>
            <w:tblPr>
              <w:tblStyle w:val="24"/>
              <w:tblW w:w="5000" w:type="pct"/>
              <w:jc w:val="center"/>
              <w:tblLayout w:type="autofit"/>
              <w:tblCellMar>
                <w:top w:w="0" w:type="dxa"/>
                <w:left w:w="108" w:type="dxa"/>
                <w:bottom w:w="0" w:type="dxa"/>
                <w:right w:w="108" w:type="dxa"/>
              </w:tblCellMar>
            </w:tblPr>
            <w:tblGrid>
              <w:gridCol w:w="604"/>
              <w:gridCol w:w="2101"/>
              <w:gridCol w:w="1388"/>
              <w:gridCol w:w="1192"/>
              <w:gridCol w:w="1388"/>
              <w:gridCol w:w="1192"/>
            </w:tblGrid>
            <w:tr w14:paraId="2BD459FC">
              <w:tblPrEx>
                <w:tblCellMar>
                  <w:top w:w="0" w:type="dxa"/>
                  <w:left w:w="108" w:type="dxa"/>
                  <w:bottom w:w="0" w:type="dxa"/>
                  <w:right w:w="108" w:type="dxa"/>
                </w:tblCellMar>
              </w:tblPrEx>
              <w:trPr>
                <w:trHeight w:val="340" w:hRule="atLeast"/>
                <w:jc w:val="center"/>
              </w:trPr>
              <w:tc>
                <w:tcPr>
                  <w:tcW w:w="373" w:type="pct"/>
                  <w:vMerge w:val="restart"/>
                  <w:tcBorders>
                    <w:top w:val="single" w:color="000000" w:sz="4" w:space="0"/>
                    <w:left w:val="single" w:color="000000" w:sz="4" w:space="0"/>
                    <w:right w:val="single" w:color="000000" w:sz="4" w:space="0"/>
                  </w:tcBorders>
                  <w:shd w:val="clear" w:color="auto" w:fill="FFFFFF"/>
                  <w:noWrap/>
                  <w:vAlign w:val="center"/>
                </w:tcPr>
                <w:p w14:paraId="1A00245C">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rPr>
                    <w:t>序号</w:t>
                  </w:r>
                </w:p>
              </w:tc>
              <w:tc>
                <w:tcPr>
                  <w:tcW w:w="1420" w:type="pct"/>
                  <w:vMerge w:val="restart"/>
                  <w:tcBorders>
                    <w:top w:val="single" w:color="000000" w:sz="4" w:space="0"/>
                    <w:left w:val="single" w:color="000000" w:sz="4" w:space="0"/>
                    <w:right w:val="single" w:color="000000" w:sz="4" w:space="0"/>
                  </w:tcBorders>
                  <w:shd w:val="clear" w:color="auto" w:fill="FFFFFF"/>
                  <w:noWrap/>
                  <w:vAlign w:val="center"/>
                </w:tcPr>
                <w:p w14:paraId="603062DF">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rPr>
                    <w:t>植被类型</w:t>
                  </w:r>
                </w:p>
              </w:tc>
              <w:tc>
                <w:tcPr>
                  <w:tcW w:w="1603"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422DB2">
                  <w:pPr>
                    <w:pStyle w:val="65"/>
                    <w:jc w:val="center"/>
                    <w:rPr>
                      <w:rFonts w:hint="eastAsia" w:ascii="Times New Roman" w:hAnsi="Times New Roman" w:eastAsia="宋体" w:cs="Times New Roman"/>
                      <w:color w:val="0000FF"/>
                      <w:lang w:eastAsia="zh-CN"/>
                    </w:rPr>
                  </w:pPr>
                  <w:r>
                    <w:rPr>
                      <w:rFonts w:hint="eastAsia" w:ascii="Times New Roman" w:hAnsi="Times New Roman" w:eastAsia="宋体" w:cs="Times New Roman"/>
                      <w:color w:val="0000FF"/>
                    </w:rPr>
                    <w:t>评价区</w:t>
                  </w:r>
                </w:p>
              </w:tc>
              <w:tc>
                <w:tcPr>
                  <w:tcW w:w="1603"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26E78F">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lang w:eastAsia="zh-CN"/>
                    </w:rPr>
                    <w:t>矿</w:t>
                  </w:r>
                  <w:r>
                    <w:rPr>
                      <w:rFonts w:hint="eastAsia" w:ascii="Times New Roman" w:hAnsi="Times New Roman" w:eastAsia="宋体" w:cs="Times New Roman"/>
                      <w:color w:val="0000FF"/>
                    </w:rPr>
                    <w:t>区</w:t>
                  </w:r>
                </w:p>
              </w:tc>
            </w:tr>
            <w:tr w14:paraId="3F02E7C2">
              <w:tblPrEx>
                <w:tblCellMar>
                  <w:top w:w="0" w:type="dxa"/>
                  <w:left w:w="108" w:type="dxa"/>
                  <w:bottom w:w="0" w:type="dxa"/>
                  <w:right w:w="108" w:type="dxa"/>
                </w:tblCellMar>
              </w:tblPrEx>
              <w:trPr>
                <w:trHeight w:val="340" w:hRule="atLeast"/>
                <w:jc w:val="center"/>
              </w:trPr>
              <w:tc>
                <w:tcPr>
                  <w:tcW w:w="373" w:type="pct"/>
                  <w:vMerge w:val="continue"/>
                  <w:tcBorders>
                    <w:left w:val="single" w:color="000000" w:sz="4" w:space="0"/>
                    <w:bottom w:val="single" w:color="auto" w:sz="4" w:space="0"/>
                    <w:right w:val="single" w:color="000000" w:sz="4" w:space="0"/>
                  </w:tcBorders>
                  <w:noWrap/>
                  <w:vAlign w:val="center"/>
                </w:tcPr>
                <w:p w14:paraId="78910C1E">
                  <w:pPr>
                    <w:pStyle w:val="65"/>
                    <w:jc w:val="center"/>
                    <w:rPr>
                      <w:rFonts w:ascii="Times New Roman" w:hAnsi="Times New Roman" w:eastAsia="宋体" w:cs="Times New Roman"/>
                      <w:color w:val="0000FF"/>
                    </w:rPr>
                  </w:pPr>
                </w:p>
              </w:tc>
              <w:tc>
                <w:tcPr>
                  <w:tcW w:w="1420" w:type="pct"/>
                  <w:vMerge w:val="continue"/>
                  <w:tcBorders>
                    <w:left w:val="single" w:color="000000" w:sz="4" w:space="0"/>
                    <w:bottom w:val="single" w:color="000000" w:sz="4" w:space="0"/>
                    <w:right w:val="single" w:color="000000" w:sz="4" w:space="0"/>
                  </w:tcBorders>
                  <w:noWrap/>
                  <w:vAlign w:val="center"/>
                </w:tcPr>
                <w:p w14:paraId="23B78E3A">
                  <w:pPr>
                    <w:pStyle w:val="65"/>
                    <w:jc w:val="center"/>
                    <w:rPr>
                      <w:rFonts w:hint="eastAsia" w:ascii="Times New Roman" w:hAnsi="Times New Roman" w:eastAsia="宋体" w:cs="Times New Roman"/>
                      <w:color w:val="0000FF"/>
                    </w:rPr>
                  </w:pPr>
                </w:p>
              </w:tc>
              <w:tc>
                <w:tcPr>
                  <w:tcW w:w="862" w:type="pct"/>
                  <w:tcBorders>
                    <w:top w:val="single" w:color="000000" w:sz="4" w:space="0"/>
                    <w:left w:val="single" w:color="000000" w:sz="4" w:space="0"/>
                    <w:bottom w:val="single" w:color="000000" w:sz="4" w:space="0"/>
                    <w:right w:val="single" w:color="000000" w:sz="4" w:space="0"/>
                  </w:tcBorders>
                  <w:noWrap/>
                  <w:vAlign w:val="center"/>
                </w:tcPr>
                <w:p w14:paraId="14E6DB2C">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rPr>
                    <w:t>面积（公顷）</w:t>
                  </w:r>
                </w:p>
              </w:tc>
              <w:tc>
                <w:tcPr>
                  <w:tcW w:w="740" w:type="pct"/>
                  <w:tcBorders>
                    <w:top w:val="single" w:color="000000" w:sz="4" w:space="0"/>
                    <w:left w:val="single" w:color="000000" w:sz="4" w:space="0"/>
                    <w:bottom w:val="single" w:color="000000" w:sz="4" w:space="0"/>
                    <w:right w:val="single" w:color="000000" w:sz="4" w:space="0"/>
                  </w:tcBorders>
                  <w:noWrap/>
                  <w:vAlign w:val="center"/>
                </w:tcPr>
                <w:p w14:paraId="1C585FC1">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rPr>
                    <w:t>比例（%）</w:t>
                  </w:r>
                </w:p>
              </w:tc>
              <w:tc>
                <w:tcPr>
                  <w:tcW w:w="862" w:type="pct"/>
                  <w:tcBorders>
                    <w:top w:val="single" w:color="000000" w:sz="4" w:space="0"/>
                    <w:left w:val="single" w:color="000000" w:sz="4" w:space="0"/>
                    <w:bottom w:val="single" w:color="000000" w:sz="4" w:space="0"/>
                    <w:right w:val="single" w:color="000000" w:sz="4" w:space="0"/>
                  </w:tcBorders>
                  <w:noWrap/>
                  <w:vAlign w:val="center"/>
                </w:tcPr>
                <w:p w14:paraId="1677531E">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rPr>
                    <w:t>面积（公顷）</w:t>
                  </w:r>
                </w:p>
              </w:tc>
              <w:tc>
                <w:tcPr>
                  <w:tcW w:w="740" w:type="pct"/>
                  <w:tcBorders>
                    <w:top w:val="single" w:color="000000" w:sz="4" w:space="0"/>
                    <w:left w:val="single" w:color="000000" w:sz="4" w:space="0"/>
                    <w:bottom w:val="single" w:color="000000" w:sz="4" w:space="0"/>
                    <w:right w:val="single" w:color="000000" w:sz="4" w:space="0"/>
                  </w:tcBorders>
                  <w:noWrap/>
                  <w:vAlign w:val="center"/>
                </w:tcPr>
                <w:p w14:paraId="09938EE2">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rPr>
                    <w:t>比例（%）</w:t>
                  </w:r>
                </w:p>
              </w:tc>
            </w:tr>
            <w:tr w14:paraId="20480310">
              <w:tblPrEx>
                <w:tblCellMar>
                  <w:top w:w="0" w:type="dxa"/>
                  <w:left w:w="108" w:type="dxa"/>
                  <w:bottom w:w="0" w:type="dxa"/>
                  <w:right w:w="108" w:type="dxa"/>
                </w:tblCellMar>
              </w:tblPrEx>
              <w:trPr>
                <w:trHeight w:val="340" w:hRule="atLeast"/>
                <w:jc w:val="center"/>
              </w:trPr>
              <w:tc>
                <w:tcPr>
                  <w:tcW w:w="373" w:type="pct"/>
                  <w:tcBorders>
                    <w:top w:val="single" w:color="auto" w:sz="4" w:space="0"/>
                    <w:left w:val="single" w:color="auto" w:sz="4" w:space="0"/>
                    <w:bottom w:val="single" w:color="auto" w:sz="4" w:space="0"/>
                    <w:right w:val="single" w:color="auto" w:sz="4" w:space="0"/>
                  </w:tcBorders>
                  <w:noWrap/>
                  <w:vAlign w:val="center"/>
                </w:tcPr>
                <w:p w14:paraId="22C90BEB">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rPr>
                    <w:t>1</w:t>
                  </w:r>
                </w:p>
              </w:tc>
              <w:tc>
                <w:tcPr>
                  <w:tcW w:w="2251" w:type="dxa"/>
                  <w:tcBorders>
                    <w:top w:val="single" w:color="000000" w:sz="4" w:space="0"/>
                    <w:left w:val="single" w:color="auto" w:sz="4" w:space="0"/>
                    <w:bottom w:val="nil"/>
                    <w:right w:val="nil"/>
                  </w:tcBorders>
                  <w:noWrap/>
                  <w:vAlign w:val="center"/>
                </w:tcPr>
                <w:p w14:paraId="17F73D3C">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lang w:val="en-US" w:eastAsia="zh-CN"/>
                    </w:rPr>
                    <w:t>阔叶林植被</w:t>
                  </w:r>
                </w:p>
              </w:tc>
              <w:tc>
                <w:tcPr>
                  <w:tcW w:w="1448" w:type="dxa"/>
                  <w:tcBorders>
                    <w:top w:val="single" w:color="000000" w:sz="4" w:space="0"/>
                    <w:left w:val="single" w:color="000000" w:sz="4" w:space="0"/>
                    <w:bottom w:val="single" w:color="000000" w:sz="4" w:space="0"/>
                    <w:right w:val="single" w:color="000000" w:sz="4" w:space="0"/>
                  </w:tcBorders>
                  <w:noWrap/>
                  <w:vAlign w:val="center"/>
                </w:tcPr>
                <w:p w14:paraId="36FCBDA1">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lang w:val="en-US" w:eastAsia="zh-CN"/>
                    </w:rPr>
                    <w:t xml:space="preserve">376.87 </w:t>
                  </w:r>
                </w:p>
              </w:tc>
              <w:tc>
                <w:tcPr>
                  <w:tcW w:w="1270" w:type="dxa"/>
                  <w:tcBorders>
                    <w:top w:val="single" w:color="000000" w:sz="4" w:space="0"/>
                    <w:left w:val="single" w:color="000000" w:sz="4" w:space="0"/>
                    <w:bottom w:val="single" w:color="000000" w:sz="4" w:space="0"/>
                    <w:right w:val="single" w:color="000000" w:sz="4" w:space="0"/>
                  </w:tcBorders>
                  <w:noWrap/>
                  <w:vAlign w:val="center"/>
                </w:tcPr>
                <w:p w14:paraId="3439364A">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lang w:val="en-US" w:eastAsia="zh-CN"/>
                    </w:rPr>
                    <w:t xml:space="preserve">86.23 </w:t>
                  </w:r>
                </w:p>
              </w:tc>
              <w:tc>
                <w:tcPr>
                  <w:tcW w:w="1481" w:type="dxa"/>
                  <w:tcBorders>
                    <w:top w:val="single" w:color="000000" w:sz="4" w:space="0"/>
                    <w:left w:val="single" w:color="000000" w:sz="4" w:space="0"/>
                    <w:bottom w:val="single" w:color="000000" w:sz="4" w:space="0"/>
                    <w:right w:val="single" w:color="000000" w:sz="4" w:space="0"/>
                  </w:tcBorders>
                  <w:noWrap/>
                  <w:vAlign w:val="center"/>
                </w:tcPr>
                <w:p w14:paraId="1C14C397">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lang w:val="en-US" w:eastAsia="zh-CN"/>
                    </w:rPr>
                    <w:t xml:space="preserve">241.67 </w:t>
                  </w:r>
                </w:p>
              </w:tc>
              <w:tc>
                <w:tcPr>
                  <w:tcW w:w="1270" w:type="dxa"/>
                  <w:tcBorders>
                    <w:top w:val="single" w:color="000000" w:sz="4" w:space="0"/>
                    <w:left w:val="single" w:color="000000" w:sz="4" w:space="0"/>
                    <w:bottom w:val="single" w:color="000000" w:sz="4" w:space="0"/>
                    <w:right w:val="single" w:color="000000" w:sz="4" w:space="0"/>
                  </w:tcBorders>
                  <w:noWrap/>
                  <w:vAlign w:val="center"/>
                </w:tcPr>
                <w:p w14:paraId="075DCC71">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lang w:val="en-US" w:eastAsia="zh-CN"/>
                    </w:rPr>
                    <w:t xml:space="preserve">83.74 </w:t>
                  </w:r>
                </w:p>
              </w:tc>
            </w:tr>
            <w:tr w14:paraId="1666628E">
              <w:tblPrEx>
                <w:tblCellMar>
                  <w:top w:w="0" w:type="dxa"/>
                  <w:left w:w="108" w:type="dxa"/>
                  <w:bottom w:w="0" w:type="dxa"/>
                  <w:right w:w="108" w:type="dxa"/>
                </w:tblCellMar>
              </w:tblPrEx>
              <w:trPr>
                <w:trHeight w:val="340" w:hRule="atLeast"/>
                <w:jc w:val="center"/>
              </w:trPr>
              <w:tc>
                <w:tcPr>
                  <w:tcW w:w="373" w:type="pct"/>
                  <w:tcBorders>
                    <w:top w:val="single" w:color="auto" w:sz="4" w:space="0"/>
                    <w:left w:val="single" w:color="000000" w:sz="4" w:space="0"/>
                    <w:bottom w:val="nil"/>
                    <w:right w:val="single" w:color="000000" w:sz="4" w:space="0"/>
                  </w:tcBorders>
                  <w:noWrap/>
                  <w:vAlign w:val="center"/>
                </w:tcPr>
                <w:p w14:paraId="3457A1EF">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rPr>
                    <w:t>2</w:t>
                  </w:r>
                </w:p>
              </w:tc>
              <w:tc>
                <w:tcPr>
                  <w:tcW w:w="2251" w:type="dxa"/>
                  <w:tcBorders>
                    <w:top w:val="single" w:color="000000" w:sz="4" w:space="0"/>
                    <w:left w:val="single" w:color="000000" w:sz="4" w:space="0"/>
                    <w:bottom w:val="nil"/>
                    <w:right w:val="nil"/>
                  </w:tcBorders>
                  <w:noWrap/>
                  <w:vAlign w:val="center"/>
                </w:tcPr>
                <w:p w14:paraId="0DD43A30">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lang w:val="en-US" w:eastAsia="zh-CN"/>
                    </w:rPr>
                    <w:t>针阔混交林植被</w:t>
                  </w:r>
                </w:p>
              </w:tc>
              <w:tc>
                <w:tcPr>
                  <w:tcW w:w="1448" w:type="dxa"/>
                  <w:tcBorders>
                    <w:top w:val="single" w:color="000000" w:sz="4" w:space="0"/>
                    <w:left w:val="single" w:color="000000" w:sz="4" w:space="0"/>
                    <w:bottom w:val="single" w:color="000000" w:sz="4" w:space="0"/>
                    <w:right w:val="single" w:color="000000" w:sz="4" w:space="0"/>
                  </w:tcBorders>
                  <w:noWrap/>
                  <w:vAlign w:val="center"/>
                </w:tcPr>
                <w:p w14:paraId="673DC9A2">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lang w:val="en-US" w:eastAsia="zh-CN"/>
                    </w:rPr>
                    <w:t xml:space="preserve">44.53 </w:t>
                  </w:r>
                </w:p>
              </w:tc>
              <w:tc>
                <w:tcPr>
                  <w:tcW w:w="1270" w:type="dxa"/>
                  <w:tcBorders>
                    <w:top w:val="single" w:color="000000" w:sz="4" w:space="0"/>
                    <w:left w:val="single" w:color="000000" w:sz="4" w:space="0"/>
                    <w:bottom w:val="single" w:color="000000" w:sz="4" w:space="0"/>
                    <w:right w:val="single" w:color="000000" w:sz="4" w:space="0"/>
                  </w:tcBorders>
                  <w:noWrap/>
                  <w:vAlign w:val="center"/>
                </w:tcPr>
                <w:p w14:paraId="516B1C68">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lang w:val="en-US" w:eastAsia="zh-CN"/>
                    </w:rPr>
                    <w:t xml:space="preserve">10.19 </w:t>
                  </w:r>
                </w:p>
              </w:tc>
              <w:tc>
                <w:tcPr>
                  <w:tcW w:w="1481" w:type="dxa"/>
                  <w:tcBorders>
                    <w:top w:val="single" w:color="000000" w:sz="4" w:space="0"/>
                    <w:left w:val="single" w:color="000000" w:sz="4" w:space="0"/>
                    <w:bottom w:val="single" w:color="000000" w:sz="4" w:space="0"/>
                    <w:right w:val="single" w:color="000000" w:sz="4" w:space="0"/>
                  </w:tcBorders>
                  <w:noWrap/>
                  <w:vAlign w:val="center"/>
                </w:tcPr>
                <w:p w14:paraId="2E593720">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lang w:val="en-US" w:eastAsia="zh-CN"/>
                    </w:rPr>
                    <w:t xml:space="preserve">33.95 </w:t>
                  </w:r>
                </w:p>
              </w:tc>
              <w:tc>
                <w:tcPr>
                  <w:tcW w:w="1270" w:type="dxa"/>
                  <w:tcBorders>
                    <w:top w:val="single" w:color="000000" w:sz="4" w:space="0"/>
                    <w:left w:val="single" w:color="000000" w:sz="4" w:space="0"/>
                    <w:bottom w:val="single" w:color="000000" w:sz="4" w:space="0"/>
                    <w:right w:val="single" w:color="000000" w:sz="4" w:space="0"/>
                  </w:tcBorders>
                  <w:noWrap/>
                  <w:vAlign w:val="center"/>
                </w:tcPr>
                <w:p w14:paraId="5765FDAF">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lang w:val="en-US" w:eastAsia="zh-CN"/>
                    </w:rPr>
                    <w:t xml:space="preserve">11.76 </w:t>
                  </w:r>
                </w:p>
              </w:tc>
            </w:tr>
            <w:tr w14:paraId="1FCBA70B">
              <w:tblPrEx>
                <w:tblCellMar>
                  <w:top w:w="0" w:type="dxa"/>
                  <w:left w:w="108" w:type="dxa"/>
                  <w:bottom w:w="0" w:type="dxa"/>
                  <w:right w:w="108" w:type="dxa"/>
                </w:tblCellMar>
              </w:tblPrEx>
              <w:trPr>
                <w:trHeight w:val="340" w:hRule="atLeast"/>
                <w:jc w:val="center"/>
              </w:trPr>
              <w:tc>
                <w:tcPr>
                  <w:tcW w:w="373" w:type="pct"/>
                  <w:tcBorders>
                    <w:top w:val="single" w:color="000000" w:sz="4" w:space="0"/>
                    <w:left w:val="single" w:color="000000" w:sz="4" w:space="0"/>
                    <w:bottom w:val="nil"/>
                    <w:right w:val="single" w:color="000000" w:sz="4" w:space="0"/>
                  </w:tcBorders>
                  <w:noWrap/>
                  <w:vAlign w:val="center"/>
                </w:tcPr>
                <w:p w14:paraId="5FA3C859">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rPr>
                    <w:t>3</w:t>
                  </w:r>
                </w:p>
              </w:tc>
              <w:tc>
                <w:tcPr>
                  <w:tcW w:w="2251" w:type="dxa"/>
                  <w:tcBorders>
                    <w:top w:val="single" w:color="000000" w:sz="4" w:space="0"/>
                    <w:left w:val="single" w:color="000000" w:sz="4" w:space="0"/>
                    <w:bottom w:val="nil"/>
                    <w:right w:val="nil"/>
                  </w:tcBorders>
                  <w:noWrap/>
                  <w:vAlign w:val="center"/>
                </w:tcPr>
                <w:p w14:paraId="5624DEFC">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lang w:val="en-US" w:eastAsia="zh-CN"/>
                    </w:rPr>
                    <w:t>灌丛植被</w:t>
                  </w:r>
                </w:p>
              </w:tc>
              <w:tc>
                <w:tcPr>
                  <w:tcW w:w="1448" w:type="dxa"/>
                  <w:tcBorders>
                    <w:top w:val="single" w:color="000000" w:sz="4" w:space="0"/>
                    <w:left w:val="single" w:color="000000" w:sz="4" w:space="0"/>
                    <w:bottom w:val="single" w:color="000000" w:sz="4" w:space="0"/>
                    <w:right w:val="single" w:color="000000" w:sz="4" w:space="0"/>
                  </w:tcBorders>
                  <w:noWrap/>
                  <w:vAlign w:val="center"/>
                </w:tcPr>
                <w:p w14:paraId="3C3FEAF4">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lang w:val="en-US" w:eastAsia="zh-CN"/>
                    </w:rPr>
                    <w:t xml:space="preserve">2.42 </w:t>
                  </w:r>
                </w:p>
              </w:tc>
              <w:tc>
                <w:tcPr>
                  <w:tcW w:w="1270" w:type="dxa"/>
                  <w:tcBorders>
                    <w:top w:val="single" w:color="000000" w:sz="4" w:space="0"/>
                    <w:left w:val="single" w:color="000000" w:sz="4" w:space="0"/>
                    <w:bottom w:val="single" w:color="000000" w:sz="4" w:space="0"/>
                    <w:right w:val="single" w:color="000000" w:sz="4" w:space="0"/>
                  </w:tcBorders>
                  <w:noWrap/>
                  <w:vAlign w:val="center"/>
                </w:tcPr>
                <w:p w14:paraId="1B3A57BD">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lang w:val="en-US" w:eastAsia="zh-CN"/>
                    </w:rPr>
                    <w:t xml:space="preserve">0.55 </w:t>
                  </w:r>
                </w:p>
              </w:tc>
              <w:tc>
                <w:tcPr>
                  <w:tcW w:w="1481" w:type="dxa"/>
                  <w:tcBorders>
                    <w:top w:val="single" w:color="000000" w:sz="4" w:space="0"/>
                    <w:left w:val="single" w:color="000000" w:sz="4" w:space="0"/>
                    <w:bottom w:val="single" w:color="000000" w:sz="4" w:space="0"/>
                    <w:right w:val="single" w:color="000000" w:sz="4" w:space="0"/>
                  </w:tcBorders>
                  <w:noWrap/>
                  <w:vAlign w:val="center"/>
                </w:tcPr>
                <w:p w14:paraId="090628DB">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lang w:val="en-US" w:eastAsia="zh-CN"/>
                    </w:rPr>
                    <w:t xml:space="preserve">2.42 </w:t>
                  </w:r>
                </w:p>
              </w:tc>
              <w:tc>
                <w:tcPr>
                  <w:tcW w:w="1270" w:type="dxa"/>
                  <w:tcBorders>
                    <w:top w:val="single" w:color="000000" w:sz="4" w:space="0"/>
                    <w:left w:val="single" w:color="000000" w:sz="4" w:space="0"/>
                    <w:bottom w:val="single" w:color="000000" w:sz="4" w:space="0"/>
                    <w:right w:val="single" w:color="000000" w:sz="4" w:space="0"/>
                  </w:tcBorders>
                  <w:noWrap/>
                  <w:vAlign w:val="center"/>
                </w:tcPr>
                <w:p w14:paraId="3F17E7A3">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lang w:val="en-US" w:eastAsia="zh-CN"/>
                    </w:rPr>
                    <w:t xml:space="preserve">0.84 </w:t>
                  </w:r>
                </w:p>
              </w:tc>
            </w:tr>
            <w:tr w14:paraId="774AA8C2">
              <w:tblPrEx>
                <w:tblCellMar>
                  <w:top w:w="0" w:type="dxa"/>
                  <w:left w:w="108" w:type="dxa"/>
                  <w:bottom w:w="0" w:type="dxa"/>
                  <w:right w:w="108" w:type="dxa"/>
                </w:tblCellMar>
              </w:tblPrEx>
              <w:trPr>
                <w:trHeight w:val="340" w:hRule="atLeast"/>
                <w:jc w:val="center"/>
              </w:trPr>
              <w:tc>
                <w:tcPr>
                  <w:tcW w:w="373" w:type="pct"/>
                  <w:tcBorders>
                    <w:top w:val="single" w:color="000000" w:sz="4" w:space="0"/>
                    <w:left w:val="single" w:color="000000" w:sz="4" w:space="0"/>
                    <w:bottom w:val="nil"/>
                    <w:right w:val="single" w:color="000000" w:sz="4" w:space="0"/>
                  </w:tcBorders>
                  <w:noWrap/>
                  <w:vAlign w:val="center"/>
                </w:tcPr>
                <w:p w14:paraId="7B7818DF">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rPr>
                    <w:t>4</w:t>
                  </w:r>
                </w:p>
              </w:tc>
              <w:tc>
                <w:tcPr>
                  <w:tcW w:w="2251" w:type="dxa"/>
                  <w:tcBorders>
                    <w:top w:val="single" w:color="000000" w:sz="4" w:space="0"/>
                    <w:left w:val="single" w:color="000000" w:sz="4" w:space="0"/>
                    <w:bottom w:val="nil"/>
                    <w:right w:val="nil"/>
                  </w:tcBorders>
                  <w:noWrap/>
                  <w:vAlign w:val="center"/>
                </w:tcPr>
                <w:p w14:paraId="587B882C">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lang w:val="en-US" w:eastAsia="zh-CN"/>
                    </w:rPr>
                    <w:t>非植被区</w:t>
                  </w:r>
                </w:p>
              </w:tc>
              <w:tc>
                <w:tcPr>
                  <w:tcW w:w="1448" w:type="dxa"/>
                  <w:tcBorders>
                    <w:top w:val="single" w:color="000000" w:sz="4" w:space="0"/>
                    <w:left w:val="single" w:color="000000" w:sz="4" w:space="0"/>
                    <w:bottom w:val="single" w:color="000000" w:sz="4" w:space="0"/>
                    <w:right w:val="single" w:color="000000" w:sz="4" w:space="0"/>
                  </w:tcBorders>
                  <w:noWrap/>
                  <w:vAlign w:val="center"/>
                </w:tcPr>
                <w:p w14:paraId="30D9AE8B">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lang w:val="en-US" w:eastAsia="zh-CN"/>
                    </w:rPr>
                    <w:t xml:space="preserve">13.26 </w:t>
                  </w:r>
                </w:p>
              </w:tc>
              <w:tc>
                <w:tcPr>
                  <w:tcW w:w="1270" w:type="dxa"/>
                  <w:tcBorders>
                    <w:top w:val="single" w:color="000000" w:sz="4" w:space="0"/>
                    <w:left w:val="single" w:color="000000" w:sz="4" w:space="0"/>
                    <w:bottom w:val="single" w:color="000000" w:sz="4" w:space="0"/>
                    <w:right w:val="single" w:color="000000" w:sz="4" w:space="0"/>
                  </w:tcBorders>
                  <w:noWrap/>
                  <w:vAlign w:val="center"/>
                </w:tcPr>
                <w:p w14:paraId="2B52185B">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lang w:val="en-US" w:eastAsia="zh-CN"/>
                    </w:rPr>
                    <w:t xml:space="preserve">3.03 </w:t>
                  </w:r>
                </w:p>
              </w:tc>
              <w:tc>
                <w:tcPr>
                  <w:tcW w:w="1481" w:type="dxa"/>
                  <w:tcBorders>
                    <w:top w:val="single" w:color="000000" w:sz="4" w:space="0"/>
                    <w:left w:val="single" w:color="000000" w:sz="4" w:space="0"/>
                    <w:bottom w:val="single" w:color="000000" w:sz="4" w:space="0"/>
                    <w:right w:val="single" w:color="000000" w:sz="4" w:space="0"/>
                  </w:tcBorders>
                  <w:noWrap/>
                  <w:vAlign w:val="center"/>
                </w:tcPr>
                <w:p w14:paraId="4D3E39FB">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lang w:val="en-US" w:eastAsia="zh-CN"/>
                    </w:rPr>
                    <w:t xml:space="preserve">10.57 </w:t>
                  </w:r>
                </w:p>
              </w:tc>
              <w:tc>
                <w:tcPr>
                  <w:tcW w:w="1270" w:type="dxa"/>
                  <w:tcBorders>
                    <w:top w:val="single" w:color="000000" w:sz="4" w:space="0"/>
                    <w:left w:val="single" w:color="000000" w:sz="4" w:space="0"/>
                    <w:bottom w:val="single" w:color="000000" w:sz="4" w:space="0"/>
                    <w:right w:val="single" w:color="000000" w:sz="4" w:space="0"/>
                  </w:tcBorders>
                  <w:noWrap/>
                  <w:vAlign w:val="center"/>
                </w:tcPr>
                <w:p w14:paraId="281098E6">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lang w:val="en-US" w:eastAsia="zh-CN"/>
                    </w:rPr>
                    <w:t xml:space="preserve">3.66 </w:t>
                  </w:r>
                </w:p>
              </w:tc>
            </w:tr>
            <w:tr w14:paraId="57F2D324">
              <w:tblPrEx>
                <w:tblCellMar>
                  <w:top w:w="0" w:type="dxa"/>
                  <w:left w:w="108" w:type="dxa"/>
                  <w:bottom w:w="0" w:type="dxa"/>
                  <w:right w:w="108" w:type="dxa"/>
                </w:tblCellMar>
              </w:tblPrEx>
              <w:trPr>
                <w:trHeight w:val="340" w:hRule="atLeast"/>
                <w:jc w:val="center"/>
              </w:trPr>
              <w:tc>
                <w:tcPr>
                  <w:tcW w:w="1793" w:type="pct"/>
                  <w:gridSpan w:val="2"/>
                  <w:tcBorders>
                    <w:top w:val="single" w:color="000000" w:sz="4" w:space="0"/>
                    <w:left w:val="single" w:color="000000" w:sz="4" w:space="0"/>
                    <w:bottom w:val="single" w:color="000000" w:sz="4" w:space="0"/>
                    <w:right w:val="nil"/>
                  </w:tcBorders>
                  <w:noWrap/>
                  <w:vAlign w:val="center"/>
                </w:tcPr>
                <w:p w14:paraId="6856F12C">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rPr>
                    <w:t>合计</w:t>
                  </w:r>
                </w:p>
              </w:tc>
              <w:tc>
                <w:tcPr>
                  <w:tcW w:w="1481" w:type="dxa"/>
                  <w:tcBorders>
                    <w:top w:val="single" w:color="000000" w:sz="4" w:space="0"/>
                    <w:left w:val="single" w:color="000000" w:sz="4" w:space="0"/>
                    <w:bottom w:val="single" w:color="000000" w:sz="4" w:space="0"/>
                    <w:right w:val="single" w:color="000000" w:sz="4" w:space="0"/>
                  </w:tcBorders>
                  <w:noWrap/>
                  <w:vAlign w:val="center"/>
                </w:tcPr>
                <w:p w14:paraId="61BA670E">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lang w:val="en-US" w:eastAsia="zh-CN"/>
                    </w:rPr>
                    <w:t xml:space="preserve">437.07 </w:t>
                  </w:r>
                </w:p>
              </w:tc>
              <w:tc>
                <w:tcPr>
                  <w:tcW w:w="1270" w:type="dxa"/>
                  <w:tcBorders>
                    <w:top w:val="single" w:color="000000" w:sz="4" w:space="0"/>
                    <w:left w:val="single" w:color="000000" w:sz="4" w:space="0"/>
                    <w:bottom w:val="single" w:color="000000" w:sz="4" w:space="0"/>
                    <w:right w:val="single" w:color="000000" w:sz="4" w:space="0"/>
                  </w:tcBorders>
                  <w:noWrap/>
                  <w:vAlign w:val="center"/>
                </w:tcPr>
                <w:p w14:paraId="2B1A8F4F">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lang w:val="en-US" w:eastAsia="zh-CN"/>
                    </w:rPr>
                    <w:t xml:space="preserve">100.00 </w:t>
                  </w:r>
                </w:p>
              </w:tc>
              <w:tc>
                <w:tcPr>
                  <w:tcW w:w="1481" w:type="dxa"/>
                  <w:tcBorders>
                    <w:top w:val="single" w:color="000000" w:sz="4" w:space="0"/>
                    <w:left w:val="single" w:color="000000" w:sz="4" w:space="0"/>
                    <w:bottom w:val="single" w:color="000000" w:sz="4" w:space="0"/>
                    <w:right w:val="single" w:color="000000" w:sz="4" w:space="0"/>
                  </w:tcBorders>
                  <w:noWrap/>
                  <w:vAlign w:val="center"/>
                </w:tcPr>
                <w:p w14:paraId="3F7E30CC">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lang w:val="en-US" w:eastAsia="zh-CN"/>
                    </w:rPr>
                    <w:t>288.6</w:t>
                  </w:r>
                </w:p>
              </w:tc>
              <w:tc>
                <w:tcPr>
                  <w:tcW w:w="1270" w:type="dxa"/>
                  <w:tcBorders>
                    <w:top w:val="single" w:color="000000" w:sz="4" w:space="0"/>
                    <w:left w:val="single" w:color="000000" w:sz="4" w:space="0"/>
                    <w:bottom w:val="single" w:color="000000" w:sz="4" w:space="0"/>
                    <w:right w:val="single" w:color="000000" w:sz="4" w:space="0"/>
                  </w:tcBorders>
                  <w:noWrap/>
                  <w:vAlign w:val="center"/>
                </w:tcPr>
                <w:p w14:paraId="45A9B8D7">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lang w:val="en-US" w:eastAsia="zh-CN"/>
                    </w:rPr>
                    <w:t xml:space="preserve">100.00 </w:t>
                  </w:r>
                </w:p>
              </w:tc>
            </w:tr>
          </w:tbl>
          <w:p w14:paraId="5FD825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FF"/>
                <w:sz w:val="24"/>
                <w:szCs w:val="24"/>
                <w:vertAlign w:val="baseline"/>
                <w:lang w:val="en-US" w:eastAsia="zh-CN"/>
              </w:rPr>
            </w:pPr>
            <w:r>
              <w:rPr>
                <w:rFonts w:hint="eastAsia" w:cs="Times New Roman"/>
                <w:b/>
                <w:bCs/>
                <w:color w:val="0000FF"/>
                <w:sz w:val="24"/>
                <w:szCs w:val="24"/>
                <w:vertAlign w:val="baseline"/>
                <w:lang w:val="en-US" w:eastAsia="zh-CN"/>
              </w:rPr>
              <w:t>6</w:t>
            </w:r>
            <w:r>
              <w:rPr>
                <w:rFonts w:hint="default" w:ascii="Times New Roman" w:hAnsi="Times New Roman" w:eastAsia="宋体" w:cs="Times New Roman"/>
                <w:b/>
                <w:bCs/>
                <w:color w:val="0000FF"/>
                <w:sz w:val="24"/>
                <w:szCs w:val="24"/>
                <w:vertAlign w:val="baseline"/>
                <w:lang w:val="en-US" w:eastAsia="zh-CN"/>
              </w:rPr>
              <w:t>、动物资源现状</w:t>
            </w:r>
          </w:p>
          <w:p w14:paraId="5BC811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color w:val="0000FF"/>
              </w:rPr>
            </w:pPr>
            <w:r>
              <w:rPr>
                <w:color w:val="0000FF"/>
              </w:rPr>
              <w:t>项目区</w:t>
            </w:r>
            <w:r>
              <w:rPr>
                <w:rFonts w:hint="eastAsia"/>
                <w:color w:val="0000FF"/>
                <w:lang w:eastAsia="zh-CN"/>
              </w:rPr>
              <w:t>（永久占地、临时占地）</w:t>
            </w:r>
            <w:r>
              <w:rPr>
                <w:color w:val="0000FF"/>
              </w:rPr>
              <w:t>地处浅山地带，野生动物种类比较稀少，</w:t>
            </w:r>
            <w:r>
              <w:rPr>
                <w:rFonts w:hint="default" w:ascii="Times New Roman" w:hAnsi="Times New Roman" w:eastAsia="宋体" w:cs="Times New Roman"/>
                <w:b w:val="0"/>
                <w:bCs w:val="0"/>
                <w:color w:val="0000FF"/>
                <w:sz w:val="24"/>
                <w:szCs w:val="24"/>
                <w:vertAlign w:val="baseline"/>
                <w:lang w:val="en-US" w:eastAsia="zh-CN"/>
              </w:rPr>
              <w:t>根据野外调查资料及现场调查，调查评价区未见珍稀、濒危野生动物和保护物种，小型野生动物较多，区内野生动物主要以啮齿目小型兽类，雀形目陆栖鸟类等常见动物。</w:t>
            </w:r>
            <w:r>
              <w:rPr>
                <w:rFonts w:hint="eastAsia"/>
                <w:color w:val="0000FF"/>
              </w:rPr>
              <w:t>项目区</w:t>
            </w:r>
            <w:r>
              <w:rPr>
                <w:rFonts w:hint="eastAsia"/>
                <w:color w:val="0000FF"/>
                <w:lang w:eastAsia="zh-CN"/>
              </w:rPr>
              <w:t>评价范围</w:t>
            </w:r>
            <w:r>
              <w:rPr>
                <w:rFonts w:hint="eastAsia"/>
                <w:color w:val="0000FF"/>
              </w:rPr>
              <w:t>内无国家Ⅰ、Ⅱ级保护野生动物和省重点保护动物栖息。工程建设不会对重点保护的野生动物产生掠扰，不会对其栖息地造成影响。</w:t>
            </w:r>
          </w:p>
          <w:bookmarkEnd w:id="2"/>
          <w:p w14:paraId="6457E41E">
            <w:pPr>
              <w:pStyle w:val="2"/>
              <w:ind w:firstLine="480" w:firstLineChars="200"/>
              <w:rPr>
                <w:rFonts w:eastAsia="宋体"/>
                <w:b w:val="0"/>
                <w:bCs w:val="0"/>
                <w:color w:val="0000FF"/>
                <w:szCs w:val="24"/>
              </w:rPr>
            </w:pPr>
            <w:r>
              <w:rPr>
                <w:rFonts w:hint="eastAsia" w:eastAsia="宋体"/>
                <w:b w:val="0"/>
                <w:bCs w:val="0"/>
                <w:color w:val="0000FF"/>
                <w:szCs w:val="24"/>
                <w:lang w:val="en-US" w:eastAsia="zh-CN"/>
              </w:rPr>
              <w:t>7</w:t>
            </w:r>
            <w:r>
              <w:rPr>
                <w:rFonts w:hint="eastAsia" w:eastAsia="宋体"/>
                <w:b w:val="0"/>
                <w:bCs w:val="0"/>
                <w:color w:val="0000FF"/>
                <w:szCs w:val="24"/>
              </w:rPr>
              <w:t>、土地利用现状</w:t>
            </w:r>
          </w:p>
          <w:p w14:paraId="1AD74CCF">
            <w:pPr>
              <w:pStyle w:val="2"/>
              <w:ind w:firstLine="480" w:firstLineChars="200"/>
              <w:rPr>
                <w:rFonts w:eastAsia="宋体"/>
                <w:b w:val="0"/>
                <w:bCs w:val="0"/>
                <w:color w:val="0000FF"/>
                <w:szCs w:val="24"/>
              </w:rPr>
            </w:pPr>
            <w:r>
              <w:rPr>
                <w:rFonts w:hint="eastAsia" w:eastAsia="宋体"/>
                <w:b w:val="0"/>
                <w:bCs w:val="0"/>
                <w:color w:val="0000FF"/>
                <w:szCs w:val="24"/>
              </w:rPr>
              <w:t>根据《陕西省宝鸡市陈仓区梨树沟冶金用脉石英矿矿山地质环境保护与土地复垦方案》中</w:t>
            </w:r>
            <w:r>
              <w:rPr>
                <w:rFonts w:eastAsia="宋体"/>
                <w:b w:val="0"/>
                <w:bCs w:val="0"/>
                <w:color w:val="0000FF"/>
                <w:szCs w:val="24"/>
              </w:rPr>
              <w:t>矿山计划采矿活动范围主要涉及矿权内设施用地，其中矿权内用地288.6hm</w:t>
            </w:r>
            <w:r>
              <w:rPr>
                <w:rFonts w:eastAsia="宋体"/>
                <w:b w:val="0"/>
                <w:bCs w:val="0"/>
                <w:color w:val="0000FF"/>
                <w:szCs w:val="24"/>
                <w:vertAlign w:val="superscript"/>
              </w:rPr>
              <w:t>2</w:t>
            </w:r>
            <w:r>
              <w:rPr>
                <w:rFonts w:hint="eastAsia" w:ascii="Times New Roman" w:hAnsi="Times New Roman" w:eastAsia="宋体" w:cs="Times New Roman"/>
                <w:b w:val="0"/>
                <w:bCs w:val="0"/>
                <w:color w:val="0000FF"/>
                <w:szCs w:val="24"/>
                <w:lang w:eastAsia="zh-CN"/>
              </w:rPr>
              <w:t>（永久占地约</w:t>
            </w:r>
            <w:r>
              <w:rPr>
                <w:rFonts w:hint="eastAsia" w:ascii="Times New Roman" w:hAnsi="Times New Roman" w:eastAsia="宋体" w:cs="Times New Roman"/>
                <w:b w:val="0"/>
                <w:bCs w:val="0"/>
                <w:color w:val="0000FF"/>
                <w:szCs w:val="24"/>
                <w:lang w:val="en-US" w:eastAsia="zh-CN"/>
              </w:rPr>
              <w:t>284.9427</w:t>
            </w:r>
            <w:r>
              <w:rPr>
                <w:rFonts w:ascii="Times New Roman" w:hAnsi="Times New Roman" w:eastAsia="宋体" w:cs="Times New Roman"/>
                <w:b w:val="0"/>
                <w:bCs w:val="0"/>
                <w:color w:val="0000FF"/>
                <w:szCs w:val="24"/>
              </w:rPr>
              <w:t>hm</w:t>
            </w:r>
            <w:r>
              <w:rPr>
                <w:rFonts w:ascii="Times New Roman" w:hAnsi="Times New Roman" w:eastAsia="宋体" w:cs="Times New Roman"/>
                <w:b w:val="0"/>
                <w:bCs w:val="0"/>
                <w:color w:val="0000FF"/>
                <w:szCs w:val="24"/>
                <w:vertAlign w:val="superscript"/>
              </w:rPr>
              <w:t>2</w:t>
            </w:r>
            <w:r>
              <w:rPr>
                <w:rFonts w:hint="eastAsia" w:ascii="Times New Roman" w:hAnsi="Times New Roman" w:eastAsia="宋体" w:cs="Times New Roman"/>
                <w:b w:val="0"/>
                <w:bCs w:val="0"/>
                <w:color w:val="0000FF"/>
                <w:szCs w:val="24"/>
                <w:lang w:eastAsia="zh-CN"/>
              </w:rPr>
              <w:t>、临时占地约</w:t>
            </w:r>
            <w:r>
              <w:rPr>
                <w:rFonts w:hint="eastAsia" w:ascii="Times New Roman" w:hAnsi="Times New Roman" w:eastAsia="宋体" w:cs="Times New Roman"/>
                <w:b w:val="0"/>
                <w:bCs w:val="0"/>
                <w:color w:val="0000FF"/>
                <w:szCs w:val="24"/>
                <w:lang w:val="en-US" w:eastAsia="zh-CN"/>
              </w:rPr>
              <w:t>3.6573</w:t>
            </w:r>
            <w:r>
              <w:rPr>
                <w:rFonts w:ascii="Times New Roman" w:hAnsi="Times New Roman" w:eastAsia="宋体" w:cs="Times New Roman"/>
                <w:b w:val="0"/>
                <w:bCs w:val="0"/>
                <w:color w:val="0000FF"/>
                <w:szCs w:val="24"/>
              </w:rPr>
              <w:t>hm</w:t>
            </w:r>
            <w:r>
              <w:rPr>
                <w:rFonts w:ascii="Times New Roman" w:hAnsi="Times New Roman" w:eastAsia="宋体" w:cs="Times New Roman"/>
                <w:b w:val="0"/>
                <w:bCs w:val="0"/>
                <w:color w:val="0000FF"/>
                <w:szCs w:val="24"/>
                <w:vertAlign w:val="superscript"/>
              </w:rPr>
              <w:t>2</w:t>
            </w:r>
            <w:r>
              <w:rPr>
                <w:rFonts w:hint="eastAsia" w:ascii="Times New Roman" w:hAnsi="Times New Roman" w:eastAsia="宋体" w:cs="Times New Roman"/>
                <w:b w:val="0"/>
                <w:bCs w:val="0"/>
                <w:color w:val="0000FF"/>
                <w:szCs w:val="24"/>
                <w:lang w:eastAsia="zh-CN"/>
              </w:rPr>
              <w:t>）</w:t>
            </w:r>
            <w:r>
              <w:rPr>
                <w:rFonts w:eastAsia="宋体"/>
                <w:b w:val="0"/>
                <w:bCs w:val="0"/>
                <w:color w:val="0000FF"/>
                <w:szCs w:val="24"/>
              </w:rPr>
              <w:t>。本矿权内无“国家公园、自然保护区、风景名胜区、地质公园、森林公园、湿地公园、水产种质资源保护区、野生植物原生境保护区（点）、野生动物重要栖息地以及饮用水水源保护区、文物保护区”等。依据土地利用现状图</w:t>
            </w:r>
            <w:r>
              <w:rPr>
                <w:rFonts w:hint="eastAsia" w:eastAsia="宋体"/>
                <w:b w:val="0"/>
                <w:bCs w:val="0"/>
                <w:color w:val="0000FF"/>
                <w:szCs w:val="24"/>
              </w:rPr>
              <w:t>（见附图5）可知，</w:t>
            </w:r>
            <w:r>
              <w:rPr>
                <w:rFonts w:eastAsia="宋体"/>
                <w:b w:val="0"/>
                <w:bCs w:val="0"/>
                <w:color w:val="0000FF"/>
                <w:szCs w:val="24"/>
              </w:rPr>
              <w:t>林地是矿区的主要用地类型，主要类型为乔木林地</w:t>
            </w:r>
            <w:r>
              <w:rPr>
                <w:rFonts w:hint="eastAsia" w:eastAsia="宋体"/>
                <w:b w:val="0"/>
                <w:bCs w:val="0"/>
                <w:color w:val="0000FF"/>
                <w:szCs w:val="24"/>
                <w:lang w:eastAsia="zh-CN"/>
              </w:rPr>
              <w:t>、灌木林地</w:t>
            </w:r>
            <w:r>
              <w:rPr>
                <w:rFonts w:eastAsia="宋体"/>
                <w:b w:val="0"/>
                <w:bCs w:val="0"/>
                <w:color w:val="0000FF"/>
                <w:szCs w:val="24"/>
              </w:rPr>
              <w:t>，面积288.6hm</w:t>
            </w:r>
            <w:r>
              <w:rPr>
                <w:rFonts w:eastAsia="宋体"/>
                <w:b w:val="0"/>
                <w:bCs w:val="0"/>
                <w:color w:val="0000FF"/>
                <w:szCs w:val="24"/>
                <w:vertAlign w:val="superscript"/>
              </w:rPr>
              <w:t>2</w:t>
            </w:r>
            <w:r>
              <w:rPr>
                <w:rFonts w:eastAsia="宋体"/>
                <w:b w:val="0"/>
                <w:bCs w:val="0"/>
                <w:color w:val="0000FF"/>
                <w:szCs w:val="24"/>
              </w:rPr>
              <w:t>，主要植被类型</w:t>
            </w:r>
            <w:r>
              <w:rPr>
                <w:rFonts w:hint="eastAsia" w:eastAsia="宋体"/>
                <w:b w:val="0"/>
                <w:bCs w:val="0"/>
                <w:color w:val="0000FF"/>
                <w:szCs w:val="24"/>
              </w:rPr>
              <w:t>为阔叶林植被</w:t>
            </w:r>
            <w:r>
              <w:rPr>
                <w:rFonts w:hint="eastAsia" w:eastAsia="宋体"/>
                <w:b w:val="0"/>
                <w:bCs w:val="0"/>
                <w:color w:val="0000FF"/>
                <w:szCs w:val="24"/>
                <w:lang w:eastAsia="zh-CN"/>
              </w:rPr>
              <w:t>、</w:t>
            </w:r>
            <w:r>
              <w:rPr>
                <w:rFonts w:hint="eastAsia" w:eastAsia="宋体"/>
                <w:b w:val="0"/>
                <w:bCs w:val="0"/>
                <w:color w:val="0000FF"/>
                <w:szCs w:val="24"/>
              </w:rPr>
              <w:t>针阔混交林植被</w:t>
            </w:r>
            <w:r>
              <w:rPr>
                <w:rFonts w:hint="eastAsia" w:eastAsia="宋体"/>
                <w:b w:val="0"/>
                <w:bCs w:val="0"/>
                <w:color w:val="0000FF"/>
                <w:szCs w:val="24"/>
                <w:lang w:eastAsia="zh-CN"/>
              </w:rPr>
              <w:t>、</w:t>
            </w:r>
            <w:r>
              <w:rPr>
                <w:rFonts w:hint="eastAsia" w:eastAsia="宋体"/>
                <w:b w:val="0"/>
                <w:bCs w:val="0"/>
                <w:color w:val="0000FF"/>
                <w:szCs w:val="24"/>
              </w:rPr>
              <w:t>灌丛植被</w:t>
            </w:r>
            <w:r>
              <w:rPr>
                <w:rFonts w:eastAsia="宋体"/>
                <w:b w:val="0"/>
                <w:bCs w:val="0"/>
                <w:color w:val="0000FF"/>
                <w:szCs w:val="24"/>
              </w:rPr>
              <w:t>。</w:t>
            </w:r>
          </w:p>
          <w:p w14:paraId="23813D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FF"/>
                <w:sz w:val="24"/>
              </w:rPr>
            </w:pPr>
            <w:r>
              <w:rPr>
                <w:rFonts w:ascii="Times New Roman" w:hAnsi="Times New Roman" w:eastAsia="宋体"/>
                <w:b/>
                <w:bCs/>
                <w:color w:val="0000FF"/>
                <w:sz w:val="24"/>
                <w:szCs w:val="24"/>
              </w:rPr>
              <w:t>表</w:t>
            </w:r>
            <w:r>
              <w:rPr>
                <w:rFonts w:hint="eastAsia" w:ascii="Times New Roman" w:hAnsi="Times New Roman" w:eastAsia="宋体"/>
                <w:b/>
                <w:bCs/>
                <w:color w:val="0000FF"/>
                <w:sz w:val="24"/>
                <w:szCs w:val="24"/>
              </w:rPr>
              <w:t>3-</w:t>
            </w:r>
            <w:r>
              <w:rPr>
                <w:rFonts w:hint="eastAsia"/>
                <w:b/>
                <w:bCs/>
                <w:color w:val="0000FF"/>
                <w:sz w:val="24"/>
                <w:szCs w:val="24"/>
                <w:lang w:val="en-US" w:eastAsia="zh-CN"/>
              </w:rPr>
              <w:t>4</w:t>
            </w:r>
            <w:r>
              <w:rPr>
                <w:rFonts w:ascii="Times New Roman" w:hAnsi="Times New Roman" w:eastAsia="宋体"/>
                <w:b/>
                <w:bCs/>
                <w:color w:val="0000FF"/>
                <w:sz w:val="24"/>
                <w:szCs w:val="24"/>
              </w:rPr>
              <w:t xml:space="preserve">  矿区土地利用现状情况表</w:t>
            </w:r>
          </w:p>
          <w:tbl>
            <w:tblPr>
              <w:tblStyle w:val="24"/>
              <w:tblW w:w="5000" w:type="pct"/>
              <w:jc w:val="center"/>
              <w:tblLayout w:type="autofit"/>
              <w:tblCellMar>
                <w:top w:w="0" w:type="dxa"/>
                <w:left w:w="108" w:type="dxa"/>
                <w:bottom w:w="0" w:type="dxa"/>
                <w:right w:w="108" w:type="dxa"/>
              </w:tblCellMar>
            </w:tblPr>
            <w:tblGrid>
              <w:gridCol w:w="604"/>
              <w:gridCol w:w="2101"/>
              <w:gridCol w:w="1388"/>
              <w:gridCol w:w="1192"/>
              <w:gridCol w:w="1388"/>
              <w:gridCol w:w="1192"/>
            </w:tblGrid>
            <w:tr w14:paraId="49ADB155">
              <w:tblPrEx>
                <w:tblCellMar>
                  <w:top w:w="0" w:type="dxa"/>
                  <w:left w:w="108" w:type="dxa"/>
                  <w:bottom w:w="0" w:type="dxa"/>
                  <w:right w:w="108" w:type="dxa"/>
                </w:tblCellMar>
              </w:tblPrEx>
              <w:trPr>
                <w:trHeight w:val="340" w:hRule="atLeast"/>
                <w:jc w:val="center"/>
              </w:trPr>
              <w:tc>
                <w:tcPr>
                  <w:tcW w:w="373" w:type="pct"/>
                  <w:vMerge w:val="restart"/>
                  <w:tcBorders>
                    <w:top w:val="single" w:color="000000" w:sz="4" w:space="0"/>
                    <w:left w:val="single" w:color="000000" w:sz="4" w:space="0"/>
                    <w:right w:val="single" w:color="000000" w:sz="4" w:space="0"/>
                  </w:tcBorders>
                  <w:shd w:val="clear" w:color="auto" w:fill="FFFFFF"/>
                  <w:noWrap/>
                  <w:vAlign w:val="center"/>
                </w:tcPr>
                <w:p w14:paraId="65BD649E">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rPr>
                    <w:t>序号</w:t>
                  </w:r>
                </w:p>
              </w:tc>
              <w:tc>
                <w:tcPr>
                  <w:tcW w:w="2101" w:type="dxa"/>
                  <w:vMerge w:val="restart"/>
                  <w:tcBorders>
                    <w:top w:val="single" w:color="000000" w:sz="4" w:space="0"/>
                    <w:left w:val="single" w:color="000000" w:sz="4" w:space="0"/>
                    <w:right w:val="single" w:color="000000" w:sz="4" w:space="0"/>
                  </w:tcBorders>
                  <w:shd w:val="clear" w:color="auto" w:fill="FFFFFF"/>
                  <w:noWrap/>
                  <w:vAlign w:val="center"/>
                </w:tcPr>
                <w:p w14:paraId="50A295AB">
                  <w:pPr>
                    <w:pStyle w:val="65"/>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土地利用类型</w:t>
                  </w:r>
                </w:p>
              </w:tc>
              <w:tc>
                <w:tcPr>
                  <w:tcW w:w="1603"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5DCA80">
                  <w:pPr>
                    <w:pStyle w:val="65"/>
                    <w:jc w:val="center"/>
                    <w:rPr>
                      <w:rFonts w:hint="eastAsia" w:ascii="Times New Roman" w:hAnsi="Times New Roman" w:eastAsia="宋体" w:cs="Times New Roman"/>
                      <w:color w:val="0000FF"/>
                      <w:lang w:eastAsia="zh-CN"/>
                    </w:rPr>
                  </w:pPr>
                  <w:r>
                    <w:rPr>
                      <w:rFonts w:hint="eastAsia" w:ascii="Times New Roman" w:hAnsi="Times New Roman" w:eastAsia="宋体" w:cs="Times New Roman"/>
                      <w:color w:val="0000FF"/>
                      <w:lang w:eastAsia="zh-CN"/>
                    </w:rPr>
                    <w:t>矿</w:t>
                  </w:r>
                  <w:r>
                    <w:rPr>
                      <w:rFonts w:hint="eastAsia" w:ascii="Times New Roman" w:hAnsi="Times New Roman" w:eastAsia="宋体" w:cs="Times New Roman"/>
                      <w:color w:val="0000FF"/>
                    </w:rPr>
                    <w:t>区</w:t>
                  </w:r>
                  <w:r>
                    <w:rPr>
                      <w:rFonts w:hint="eastAsia" w:ascii="Times New Roman" w:hAnsi="Times New Roman" w:eastAsia="宋体" w:cs="Times New Roman"/>
                      <w:color w:val="0000FF"/>
                      <w:lang w:eastAsia="zh-CN"/>
                    </w:rPr>
                    <w:t>范围</w:t>
                  </w:r>
                </w:p>
              </w:tc>
              <w:tc>
                <w:tcPr>
                  <w:tcW w:w="1603"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58E64C">
                  <w:pPr>
                    <w:pStyle w:val="65"/>
                    <w:jc w:val="center"/>
                    <w:rPr>
                      <w:rFonts w:hint="eastAsia" w:ascii="Times New Roman" w:hAnsi="Times New Roman" w:eastAsia="宋体" w:cs="Times New Roman"/>
                      <w:color w:val="0000FF"/>
                      <w:lang w:eastAsia="zh-CN"/>
                    </w:rPr>
                  </w:pPr>
                  <w:r>
                    <w:rPr>
                      <w:rFonts w:hint="eastAsia" w:ascii="Times New Roman" w:hAnsi="Times New Roman" w:eastAsia="宋体" w:cs="Times New Roman"/>
                      <w:color w:val="0000FF"/>
                      <w:lang w:eastAsia="zh-CN"/>
                    </w:rPr>
                    <w:t>生态</w:t>
                  </w:r>
                  <w:r>
                    <w:rPr>
                      <w:rFonts w:hint="eastAsia" w:ascii="Times New Roman" w:hAnsi="Times New Roman" w:eastAsia="宋体" w:cs="Times New Roman"/>
                      <w:color w:val="0000FF"/>
                    </w:rPr>
                    <w:t>评价区</w:t>
                  </w:r>
                  <w:r>
                    <w:rPr>
                      <w:rFonts w:hint="eastAsia" w:ascii="Times New Roman" w:hAnsi="Times New Roman" w:eastAsia="宋体" w:cs="Times New Roman"/>
                      <w:color w:val="0000FF"/>
                      <w:lang w:eastAsia="zh-CN"/>
                    </w:rPr>
                    <w:t>范围（</w:t>
                  </w:r>
                  <w:r>
                    <w:rPr>
                      <w:rFonts w:hint="eastAsia" w:ascii="Times New Roman" w:hAnsi="Times New Roman" w:eastAsia="宋体" w:cs="Times New Roman"/>
                      <w:color w:val="0000FF"/>
                      <w:lang w:val="en-US" w:eastAsia="zh-CN"/>
                    </w:rPr>
                    <w:t>200m</w:t>
                  </w:r>
                  <w:r>
                    <w:rPr>
                      <w:rFonts w:hint="eastAsia" w:ascii="Times New Roman" w:hAnsi="Times New Roman" w:eastAsia="宋体" w:cs="Times New Roman"/>
                      <w:color w:val="0000FF"/>
                      <w:lang w:eastAsia="zh-CN"/>
                    </w:rPr>
                    <w:t>）</w:t>
                  </w:r>
                </w:p>
              </w:tc>
            </w:tr>
            <w:tr w14:paraId="2E97952C">
              <w:tblPrEx>
                <w:tblCellMar>
                  <w:top w:w="0" w:type="dxa"/>
                  <w:left w:w="108" w:type="dxa"/>
                  <w:bottom w:w="0" w:type="dxa"/>
                  <w:right w:w="108" w:type="dxa"/>
                </w:tblCellMar>
              </w:tblPrEx>
              <w:trPr>
                <w:trHeight w:val="340" w:hRule="atLeast"/>
                <w:jc w:val="center"/>
              </w:trPr>
              <w:tc>
                <w:tcPr>
                  <w:tcW w:w="373" w:type="pct"/>
                  <w:vMerge w:val="continue"/>
                  <w:tcBorders>
                    <w:left w:val="single" w:color="000000" w:sz="4" w:space="0"/>
                    <w:bottom w:val="single" w:color="auto" w:sz="4" w:space="0"/>
                    <w:right w:val="single" w:color="000000" w:sz="4" w:space="0"/>
                  </w:tcBorders>
                  <w:noWrap/>
                  <w:vAlign w:val="center"/>
                </w:tcPr>
                <w:p w14:paraId="39321436">
                  <w:pPr>
                    <w:pStyle w:val="65"/>
                    <w:jc w:val="center"/>
                    <w:rPr>
                      <w:rFonts w:ascii="Times New Roman" w:hAnsi="Times New Roman" w:eastAsia="宋体" w:cs="Times New Roman"/>
                      <w:color w:val="0000FF"/>
                    </w:rPr>
                  </w:pPr>
                </w:p>
              </w:tc>
              <w:tc>
                <w:tcPr>
                  <w:tcW w:w="1420" w:type="pct"/>
                  <w:vMerge w:val="continue"/>
                  <w:tcBorders>
                    <w:left w:val="single" w:color="000000" w:sz="4" w:space="0"/>
                    <w:bottom w:val="single" w:color="000000" w:sz="4" w:space="0"/>
                    <w:right w:val="single" w:color="000000" w:sz="4" w:space="0"/>
                  </w:tcBorders>
                  <w:noWrap/>
                  <w:vAlign w:val="center"/>
                </w:tcPr>
                <w:p w14:paraId="1D7E4026">
                  <w:pPr>
                    <w:pStyle w:val="65"/>
                    <w:jc w:val="center"/>
                    <w:rPr>
                      <w:rFonts w:hint="eastAsia" w:ascii="Times New Roman" w:hAnsi="Times New Roman" w:eastAsia="宋体" w:cs="Times New Roman"/>
                      <w:color w:val="0000FF"/>
                      <w:lang w:val="en-US" w:eastAsia="zh-CN"/>
                    </w:rPr>
                  </w:pPr>
                </w:p>
              </w:tc>
              <w:tc>
                <w:tcPr>
                  <w:tcW w:w="862" w:type="pct"/>
                  <w:tcBorders>
                    <w:top w:val="single" w:color="000000" w:sz="4" w:space="0"/>
                    <w:left w:val="single" w:color="000000" w:sz="4" w:space="0"/>
                    <w:bottom w:val="single" w:color="000000" w:sz="4" w:space="0"/>
                    <w:right w:val="single" w:color="000000" w:sz="4" w:space="0"/>
                  </w:tcBorders>
                  <w:noWrap/>
                  <w:vAlign w:val="center"/>
                </w:tcPr>
                <w:p w14:paraId="2C4001BC">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rPr>
                    <w:t>面积（公顷）</w:t>
                  </w:r>
                </w:p>
              </w:tc>
              <w:tc>
                <w:tcPr>
                  <w:tcW w:w="740" w:type="pct"/>
                  <w:tcBorders>
                    <w:top w:val="single" w:color="000000" w:sz="4" w:space="0"/>
                    <w:left w:val="single" w:color="000000" w:sz="4" w:space="0"/>
                    <w:bottom w:val="single" w:color="000000" w:sz="4" w:space="0"/>
                    <w:right w:val="single" w:color="000000" w:sz="4" w:space="0"/>
                  </w:tcBorders>
                  <w:noWrap/>
                  <w:vAlign w:val="center"/>
                </w:tcPr>
                <w:p w14:paraId="40A13107">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rPr>
                    <w:t>比例（%）</w:t>
                  </w:r>
                </w:p>
              </w:tc>
              <w:tc>
                <w:tcPr>
                  <w:tcW w:w="862" w:type="pct"/>
                  <w:tcBorders>
                    <w:top w:val="single" w:color="000000" w:sz="4" w:space="0"/>
                    <w:left w:val="single" w:color="000000" w:sz="4" w:space="0"/>
                    <w:bottom w:val="single" w:color="000000" w:sz="4" w:space="0"/>
                    <w:right w:val="single" w:color="000000" w:sz="4" w:space="0"/>
                  </w:tcBorders>
                  <w:noWrap/>
                  <w:vAlign w:val="center"/>
                </w:tcPr>
                <w:p w14:paraId="666DE163">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rPr>
                    <w:t>面积（公顷）</w:t>
                  </w:r>
                </w:p>
              </w:tc>
              <w:tc>
                <w:tcPr>
                  <w:tcW w:w="740" w:type="pct"/>
                  <w:tcBorders>
                    <w:top w:val="single" w:color="000000" w:sz="4" w:space="0"/>
                    <w:left w:val="single" w:color="000000" w:sz="4" w:space="0"/>
                    <w:bottom w:val="single" w:color="000000" w:sz="4" w:space="0"/>
                    <w:right w:val="single" w:color="000000" w:sz="4" w:space="0"/>
                  </w:tcBorders>
                  <w:noWrap/>
                  <w:vAlign w:val="center"/>
                </w:tcPr>
                <w:p w14:paraId="39CE8397">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rPr>
                    <w:t>比例（%）</w:t>
                  </w:r>
                </w:p>
              </w:tc>
            </w:tr>
            <w:tr w14:paraId="6168BFC2">
              <w:tblPrEx>
                <w:tblCellMar>
                  <w:top w:w="0" w:type="dxa"/>
                  <w:left w:w="108" w:type="dxa"/>
                  <w:bottom w:w="0" w:type="dxa"/>
                  <w:right w:w="108" w:type="dxa"/>
                </w:tblCellMar>
              </w:tblPrEx>
              <w:trPr>
                <w:trHeight w:val="340" w:hRule="atLeast"/>
                <w:jc w:val="center"/>
              </w:trPr>
              <w:tc>
                <w:tcPr>
                  <w:tcW w:w="373" w:type="pct"/>
                  <w:tcBorders>
                    <w:top w:val="single" w:color="auto" w:sz="4" w:space="0"/>
                    <w:left w:val="single" w:color="auto" w:sz="4" w:space="0"/>
                    <w:bottom w:val="single" w:color="auto" w:sz="4" w:space="0"/>
                    <w:right w:val="single" w:color="auto" w:sz="4" w:space="0"/>
                  </w:tcBorders>
                  <w:noWrap/>
                  <w:vAlign w:val="center"/>
                </w:tcPr>
                <w:p w14:paraId="55F25A3C">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rPr>
                    <w:t>1</w:t>
                  </w:r>
                </w:p>
              </w:tc>
              <w:tc>
                <w:tcPr>
                  <w:tcW w:w="2251" w:type="dxa"/>
                  <w:tcBorders>
                    <w:top w:val="single" w:color="000000" w:sz="4" w:space="0"/>
                    <w:left w:val="single" w:color="auto" w:sz="4" w:space="0"/>
                    <w:bottom w:val="nil"/>
                    <w:right w:val="nil"/>
                  </w:tcBorders>
                  <w:noWrap/>
                  <w:vAlign w:val="center"/>
                </w:tcPr>
                <w:p w14:paraId="06D41CBB">
                  <w:pPr>
                    <w:pStyle w:val="65"/>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乔木林地</w:t>
                  </w:r>
                </w:p>
              </w:tc>
              <w:tc>
                <w:tcPr>
                  <w:tcW w:w="1448" w:type="dxa"/>
                  <w:tcBorders>
                    <w:top w:val="single" w:color="000000" w:sz="4" w:space="0"/>
                    <w:left w:val="single" w:color="000000" w:sz="4" w:space="0"/>
                    <w:bottom w:val="single" w:color="000000" w:sz="4" w:space="0"/>
                    <w:right w:val="single" w:color="000000" w:sz="4" w:space="0"/>
                  </w:tcBorders>
                  <w:noWrap/>
                  <w:vAlign w:val="center"/>
                </w:tcPr>
                <w:p w14:paraId="2BA8F15A">
                  <w:pPr>
                    <w:pStyle w:val="65"/>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275.62</w:t>
                  </w:r>
                </w:p>
              </w:tc>
              <w:tc>
                <w:tcPr>
                  <w:tcW w:w="1270" w:type="dxa"/>
                  <w:tcBorders>
                    <w:top w:val="single" w:color="000000" w:sz="4" w:space="0"/>
                    <w:left w:val="single" w:color="000000" w:sz="4" w:space="0"/>
                    <w:bottom w:val="single" w:color="000000" w:sz="4" w:space="0"/>
                    <w:right w:val="single" w:color="000000" w:sz="4" w:space="0"/>
                  </w:tcBorders>
                  <w:noWrap/>
                  <w:vAlign w:val="center"/>
                </w:tcPr>
                <w:p w14:paraId="55B935DF">
                  <w:pPr>
                    <w:pStyle w:val="65"/>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 xml:space="preserve">95.50 </w:t>
                  </w:r>
                </w:p>
              </w:tc>
              <w:tc>
                <w:tcPr>
                  <w:tcW w:w="1481" w:type="dxa"/>
                  <w:tcBorders>
                    <w:top w:val="single" w:color="000000" w:sz="4" w:space="0"/>
                    <w:left w:val="single" w:color="000000" w:sz="4" w:space="0"/>
                    <w:bottom w:val="single" w:color="000000" w:sz="4" w:space="0"/>
                    <w:right w:val="single" w:color="000000" w:sz="4" w:space="0"/>
                  </w:tcBorders>
                  <w:noWrap/>
                  <w:vAlign w:val="center"/>
                </w:tcPr>
                <w:p w14:paraId="4DCC21D0">
                  <w:pPr>
                    <w:pStyle w:val="65"/>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 xml:space="preserve">421.39 </w:t>
                  </w:r>
                </w:p>
              </w:tc>
              <w:tc>
                <w:tcPr>
                  <w:tcW w:w="1270" w:type="dxa"/>
                  <w:tcBorders>
                    <w:top w:val="single" w:color="000000" w:sz="4" w:space="0"/>
                    <w:left w:val="single" w:color="000000" w:sz="4" w:space="0"/>
                    <w:bottom w:val="single" w:color="000000" w:sz="4" w:space="0"/>
                    <w:right w:val="single" w:color="000000" w:sz="4" w:space="0"/>
                  </w:tcBorders>
                  <w:noWrap/>
                  <w:vAlign w:val="center"/>
                </w:tcPr>
                <w:p w14:paraId="79AC9C7F">
                  <w:pPr>
                    <w:pStyle w:val="65"/>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 xml:space="preserve">96.41 </w:t>
                  </w:r>
                </w:p>
              </w:tc>
            </w:tr>
            <w:tr w14:paraId="16C25DC3">
              <w:tblPrEx>
                <w:tblCellMar>
                  <w:top w:w="0" w:type="dxa"/>
                  <w:left w:w="108" w:type="dxa"/>
                  <w:bottom w:w="0" w:type="dxa"/>
                  <w:right w:w="108" w:type="dxa"/>
                </w:tblCellMar>
              </w:tblPrEx>
              <w:trPr>
                <w:trHeight w:val="340" w:hRule="atLeast"/>
                <w:jc w:val="center"/>
              </w:trPr>
              <w:tc>
                <w:tcPr>
                  <w:tcW w:w="373" w:type="pct"/>
                  <w:tcBorders>
                    <w:top w:val="single" w:color="auto" w:sz="4" w:space="0"/>
                    <w:left w:val="single" w:color="000000" w:sz="4" w:space="0"/>
                    <w:bottom w:val="nil"/>
                    <w:right w:val="single" w:color="000000" w:sz="4" w:space="0"/>
                  </w:tcBorders>
                  <w:noWrap/>
                  <w:vAlign w:val="center"/>
                </w:tcPr>
                <w:p w14:paraId="77D8C0B1">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rPr>
                    <w:t>2</w:t>
                  </w:r>
                </w:p>
              </w:tc>
              <w:tc>
                <w:tcPr>
                  <w:tcW w:w="2251" w:type="dxa"/>
                  <w:tcBorders>
                    <w:top w:val="single" w:color="000000" w:sz="4" w:space="0"/>
                    <w:left w:val="single" w:color="000000" w:sz="4" w:space="0"/>
                    <w:bottom w:val="nil"/>
                    <w:right w:val="nil"/>
                  </w:tcBorders>
                  <w:noWrap/>
                  <w:vAlign w:val="center"/>
                </w:tcPr>
                <w:p w14:paraId="55375315">
                  <w:pPr>
                    <w:pStyle w:val="65"/>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灌木林地</w:t>
                  </w:r>
                </w:p>
              </w:tc>
              <w:tc>
                <w:tcPr>
                  <w:tcW w:w="1448" w:type="dxa"/>
                  <w:tcBorders>
                    <w:top w:val="single" w:color="000000" w:sz="4" w:space="0"/>
                    <w:left w:val="single" w:color="000000" w:sz="4" w:space="0"/>
                    <w:bottom w:val="single" w:color="000000" w:sz="4" w:space="0"/>
                    <w:right w:val="single" w:color="000000" w:sz="4" w:space="0"/>
                  </w:tcBorders>
                  <w:noWrap/>
                  <w:vAlign w:val="center"/>
                </w:tcPr>
                <w:p w14:paraId="0AC4B404">
                  <w:pPr>
                    <w:pStyle w:val="65"/>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 xml:space="preserve">2.42 </w:t>
                  </w:r>
                </w:p>
              </w:tc>
              <w:tc>
                <w:tcPr>
                  <w:tcW w:w="1270" w:type="dxa"/>
                  <w:tcBorders>
                    <w:top w:val="single" w:color="000000" w:sz="4" w:space="0"/>
                    <w:left w:val="single" w:color="000000" w:sz="4" w:space="0"/>
                    <w:bottom w:val="single" w:color="000000" w:sz="4" w:space="0"/>
                    <w:right w:val="single" w:color="000000" w:sz="4" w:space="0"/>
                  </w:tcBorders>
                  <w:noWrap/>
                  <w:vAlign w:val="center"/>
                </w:tcPr>
                <w:p w14:paraId="16BE9761">
                  <w:pPr>
                    <w:pStyle w:val="65"/>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 xml:space="preserve">0.84 </w:t>
                  </w:r>
                </w:p>
              </w:tc>
              <w:tc>
                <w:tcPr>
                  <w:tcW w:w="1481" w:type="dxa"/>
                  <w:tcBorders>
                    <w:top w:val="single" w:color="000000" w:sz="4" w:space="0"/>
                    <w:left w:val="single" w:color="000000" w:sz="4" w:space="0"/>
                    <w:bottom w:val="single" w:color="000000" w:sz="4" w:space="0"/>
                    <w:right w:val="single" w:color="000000" w:sz="4" w:space="0"/>
                  </w:tcBorders>
                  <w:noWrap/>
                  <w:vAlign w:val="center"/>
                </w:tcPr>
                <w:p w14:paraId="693CC6D2">
                  <w:pPr>
                    <w:pStyle w:val="65"/>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 xml:space="preserve">2.42 </w:t>
                  </w:r>
                </w:p>
              </w:tc>
              <w:tc>
                <w:tcPr>
                  <w:tcW w:w="1270" w:type="dxa"/>
                  <w:tcBorders>
                    <w:top w:val="single" w:color="000000" w:sz="4" w:space="0"/>
                    <w:left w:val="single" w:color="000000" w:sz="4" w:space="0"/>
                    <w:bottom w:val="single" w:color="000000" w:sz="4" w:space="0"/>
                    <w:right w:val="single" w:color="000000" w:sz="4" w:space="0"/>
                  </w:tcBorders>
                  <w:noWrap/>
                  <w:vAlign w:val="center"/>
                </w:tcPr>
                <w:p w14:paraId="067D3307">
                  <w:pPr>
                    <w:pStyle w:val="65"/>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 xml:space="preserve">0.55 </w:t>
                  </w:r>
                </w:p>
              </w:tc>
            </w:tr>
            <w:tr w14:paraId="67BC580A">
              <w:tblPrEx>
                <w:tblCellMar>
                  <w:top w:w="0" w:type="dxa"/>
                  <w:left w:w="108" w:type="dxa"/>
                  <w:bottom w:w="0" w:type="dxa"/>
                  <w:right w:w="108" w:type="dxa"/>
                </w:tblCellMar>
              </w:tblPrEx>
              <w:trPr>
                <w:trHeight w:val="340" w:hRule="atLeast"/>
                <w:jc w:val="center"/>
              </w:trPr>
              <w:tc>
                <w:tcPr>
                  <w:tcW w:w="373" w:type="pct"/>
                  <w:tcBorders>
                    <w:top w:val="single" w:color="000000" w:sz="4" w:space="0"/>
                    <w:left w:val="single" w:color="000000" w:sz="4" w:space="0"/>
                    <w:bottom w:val="nil"/>
                    <w:right w:val="single" w:color="000000" w:sz="4" w:space="0"/>
                  </w:tcBorders>
                  <w:noWrap/>
                  <w:vAlign w:val="center"/>
                </w:tcPr>
                <w:p w14:paraId="451B5A1D">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rPr>
                    <w:t>3</w:t>
                  </w:r>
                </w:p>
              </w:tc>
              <w:tc>
                <w:tcPr>
                  <w:tcW w:w="2251" w:type="dxa"/>
                  <w:tcBorders>
                    <w:top w:val="single" w:color="000000" w:sz="4" w:space="0"/>
                    <w:left w:val="single" w:color="000000" w:sz="4" w:space="0"/>
                    <w:bottom w:val="nil"/>
                    <w:right w:val="nil"/>
                  </w:tcBorders>
                  <w:noWrap/>
                  <w:vAlign w:val="center"/>
                </w:tcPr>
                <w:p w14:paraId="2A34CFDD">
                  <w:pPr>
                    <w:pStyle w:val="65"/>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农村道路</w:t>
                  </w:r>
                </w:p>
              </w:tc>
              <w:tc>
                <w:tcPr>
                  <w:tcW w:w="1448" w:type="dxa"/>
                  <w:tcBorders>
                    <w:top w:val="single" w:color="000000" w:sz="4" w:space="0"/>
                    <w:left w:val="single" w:color="000000" w:sz="4" w:space="0"/>
                    <w:bottom w:val="single" w:color="000000" w:sz="4" w:space="0"/>
                    <w:right w:val="single" w:color="000000" w:sz="4" w:space="0"/>
                  </w:tcBorders>
                  <w:noWrap/>
                  <w:vAlign w:val="center"/>
                </w:tcPr>
                <w:p w14:paraId="2A050088">
                  <w:pPr>
                    <w:pStyle w:val="65"/>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 xml:space="preserve">4.00 </w:t>
                  </w:r>
                </w:p>
              </w:tc>
              <w:tc>
                <w:tcPr>
                  <w:tcW w:w="1270" w:type="dxa"/>
                  <w:tcBorders>
                    <w:top w:val="single" w:color="000000" w:sz="4" w:space="0"/>
                    <w:left w:val="single" w:color="000000" w:sz="4" w:space="0"/>
                    <w:bottom w:val="single" w:color="000000" w:sz="4" w:space="0"/>
                    <w:right w:val="single" w:color="000000" w:sz="4" w:space="0"/>
                  </w:tcBorders>
                  <w:noWrap/>
                  <w:vAlign w:val="center"/>
                </w:tcPr>
                <w:p w14:paraId="399E2001">
                  <w:pPr>
                    <w:pStyle w:val="65"/>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 xml:space="preserve">1.38 </w:t>
                  </w:r>
                </w:p>
              </w:tc>
              <w:tc>
                <w:tcPr>
                  <w:tcW w:w="1481" w:type="dxa"/>
                  <w:tcBorders>
                    <w:top w:val="single" w:color="000000" w:sz="4" w:space="0"/>
                    <w:left w:val="single" w:color="000000" w:sz="4" w:space="0"/>
                    <w:bottom w:val="single" w:color="000000" w:sz="4" w:space="0"/>
                    <w:right w:val="single" w:color="000000" w:sz="4" w:space="0"/>
                  </w:tcBorders>
                  <w:noWrap/>
                  <w:vAlign w:val="center"/>
                </w:tcPr>
                <w:p w14:paraId="613F2EDB">
                  <w:pPr>
                    <w:pStyle w:val="65"/>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 xml:space="preserve">0.29 </w:t>
                  </w:r>
                </w:p>
              </w:tc>
              <w:tc>
                <w:tcPr>
                  <w:tcW w:w="1270" w:type="dxa"/>
                  <w:tcBorders>
                    <w:top w:val="single" w:color="000000" w:sz="4" w:space="0"/>
                    <w:left w:val="single" w:color="000000" w:sz="4" w:space="0"/>
                    <w:bottom w:val="single" w:color="000000" w:sz="4" w:space="0"/>
                    <w:right w:val="single" w:color="000000" w:sz="4" w:space="0"/>
                  </w:tcBorders>
                  <w:noWrap/>
                  <w:vAlign w:val="center"/>
                </w:tcPr>
                <w:p w14:paraId="7B56CD4C">
                  <w:pPr>
                    <w:pStyle w:val="65"/>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 xml:space="preserve">0.07 </w:t>
                  </w:r>
                </w:p>
              </w:tc>
            </w:tr>
            <w:tr w14:paraId="6049320D">
              <w:tblPrEx>
                <w:tblCellMar>
                  <w:top w:w="0" w:type="dxa"/>
                  <w:left w:w="108" w:type="dxa"/>
                  <w:bottom w:w="0" w:type="dxa"/>
                  <w:right w:w="108" w:type="dxa"/>
                </w:tblCellMar>
              </w:tblPrEx>
              <w:trPr>
                <w:trHeight w:val="340" w:hRule="atLeast"/>
                <w:jc w:val="center"/>
              </w:trPr>
              <w:tc>
                <w:tcPr>
                  <w:tcW w:w="373" w:type="pct"/>
                  <w:tcBorders>
                    <w:top w:val="single" w:color="000000" w:sz="4" w:space="0"/>
                    <w:left w:val="single" w:color="000000" w:sz="4" w:space="0"/>
                    <w:bottom w:val="nil"/>
                    <w:right w:val="single" w:color="000000" w:sz="4" w:space="0"/>
                  </w:tcBorders>
                  <w:noWrap/>
                  <w:vAlign w:val="center"/>
                </w:tcPr>
                <w:p w14:paraId="1300F241">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rPr>
                    <w:t>4</w:t>
                  </w:r>
                </w:p>
              </w:tc>
              <w:tc>
                <w:tcPr>
                  <w:tcW w:w="2251" w:type="dxa"/>
                  <w:tcBorders>
                    <w:top w:val="single" w:color="000000" w:sz="4" w:space="0"/>
                    <w:left w:val="single" w:color="000000" w:sz="4" w:space="0"/>
                    <w:bottom w:val="nil"/>
                    <w:right w:val="nil"/>
                  </w:tcBorders>
                  <w:noWrap/>
                  <w:vAlign w:val="center"/>
                </w:tcPr>
                <w:p w14:paraId="6FD33E2C">
                  <w:pPr>
                    <w:pStyle w:val="65"/>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采矿用地</w:t>
                  </w:r>
                </w:p>
              </w:tc>
              <w:tc>
                <w:tcPr>
                  <w:tcW w:w="1448" w:type="dxa"/>
                  <w:tcBorders>
                    <w:top w:val="single" w:color="000000" w:sz="4" w:space="0"/>
                    <w:left w:val="single" w:color="000000" w:sz="4" w:space="0"/>
                    <w:bottom w:val="single" w:color="000000" w:sz="4" w:space="0"/>
                    <w:right w:val="single" w:color="000000" w:sz="4" w:space="0"/>
                  </w:tcBorders>
                  <w:noWrap/>
                  <w:vAlign w:val="center"/>
                </w:tcPr>
                <w:p w14:paraId="33071703">
                  <w:pPr>
                    <w:pStyle w:val="65"/>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 xml:space="preserve">6.57 </w:t>
                  </w:r>
                </w:p>
              </w:tc>
              <w:tc>
                <w:tcPr>
                  <w:tcW w:w="1270" w:type="dxa"/>
                  <w:tcBorders>
                    <w:top w:val="single" w:color="000000" w:sz="4" w:space="0"/>
                    <w:left w:val="single" w:color="000000" w:sz="4" w:space="0"/>
                    <w:bottom w:val="single" w:color="000000" w:sz="4" w:space="0"/>
                    <w:right w:val="single" w:color="000000" w:sz="4" w:space="0"/>
                  </w:tcBorders>
                  <w:noWrap/>
                  <w:vAlign w:val="center"/>
                </w:tcPr>
                <w:p w14:paraId="043A17DA">
                  <w:pPr>
                    <w:pStyle w:val="65"/>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 xml:space="preserve">2.28 </w:t>
                  </w:r>
                </w:p>
              </w:tc>
              <w:tc>
                <w:tcPr>
                  <w:tcW w:w="1481" w:type="dxa"/>
                  <w:tcBorders>
                    <w:top w:val="single" w:color="000000" w:sz="4" w:space="0"/>
                    <w:left w:val="single" w:color="000000" w:sz="4" w:space="0"/>
                    <w:bottom w:val="single" w:color="000000" w:sz="4" w:space="0"/>
                    <w:right w:val="single" w:color="000000" w:sz="4" w:space="0"/>
                  </w:tcBorders>
                  <w:noWrap/>
                  <w:vAlign w:val="center"/>
                </w:tcPr>
                <w:p w14:paraId="32493B62">
                  <w:pPr>
                    <w:pStyle w:val="65"/>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 xml:space="preserve">6.39 </w:t>
                  </w:r>
                </w:p>
              </w:tc>
              <w:tc>
                <w:tcPr>
                  <w:tcW w:w="1270" w:type="dxa"/>
                  <w:tcBorders>
                    <w:top w:val="single" w:color="000000" w:sz="4" w:space="0"/>
                    <w:left w:val="single" w:color="000000" w:sz="4" w:space="0"/>
                    <w:bottom w:val="single" w:color="000000" w:sz="4" w:space="0"/>
                    <w:right w:val="single" w:color="000000" w:sz="4" w:space="0"/>
                  </w:tcBorders>
                  <w:noWrap/>
                  <w:vAlign w:val="center"/>
                </w:tcPr>
                <w:p w14:paraId="008C5D52">
                  <w:pPr>
                    <w:pStyle w:val="65"/>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 xml:space="preserve">1.46 </w:t>
                  </w:r>
                </w:p>
              </w:tc>
            </w:tr>
            <w:tr w14:paraId="02370159">
              <w:tblPrEx>
                <w:tblCellMar>
                  <w:top w:w="0" w:type="dxa"/>
                  <w:left w:w="108" w:type="dxa"/>
                  <w:bottom w:w="0" w:type="dxa"/>
                  <w:right w:w="108" w:type="dxa"/>
                </w:tblCellMar>
              </w:tblPrEx>
              <w:trPr>
                <w:trHeight w:val="340" w:hRule="atLeast"/>
                <w:jc w:val="center"/>
              </w:trPr>
              <w:tc>
                <w:tcPr>
                  <w:tcW w:w="1793" w:type="pct"/>
                  <w:gridSpan w:val="2"/>
                  <w:tcBorders>
                    <w:top w:val="single" w:color="000000" w:sz="4" w:space="0"/>
                    <w:left w:val="single" w:color="000000" w:sz="4" w:space="0"/>
                    <w:bottom w:val="single" w:color="000000" w:sz="4" w:space="0"/>
                    <w:right w:val="nil"/>
                  </w:tcBorders>
                  <w:noWrap/>
                  <w:vAlign w:val="center"/>
                </w:tcPr>
                <w:p w14:paraId="4308A856">
                  <w:pPr>
                    <w:pStyle w:val="65"/>
                    <w:jc w:val="center"/>
                    <w:rPr>
                      <w:rFonts w:hint="eastAsia" w:ascii="Times New Roman" w:hAnsi="Times New Roman" w:eastAsia="宋体" w:cs="Times New Roman"/>
                      <w:color w:val="0000FF"/>
                    </w:rPr>
                  </w:pPr>
                  <w:r>
                    <w:rPr>
                      <w:rFonts w:hint="eastAsia" w:ascii="Times New Roman" w:hAnsi="Times New Roman" w:eastAsia="宋体" w:cs="Times New Roman"/>
                      <w:color w:val="0000FF"/>
                    </w:rPr>
                    <w:t>合计</w:t>
                  </w:r>
                </w:p>
              </w:tc>
              <w:tc>
                <w:tcPr>
                  <w:tcW w:w="1481" w:type="dxa"/>
                  <w:tcBorders>
                    <w:top w:val="single" w:color="000000" w:sz="4" w:space="0"/>
                    <w:left w:val="single" w:color="000000" w:sz="4" w:space="0"/>
                    <w:bottom w:val="single" w:color="000000" w:sz="4" w:space="0"/>
                    <w:right w:val="single" w:color="000000" w:sz="4" w:space="0"/>
                  </w:tcBorders>
                  <w:noWrap/>
                  <w:vAlign w:val="center"/>
                </w:tcPr>
                <w:p w14:paraId="51F1E204">
                  <w:pPr>
                    <w:pStyle w:val="65"/>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288.6</w:t>
                  </w:r>
                </w:p>
              </w:tc>
              <w:tc>
                <w:tcPr>
                  <w:tcW w:w="1270" w:type="dxa"/>
                  <w:tcBorders>
                    <w:top w:val="single" w:color="000000" w:sz="4" w:space="0"/>
                    <w:left w:val="single" w:color="000000" w:sz="4" w:space="0"/>
                    <w:bottom w:val="single" w:color="000000" w:sz="4" w:space="0"/>
                    <w:right w:val="single" w:color="000000" w:sz="4" w:space="0"/>
                  </w:tcBorders>
                  <w:noWrap/>
                  <w:vAlign w:val="center"/>
                </w:tcPr>
                <w:p w14:paraId="050A2CA3">
                  <w:pPr>
                    <w:pStyle w:val="65"/>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 xml:space="preserve">100.00 </w:t>
                  </w:r>
                </w:p>
              </w:tc>
              <w:tc>
                <w:tcPr>
                  <w:tcW w:w="1481" w:type="dxa"/>
                  <w:tcBorders>
                    <w:top w:val="single" w:color="000000" w:sz="4" w:space="0"/>
                    <w:left w:val="single" w:color="000000" w:sz="4" w:space="0"/>
                    <w:bottom w:val="single" w:color="000000" w:sz="4" w:space="0"/>
                    <w:right w:val="single" w:color="000000" w:sz="4" w:space="0"/>
                  </w:tcBorders>
                  <w:noWrap/>
                  <w:vAlign w:val="center"/>
                </w:tcPr>
                <w:p w14:paraId="37FB28C7">
                  <w:pPr>
                    <w:pStyle w:val="65"/>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 xml:space="preserve">6.57 </w:t>
                  </w:r>
                </w:p>
              </w:tc>
              <w:tc>
                <w:tcPr>
                  <w:tcW w:w="1270" w:type="dxa"/>
                  <w:tcBorders>
                    <w:top w:val="single" w:color="000000" w:sz="4" w:space="0"/>
                    <w:left w:val="single" w:color="000000" w:sz="4" w:space="0"/>
                    <w:bottom w:val="single" w:color="000000" w:sz="4" w:space="0"/>
                    <w:right w:val="single" w:color="000000" w:sz="4" w:space="0"/>
                  </w:tcBorders>
                  <w:noWrap/>
                  <w:vAlign w:val="center"/>
                </w:tcPr>
                <w:p w14:paraId="44E173DA">
                  <w:pPr>
                    <w:pStyle w:val="65"/>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 xml:space="preserve">1.50 </w:t>
                  </w:r>
                </w:p>
              </w:tc>
            </w:tr>
          </w:tbl>
          <w:p w14:paraId="3FAD50E3">
            <w:pPr>
              <w:pStyle w:val="6"/>
              <w:spacing w:line="240" w:lineRule="auto"/>
              <w:ind w:firstLine="482"/>
              <w:jc w:val="center"/>
              <w:rPr>
                <w:rFonts w:ascii="Times New Roman" w:hAnsi="Times New Roman" w:eastAsia="宋体"/>
                <w:b/>
                <w:bCs/>
                <w:sz w:val="24"/>
                <w:szCs w:val="24"/>
              </w:rPr>
            </w:pPr>
          </w:p>
          <w:p w14:paraId="0537CE61">
            <w:pPr>
              <w:pStyle w:val="2"/>
              <w:ind w:firstLine="480" w:firstLineChars="200"/>
              <w:rPr>
                <w:rFonts w:eastAsia="宋体"/>
                <w:b w:val="0"/>
                <w:bCs w:val="0"/>
                <w:color w:val="auto"/>
                <w:szCs w:val="24"/>
              </w:rPr>
            </w:pPr>
            <w:r>
              <w:rPr>
                <w:rFonts w:hint="eastAsia" w:eastAsia="宋体"/>
                <w:b w:val="0"/>
                <w:bCs w:val="0"/>
                <w:color w:val="auto"/>
                <w:szCs w:val="24"/>
                <w:lang w:val="en-US" w:eastAsia="zh-CN"/>
              </w:rPr>
              <w:t>8</w:t>
            </w:r>
            <w:r>
              <w:rPr>
                <w:rFonts w:eastAsia="宋体"/>
                <w:b w:val="0"/>
                <w:bCs w:val="0"/>
                <w:color w:val="auto"/>
                <w:szCs w:val="24"/>
              </w:rPr>
              <w:t>、地下水环境质量现状</w:t>
            </w:r>
          </w:p>
          <w:p w14:paraId="48F50A66">
            <w:pPr>
              <w:ind w:firstLine="480"/>
            </w:pPr>
            <w:r>
              <w:t>根据《环境影响评价技术导则 地下水环境》（HJ610-2016）中附录A（规范性附录）地下水环境影响评价行业分类表，根据地下水导则附录A地下水环境影响评价行业分类表，本项目行业类别为：J非金属矿采选及制品制造，54、土砂石开采。地下水环境影响评价项目类别为IV类。因此本项目不开展地下水环境影响评价。</w:t>
            </w:r>
          </w:p>
          <w:p w14:paraId="7B9CB681">
            <w:pPr>
              <w:ind w:left="480" w:leftChars="200" w:firstLine="0" w:firstLineChars="0"/>
            </w:pPr>
            <w:r>
              <w:rPr>
                <w:rFonts w:hint="eastAsia"/>
                <w:lang w:val="en-US" w:eastAsia="zh-CN"/>
              </w:rPr>
              <w:t>9</w:t>
            </w:r>
            <w:r>
              <w:rPr>
                <w:rFonts w:hint="eastAsia"/>
              </w:rPr>
              <w:t>、土壤环境质量现状</w:t>
            </w:r>
          </w:p>
          <w:p w14:paraId="46126FB2">
            <w:pPr>
              <w:ind w:firstLine="480"/>
            </w:pPr>
            <w:r>
              <w:rPr>
                <w:rFonts w:hint="eastAsia"/>
              </w:rPr>
              <w:t>本项目矿山开采属于附录A中的采矿业其他类，根据《环境影响评价技术导则 土壤环境（试行）》（HJ964-2018）附录A，本项目为其他，属于Ⅲ类项目，根据《环境影响评价技术导则土壤环境（试行）》（HJ964-2018）中表1生态影响型敏感程度分级表，本项目敏感程度为不敏感。</w:t>
            </w:r>
          </w:p>
          <w:p w14:paraId="459894E2">
            <w:pPr>
              <w:ind w:firstLine="480"/>
              <w:rPr>
                <w:color w:val="FF0000"/>
              </w:rPr>
            </w:pPr>
            <w:r>
              <w:rPr>
                <w:rFonts w:hint="eastAsia"/>
              </w:rPr>
              <w:t>因此，根据环境影响评价技术导则土壤环境（试行）》（HJ964-2018）中表2生态影响性评价工作等级划分表，本项目土壤评价等级为“-”，可不开展土壤环境影响评价工作。</w:t>
            </w:r>
          </w:p>
        </w:tc>
      </w:tr>
      <w:tr w14:paraId="4319D3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498" w:type="pct"/>
            <w:vAlign w:val="center"/>
          </w:tcPr>
          <w:p w14:paraId="20A2DB61">
            <w:pPr>
              <w:adjustRightInd w:val="0"/>
              <w:snapToGrid w:val="0"/>
              <w:spacing w:line="240" w:lineRule="auto"/>
              <w:ind w:firstLine="0" w:firstLineChars="0"/>
              <w:jc w:val="center"/>
              <w:rPr>
                <w:kern w:val="0"/>
              </w:rPr>
            </w:pPr>
            <w:r>
              <w:rPr>
                <w:bCs/>
              </w:rPr>
              <w:t>与项目有关的原有环境污染和生态破坏问题</w:t>
            </w:r>
          </w:p>
        </w:tc>
        <w:tc>
          <w:tcPr>
            <w:tcW w:w="4501" w:type="pct"/>
            <w:vAlign w:val="center"/>
          </w:tcPr>
          <w:p w14:paraId="22C6E3B1">
            <w:pPr>
              <w:pStyle w:val="23"/>
              <w:spacing w:after="0"/>
              <w:ind w:left="0" w:leftChars="0" w:firstLine="480"/>
              <w:rPr>
                <w:kern w:val="0"/>
              </w:rPr>
            </w:pPr>
            <w:r>
              <w:rPr>
                <w:kern w:val="0"/>
              </w:rPr>
              <w:t>本项目为新建，项目区现状为空地，无与项目有关的原有环境污染和生态破坏问题</w:t>
            </w:r>
            <w:r>
              <w:rPr>
                <w:rFonts w:hint="eastAsia"/>
                <w:kern w:val="0"/>
              </w:rPr>
              <w:t>。</w:t>
            </w:r>
          </w:p>
        </w:tc>
      </w:tr>
      <w:tr w14:paraId="79AAF8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8" w:type="pct"/>
            <w:vAlign w:val="center"/>
          </w:tcPr>
          <w:p w14:paraId="50DDF792">
            <w:pPr>
              <w:adjustRightInd w:val="0"/>
              <w:snapToGrid w:val="0"/>
              <w:spacing w:line="240" w:lineRule="auto"/>
              <w:ind w:firstLine="0" w:firstLineChars="0"/>
              <w:jc w:val="center"/>
              <w:rPr>
                <w:kern w:val="0"/>
              </w:rPr>
            </w:pPr>
            <w:r>
              <w:rPr>
                <w:kern w:val="0"/>
              </w:rPr>
              <w:t>生态环境保护目标</w:t>
            </w:r>
          </w:p>
        </w:tc>
        <w:tc>
          <w:tcPr>
            <w:tcW w:w="4501" w:type="pct"/>
            <w:vAlign w:val="center"/>
          </w:tcPr>
          <w:p w14:paraId="6E6F6F0F">
            <w:pPr>
              <w:pStyle w:val="2"/>
              <w:ind w:firstLine="480" w:firstLineChars="200"/>
              <w:rPr>
                <w:rFonts w:eastAsia="宋体"/>
                <w:b w:val="0"/>
                <w:bCs w:val="0"/>
                <w:color w:val="0000FF"/>
                <w:szCs w:val="24"/>
              </w:rPr>
            </w:pPr>
            <w:r>
              <w:rPr>
                <w:rFonts w:hint="eastAsia" w:eastAsia="宋体"/>
                <w:b w:val="0"/>
                <w:bCs w:val="0"/>
                <w:color w:val="0000FF"/>
                <w:szCs w:val="24"/>
              </w:rPr>
              <w:t>1、</w:t>
            </w:r>
            <w:r>
              <w:rPr>
                <w:rFonts w:eastAsia="宋体"/>
                <w:b w:val="0"/>
                <w:bCs w:val="0"/>
                <w:color w:val="0000FF"/>
                <w:szCs w:val="24"/>
              </w:rPr>
              <w:t>环境空气保护目标</w:t>
            </w:r>
          </w:p>
          <w:p w14:paraId="4404762E">
            <w:pPr>
              <w:ind w:firstLine="480"/>
              <w:rPr>
                <w:color w:val="0000FF"/>
              </w:rPr>
            </w:pPr>
            <w:r>
              <w:rPr>
                <w:color w:val="0000FF"/>
              </w:rPr>
              <w:t>根据《建设项目环境报告表编制技术指南》（生态影响类试行2021年），项目周边500m范围内无常住居民及其他环境空气环境保护目标。</w:t>
            </w:r>
          </w:p>
          <w:p w14:paraId="7A36938E">
            <w:pPr>
              <w:pStyle w:val="2"/>
              <w:ind w:firstLine="480" w:firstLineChars="200"/>
              <w:rPr>
                <w:rFonts w:eastAsia="宋体"/>
                <w:b w:val="0"/>
                <w:bCs w:val="0"/>
                <w:color w:val="0000FF"/>
                <w:szCs w:val="24"/>
              </w:rPr>
            </w:pPr>
            <w:r>
              <w:rPr>
                <w:rFonts w:hint="eastAsia" w:eastAsia="宋体"/>
                <w:b w:val="0"/>
                <w:bCs w:val="0"/>
                <w:color w:val="0000FF"/>
                <w:szCs w:val="24"/>
              </w:rPr>
              <w:t>2、</w:t>
            </w:r>
            <w:r>
              <w:rPr>
                <w:rFonts w:eastAsia="宋体"/>
                <w:b w:val="0"/>
                <w:bCs w:val="0"/>
                <w:color w:val="0000FF"/>
                <w:szCs w:val="24"/>
              </w:rPr>
              <w:t>声环境保护目标</w:t>
            </w:r>
          </w:p>
          <w:p w14:paraId="1AC7AE6B">
            <w:pPr>
              <w:ind w:firstLine="480"/>
              <w:rPr>
                <w:color w:val="0000FF"/>
              </w:rPr>
            </w:pPr>
            <w:r>
              <w:rPr>
                <w:color w:val="0000FF"/>
                <w:kern w:val="0"/>
              </w:rPr>
              <w:t>项目厂界外周边50m范围内不存在声环境保护目标</w:t>
            </w:r>
            <w:r>
              <w:rPr>
                <w:color w:val="0000FF"/>
              </w:rPr>
              <w:t>。</w:t>
            </w:r>
          </w:p>
          <w:p w14:paraId="797AEDD9">
            <w:pPr>
              <w:pStyle w:val="2"/>
              <w:ind w:firstLine="480" w:firstLineChars="200"/>
              <w:rPr>
                <w:rFonts w:eastAsia="宋体"/>
                <w:b w:val="0"/>
                <w:bCs w:val="0"/>
                <w:color w:val="0000FF"/>
                <w:szCs w:val="24"/>
              </w:rPr>
            </w:pPr>
            <w:r>
              <w:rPr>
                <w:rFonts w:hint="eastAsia" w:eastAsia="宋体"/>
                <w:b w:val="0"/>
                <w:bCs w:val="0"/>
                <w:color w:val="0000FF"/>
                <w:szCs w:val="24"/>
              </w:rPr>
              <w:t>3、</w:t>
            </w:r>
            <w:r>
              <w:rPr>
                <w:rFonts w:eastAsia="宋体"/>
                <w:b w:val="0"/>
                <w:bCs w:val="0"/>
                <w:color w:val="0000FF"/>
                <w:szCs w:val="24"/>
              </w:rPr>
              <w:t>地下水环境保护目标</w:t>
            </w:r>
          </w:p>
          <w:p w14:paraId="7C0399C3">
            <w:pPr>
              <w:ind w:firstLine="480"/>
              <w:rPr>
                <w:color w:val="0000FF"/>
              </w:rPr>
            </w:pPr>
            <w:r>
              <w:rPr>
                <w:color w:val="0000FF"/>
              </w:rPr>
              <w:t>项目厂界外500m范围内无地下水集中式饮用水水源和热水、矿泉水、温泉等特殊地下水资源，不存在地下水环境保护目标。</w:t>
            </w:r>
          </w:p>
          <w:p w14:paraId="312EB877">
            <w:pPr>
              <w:pStyle w:val="2"/>
              <w:ind w:firstLine="480" w:firstLineChars="200"/>
              <w:rPr>
                <w:rFonts w:eastAsia="宋体"/>
                <w:b w:val="0"/>
                <w:bCs w:val="0"/>
                <w:color w:val="0000FF"/>
                <w:szCs w:val="24"/>
              </w:rPr>
            </w:pPr>
            <w:r>
              <w:rPr>
                <w:rFonts w:hint="eastAsia" w:eastAsia="宋体"/>
                <w:b w:val="0"/>
                <w:bCs w:val="0"/>
                <w:color w:val="0000FF"/>
                <w:szCs w:val="24"/>
              </w:rPr>
              <w:t>4、</w:t>
            </w:r>
            <w:r>
              <w:rPr>
                <w:rFonts w:eastAsia="宋体"/>
                <w:b w:val="0"/>
                <w:bCs w:val="0"/>
                <w:color w:val="0000FF"/>
                <w:szCs w:val="24"/>
              </w:rPr>
              <w:t>地表水环境保护目标</w:t>
            </w:r>
          </w:p>
          <w:p w14:paraId="686772FD">
            <w:pPr>
              <w:ind w:firstLine="480"/>
              <w:rPr>
                <w:color w:val="0000FF"/>
              </w:rPr>
            </w:pPr>
            <w:r>
              <w:rPr>
                <w:color w:val="0000FF"/>
              </w:rPr>
              <w:t>经调查现场无饮用水水源保护区等水环境保护目标。</w:t>
            </w:r>
          </w:p>
          <w:p w14:paraId="63B331DE">
            <w:pPr>
              <w:pStyle w:val="2"/>
              <w:ind w:firstLine="480" w:firstLineChars="200"/>
              <w:rPr>
                <w:rFonts w:eastAsia="宋体"/>
                <w:b w:val="0"/>
                <w:bCs w:val="0"/>
                <w:color w:val="0000FF"/>
                <w:szCs w:val="24"/>
              </w:rPr>
            </w:pPr>
            <w:r>
              <w:rPr>
                <w:rFonts w:hint="eastAsia" w:eastAsia="宋体"/>
                <w:b w:val="0"/>
                <w:bCs w:val="0"/>
                <w:color w:val="0000FF"/>
                <w:szCs w:val="24"/>
              </w:rPr>
              <w:t>5、</w:t>
            </w:r>
            <w:r>
              <w:rPr>
                <w:rFonts w:eastAsia="宋体"/>
                <w:b w:val="0"/>
                <w:bCs w:val="0"/>
                <w:color w:val="0000FF"/>
                <w:szCs w:val="24"/>
              </w:rPr>
              <w:t>生态环境保护目标</w:t>
            </w:r>
          </w:p>
          <w:p w14:paraId="6C8D094E">
            <w:pPr>
              <w:keepLines/>
              <w:ind w:firstLine="480"/>
            </w:pPr>
            <w:r>
              <w:rPr>
                <w:rFonts w:hint="eastAsia"/>
                <w:color w:val="0000FF"/>
                <w:kern w:val="0"/>
              </w:rPr>
              <w:t>根据《环境影响评价技术导则 生态影响》（HJ19-2022），项目区内无生态敏感区以及其他需要保护的物种、种群、生物群落及生态空间等。本项目占地范围内不涉及国家公园、自然保护区、世界自然遗产、重要生境、自然公园、生态保护红线等生态敏感区。</w:t>
            </w:r>
          </w:p>
        </w:tc>
      </w:tr>
      <w:tr w14:paraId="7A1170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8" w:type="pct"/>
            <w:vAlign w:val="center"/>
          </w:tcPr>
          <w:p w14:paraId="2F105B81">
            <w:pPr>
              <w:adjustRightInd w:val="0"/>
              <w:snapToGrid w:val="0"/>
              <w:spacing w:line="240" w:lineRule="auto"/>
              <w:ind w:firstLine="0" w:firstLineChars="0"/>
              <w:jc w:val="center"/>
              <w:rPr>
                <w:kern w:val="0"/>
              </w:rPr>
            </w:pPr>
            <w:r>
              <w:rPr>
                <w:kern w:val="0"/>
              </w:rPr>
              <w:t>评价</w:t>
            </w:r>
          </w:p>
          <w:p w14:paraId="21932DD2">
            <w:pPr>
              <w:adjustRightInd w:val="0"/>
              <w:snapToGrid w:val="0"/>
              <w:spacing w:line="240" w:lineRule="auto"/>
              <w:ind w:firstLine="0" w:firstLineChars="0"/>
              <w:jc w:val="center"/>
              <w:rPr>
                <w:color w:val="FF0000"/>
                <w:kern w:val="0"/>
              </w:rPr>
            </w:pPr>
            <w:r>
              <w:rPr>
                <w:kern w:val="0"/>
              </w:rPr>
              <w:t>标准</w:t>
            </w:r>
          </w:p>
        </w:tc>
        <w:tc>
          <w:tcPr>
            <w:tcW w:w="4501" w:type="pct"/>
            <w:vAlign w:val="center"/>
          </w:tcPr>
          <w:p w14:paraId="26518F7B">
            <w:pPr>
              <w:pStyle w:val="2"/>
              <w:rPr>
                <w:rFonts w:eastAsia="宋体"/>
                <w:b w:val="0"/>
                <w:bCs w:val="0"/>
                <w:color w:val="auto"/>
                <w:szCs w:val="24"/>
              </w:rPr>
            </w:pPr>
            <w:r>
              <w:rPr>
                <w:rFonts w:hint="eastAsia" w:eastAsia="宋体"/>
                <w:color w:val="auto"/>
                <w:szCs w:val="24"/>
              </w:rPr>
              <w:t xml:space="preserve">  </w:t>
            </w:r>
            <w:r>
              <w:rPr>
                <w:rFonts w:hint="eastAsia" w:eastAsia="宋体"/>
                <w:b w:val="0"/>
                <w:bCs w:val="0"/>
                <w:color w:val="auto"/>
                <w:szCs w:val="24"/>
              </w:rPr>
              <w:t xml:space="preserve">  1、</w:t>
            </w:r>
            <w:r>
              <w:rPr>
                <w:rFonts w:eastAsia="宋体"/>
                <w:b w:val="0"/>
                <w:bCs w:val="0"/>
                <w:color w:val="auto"/>
                <w:szCs w:val="24"/>
              </w:rPr>
              <w:t>环境质量标准</w:t>
            </w:r>
          </w:p>
          <w:p w14:paraId="21FA3262">
            <w:pPr>
              <w:ind w:firstLine="480"/>
            </w:pPr>
            <w:r>
              <w:fldChar w:fldCharType="begin"/>
            </w:r>
            <w:r>
              <w:instrText xml:space="preserve"> = 1 \* GB2 \* MERGEFORMAT </w:instrText>
            </w:r>
            <w:r>
              <w:fldChar w:fldCharType="separate"/>
            </w:r>
            <w:r>
              <w:t>⑴</w:t>
            </w:r>
            <w:r>
              <w:fldChar w:fldCharType="end"/>
            </w:r>
            <w:r>
              <w:t>环境空气</w:t>
            </w:r>
          </w:p>
          <w:p w14:paraId="166BA522">
            <w:pPr>
              <w:ind w:firstLine="480"/>
            </w:pPr>
            <w:r>
              <w:t>项目所在地区域空气环境质量功能区划为二类功能区，环境空气执行《环境空气质量标准》（GB3095-2012）及其修改单二级标准，标准限值详见下表：</w:t>
            </w:r>
          </w:p>
          <w:p w14:paraId="3AAAC06D">
            <w:pPr>
              <w:pStyle w:val="46"/>
              <w:spacing w:beforeLines="0" w:afterLines="0" w:line="240" w:lineRule="auto"/>
              <w:ind w:firstLine="0" w:firstLineChars="0"/>
              <w:rPr>
                <w:rFonts w:ascii="Times New Roman"/>
                <w:b/>
                <w:bCs/>
                <w:sz w:val="24"/>
                <w:szCs w:val="24"/>
              </w:rPr>
            </w:pPr>
            <w:r>
              <w:rPr>
                <w:rFonts w:ascii="Times New Roman"/>
                <w:b/>
                <w:bCs/>
                <w:sz w:val="24"/>
                <w:szCs w:val="24"/>
              </w:rPr>
              <w:t>表3-</w:t>
            </w:r>
            <w:r>
              <w:rPr>
                <w:rFonts w:hint="eastAsia" w:ascii="Times New Roman"/>
                <w:b/>
                <w:bCs/>
                <w:sz w:val="24"/>
                <w:szCs w:val="24"/>
                <w:lang w:val="en-US" w:eastAsia="zh-CN"/>
              </w:rPr>
              <w:t>4</w:t>
            </w:r>
            <w:r>
              <w:rPr>
                <w:rFonts w:ascii="Times New Roman"/>
                <w:b/>
                <w:bCs/>
                <w:sz w:val="24"/>
                <w:szCs w:val="24"/>
              </w:rPr>
              <w:t xml:space="preserve">  环境空气质量标准限值</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1373"/>
              <w:gridCol w:w="1205"/>
              <w:gridCol w:w="1398"/>
              <w:gridCol w:w="1236"/>
              <w:gridCol w:w="1352"/>
              <w:gridCol w:w="1286"/>
            </w:tblGrid>
            <w:tr w14:paraId="4B278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9" w:hRule="atLeast"/>
                <w:jc w:val="center"/>
              </w:trPr>
              <w:tc>
                <w:tcPr>
                  <w:tcW w:w="874" w:type="pct"/>
                  <w:tcBorders>
                    <w:tl2br w:val="nil"/>
                    <w:tr2bl w:val="nil"/>
                  </w:tcBorders>
                  <w:shd w:val="clear" w:color="auto" w:fill="FFFFFF" w:themeFill="background1"/>
                  <w:vAlign w:val="center"/>
                </w:tcPr>
                <w:p w14:paraId="43A4DC7B">
                  <w:pPr>
                    <w:pStyle w:val="3"/>
                    <w:numPr>
                      <w:ilvl w:val="1"/>
                      <w:numId w:val="0"/>
                    </w:numPr>
                    <w:spacing w:line="240" w:lineRule="auto"/>
                    <w:jc w:val="center"/>
                    <w:rPr>
                      <w:rFonts w:ascii="Times New Roman" w:hAnsi="Times New Roman"/>
                      <w:b/>
                      <w:bCs/>
                      <w:sz w:val="21"/>
                      <w:szCs w:val="21"/>
                    </w:rPr>
                  </w:pPr>
                  <w:r>
                    <w:rPr>
                      <w:rFonts w:ascii="Times New Roman" w:hAnsi="Times New Roman"/>
                      <w:b/>
                      <w:bCs/>
                      <w:sz w:val="21"/>
                      <w:szCs w:val="21"/>
                    </w:rPr>
                    <w:t>污染物名称</w:t>
                  </w:r>
                </w:p>
              </w:tc>
              <w:tc>
                <w:tcPr>
                  <w:tcW w:w="767" w:type="pct"/>
                  <w:tcBorders>
                    <w:tl2br w:val="nil"/>
                    <w:tr2bl w:val="nil"/>
                  </w:tcBorders>
                  <w:shd w:val="clear" w:color="auto" w:fill="FFFFFF" w:themeFill="background1"/>
                  <w:vAlign w:val="center"/>
                </w:tcPr>
                <w:p w14:paraId="26AB2E15">
                  <w:pPr>
                    <w:pStyle w:val="3"/>
                    <w:numPr>
                      <w:ilvl w:val="1"/>
                      <w:numId w:val="0"/>
                    </w:numPr>
                    <w:spacing w:line="240" w:lineRule="auto"/>
                    <w:jc w:val="center"/>
                    <w:rPr>
                      <w:rFonts w:ascii="Times New Roman" w:hAnsi="Times New Roman"/>
                      <w:b/>
                      <w:bCs/>
                      <w:sz w:val="21"/>
                      <w:szCs w:val="21"/>
                    </w:rPr>
                  </w:pPr>
                  <w:r>
                    <w:rPr>
                      <w:rFonts w:ascii="Times New Roman" w:hAnsi="Times New Roman"/>
                      <w:b/>
                      <w:bCs/>
                      <w:sz w:val="21"/>
                      <w:szCs w:val="21"/>
                    </w:rPr>
                    <w:t>单位</w:t>
                  </w:r>
                </w:p>
              </w:tc>
              <w:tc>
                <w:tcPr>
                  <w:tcW w:w="890" w:type="pct"/>
                  <w:tcBorders>
                    <w:tl2br w:val="nil"/>
                    <w:tr2bl w:val="nil"/>
                  </w:tcBorders>
                  <w:shd w:val="clear" w:color="auto" w:fill="FFFFFF" w:themeFill="background1"/>
                  <w:vAlign w:val="center"/>
                </w:tcPr>
                <w:p w14:paraId="1013957A">
                  <w:pPr>
                    <w:pStyle w:val="3"/>
                    <w:numPr>
                      <w:ilvl w:val="1"/>
                      <w:numId w:val="0"/>
                    </w:numPr>
                    <w:spacing w:line="240" w:lineRule="auto"/>
                    <w:jc w:val="center"/>
                    <w:rPr>
                      <w:rFonts w:ascii="Times New Roman" w:hAnsi="Times New Roman"/>
                      <w:b/>
                      <w:bCs/>
                      <w:sz w:val="21"/>
                      <w:szCs w:val="21"/>
                    </w:rPr>
                  </w:pPr>
                  <w:r>
                    <w:rPr>
                      <w:rFonts w:ascii="Times New Roman" w:hAnsi="Times New Roman"/>
                      <w:b/>
                      <w:bCs/>
                      <w:sz w:val="21"/>
                      <w:szCs w:val="21"/>
                    </w:rPr>
                    <w:t>1h平均</w:t>
                  </w:r>
                </w:p>
              </w:tc>
              <w:tc>
                <w:tcPr>
                  <w:tcW w:w="787" w:type="pct"/>
                  <w:tcBorders>
                    <w:tl2br w:val="nil"/>
                    <w:tr2bl w:val="nil"/>
                  </w:tcBorders>
                  <w:shd w:val="clear" w:color="auto" w:fill="FFFFFF" w:themeFill="background1"/>
                  <w:vAlign w:val="center"/>
                </w:tcPr>
                <w:p w14:paraId="5A5A257D">
                  <w:pPr>
                    <w:pStyle w:val="3"/>
                    <w:numPr>
                      <w:ilvl w:val="1"/>
                      <w:numId w:val="0"/>
                    </w:numPr>
                    <w:spacing w:line="240" w:lineRule="auto"/>
                    <w:jc w:val="center"/>
                    <w:rPr>
                      <w:rFonts w:ascii="Times New Roman" w:hAnsi="Times New Roman"/>
                      <w:b/>
                      <w:bCs/>
                      <w:sz w:val="21"/>
                      <w:szCs w:val="21"/>
                    </w:rPr>
                  </w:pPr>
                  <w:r>
                    <w:rPr>
                      <w:rFonts w:ascii="Times New Roman" w:hAnsi="Times New Roman"/>
                      <w:b/>
                      <w:bCs/>
                      <w:sz w:val="21"/>
                      <w:szCs w:val="21"/>
                    </w:rPr>
                    <w:t>8h平均</w:t>
                  </w:r>
                </w:p>
              </w:tc>
              <w:tc>
                <w:tcPr>
                  <w:tcW w:w="861" w:type="pct"/>
                  <w:tcBorders>
                    <w:tl2br w:val="nil"/>
                    <w:tr2bl w:val="nil"/>
                  </w:tcBorders>
                  <w:shd w:val="clear" w:color="auto" w:fill="FFFFFF" w:themeFill="background1"/>
                  <w:vAlign w:val="center"/>
                </w:tcPr>
                <w:p w14:paraId="4F5D00C7">
                  <w:pPr>
                    <w:pStyle w:val="3"/>
                    <w:numPr>
                      <w:ilvl w:val="1"/>
                      <w:numId w:val="0"/>
                    </w:numPr>
                    <w:spacing w:line="240" w:lineRule="auto"/>
                    <w:jc w:val="center"/>
                    <w:rPr>
                      <w:rFonts w:ascii="Times New Roman" w:hAnsi="Times New Roman"/>
                      <w:b/>
                      <w:bCs/>
                      <w:sz w:val="21"/>
                      <w:szCs w:val="21"/>
                    </w:rPr>
                  </w:pPr>
                  <w:r>
                    <w:rPr>
                      <w:rFonts w:ascii="Times New Roman" w:hAnsi="Times New Roman"/>
                      <w:b/>
                      <w:bCs/>
                      <w:sz w:val="21"/>
                      <w:szCs w:val="21"/>
                    </w:rPr>
                    <w:t>24h平均</w:t>
                  </w:r>
                </w:p>
              </w:tc>
              <w:tc>
                <w:tcPr>
                  <w:tcW w:w="819" w:type="pct"/>
                  <w:tcBorders>
                    <w:tl2br w:val="nil"/>
                    <w:tr2bl w:val="nil"/>
                  </w:tcBorders>
                  <w:shd w:val="clear" w:color="auto" w:fill="FFFFFF" w:themeFill="background1"/>
                  <w:vAlign w:val="center"/>
                </w:tcPr>
                <w:p w14:paraId="3DF3C05D">
                  <w:pPr>
                    <w:pStyle w:val="3"/>
                    <w:numPr>
                      <w:ilvl w:val="1"/>
                      <w:numId w:val="0"/>
                    </w:numPr>
                    <w:spacing w:line="240" w:lineRule="auto"/>
                    <w:jc w:val="center"/>
                    <w:rPr>
                      <w:rFonts w:ascii="Times New Roman" w:hAnsi="Times New Roman"/>
                      <w:b/>
                      <w:bCs/>
                      <w:sz w:val="21"/>
                      <w:szCs w:val="21"/>
                    </w:rPr>
                  </w:pPr>
                  <w:r>
                    <w:rPr>
                      <w:rFonts w:ascii="Times New Roman" w:hAnsi="Times New Roman"/>
                      <w:b/>
                      <w:bCs/>
                      <w:sz w:val="21"/>
                      <w:szCs w:val="21"/>
                    </w:rPr>
                    <w:t>年平均</w:t>
                  </w:r>
                </w:p>
              </w:tc>
            </w:tr>
            <w:tr w14:paraId="270C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874" w:type="pct"/>
                  <w:tcBorders>
                    <w:tl2br w:val="nil"/>
                    <w:tr2bl w:val="nil"/>
                  </w:tcBorders>
                  <w:shd w:val="clear" w:color="auto" w:fill="FFFFFF" w:themeFill="background1"/>
                  <w:vAlign w:val="center"/>
                </w:tcPr>
                <w:p w14:paraId="45DD7C0C">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SO</w:t>
                  </w:r>
                  <w:r>
                    <w:rPr>
                      <w:rFonts w:ascii="Times New Roman" w:hAnsi="Times New Roman"/>
                      <w:sz w:val="21"/>
                      <w:szCs w:val="21"/>
                      <w:vertAlign w:val="subscript"/>
                    </w:rPr>
                    <w:t>2</w:t>
                  </w:r>
                </w:p>
              </w:tc>
              <w:tc>
                <w:tcPr>
                  <w:tcW w:w="767" w:type="pct"/>
                  <w:tcBorders>
                    <w:tl2br w:val="nil"/>
                    <w:tr2bl w:val="nil"/>
                  </w:tcBorders>
                  <w:shd w:val="clear" w:color="auto" w:fill="FFFFFF" w:themeFill="background1"/>
                  <w:vAlign w:val="center"/>
                </w:tcPr>
                <w:p w14:paraId="5CECBF02">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μg/m</w:t>
                  </w:r>
                  <w:r>
                    <w:rPr>
                      <w:rFonts w:ascii="Times New Roman" w:hAnsi="Times New Roman"/>
                      <w:sz w:val="21"/>
                      <w:szCs w:val="21"/>
                      <w:vertAlign w:val="superscript"/>
                    </w:rPr>
                    <w:t>3</w:t>
                  </w:r>
                </w:p>
              </w:tc>
              <w:tc>
                <w:tcPr>
                  <w:tcW w:w="890" w:type="pct"/>
                  <w:tcBorders>
                    <w:tl2br w:val="nil"/>
                    <w:tr2bl w:val="nil"/>
                  </w:tcBorders>
                  <w:shd w:val="clear" w:color="auto" w:fill="FFFFFF" w:themeFill="background1"/>
                  <w:vAlign w:val="center"/>
                </w:tcPr>
                <w:p w14:paraId="0168AA17">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500</w:t>
                  </w:r>
                </w:p>
              </w:tc>
              <w:tc>
                <w:tcPr>
                  <w:tcW w:w="787" w:type="pct"/>
                  <w:tcBorders>
                    <w:tl2br w:val="nil"/>
                    <w:tr2bl w:val="nil"/>
                  </w:tcBorders>
                  <w:shd w:val="clear" w:color="auto" w:fill="FFFFFF" w:themeFill="background1"/>
                  <w:vAlign w:val="center"/>
                </w:tcPr>
                <w:p w14:paraId="2751D939">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w:t>
                  </w:r>
                </w:p>
              </w:tc>
              <w:tc>
                <w:tcPr>
                  <w:tcW w:w="861" w:type="pct"/>
                  <w:tcBorders>
                    <w:tl2br w:val="nil"/>
                    <w:tr2bl w:val="nil"/>
                  </w:tcBorders>
                  <w:shd w:val="clear" w:color="auto" w:fill="FFFFFF" w:themeFill="background1"/>
                  <w:vAlign w:val="center"/>
                </w:tcPr>
                <w:p w14:paraId="0A072146">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150</w:t>
                  </w:r>
                </w:p>
              </w:tc>
              <w:tc>
                <w:tcPr>
                  <w:tcW w:w="819" w:type="pct"/>
                  <w:tcBorders>
                    <w:tl2br w:val="nil"/>
                    <w:tr2bl w:val="nil"/>
                  </w:tcBorders>
                  <w:shd w:val="clear" w:color="auto" w:fill="FFFFFF" w:themeFill="background1"/>
                  <w:vAlign w:val="center"/>
                </w:tcPr>
                <w:p w14:paraId="4E9436EF">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60</w:t>
                  </w:r>
                </w:p>
              </w:tc>
            </w:tr>
            <w:tr w14:paraId="22E3E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874" w:type="pct"/>
                  <w:tcBorders>
                    <w:tl2br w:val="nil"/>
                    <w:tr2bl w:val="nil"/>
                  </w:tcBorders>
                  <w:shd w:val="clear" w:color="auto" w:fill="FFFFFF" w:themeFill="background1"/>
                  <w:vAlign w:val="center"/>
                </w:tcPr>
                <w:p w14:paraId="1E4DB7E5">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NO</w:t>
                  </w:r>
                  <w:r>
                    <w:rPr>
                      <w:rFonts w:ascii="Times New Roman" w:hAnsi="Times New Roman"/>
                      <w:sz w:val="21"/>
                      <w:szCs w:val="21"/>
                      <w:vertAlign w:val="subscript"/>
                    </w:rPr>
                    <w:t>2</w:t>
                  </w:r>
                </w:p>
              </w:tc>
              <w:tc>
                <w:tcPr>
                  <w:tcW w:w="767" w:type="pct"/>
                  <w:tcBorders>
                    <w:tl2br w:val="nil"/>
                    <w:tr2bl w:val="nil"/>
                  </w:tcBorders>
                  <w:shd w:val="clear" w:color="auto" w:fill="FFFFFF" w:themeFill="background1"/>
                  <w:vAlign w:val="center"/>
                </w:tcPr>
                <w:p w14:paraId="26949181">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μg/m</w:t>
                  </w:r>
                  <w:r>
                    <w:rPr>
                      <w:rFonts w:ascii="Times New Roman" w:hAnsi="Times New Roman"/>
                      <w:sz w:val="21"/>
                      <w:szCs w:val="21"/>
                      <w:vertAlign w:val="superscript"/>
                    </w:rPr>
                    <w:t>3</w:t>
                  </w:r>
                </w:p>
              </w:tc>
              <w:tc>
                <w:tcPr>
                  <w:tcW w:w="890" w:type="pct"/>
                  <w:tcBorders>
                    <w:tl2br w:val="nil"/>
                    <w:tr2bl w:val="nil"/>
                  </w:tcBorders>
                  <w:shd w:val="clear" w:color="auto" w:fill="FFFFFF" w:themeFill="background1"/>
                  <w:vAlign w:val="center"/>
                </w:tcPr>
                <w:p w14:paraId="2C9EB604">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200</w:t>
                  </w:r>
                </w:p>
              </w:tc>
              <w:tc>
                <w:tcPr>
                  <w:tcW w:w="787" w:type="pct"/>
                  <w:tcBorders>
                    <w:tl2br w:val="nil"/>
                    <w:tr2bl w:val="nil"/>
                  </w:tcBorders>
                  <w:shd w:val="clear" w:color="auto" w:fill="FFFFFF" w:themeFill="background1"/>
                  <w:vAlign w:val="center"/>
                </w:tcPr>
                <w:p w14:paraId="5FB97B1D">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w:t>
                  </w:r>
                </w:p>
              </w:tc>
              <w:tc>
                <w:tcPr>
                  <w:tcW w:w="861" w:type="pct"/>
                  <w:tcBorders>
                    <w:tl2br w:val="nil"/>
                    <w:tr2bl w:val="nil"/>
                  </w:tcBorders>
                  <w:shd w:val="clear" w:color="auto" w:fill="FFFFFF" w:themeFill="background1"/>
                  <w:vAlign w:val="center"/>
                </w:tcPr>
                <w:p w14:paraId="69B4E232">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80</w:t>
                  </w:r>
                </w:p>
              </w:tc>
              <w:tc>
                <w:tcPr>
                  <w:tcW w:w="819" w:type="pct"/>
                  <w:tcBorders>
                    <w:tl2br w:val="nil"/>
                    <w:tr2bl w:val="nil"/>
                  </w:tcBorders>
                  <w:shd w:val="clear" w:color="auto" w:fill="FFFFFF" w:themeFill="background1"/>
                  <w:vAlign w:val="center"/>
                </w:tcPr>
                <w:p w14:paraId="5B56901F">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40</w:t>
                  </w:r>
                </w:p>
              </w:tc>
            </w:tr>
            <w:tr w14:paraId="52D32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874" w:type="pct"/>
                  <w:tcBorders>
                    <w:tl2br w:val="nil"/>
                    <w:tr2bl w:val="nil"/>
                  </w:tcBorders>
                  <w:shd w:val="clear" w:color="auto" w:fill="FFFFFF" w:themeFill="background1"/>
                  <w:vAlign w:val="center"/>
                </w:tcPr>
                <w:p w14:paraId="1D3014B5">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PM</w:t>
                  </w:r>
                  <w:r>
                    <w:rPr>
                      <w:rFonts w:ascii="Times New Roman" w:hAnsi="Times New Roman"/>
                      <w:sz w:val="21"/>
                      <w:szCs w:val="21"/>
                      <w:vertAlign w:val="subscript"/>
                    </w:rPr>
                    <w:t>10</w:t>
                  </w:r>
                </w:p>
              </w:tc>
              <w:tc>
                <w:tcPr>
                  <w:tcW w:w="767" w:type="pct"/>
                  <w:tcBorders>
                    <w:tl2br w:val="nil"/>
                    <w:tr2bl w:val="nil"/>
                  </w:tcBorders>
                  <w:shd w:val="clear" w:color="auto" w:fill="FFFFFF" w:themeFill="background1"/>
                  <w:vAlign w:val="center"/>
                </w:tcPr>
                <w:p w14:paraId="58972F21">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μg/m</w:t>
                  </w:r>
                  <w:r>
                    <w:rPr>
                      <w:rFonts w:ascii="Times New Roman" w:hAnsi="Times New Roman"/>
                      <w:sz w:val="21"/>
                      <w:szCs w:val="21"/>
                      <w:vertAlign w:val="superscript"/>
                    </w:rPr>
                    <w:t>3</w:t>
                  </w:r>
                </w:p>
              </w:tc>
              <w:tc>
                <w:tcPr>
                  <w:tcW w:w="890" w:type="pct"/>
                  <w:tcBorders>
                    <w:tl2br w:val="nil"/>
                    <w:tr2bl w:val="nil"/>
                  </w:tcBorders>
                  <w:shd w:val="clear" w:color="auto" w:fill="FFFFFF" w:themeFill="background1"/>
                  <w:vAlign w:val="center"/>
                </w:tcPr>
                <w:p w14:paraId="3AF7FADA">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w:t>
                  </w:r>
                </w:p>
              </w:tc>
              <w:tc>
                <w:tcPr>
                  <w:tcW w:w="787" w:type="pct"/>
                  <w:tcBorders>
                    <w:tl2br w:val="nil"/>
                    <w:tr2bl w:val="nil"/>
                  </w:tcBorders>
                  <w:shd w:val="clear" w:color="auto" w:fill="FFFFFF" w:themeFill="background1"/>
                  <w:vAlign w:val="center"/>
                </w:tcPr>
                <w:p w14:paraId="565F4C52">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w:t>
                  </w:r>
                </w:p>
              </w:tc>
              <w:tc>
                <w:tcPr>
                  <w:tcW w:w="861" w:type="pct"/>
                  <w:tcBorders>
                    <w:tl2br w:val="nil"/>
                    <w:tr2bl w:val="nil"/>
                  </w:tcBorders>
                  <w:shd w:val="clear" w:color="auto" w:fill="FFFFFF" w:themeFill="background1"/>
                  <w:vAlign w:val="center"/>
                </w:tcPr>
                <w:p w14:paraId="20FFB870">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150</w:t>
                  </w:r>
                </w:p>
              </w:tc>
              <w:tc>
                <w:tcPr>
                  <w:tcW w:w="819" w:type="pct"/>
                  <w:tcBorders>
                    <w:tl2br w:val="nil"/>
                    <w:tr2bl w:val="nil"/>
                  </w:tcBorders>
                  <w:shd w:val="clear" w:color="auto" w:fill="FFFFFF" w:themeFill="background1"/>
                  <w:vAlign w:val="center"/>
                </w:tcPr>
                <w:p w14:paraId="0D536194">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70</w:t>
                  </w:r>
                </w:p>
              </w:tc>
            </w:tr>
            <w:tr w14:paraId="0004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874" w:type="pct"/>
                  <w:tcBorders>
                    <w:tl2br w:val="nil"/>
                    <w:tr2bl w:val="nil"/>
                  </w:tcBorders>
                  <w:shd w:val="clear" w:color="auto" w:fill="FFFFFF" w:themeFill="background1"/>
                  <w:vAlign w:val="center"/>
                </w:tcPr>
                <w:p w14:paraId="09F6AE48">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PM</w:t>
                  </w:r>
                  <w:r>
                    <w:rPr>
                      <w:rFonts w:ascii="Times New Roman" w:hAnsi="Times New Roman"/>
                      <w:sz w:val="21"/>
                      <w:szCs w:val="21"/>
                      <w:vertAlign w:val="subscript"/>
                    </w:rPr>
                    <w:t>2.5</w:t>
                  </w:r>
                </w:p>
              </w:tc>
              <w:tc>
                <w:tcPr>
                  <w:tcW w:w="767" w:type="pct"/>
                  <w:tcBorders>
                    <w:tl2br w:val="nil"/>
                    <w:tr2bl w:val="nil"/>
                  </w:tcBorders>
                  <w:shd w:val="clear" w:color="auto" w:fill="FFFFFF" w:themeFill="background1"/>
                  <w:vAlign w:val="center"/>
                </w:tcPr>
                <w:p w14:paraId="5788C4B7">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μg/m</w:t>
                  </w:r>
                  <w:r>
                    <w:rPr>
                      <w:rFonts w:ascii="Times New Roman" w:hAnsi="Times New Roman"/>
                      <w:sz w:val="21"/>
                      <w:szCs w:val="21"/>
                      <w:vertAlign w:val="superscript"/>
                    </w:rPr>
                    <w:t>3</w:t>
                  </w:r>
                </w:p>
              </w:tc>
              <w:tc>
                <w:tcPr>
                  <w:tcW w:w="890" w:type="pct"/>
                  <w:tcBorders>
                    <w:tl2br w:val="nil"/>
                    <w:tr2bl w:val="nil"/>
                  </w:tcBorders>
                  <w:shd w:val="clear" w:color="auto" w:fill="FFFFFF" w:themeFill="background1"/>
                  <w:vAlign w:val="center"/>
                </w:tcPr>
                <w:p w14:paraId="34EF820A">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w:t>
                  </w:r>
                </w:p>
              </w:tc>
              <w:tc>
                <w:tcPr>
                  <w:tcW w:w="787" w:type="pct"/>
                  <w:tcBorders>
                    <w:tl2br w:val="nil"/>
                    <w:tr2bl w:val="nil"/>
                  </w:tcBorders>
                  <w:shd w:val="clear" w:color="auto" w:fill="FFFFFF" w:themeFill="background1"/>
                  <w:vAlign w:val="center"/>
                </w:tcPr>
                <w:p w14:paraId="635C8023">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w:t>
                  </w:r>
                </w:p>
              </w:tc>
              <w:tc>
                <w:tcPr>
                  <w:tcW w:w="861" w:type="pct"/>
                  <w:tcBorders>
                    <w:tl2br w:val="nil"/>
                    <w:tr2bl w:val="nil"/>
                  </w:tcBorders>
                  <w:shd w:val="clear" w:color="auto" w:fill="FFFFFF" w:themeFill="background1"/>
                  <w:vAlign w:val="center"/>
                </w:tcPr>
                <w:p w14:paraId="6EACBBFE">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75</w:t>
                  </w:r>
                </w:p>
              </w:tc>
              <w:tc>
                <w:tcPr>
                  <w:tcW w:w="819" w:type="pct"/>
                  <w:tcBorders>
                    <w:tl2br w:val="nil"/>
                    <w:tr2bl w:val="nil"/>
                  </w:tcBorders>
                  <w:shd w:val="clear" w:color="auto" w:fill="FFFFFF" w:themeFill="background1"/>
                  <w:vAlign w:val="center"/>
                </w:tcPr>
                <w:p w14:paraId="73B4F415">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35</w:t>
                  </w:r>
                </w:p>
              </w:tc>
            </w:tr>
            <w:tr w14:paraId="1B0FF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874" w:type="pct"/>
                  <w:tcBorders>
                    <w:tl2br w:val="nil"/>
                    <w:tr2bl w:val="nil"/>
                  </w:tcBorders>
                  <w:shd w:val="clear" w:color="auto" w:fill="FFFFFF" w:themeFill="background1"/>
                  <w:vAlign w:val="center"/>
                </w:tcPr>
                <w:p w14:paraId="53C8363A">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CO</w:t>
                  </w:r>
                </w:p>
              </w:tc>
              <w:tc>
                <w:tcPr>
                  <w:tcW w:w="767" w:type="pct"/>
                  <w:tcBorders>
                    <w:tl2br w:val="nil"/>
                    <w:tr2bl w:val="nil"/>
                  </w:tcBorders>
                  <w:shd w:val="clear" w:color="auto" w:fill="FFFFFF" w:themeFill="background1"/>
                  <w:vAlign w:val="center"/>
                </w:tcPr>
                <w:p w14:paraId="42D533ED">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mg/m</w:t>
                  </w:r>
                  <w:r>
                    <w:rPr>
                      <w:rFonts w:ascii="Times New Roman" w:hAnsi="Times New Roman"/>
                      <w:sz w:val="21"/>
                      <w:szCs w:val="21"/>
                      <w:vertAlign w:val="superscript"/>
                    </w:rPr>
                    <w:t>3</w:t>
                  </w:r>
                </w:p>
              </w:tc>
              <w:tc>
                <w:tcPr>
                  <w:tcW w:w="890" w:type="pct"/>
                  <w:tcBorders>
                    <w:tl2br w:val="nil"/>
                    <w:tr2bl w:val="nil"/>
                  </w:tcBorders>
                  <w:shd w:val="clear" w:color="auto" w:fill="FFFFFF" w:themeFill="background1"/>
                  <w:vAlign w:val="center"/>
                </w:tcPr>
                <w:p w14:paraId="0835DF2C">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10</w:t>
                  </w:r>
                </w:p>
              </w:tc>
              <w:tc>
                <w:tcPr>
                  <w:tcW w:w="787" w:type="pct"/>
                  <w:tcBorders>
                    <w:tl2br w:val="nil"/>
                    <w:tr2bl w:val="nil"/>
                  </w:tcBorders>
                  <w:shd w:val="clear" w:color="auto" w:fill="FFFFFF" w:themeFill="background1"/>
                  <w:vAlign w:val="center"/>
                </w:tcPr>
                <w:p w14:paraId="15BF46D2">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w:t>
                  </w:r>
                </w:p>
              </w:tc>
              <w:tc>
                <w:tcPr>
                  <w:tcW w:w="861" w:type="pct"/>
                  <w:tcBorders>
                    <w:tl2br w:val="nil"/>
                    <w:tr2bl w:val="nil"/>
                  </w:tcBorders>
                  <w:shd w:val="clear" w:color="auto" w:fill="FFFFFF" w:themeFill="background1"/>
                  <w:vAlign w:val="center"/>
                </w:tcPr>
                <w:p w14:paraId="660CA3BA">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4</w:t>
                  </w:r>
                </w:p>
              </w:tc>
              <w:tc>
                <w:tcPr>
                  <w:tcW w:w="819" w:type="pct"/>
                  <w:tcBorders>
                    <w:tl2br w:val="nil"/>
                    <w:tr2bl w:val="nil"/>
                  </w:tcBorders>
                  <w:shd w:val="clear" w:color="auto" w:fill="FFFFFF" w:themeFill="background1"/>
                  <w:vAlign w:val="center"/>
                </w:tcPr>
                <w:p w14:paraId="0DF214AE">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w:t>
                  </w:r>
                </w:p>
              </w:tc>
            </w:tr>
            <w:tr w14:paraId="22C1B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874" w:type="pct"/>
                  <w:tcBorders>
                    <w:tl2br w:val="nil"/>
                    <w:tr2bl w:val="nil"/>
                  </w:tcBorders>
                  <w:shd w:val="clear" w:color="auto" w:fill="FFFFFF" w:themeFill="background1"/>
                  <w:vAlign w:val="center"/>
                </w:tcPr>
                <w:p w14:paraId="4FBF0765">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O</w:t>
                  </w:r>
                  <w:r>
                    <w:rPr>
                      <w:rFonts w:ascii="Times New Roman" w:hAnsi="Times New Roman"/>
                      <w:sz w:val="21"/>
                      <w:szCs w:val="21"/>
                      <w:vertAlign w:val="subscript"/>
                    </w:rPr>
                    <w:t>3</w:t>
                  </w:r>
                </w:p>
              </w:tc>
              <w:tc>
                <w:tcPr>
                  <w:tcW w:w="767" w:type="pct"/>
                  <w:tcBorders>
                    <w:tl2br w:val="nil"/>
                    <w:tr2bl w:val="nil"/>
                  </w:tcBorders>
                  <w:shd w:val="clear" w:color="auto" w:fill="FFFFFF" w:themeFill="background1"/>
                  <w:vAlign w:val="center"/>
                </w:tcPr>
                <w:p w14:paraId="6E8B97CA">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μg/m</w:t>
                  </w:r>
                  <w:r>
                    <w:rPr>
                      <w:rFonts w:ascii="Times New Roman" w:hAnsi="Times New Roman"/>
                      <w:sz w:val="21"/>
                      <w:szCs w:val="21"/>
                      <w:vertAlign w:val="superscript"/>
                    </w:rPr>
                    <w:t>3</w:t>
                  </w:r>
                </w:p>
              </w:tc>
              <w:tc>
                <w:tcPr>
                  <w:tcW w:w="890" w:type="pct"/>
                  <w:tcBorders>
                    <w:tl2br w:val="nil"/>
                    <w:tr2bl w:val="nil"/>
                  </w:tcBorders>
                  <w:shd w:val="clear" w:color="auto" w:fill="FFFFFF" w:themeFill="background1"/>
                  <w:vAlign w:val="center"/>
                </w:tcPr>
                <w:p w14:paraId="7C4B0203">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200</w:t>
                  </w:r>
                </w:p>
              </w:tc>
              <w:tc>
                <w:tcPr>
                  <w:tcW w:w="787" w:type="pct"/>
                  <w:tcBorders>
                    <w:tl2br w:val="nil"/>
                    <w:tr2bl w:val="nil"/>
                  </w:tcBorders>
                  <w:shd w:val="clear" w:color="auto" w:fill="FFFFFF" w:themeFill="background1"/>
                  <w:vAlign w:val="center"/>
                </w:tcPr>
                <w:p w14:paraId="64992101">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160</w:t>
                  </w:r>
                </w:p>
              </w:tc>
              <w:tc>
                <w:tcPr>
                  <w:tcW w:w="861" w:type="pct"/>
                  <w:tcBorders>
                    <w:tl2br w:val="nil"/>
                    <w:tr2bl w:val="nil"/>
                  </w:tcBorders>
                  <w:shd w:val="clear" w:color="auto" w:fill="FFFFFF" w:themeFill="background1"/>
                  <w:vAlign w:val="center"/>
                </w:tcPr>
                <w:p w14:paraId="6193FD33">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w:t>
                  </w:r>
                </w:p>
              </w:tc>
              <w:tc>
                <w:tcPr>
                  <w:tcW w:w="819" w:type="pct"/>
                  <w:tcBorders>
                    <w:tl2br w:val="nil"/>
                    <w:tr2bl w:val="nil"/>
                  </w:tcBorders>
                  <w:shd w:val="clear" w:color="auto" w:fill="FFFFFF" w:themeFill="background1"/>
                  <w:vAlign w:val="center"/>
                </w:tcPr>
                <w:p w14:paraId="05658591">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w:t>
                  </w:r>
                </w:p>
              </w:tc>
            </w:tr>
            <w:tr w14:paraId="17E6B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874" w:type="pct"/>
                  <w:tcBorders>
                    <w:tl2br w:val="nil"/>
                    <w:tr2bl w:val="nil"/>
                  </w:tcBorders>
                  <w:shd w:val="clear" w:color="auto" w:fill="FFFFFF" w:themeFill="background1"/>
                  <w:vAlign w:val="center"/>
                </w:tcPr>
                <w:p w14:paraId="7DBDCD9D">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TSP</w:t>
                  </w:r>
                </w:p>
              </w:tc>
              <w:tc>
                <w:tcPr>
                  <w:tcW w:w="767" w:type="pct"/>
                  <w:tcBorders>
                    <w:tl2br w:val="nil"/>
                    <w:tr2bl w:val="nil"/>
                  </w:tcBorders>
                  <w:shd w:val="clear" w:color="auto" w:fill="FFFFFF" w:themeFill="background1"/>
                  <w:vAlign w:val="center"/>
                </w:tcPr>
                <w:p w14:paraId="7585F226">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μg/m</w:t>
                  </w:r>
                  <w:r>
                    <w:rPr>
                      <w:rFonts w:ascii="Times New Roman" w:hAnsi="Times New Roman"/>
                      <w:sz w:val="21"/>
                      <w:szCs w:val="21"/>
                      <w:vertAlign w:val="superscript"/>
                    </w:rPr>
                    <w:t>3</w:t>
                  </w:r>
                </w:p>
              </w:tc>
              <w:tc>
                <w:tcPr>
                  <w:tcW w:w="890" w:type="pct"/>
                  <w:tcBorders>
                    <w:tl2br w:val="nil"/>
                    <w:tr2bl w:val="nil"/>
                  </w:tcBorders>
                  <w:shd w:val="clear" w:color="auto" w:fill="FFFFFF" w:themeFill="background1"/>
                  <w:vAlign w:val="center"/>
                </w:tcPr>
                <w:p w14:paraId="2EA78E39">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w:t>
                  </w:r>
                </w:p>
              </w:tc>
              <w:tc>
                <w:tcPr>
                  <w:tcW w:w="787" w:type="pct"/>
                  <w:tcBorders>
                    <w:tl2br w:val="nil"/>
                    <w:tr2bl w:val="nil"/>
                  </w:tcBorders>
                  <w:shd w:val="clear" w:color="auto" w:fill="FFFFFF" w:themeFill="background1"/>
                  <w:vAlign w:val="center"/>
                </w:tcPr>
                <w:p w14:paraId="6D07E244">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w:t>
                  </w:r>
                </w:p>
              </w:tc>
              <w:tc>
                <w:tcPr>
                  <w:tcW w:w="861" w:type="pct"/>
                  <w:tcBorders>
                    <w:tl2br w:val="nil"/>
                    <w:tr2bl w:val="nil"/>
                  </w:tcBorders>
                  <w:shd w:val="clear" w:color="auto" w:fill="FFFFFF" w:themeFill="background1"/>
                  <w:vAlign w:val="center"/>
                </w:tcPr>
                <w:p w14:paraId="6280486E">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300</w:t>
                  </w:r>
                </w:p>
              </w:tc>
              <w:tc>
                <w:tcPr>
                  <w:tcW w:w="819" w:type="pct"/>
                  <w:tcBorders>
                    <w:tl2br w:val="nil"/>
                    <w:tr2bl w:val="nil"/>
                  </w:tcBorders>
                  <w:shd w:val="clear" w:color="auto" w:fill="FFFFFF" w:themeFill="background1"/>
                  <w:vAlign w:val="center"/>
                </w:tcPr>
                <w:p w14:paraId="6E679C5E">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200</w:t>
                  </w:r>
                </w:p>
              </w:tc>
            </w:tr>
          </w:tbl>
          <w:p w14:paraId="0A226F60">
            <w:pPr>
              <w:spacing w:before="120" w:beforeLines="50"/>
              <w:ind w:firstLine="480"/>
            </w:pPr>
            <w:r>
              <w:fldChar w:fldCharType="begin"/>
            </w:r>
            <w:r>
              <w:instrText xml:space="preserve"> = 2 \* GB2 \* MERGEFORMAT </w:instrText>
            </w:r>
            <w:r>
              <w:fldChar w:fldCharType="separate"/>
            </w:r>
            <w:r>
              <w:t>⑵</w:t>
            </w:r>
            <w:r>
              <w:fldChar w:fldCharType="end"/>
            </w:r>
            <w:r>
              <w:t>声环境</w:t>
            </w:r>
          </w:p>
          <w:p w14:paraId="66176B12">
            <w:pPr>
              <w:ind w:firstLine="480"/>
            </w:pPr>
            <w:r>
              <w:t>项目所在区域声环境</w:t>
            </w:r>
            <w:r>
              <w:rPr>
                <w:rFonts w:hint="eastAsia"/>
              </w:rPr>
              <w:t>质量</w:t>
            </w:r>
            <w:r>
              <w:t>现状应执行《声环境质量标准》（GB3096-2008）中的2类标准限值，具体见下表。</w:t>
            </w:r>
          </w:p>
          <w:p w14:paraId="2B739065">
            <w:pPr>
              <w:pStyle w:val="46"/>
              <w:spacing w:beforeLines="0" w:afterLines="0" w:line="240" w:lineRule="auto"/>
              <w:ind w:firstLine="0" w:firstLineChars="0"/>
              <w:rPr>
                <w:rFonts w:ascii="Times New Roman"/>
                <w:b/>
                <w:bCs/>
                <w:sz w:val="24"/>
                <w:szCs w:val="24"/>
              </w:rPr>
            </w:pPr>
            <w:r>
              <w:rPr>
                <w:rFonts w:ascii="Times New Roman"/>
                <w:b/>
                <w:bCs/>
                <w:sz w:val="24"/>
                <w:szCs w:val="24"/>
              </w:rPr>
              <w:t>表3-</w:t>
            </w:r>
            <w:r>
              <w:rPr>
                <w:rFonts w:hint="eastAsia" w:ascii="Times New Roman"/>
                <w:b/>
                <w:bCs/>
                <w:sz w:val="24"/>
                <w:szCs w:val="24"/>
                <w:lang w:val="en-US" w:eastAsia="zh-CN"/>
              </w:rPr>
              <w:t>5</w:t>
            </w:r>
            <w:r>
              <w:rPr>
                <w:rFonts w:ascii="Times New Roman"/>
                <w:b/>
                <w:bCs/>
                <w:sz w:val="24"/>
                <w:szCs w:val="24"/>
              </w:rPr>
              <w:t xml:space="preserve">  声环境质量标准限值</w:t>
            </w:r>
            <w:r>
              <w:rPr>
                <w:rFonts w:hint="eastAsia" w:ascii="Times New Roman"/>
                <w:b/>
                <w:bCs/>
                <w:sz w:val="24"/>
                <w:szCs w:val="24"/>
              </w:rPr>
              <w:t xml:space="preserve">  </w:t>
            </w:r>
            <w:r>
              <w:rPr>
                <w:rFonts w:ascii="Times New Roman"/>
                <w:b/>
                <w:bCs/>
                <w:sz w:val="24"/>
                <w:szCs w:val="24"/>
              </w:rPr>
              <w:t>（dB（A））</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2450"/>
              <w:gridCol w:w="1821"/>
              <w:gridCol w:w="1562"/>
              <w:gridCol w:w="2022"/>
            </w:tblGrid>
            <w:tr w14:paraId="2C5A7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1" w:hRule="atLeast"/>
              </w:trPr>
              <w:tc>
                <w:tcPr>
                  <w:tcW w:w="1559" w:type="pct"/>
                  <w:tcBorders>
                    <w:tl2br w:val="nil"/>
                    <w:tr2bl w:val="nil"/>
                  </w:tcBorders>
                  <w:shd w:val="clear" w:color="auto" w:fill="FFFFFF" w:themeFill="background1"/>
                  <w:vAlign w:val="center"/>
                </w:tcPr>
                <w:p w14:paraId="0B773A07">
                  <w:pPr>
                    <w:pStyle w:val="3"/>
                    <w:numPr>
                      <w:ilvl w:val="1"/>
                      <w:numId w:val="0"/>
                    </w:numPr>
                    <w:spacing w:line="240" w:lineRule="auto"/>
                    <w:jc w:val="center"/>
                    <w:rPr>
                      <w:rFonts w:ascii="Times New Roman" w:hAnsi="Times New Roman"/>
                      <w:b/>
                      <w:bCs/>
                      <w:sz w:val="21"/>
                      <w:szCs w:val="21"/>
                    </w:rPr>
                  </w:pPr>
                  <w:r>
                    <w:rPr>
                      <w:rFonts w:ascii="Times New Roman" w:hAnsi="Times New Roman"/>
                      <w:b/>
                      <w:bCs/>
                      <w:sz w:val="21"/>
                      <w:szCs w:val="21"/>
                    </w:rPr>
                    <w:t>位置</w:t>
                  </w:r>
                </w:p>
              </w:tc>
              <w:tc>
                <w:tcPr>
                  <w:tcW w:w="1159" w:type="pct"/>
                  <w:tcBorders>
                    <w:tl2br w:val="nil"/>
                    <w:tr2bl w:val="nil"/>
                  </w:tcBorders>
                  <w:shd w:val="clear" w:color="auto" w:fill="FFFFFF" w:themeFill="background1"/>
                  <w:vAlign w:val="center"/>
                </w:tcPr>
                <w:p w14:paraId="77F9CF05">
                  <w:pPr>
                    <w:pStyle w:val="3"/>
                    <w:numPr>
                      <w:ilvl w:val="1"/>
                      <w:numId w:val="0"/>
                    </w:numPr>
                    <w:spacing w:line="240" w:lineRule="auto"/>
                    <w:jc w:val="center"/>
                    <w:rPr>
                      <w:rFonts w:ascii="Times New Roman" w:hAnsi="Times New Roman"/>
                      <w:b/>
                      <w:bCs/>
                      <w:sz w:val="21"/>
                      <w:szCs w:val="21"/>
                    </w:rPr>
                  </w:pPr>
                  <w:r>
                    <w:rPr>
                      <w:rFonts w:ascii="Times New Roman" w:hAnsi="Times New Roman"/>
                      <w:b/>
                      <w:bCs/>
                      <w:sz w:val="21"/>
                      <w:szCs w:val="21"/>
                    </w:rPr>
                    <w:t>昼间限值</w:t>
                  </w:r>
                </w:p>
              </w:tc>
              <w:tc>
                <w:tcPr>
                  <w:tcW w:w="994" w:type="pct"/>
                  <w:tcBorders>
                    <w:tl2br w:val="nil"/>
                    <w:tr2bl w:val="nil"/>
                  </w:tcBorders>
                  <w:shd w:val="clear" w:color="auto" w:fill="FFFFFF" w:themeFill="background1"/>
                  <w:vAlign w:val="center"/>
                </w:tcPr>
                <w:p w14:paraId="4587E0A9">
                  <w:pPr>
                    <w:pStyle w:val="3"/>
                    <w:numPr>
                      <w:ilvl w:val="1"/>
                      <w:numId w:val="0"/>
                    </w:numPr>
                    <w:spacing w:line="240" w:lineRule="auto"/>
                    <w:jc w:val="center"/>
                    <w:rPr>
                      <w:rFonts w:ascii="Times New Roman" w:hAnsi="Times New Roman"/>
                      <w:b/>
                      <w:bCs/>
                      <w:sz w:val="21"/>
                      <w:szCs w:val="21"/>
                    </w:rPr>
                  </w:pPr>
                  <w:r>
                    <w:rPr>
                      <w:rFonts w:ascii="Times New Roman" w:hAnsi="Times New Roman"/>
                      <w:b/>
                      <w:bCs/>
                      <w:sz w:val="21"/>
                      <w:szCs w:val="21"/>
                    </w:rPr>
                    <w:t>夜间限值</w:t>
                  </w:r>
                </w:p>
              </w:tc>
              <w:tc>
                <w:tcPr>
                  <w:tcW w:w="1286" w:type="pct"/>
                  <w:tcBorders>
                    <w:tl2br w:val="nil"/>
                    <w:tr2bl w:val="nil"/>
                  </w:tcBorders>
                  <w:shd w:val="clear" w:color="auto" w:fill="FFFFFF" w:themeFill="background1"/>
                  <w:vAlign w:val="center"/>
                </w:tcPr>
                <w:p w14:paraId="08C29854">
                  <w:pPr>
                    <w:pStyle w:val="3"/>
                    <w:numPr>
                      <w:ilvl w:val="1"/>
                      <w:numId w:val="0"/>
                    </w:numPr>
                    <w:spacing w:line="240" w:lineRule="auto"/>
                    <w:jc w:val="center"/>
                    <w:rPr>
                      <w:rFonts w:ascii="Times New Roman" w:hAnsi="Times New Roman"/>
                      <w:b/>
                      <w:bCs/>
                      <w:sz w:val="21"/>
                      <w:szCs w:val="21"/>
                    </w:rPr>
                  </w:pPr>
                  <w:r>
                    <w:rPr>
                      <w:rFonts w:ascii="Times New Roman" w:hAnsi="Times New Roman"/>
                      <w:b/>
                      <w:bCs/>
                      <w:sz w:val="21"/>
                      <w:szCs w:val="21"/>
                    </w:rPr>
                    <w:t>类别</w:t>
                  </w:r>
                </w:p>
              </w:tc>
            </w:tr>
            <w:tr w14:paraId="71BEA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559" w:type="pct"/>
                  <w:tcBorders>
                    <w:tl2br w:val="nil"/>
                    <w:tr2bl w:val="nil"/>
                  </w:tcBorders>
                  <w:shd w:val="clear" w:color="auto" w:fill="FFFFFF" w:themeFill="background1"/>
                  <w:vAlign w:val="center"/>
                </w:tcPr>
                <w:p w14:paraId="2553F4CE">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厂界</w:t>
                  </w:r>
                  <w:r>
                    <w:rPr>
                      <w:rFonts w:hint="eastAsia" w:ascii="Times New Roman" w:hAnsi="Times New Roman"/>
                      <w:sz w:val="21"/>
                      <w:szCs w:val="21"/>
                    </w:rPr>
                    <w:t>四周</w:t>
                  </w:r>
                </w:p>
              </w:tc>
              <w:tc>
                <w:tcPr>
                  <w:tcW w:w="1159" w:type="pct"/>
                  <w:tcBorders>
                    <w:tl2br w:val="nil"/>
                    <w:tr2bl w:val="nil"/>
                  </w:tcBorders>
                  <w:shd w:val="clear" w:color="auto" w:fill="FFFFFF" w:themeFill="background1"/>
                  <w:vAlign w:val="center"/>
                </w:tcPr>
                <w:p w14:paraId="20E33BC9">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60</w:t>
                  </w:r>
                </w:p>
              </w:tc>
              <w:tc>
                <w:tcPr>
                  <w:tcW w:w="994" w:type="pct"/>
                  <w:tcBorders>
                    <w:tl2br w:val="nil"/>
                    <w:tr2bl w:val="nil"/>
                  </w:tcBorders>
                  <w:shd w:val="clear" w:color="auto" w:fill="FFFFFF" w:themeFill="background1"/>
                  <w:vAlign w:val="center"/>
                </w:tcPr>
                <w:p w14:paraId="4879434B">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50</w:t>
                  </w:r>
                </w:p>
              </w:tc>
              <w:tc>
                <w:tcPr>
                  <w:tcW w:w="1286" w:type="pct"/>
                  <w:tcBorders>
                    <w:tl2br w:val="nil"/>
                    <w:tr2bl w:val="nil"/>
                  </w:tcBorders>
                  <w:shd w:val="clear" w:color="auto" w:fill="FFFFFF" w:themeFill="background1"/>
                  <w:vAlign w:val="center"/>
                </w:tcPr>
                <w:p w14:paraId="6F1773B4">
                  <w:pPr>
                    <w:pStyle w:val="3"/>
                    <w:numPr>
                      <w:ilvl w:val="1"/>
                      <w:numId w:val="0"/>
                    </w:numPr>
                    <w:spacing w:line="240" w:lineRule="auto"/>
                    <w:jc w:val="center"/>
                    <w:rPr>
                      <w:rFonts w:ascii="Times New Roman" w:hAnsi="Times New Roman"/>
                      <w:sz w:val="21"/>
                      <w:szCs w:val="21"/>
                    </w:rPr>
                  </w:pPr>
                  <w:r>
                    <w:rPr>
                      <w:rFonts w:ascii="Times New Roman" w:hAnsi="Times New Roman"/>
                      <w:sz w:val="21"/>
                      <w:szCs w:val="21"/>
                    </w:rPr>
                    <w:t>2类</w:t>
                  </w:r>
                </w:p>
              </w:tc>
            </w:tr>
          </w:tbl>
          <w:p w14:paraId="3A8B4006">
            <w:pPr>
              <w:pStyle w:val="2"/>
              <w:ind w:firstLine="480" w:firstLineChars="200"/>
              <w:rPr>
                <w:rFonts w:eastAsia="宋体"/>
                <w:b w:val="0"/>
                <w:bCs w:val="0"/>
                <w:color w:val="auto"/>
                <w:szCs w:val="24"/>
              </w:rPr>
            </w:pPr>
            <w:r>
              <w:rPr>
                <w:rFonts w:hint="eastAsia" w:eastAsia="宋体"/>
                <w:b w:val="0"/>
                <w:bCs w:val="0"/>
                <w:color w:val="auto"/>
                <w:szCs w:val="24"/>
              </w:rPr>
              <w:t>2、</w:t>
            </w:r>
            <w:r>
              <w:rPr>
                <w:rFonts w:eastAsia="宋体"/>
                <w:b w:val="0"/>
                <w:bCs w:val="0"/>
                <w:color w:val="auto"/>
                <w:szCs w:val="24"/>
              </w:rPr>
              <w:t>污染物排放标准</w:t>
            </w:r>
          </w:p>
          <w:p w14:paraId="0B23F130">
            <w:pPr>
              <w:ind w:firstLine="482"/>
              <w:rPr>
                <w:b/>
                <w:bCs/>
              </w:rPr>
            </w:pPr>
            <w:r>
              <w:rPr>
                <w:b/>
                <w:bCs/>
              </w:rPr>
              <w:fldChar w:fldCharType="begin"/>
            </w:r>
            <w:r>
              <w:rPr>
                <w:b/>
                <w:bCs/>
              </w:rPr>
              <w:instrText xml:space="preserve"> = 1 \* GB2 \* MERGEFORMAT </w:instrText>
            </w:r>
            <w:r>
              <w:rPr>
                <w:b/>
                <w:bCs/>
              </w:rPr>
              <w:fldChar w:fldCharType="separate"/>
            </w:r>
            <w:r>
              <w:rPr>
                <w:b/>
                <w:bCs/>
              </w:rPr>
              <w:t>⑴</w:t>
            </w:r>
            <w:r>
              <w:rPr>
                <w:b/>
                <w:bCs/>
              </w:rPr>
              <w:fldChar w:fldCharType="end"/>
            </w:r>
            <w:r>
              <w:rPr>
                <w:b/>
                <w:bCs/>
              </w:rPr>
              <w:t>大气</w:t>
            </w:r>
          </w:p>
          <w:p w14:paraId="7CE86B17">
            <w:pPr>
              <w:ind w:firstLine="480"/>
              <w:rPr>
                <w:b/>
                <w:bCs/>
                <w:sz w:val="21"/>
                <w:szCs w:val="21"/>
              </w:rPr>
            </w:pPr>
            <w:r>
              <w:t>①施工扬尘执行《施工场界扬尘排放限值》（DB61/1078-2017）标准，具体工场界扬尘（总悬浮颗粒物）浓度标准限值</w:t>
            </w:r>
            <w:r>
              <w:rPr>
                <w:kern w:val="0"/>
              </w:rPr>
              <w:t>见表</w:t>
            </w:r>
            <w:r>
              <w:rPr>
                <w:rFonts w:eastAsia="TimesNewRomanPSMT"/>
                <w:kern w:val="0"/>
              </w:rPr>
              <w:t>3-</w:t>
            </w:r>
            <w:r>
              <w:rPr>
                <w:rFonts w:hint="eastAsia" w:eastAsia="TimesNewRomanPSMT"/>
                <w:kern w:val="0"/>
                <w:lang w:val="en-US" w:eastAsia="zh-CN"/>
              </w:rPr>
              <w:t>6</w:t>
            </w:r>
            <w:r>
              <w:t>。</w:t>
            </w:r>
          </w:p>
          <w:p w14:paraId="7B615B72">
            <w:pPr>
              <w:widowControl/>
              <w:adjustRightInd w:val="0"/>
              <w:snapToGrid w:val="0"/>
              <w:spacing w:line="240" w:lineRule="auto"/>
              <w:ind w:firstLine="482"/>
              <w:jc w:val="center"/>
              <w:rPr>
                <w:b/>
                <w:bCs/>
                <w:sz w:val="21"/>
                <w:szCs w:val="21"/>
              </w:rPr>
            </w:pPr>
            <w:r>
              <w:rPr>
                <w:b/>
                <w:bCs/>
              </w:rPr>
              <w:t>表3-</w:t>
            </w:r>
            <w:r>
              <w:rPr>
                <w:rFonts w:hint="eastAsia"/>
                <w:b/>
                <w:bCs/>
                <w:lang w:val="en-US" w:eastAsia="zh-CN"/>
              </w:rPr>
              <w:t>6</w:t>
            </w:r>
            <w:r>
              <w:rPr>
                <w:b/>
                <w:bCs/>
              </w:rPr>
              <w:t xml:space="preserve"> 施工场界扬尘（总悬浮颗粒物）浓度限值</w:t>
            </w:r>
          </w:p>
          <w:tbl>
            <w:tblPr>
              <w:tblStyle w:val="24"/>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5"/>
              <w:gridCol w:w="2302"/>
              <w:gridCol w:w="3405"/>
            </w:tblGrid>
            <w:tr w14:paraId="407A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pct"/>
                  <w:vAlign w:val="center"/>
                </w:tcPr>
                <w:p w14:paraId="60FE1BA0">
                  <w:pPr>
                    <w:spacing w:line="240" w:lineRule="auto"/>
                    <w:ind w:firstLine="422"/>
                    <w:jc w:val="center"/>
                    <w:rPr>
                      <w:b/>
                      <w:bCs/>
                      <w:sz w:val="21"/>
                      <w:szCs w:val="21"/>
                    </w:rPr>
                  </w:pPr>
                  <w:r>
                    <w:rPr>
                      <w:b/>
                      <w:bCs/>
                      <w:sz w:val="21"/>
                      <w:szCs w:val="21"/>
                    </w:rPr>
                    <w:t>污染物</w:t>
                  </w:r>
                </w:p>
              </w:tc>
              <w:tc>
                <w:tcPr>
                  <w:tcW w:w="1468" w:type="pct"/>
                  <w:vAlign w:val="center"/>
                </w:tcPr>
                <w:p w14:paraId="0F76A2AB">
                  <w:pPr>
                    <w:spacing w:line="240" w:lineRule="auto"/>
                    <w:ind w:firstLine="422"/>
                    <w:jc w:val="center"/>
                    <w:rPr>
                      <w:b/>
                      <w:bCs/>
                      <w:sz w:val="21"/>
                      <w:szCs w:val="21"/>
                    </w:rPr>
                  </w:pPr>
                  <w:r>
                    <w:rPr>
                      <w:b/>
                      <w:bCs/>
                      <w:sz w:val="21"/>
                      <w:szCs w:val="21"/>
                    </w:rPr>
                    <w:t>监控点</w:t>
                  </w:r>
                </w:p>
              </w:tc>
              <w:tc>
                <w:tcPr>
                  <w:tcW w:w="2169" w:type="pct"/>
                  <w:vAlign w:val="center"/>
                </w:tcPr>
                <w:p w14:paraId="554B2FEB">
                  <w:pPr>
                    <w:spacing w:line="240" w:lineRule="auto"/>
                    <w:ind w:firstLine="422"/>
                    <w:jc w:val="center"/>
                    <w:rPr>
                      <w:b/>
                      <w:bCs/>
                      <w:sz w:val="21"/>
                      <w:szCs w:val="21"/>
                    </w:rPr>
                  </w:pPr>
                  <w:r>
                    <w:rPr>
                      <w:b/>
                      <w:bCs/>
                      <w:sz w:val="21"/>
                      <w:szCs w:val="21"/>
                    </w:rPr>
                    <w:t>小时平均浓度限值（mg/m</w:t>
                  </w:r>
                  <w:r>
                    <w:rPr>
                      <w:b/>
                      <w:bCs/>
                      <w:sz w:val="21"/>
                      <w:szCs w:val="21"/>
                      <w:vertAlign w:val="superscript"/>
                    </w:rPr>
                    <w:t>3</w:t>
                  </w:r>
                  <w:r>
                    <w:rPr>
                      <w:b/>
                      <w:bCs/>
                      <w:sz w:val="21"/>
                      <w:szCs w:val="21"/>
                    </w:rPr>
                    <w:t>）</w:t>
                  </w:r>
                </w:p>
              </w:tc>
            </w:tr>
            <w:tr w14:paraId="24D1A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pct"/>
                  <w:vAlign w:val="center"/>
                </w:tcPr>
                <w:p w14:paraId="2B33219D">
                  <w:pPr>
                    <w:spacing w:line="240" w:lineRule="auto"/>
                    <w:ind w:firstLine="420"/>
                    <w:jc w:val="center"/>
                    <w:rPr>
                      <w:sz w:val="21"/>
                      <w:szCs w:val="21"/>
                    </w:rPr>
                  </w:pPr>
                  <w:r>
                    <w:rPr>
                      <w:sz w:val="21"/>
                      <w:szCs w:val="21"/>
                    </w:rPr>
                    <w:t>施工扬尘（即总悬浮颗粒物TSP）</w:t>
                  </w:r>
                </w:p>
              </w:tc>
              <w:tc>
                <w:tcPr>
                  <w:tcW w:w="1468" w:type="pct"/>
                  <w:vAlign w:val="center"/>
                </w:tcPr>
                <w:p w14:paraId="639D5DDF">
                  <w:pPr>
                    <w:spacing w:line="240" w:lineRule="auto"/>
                    <w:ind w:firstLine="0" w:firstLineChars="0"/>
                    <w:jc w:val="center"/>
                    <w:rPr>
                      <w:sz w:val="21"/>
                      <w:szCs w:val="21"/>
                    </w:rPr>
                  </w:pPr>
                  <w:r>
                    <w:rPr>
                      <w:sz w:val="21"/>
                      <w:szCs w:val="21"/>
                    </w:rPr>
                    <w:t>周界外浓度最高点</w:t>
                  </w:r>
                </w:p>
              </w:tc>
              <w:tc>
                <w:tcPr>
                  <w:tcW w:w="2169" w:type="pct"/>
                  <w:vAlign w:val="center"/>
                </w:tcPr>
                <w:p w14:paraId="27272C0C">
                  <w:pPr>
                    <w:spacing w:line="240" w:lineRule="auto"/>
                    <w:ind w:firstLine="420"/>
                    <w:jc w:val="center"/>
                    <w:rPr>
                      <w:sz w:val="21"/>
                      <w:szCs w:val="21"/>
                    </w:rPr>
                  </w:pPr>
                  <w:r>
                    <w:rPr>
                      <w:sz w:val="21"/>
                      <w:szCs w:val="21"/>
                    </w:rPr>
                    <w:t>≤0.7</w:t>
                  </w:r>
                </w:p>
              </w:tc>
            </w:tr>
            <w:tr w14:paraId="70931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vAlign w:val="center"/>
                </w:tcPr>
                <w:p w14:paraId="193710FA">
                  <w:pPr>
                    <w:spacing w:line="240" w:lineRule="auto"/>
                    <w:ind w:firstLine="420"/>
                    <w:rPr>
                      <w:sz w:val="21"/>
                      <w:szCs w:val="21"/>
                    </w:rPr>
                  </w:pPr>
                  <w:r>
                    <w:rPr>
                      <w:sz w:val="21"/>
                      <w:szCs w:val="21"/>
                    </w:rPr>
                    <w:t>说明：周界外浓度最高点一般应设置于无组织排放源下风向的单位周界外10m范围内，若预计无组织排放的最大落地浓度点超出10m范围，可将监控点移至该预计浓度最高点附近。</w:t>
                  </w:r>
                </w:p>
              </w:tc>
            </w:tr>
          </w:tbl>
          <w:p w14:paraId="553C5D61">
            <w:pPr>
              <w:pStyle w:val="3"/>
              <w:numPr>
                <w:ilvl w:val="0"/>
                <w:numId w:val="0"/>
              </w:numPr>
              <w:ind w:firstLine="480" w:firstLineChars="200"/>
              <w:rPr>
                <w:rFonts w:ascii="Times New Roman" w:hAnsi="Times New Roman"/>
                <w:sz w:val="24"/>
              </w:rPr>
            </w:pPr>
            <w:r>
              <w:rPr>
                <w:rFonts w:ascii="Times New Roman" w:hAnsi="Times New Roman"/>
                <w:sz w:val="24"/>
              </w:rPr>
              <w:t>运营期</w:t>
            </w:r>
            <w:r>
              <w:rPr>
                <w:rFonts w:hint="eastAsia" w:ascii="Times New Roman" w:hAnsi="Times New Roman"/>
                <w:sz w:val="24"/>
              </w:rPr>
              <w:t>大气颗粒物</w:t>
            </w:r>
            <w:r>
              <w:rPr>
                <w:rFonts w:ascii="Times New Roman" w:hAnsi="Times New Roman"/>
                <w:sz w:val="24"/>
              </w:rPr>
              <w:t>污染物排放执行《大气污染物综合排放标准》（GB16297-1996）无组织排放浓度限值。</w:t>
            </w:r>
          </w:p>
          <w:p w14:paraId="07D73346">
            <w:pPr>
              <w:widowControl/>
              <w:wordWrap w:val="0"/>
              <w:adjustRightInd w:val="0"/>
              <w:snapToGrid w:val="0"/>
              <w:spacing w:line="240" w:lineRule="auto"/>
              <w:ind w:firstLine="0" w:firstLineChars="0"/>
              <w:jc w:val="center"/>
              <w:rPr>
                <w:b/>
                <w:bCs/>
              </w:rPr>
            </w:pPr>
            <w:r>
              <w:rPr>
                <w:b/>
                <w:bCs/>
              </w:rPr>
              <w:t>表3-</w:t>
            </w:r>
            <w:r>
              <w:rPr>
                <w:rFonts w:hint="eastAsia"/>
                <w:b/>
                <w:bCs/>
                <w:lang w:val="en-US" w:eastAsia="zh-CN"/>
              </w:rPr>
              <w:t>7</w:t>
            </w:r>
            <w:r>
              <w:rPr>
                <w:b/>
                <w:bCs/>
              </w:rPr>
              <w:t xml:space="preserve">  大气污染物排放标准限值一览表</w:t>
            </w:r>
          </w:p>
          <w:tbl>
            <w:tblPr>
              <w:tblStyle w:val="24"/>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3"/>
              <w:gridCol w:w="1294"/>
              <w:gridCol w:w="1283"/>
              <w:gridCol w:w="1220"/>
              <w:gridCol w:w="2896"/>
            </w:tblGrid>
            <w:tr w14:paraId="4ECB0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734" w:type="pct"/>
                  <w:tcBorders>
                    <w:tl2br w:val="nil"/>
                    <w:tr2bl w:val="nil"/>
                  </w:tcBorders>
                  <w:shd w:val="clear" w:color="auto" w:fill="auto"/>
                  <w:vAlign w:val="center"/>
                </w:tcPr>
                <w:p w14:paraId="65D6C085">
                  <w:pPr>
                    <w:widowControl/>
                    <w:wordWrap w:val="0"/>
                    <w:adjustRightInd w:val="0"/>
                    <w:snapToGrid w:val="0"/>
                    <w:spacing w:line="240" w:lineRule="auto"/>
                    <w:ind w:firstLine="0" w:firstLineChars="0"/>
                    <w:jc w:val="center"/>
                    <w:rPr>
                      <w:b/>
                      <w:bCs/>
                      <w:sz w:val="21"/>
                      <w:szCs w:val="21"/>
                    </w:rPr>
                  </w:pPr>
                  <w:r>
                    <w:rPr>
                      <w:b/>
                      <w:bCs/>
                      <w:sz w:val="21"/>
                      <w:szCs w:val="21"/>
                    </w:rPr>
                    <w:t>污染因子</w:t>
                  </w:r>
                </w:p>
              </w:tc>
              <w:tc>
                <w:tcPr>
                  <w:tcW w:w="824" w:type="pct"/>
                  <w:tcBorders>
                    <w:tl2br w:val="nil"/>
                    <w:tr2bl w:val="nil"/>
                  </w:tcBorders>
                  <w:shd w:val="clear" w:color="auto" w:fill="auto"/>
                  <w:vAlign w:val="center"/>
                </w:tcPr>
                <w:p w14:paraId="7AA4A214">
                  <w:pPr>
                    <w:widowControl/>
                    <w:wordWrap w:val="0"/>
                    <w:adjustRightInd w:val="0"/>
                    <w:snapToGrid w:val="0"/>
                    <w:spacing w:line="240" w:lineRule="auto"/>
                    <w:ind w:firstLine="0" w:firstLineChars="0"/>
                    <w:jc w:val="center"/>
                    <w:rPr>
                      <w:b/>
                      <w:bCs/>
                      <w:sz w:val="21"/>
                      <w:szCs w:val="21"/>
                    </w:rPr>
                  </w:pPr>
                  <w:r>
                    <w:rPr>
                      <w:b/>
                      <w:bCs/>
                      <w:sz w:val="21"/>
                      <w:szCs w:val="21"/>
                    </w:rPr>
                    <w:t>排气筒高度（m）</w:t>
                  </w:r>
                </w:p>
              </w:tc>
              <w:tc>
                <w:tcPr>
                  <w:tcW w:w="817" w:type="pct"/>
                  <w:tcBorders>
                    <w:tl2br w:val="nil"/>
                    <w:tr2bl w:val="nil"/>
                  </w:tcBorders>
                  <w:shd w:val="clear" w:color="auto" w:fill="auto"/>
                  <w:vAlign w:val="center"/>
                </w:tcPr>
                <w:p w14:paraId="18EACB76">
                  <w:pPr>
                    <w:widowControl/>
                    <w:wordWrap w:val="0"/>
                    <w:adjustRightInd w:val="0"/>
                    <w:snapToGrid w:val="0"/>
                    <w:spacing w:line="240" w:lineRule="auto"/>
                    <w:ind w:firstLine="0" w:firstLineChars="0"/>
                    <w:jc w:val="center"/>
                    <w:rPr>
                      <w:b/>
                      <w:bCs/>
                      <w:sz w:val="21"/>
                      <w:szCs w:val="21"/>
                    </w:rPr>
                  </w:pPr>
                  <w:r>
                    <w:rPr>
                      <w:b/>
                      <w:bCs/>
                      <w:sz w:val="21"/>
                      <w:szCs w:val="21"/>
                    </w:rPr>
                    <w:t>排放限值</w:t>
                  </w:r>
                </w:p>
                <w:p w14:paraId="028C1A74">
                  <w:pPr>
                    <w:widowControl/>
                    <w:wordWrap w:val="0"/>
                    <w:adjustRightInd w:val="0"/>
                    <w:snapToGrid w:val="0"/>
                    <w:spacing w:line="240" w:lineRule="auto"/>
                    <w:ind w:firstLine="0" w:firstLineChars="0"/>
                    <w:jc w:val="center"/>
                    <w:rPr>
                      <w:b/>
                      <w:bCs/>
                      <w:sz w:val="21"/>
                      <w:szCs w:val="21"/>
                    </w:rPr>
                  </w:pPr>
                  <w:r>
                    <w:rPr>
                      <w:b/>
                      <w:bCs/>
                      <w:sz w:val="21"/>
                      <w:szCs w:val="21"/>
                    </w:rPr>
                    <w:t>（mg/m</w:t>
                  </w:r>
                  <w:r>
                    <w:rPr>
                      <w:b/>
                      <w:bCs/>
                      <w:sz w:val="21"/>
                      <w:szCs w:val="21"/>
                      <w:vertAlign w:val="superscript"/>
                    </w:rPr>
                    <w:t>3</w:t>
                  </w:r>
                  <w:r>
                    <w:rPr>
                      <w:b/>
                      <w:bCs/>
                      <w:sz w:val="21"/>
                      <w:szCs w:val="21"/>
                    </w:rPr>
                    <w:t>）</w:t>
                  </w:r>
                </w:p>
              </w:tc>
              <w:tc>
                <w:tcPr>
                  <w:tcW w:w="777" w:type="pct"/>
                  <w:tcBorders>
                    <w:tl2br w:val="nil"/>
                    <w:tr2bl w:val="nil"/>
                  </w:tcBorders>
                  <w:shd w:val="clear" w:color="auto" w:fill="auto"/>
                  <w:vAlign w:val="center"/>
                </w:tcPr>
                <w:p w14:paraId="53DF8A8A">
                  <w:pPr>
                    <w:widowControl/>
                    <w:wordWrap w:val="0"/>
                    <w:adjustRightInd w:val="0"/>
                    <w:snapToGrid w:val="0"/>
                    <w:spacing w:line="240" w:lineRule="auto"/>
                    <w:ind w:firstLine="0" w:firstLineChars="0"/>
                    <w:jc w:val="center"/>
                    <w:rPr>
                      <w:b/>
                      <w:bCs/>
                      <w:sz w:val="21"/>
                      <w:szCs w:val="21"/>
                    </w:rPr>
                  </w:pPr>
                  <w:r>
                    <w:rPr>
                      <w:b/>
                      <w:bCs/>
                      <w:sz w:val="21"/>
                      <w:szCs w:val="21"/>
                    </w:rPr>
                    <w:t>排放速率</w:t>
                  </w:r>
                </w:p>
                <w:p w14:paraId="41D2A507">
                  <w:pPr>
                    <w:widowControl/>
                    <w:wordWrap w:val="0"/>
                    <w:adjustRightInd w:val="0"/>
                    <w:snapToGrid w:val="0"/>
                    <w:spacing w:line="240" w:lineRule="auto"/>
                    <w:ind w:firstLine="0" w:firstLineChars="0"/>
                    <w:jc w:val="center"/>
                    <w:rPr>
                      <w:b/>
                      <w:bCs/>
                      <w:sz w:val="21"/>
                      <w:szCs w:val="21"/>
                    </w:rPr>
                  </w:pPr>
                  <w:r>
                    <w:rPr>
                      <w:b/>
                      <w:bCs/>
                      <w:sz w:val="21"/>
                      <w:szCs w:val="21"/>
                    </w:rPr>
                    <w:t>（kg/h）</w:t>
                  </w:r>
                </w:p>
              </w:tc>
              <w:tc>
                <w:tcPr>
                  <w:tcW w:w="1844" w:type="pct"/>
                  <w:tcBorders>
                    <w:tl2br w:val="nil"/>
                    <w:tr2bl w:val="nil"/>
                  </w:tcBorders>
                  <w:shd w:val="clear" w:color="auto" w:fill="auto"/>
                  <w:vAlign w:val="center"/>
                </w:tcPr>
                <w:p w14:paraId="4911E6AB">
                  <w:pPr>
                    <w:widowControl/>
                    <w:wordWrap w:val="0"/>
                    <w:adjustRightInd w:val="0"/>
                    <w:snapToGrid w:val="0"/>
                    <w:spacing w:line="240" w:lineRule="auto"/>
                    <w:ind w:firstLine="0" w:firstLineChars="0"/>
                    <w:jc w:val="center"/>
                    <w:rPr>
                      <w:b/>
                      <w:bCs/>
                      <w:sz w:val="21"/>
                      <w:szCs w:val="21"/>
                    </w:rPr>
                  </w:pPr>
                  <w:r>
                    <w:rPr>
                      <w:b/>
                      <w:bCs/>
                      <w:sz w:val="21"/>
                      <w:szCs w:val="21"/>
                    </w:rPr>
                    <w:t>执行标准</w:t>
                  </w:r>
                </w:p>
              </w:tc>
            </w:tr>
            <w:tr w14:paraId="7BA24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34" w:type="pct"/>
                  <w:tcBorders>
                    <w:tl2br w:val="nil"/>
                    <w:tr2bl w:val="nil"/>
                  </w:tcBorders>
                  <w:vAlign w:val="center"/>
                </w:tcPr>
                <w:p w14:paraId="5D146483">
                  <w:pPr>
                    <w:widowControl/>
                    <w:wordWrap w:val="0"/>
                    <w:adjustRightInd w:val="0"/>
                    <w:snapToGrid w:val="0"/>
                    <w:spacing w:line="240" w:lineRule="auto"/>
                    <w:ind w:firstLine="0" w:firstLineChars="0"/>
                    <w:jc w:val="center"/>
                    <w:rPr>
                      <w:sz w:val="21"/>
                      <w:szCs w:val="21"/>
                    </w:rPr>
                  </w:pPr>
                  <w:r>
                    <w:rPr>
                      <w:sz w:val="21"/>
                      <w:szCs w:val="21"/>
                    </w:rPr>
                    <w:t>颗粒物</w:t>
                  </w:r>
                </w:p>
              </w:tc>
              <w:tc>
                <w:tcPr>
                  <w:tcW w:w="824" w:type="pct"/>
                  <w:tcBorders>
                    <w:tl2br w:val="nil"/>
                    <w:tr2bl w:val="nil"/>
                  </w:tcBorders>
                  <w:vAlign w:val="center"/>
                </w:tcPr>
                <w:p w14:paraId="7260E9E0">
                  <w:pPr>
                    <w:widowControl/>
                    <w:wordWrap w:val="0"/>
                    <w:adjustRightInd w:val="0"/>
                    <w:snapToGrid w:val="0"/>
                    <w:spacing w:line="240" w:lineRule="auto"/>
                    <w:ind w:firstLine="0" w:firstLineChars="0"/>
                    <w:jc w:val="center"/>
                    <w:rPr>
                      <w:sz w:val="21"/>
                      <w:szCs w:val="21"/>
                    </w:rPr>
                  </w:pPr>
                  <w:r>
                    <w:rPr>
                      <w:rFonts w:hint="eastAsia"/>
                      <w:sz w:val="21"/>
                      <w:szCs w:val="21"/>
                    </w:rPr>
                    <w:t>/</w:t>
                  </w:r>
                </w:p>
              </w:tc>
              <w:tc>
                <w:tcPr>
                  <w:tcW w:w="817" w:type="pct"/>
                  <w:tcBorders>
                    <w:tl2br w:val="nil"/>
                    <w:tr2bl w:val="nil"/>
                  </w:tcBorders>
                  <w:vAlign w:val="center"/>
                </w:tcPr>
                <w:p w14:paraId="0AF932FC">
                  <w:pPr>
                    <w:widowControl/>
                    <w:wordWrap w:val="0"/>
                    <w:adjustRightInd w:val="0"/>
                    <w:snapToGrid w:val="0"/>
                    <w:spacing w:line="240" w:lineRule="auto"/>
                    <w:ind w:firstLine="0" w:firstLineChars="0"/>
                    <w:jc w:val="center"/>
                    <w:rPr>
                      <w:sz w:val="21"/>
                      <w:szCs w:val="21"/>
                    </w:rPr>
                  </w:pPr>
                  <w:r>
                    <w:rPr>
                      <w:sz w:val="21"/>
                      <w:szCs w:val="21"/>
                    </w:rPr>
                    <w:t>1</w:t>
                  </w:r>
                  <w:r>
                    <w:rPr>
                      <w:rFonts w:hint="eastAsia"/>
                      <w:sz w:val="21"/>
                      <w:szCs w:val="21"/>
                    </w:rPr>
                    <w:t>.0</w:t>
                  </w:r>
                </w:p>
              </w:tc>
              <w:tc>
                <w:tcPr>
                  <w:tcW w:w="777" w:type="pct"/>
                  <w:tcBorders>
                    <w:tl2br w:val="nil"/>
                    <w:tr2bl w:val="nil"/>
                  </w:tcBorders>
                  <w:vAlign w:val="center"/>
                </w:tcPr>
                <w:p w14:paraId="1525A3B9">
                  <w:pPr>
                    <w:widowControl/>
                    <w:wordWrap w:val="0"/>
                    <w:adjustRightInd w:val="0"/>
                    <w:snapToGrid w:val="0"/>
                    <w:spacing w:line="240" w:lineRule="auto"/>
                    <w:ind w:firstLine="0" w:firstLineChars="0"/>
                    <w:jc w:val="center"/>
                    <w:rPr>
                      <w:sz w:val="21"/>
                      <w:szCs w:val="21"/>
                    </w:rPr>
                  </w:pPr>
                  <w:r>
                    <w:rPr>
                      <w:rFonts w:hint="eastAsia"/>
                      <w:sz w:val="21"/>
                      <w:szCs w:val="21"/>
                    </w:rPr>
                    <w:t>/</w:t>
                  </w:r>
                </w:p>
              </w:tc>
              <w:tc>
                <w:tcPr>
                  <w:tcW w:w="1844" w:type="pct"/>
                  <w:tcBorders>
                    <w:tl2br w:val="nil"/>
                    <w:tr2bl w:val="nil"/>
                  </w:tcBorders>
                  <w:vAlign w:val="center"/>
                </w:tcPr>
                <w:p w14:paraId="6006B032">
                  <w:pPr>
                    <w:widowControl/>
                    <w:wordWrap w:val="0"/>
                    <w:adjustRightInd w:val="0"/>
                    <w:snapToGrid w:val="0"/>
                    <w:spacing w:line="240" w:lineRule="auto"/>
                    <w:ind w:firstLine="0" w:firstLineChars="0"/>
                    <w:jc w:val="center"/>
                    <w:rPr>
                      <w:sz w:val="21"/>
                      <w:szCs w:val="21"/>
                    </w:rPr>
                  </w:pPr>
                  <w:r>
                    <w:rPr>
                      <w:sz w:val="21"/>
                      <w:szCs w:val="21"/>
                    </w:rPr>
                    <w:t>《大气污染物综合排放标准》（GB16297-1996）</w:t>
                  </w:r>
                </w:p>
              </w:tc>
            </w:tr>
          </w:tbl>
          <w:p w14:paraId="1C635805">
            <w:pPr>
              <w:ind w:firstLine="482"/>
              <w:rPr>
                <w:b/>
                <w:bCs/>
              </w:rPr>
            </w:pPr>
            <w:r>
              <w:rPr>
                <w:b/>
                <w:bCs/>
              </w:rPr>
              <w:fldChar w:fldCharType="begin"/>
            </w:r>
            <w:r>
              <w:rPr>
                <w:b/>
                <w:bCs/>
              </w:rPr>
              <w:instrText xml:space="preserve"> = 2 \* GB2 \* MERGEFORMAT </w:instrText>
            </w:r>
            <w:r>
              <w:rPr>
                <w:b/>
                <w:bCs/>
              </w:rPr>
              <w:fldChar w:fldCharType="separate"/>
            </w:r>
            <w:r>
              <w:rPr>
                <w:b/>
                <w:bCs/>
              </w:rPr>
              <w:t>⑵</w:t>
            </w:r>
            <w:r>
              <w:rPr>
                <w:b/>
                <w:bCs/>
              </w:rPr>
              <w:fldChar w:fldCharType="end"/>
            </w:r>
            <w:r>
              <w:rPr>
                <w:b/>
                <w:bCs/>
              </w:rPr>
              <w:t>噪声</w:t>
            </w:r>
          </w:p>
          <w:p w14:paraId="2A3477E2">
            <w:pPr>
              <w:ind w:firstLine="480"/>
            </w:pPr>
            <w:r>
              <w:t>施工噪声执行《建筑施工场界环境噪声排放标准》（GB12523-2011）标准，具体施工期噪声执行标准见表3-</w:t>
            </w:r>
            <w:r>
              <w:rPr>
                <w:rFonts w:hint="eastAsia"/>
                <w:lang w:val="en-US" w:eastAsia="zh-CN"/>
              </w:rPr>
              <w:t>8</w:t>
            </w:r>
            <w:r>
              <w:t>。</w:t>
            </w:r>
          </w:p>
          <w:p w14:paraId="719B3820">
            <w:pPr>
              <w:widowControl/>
              <w:adjustRightInd w:val="0"/>
              <w:snapToGrid w:val="0"/>
              <w:spacing w:line="240" w:lineRule="auto"/>
              <w:ind w:firstLine="482"/>
              <w:jc w:val="center"/>
              <w:rPr>
                <w:b/>
                <w:bCs/>
              </w:rPr>
            </w:pPr>
          </w:p>
          <w:p w14:paraId="39E7D831">
            <w:pPr>
              <w:widowControl/>
              <w:adjustRightInd w:val="0"/>
              <w:snapToGrid w:val="0"/>
              <w:spacing w:line="240" w:lineRule="auto"/>
              <w:ind w:firstLine="482"/>
              <w:jc w:val="center"/>
              <w:rPr>
                <w:b/>
                <w:bCs/>
              </w:rPr>
            </w:pPr>
            <w:r>
              <w:rPr>
                <w:b/>
                <w:bCs/>
              </w:rPr>
              <w:t>表3-</w:t>
            </w:r>
            <w:r>
              <w:rPr>
                <w:rFonts w:hint="eastAsia"/>
                <w:b/>
                <w:bCs/>
                <w:lang w:val="en-US" w:eastAsia="zh-CN"/>
              </w:rPr>
              <w:t>8</w:t>
            </w:r>
            <w:r>
              <w:rPr>
                <w:b/>
                <w:bCs/>
              </w:rPr>
              <w:t xml:space="preserve"> 《建筑施工场界环境噪声排放标准》  （GB12523-2011）</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59"/>
              <w:gridCol w:w="4096"/>
            </w:tblGrid>
            <w:tr w14:paraId="1CB86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3" w:type="pct"/>
                  <w:vAlign w:val="center"/>
                </w:tcPr>
                <w:p w14:paraId="0E5DA765">
                  <w:pPr>
                    <w:spacing w:line="240" w:lineRule="auto"/>
                    <w:ind w:firstLine="422"/>
                    <w:jc w:val="center"/>
                    <w:rPr>
                      <w:b/>
                      <w:bCs/>
                      <w:sz w:val="21"/>
                      <w:szCs w:val="21"/>
                    </w:rPr>
                  </w:pPr>
                  <w:r>
                    <w:rPr>
                      <w:b/>
                      <w:bCs/>
                      <w:sz w:val="21"/>
                      <w:szCs w:val="21"/>
                    </w:rPr>
                    <w:t>昼间</w:t>
                  </w:r>
                </w:p>
              </w:tc>
              <w:tc>
                <w:tcPr>
                  <w:tcW w:w="2607" w:type="pct"/>
                  <w:vAlign w:val="center"/>
                </w:tcPr>
                <w:p w14:paraId="39EB8E21">
                  <w:pPr>
                    <w:spacing w:line="240" w:lineRule="auto"/>
                    <w:ind w:firstLine="422"/>
                    <w:jc w:val="center"/>
                    <w:rPr>
                      <w:b/>
                      <w:bCs/>
                      <w:sz w:val="21"/>
                      <w:szCs w:val="21"/>
                    </w:rPr>
                  </w:pPr>
                  <w:r>
                    <w:rPr>
                      <w:b/>
                      <w:bCs/>
                      <w:sz w:val="21"/>
                      <w:szCs w:val="21"/>
                    </w:rPr>
                    <w:t>夜间</w:t>
                  </w:r>
                </w:p>
              </w:tc>
            </w:tr>
            <w:tr w14:paraId="68229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3" w:type="pct"/>
                  <w:vAlign w:val="center"/>
                </w:tcPr>
                <w:p w14:paraId="69C445B8">
                  <w:pPr>
                    <w:spacing w:line="240" w:lineRule="auto"/>
                    <w:ind w:firstLine="420"/>
                    <w:jc w:val="center"/>
                    <w:rPr>
                      <w:sz w:val="21"/>
                      <w:szCs w:val="21"/>
                    </w:rPr>
                  </w:pPr>
                  <w:r>
                    <w:rPr>
                      <w:sz w:val="21"/>
                      <w:szCs w:val="21"/>
                    </w:rPr>
                    <w:t>70dB（A）</w:t>
                  </w:r>
                </w:p>
              </w:tc>
              <w:tc>
                <w:tcPr>
                  <w:tcW w:w="2607" w:type="pct"/>
                  <w:vAlign w:val="center"/>
                </w:tcPr>
                <w:p w14:paraId="29B38C85">
                  <w:pPr>
                    <w:spacing w:line="240" w:lineRule="auto"/>
                    <w:ind w:firstLine="420"/>
                    <w:jc w:val="center"/>
                    <w:rPr>
                      <w:sz w:val="21"/>
                      <w:szCs w:val="21"/>
                    </w:rPr>
                  </w:pPr>
                  <w:r>
                    <w:rPr>
                      <w:sz w:val="21"/>
                      <w:szCs w:val="21"/>
                    </w:rPr>
                    <w:t>55dB（A）</w:t>
                  </w:r>
                </w:p>
              </w:tc>
            </w:tr>
          </w:tbl>
          <w:p w14:paraId="4397EE6A">
            <w:pPr>
              <w:ind w:firstLine="480"/>
              <w:rPr>
                <w:rFonts w:eastAsia="宋体"/>
              </w:rPr>
            </w:pPr>
            <w:r>
              <w:t>运营期</w:t>
            </w:r>
            <w:r>
              <w:rPr>
                <w:rFonts w:hint="eastAsia"/>
              </w:rPr>
              <w:t>厂界处</w:t>
            </w:r>
            <w:r>
              <w:t>噪声排放</w:t>
            </w:r>
            <w:r>
              <w:rPr>
                <w:rFonts w:hint="eastAsia"/>
              </w:rPr>
              <w:t>标准</w:t>
            </w:r>
            <w:r>
              <w:t>分别执行《工业企业厂界环境噪声排放标准》（GB12348-2008）中的2类标准。</w:t>
            </w:r>
          </w:p>
          <w:p w14:paraId="3922702B">
            <w:pPr>
              <w:pStyle w:val="56"/>
              <w:spacing w:beforeLines="0" w:line="240" w:lineRule="auto"/>
              <w:ind w:firstLine="0" w:firstLineChars="0"/>
              <w:rPr>
                <w:rFonts w:eastAsia="宋体"/>
              </w:rPr>
            </w:pPr>
            <w:r>
              <w:rPr>
                <w:rFonts w:eastAsia="宋体"/>
              </w:rPr>
              <w:t>表3-</w:t>
            </w:r>
            <w:r>
              <w:rPr>
                <w:rFonts w:hint="eastAsia" w:eastAsia="宋体"/>
                <w:lang w:val="en-US" w:eastAsia="zh-CN"/>
              </w:rPr>
              <w:t>9</w:t>
            </w:r>
            <w:r>
              <w:rPr>
                <w:rFonts w:eastAsia="宋体"/>
              </w:rPr>
              <w:t xml:space="preserve">  噪声排放标准</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8"/>
              <w:gridCol w:w="925"/>
              <w:gridCol w:w="1493"/>
              <w:gridCol w:w="3443"/>
            </w:tblGrid>
            <w:tr w14:paraId="16123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6" w:type="pct"/>
                  <w:tcBorders>
                    <w:tl2br w:val="nil"/>
                    <w:tr2bl w:val="nil"/>
                  </w:tcBorders>
                  <w:shd w:val="clear" w:color="auto" w:fill="auto"/>
                </w:tcPr>
                <w:p w14:paraId="7935E6A0">
                  <w:pPr>
                    <w:autoSpaceDE w:val="0"/>
                    <w:autoSpaceDN w:val="0"/>
                    <w:adjustRightInd w:val="0"/>
                    <w:snapToGrid w:val="0"/>
                    <w:spacing w:line="240" w:lineRule="auto"/>
                    <w:ind w:firstLine="0" w:firstLineChars="0"/>
                    <w:jc w:val="center"/>
                    <w:rPr>
                      <w:b/>
                      <w:kern w:val="0"/>
                      <w:sz w:val="21"/>
                      <w:szCs w:val="21"/>
                    </w:rPr>
                  </w:pPr>
                  <w:r>
                    <w:rPr>
                      <w:b/>
                      <w:kern w:val="0"/>
                      <w:sz w:val="21"/>
                      <w:szCs w:val="21"/>
                    </w:rPr>
                    <w:t>项目</w:t>
                  </w:r>
                </w:p>
              </w:tc>
              <w:tc>
                <w:tcPr>
                  <w:tcW w:w="1540" w:type="pct"/>
                  <w:gridSpan w:val="2"/>
                  <w:tcBorders>
                    <w:tl2br w:val="nil"/>
                    <w:tr2bl w:val="nil"/>
                  </w:tcBorders>
                  <w:shd w:val="clear" w:color="auto" w:fill="auto"/>
                </w:tcPr>
                <w:p w14:paraId="23DD937E">
                  <w:pPr>
                    <w:autoSpaceDE w:val="0"/>
                    <w:autoSpaceDN w:val="0"/>
                    <w:adjustRightInd w:val="0"/>
                    <w:snapToGrid w:val="0"/>
                    <w:spacing w:line="240" w:lineRule="auto"/>
                    <w:ind w:firstLine="0" w:firstLineChars="0"/>
                    <w:jc w:val="center"/>
                    <w:rPr>
                      <w:b/>
                      <w:kern w:val="0"/>
                      <w:sz w:val="21"/>
                      <w:szCs w:val="21"/>
                    </w:rPr>
                  </w:pPr>
                  <w:r>
                    <w:rPr>
                      <w:b/>
                      <w:kern w:val="0"/>
                      <w:sz w:val="21"/>
                      <w:szCs w:val="21"/>
                    </w:rPr>
                    <w:t>标准限值</w:t>
                  </w:r>
                </w:p>
              </w:tc>
              <w:tc>
                <w:tcPr>
                  <w:tcW w:w="2193" w:type="pct"/>
                  <w:tcBorders>
                    <w:tl2br w:val="nil"/>
                    <w:tr2bl w:val="nil"/>
                  </w:tcBorders>
                  <w:shd w:val="clear" w:color="auto" w:fill="auto"/>
                </w:tcPr>
                <w:p w14:paraId="06701CEC">
                  <w:pPr>
                    <w:autoSpaceDE w:val="0"/>
                    <w:autoSpaceDN w:val="0"/>
                    <w:adjustRightInd w:val="0"/>
                    <w:snapToGrid w:val="0"/>
                    <w:spacing w:line="240" w:lineRule="auto"/>
                    <w:ind w:firstLine="0" w:firstLineChars="0"/>
                    <w:jc w:val="center"/>
                    <w:rPr>
                      <w:b/>
                      <w:kern w:val="0"/>
                      <w:sz w:val="21"/>
                      <w:szCs w:val="21"/>
                    </w:rPr>
                  </w:pPr>
                  <w:r>
                    <w:rPr>
                      <w:b/>
                      <w:kern w:val="0"/>
                      <w:sz w:val="21"/>
                      <w:szCs w:val="21"/>
                    </w:rPr>
                    <w:t>标准来源</w:t>
                  </w:r>
                </w:p>
              </w:tc>
            </w:tr>
            <w:tr w14:paraId="7650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1266" w:type="pct"/>
                  <w:vMerge w:val="restart"/>
                  <w:tcBorders>
                    <w:tl2br w:val="nil"/>
                    <w:tr2bl w:val="nil"/>
                  </w:tcBorders>
                  <w:vAlign w:val="center"/>
                </w:tcPr>
                <w:p w14:paraId="54A93374">
                  <w:pPr>
                    <w:autoSpaceDE w:val="0"/>
                    <w:autoSpaceDN w:val="0"/>
                    <w:adjustRightInd w:val="0"/>
                    <w:snapToGrid w:val="0"/>
                    <w:spacing w:line="240" w:lineRule="auto"/>
                    <w:ind w:firstLine="0" w:firstLineChars="0"/>
                    <w:jc w:val="center"/>
                    <w:rPr>
                      <w:bCs/>
                      <w:kern w:val="0"/>
                      <w:sz w:val="21"/>
                      <w:szCs w:val="21"/>
                    </w:rPr>
                  </w:pPr>
                  <w:r>
                    <w:rPr>
                      <w:bCs/>
                      <w:kern w:val="0"/>
                      <w:sz w:val="21"/>
                      <w:szCs w:val="21"/>
                    </w:rPr>
                    <w:t>厂界</w:t>
                  </w:r>
                </w:p>
              </w:tc>
              <w:tc>
                <w:tcPr>
                  <w:tcW w:w="589" w:type="pct"/>
                  <w:tcBorders>
                    <w:tl2br w:val="nil"/>
                    <w:tr2bl w:val="nil"/>
                  </w:tcBorders>
                  <w:vAlign w:val="center"/>
                </w:tcPr>
                <w:p w14:paraId="7A27C141">
                  <w:pPr>
                    <w:autoSpaceDE w:val="0"/>
                    <w:autoSpaceDN w:val="0"/>
                    <w:adjustRightInd w:val="0"/>
                    <w:snapToGrid w:val="0"/>
                    <w:spacing w:line="240" w:lineRule="auto"/>
                    <w:ind w:firstLine="0" w:firstLineChars="0"/>
                    <w:jc w:val="center"/>
                    <w:rPr>
                      <w:bCs/>
                      <w:kern w:val="0"/>
                      <w:sz w:val="21"/>
                      <w:szCs w:val="21"/>
                    </w:rPr>
                  </w:pPr>
                  <w:r>
                    <w:rPr>
                      <w:bCs/>
                      <w:kern w:val="0"/>
                      <w:sz w:val="21"/>
                      <w:szCs w:val="21"/>
                    </w:rPr>
                    <w:t>昼间</w:t>
                  </w:r>
                </w:p>
              </w:tc>
              <w:tc>
                <w:tcPr>
                  <w:tcW w:w="951" w:type="pct"/>
                  <w:tcBorders>
                    <w:tl2br w:val="nil"/>
                    <w:tr2bl w:val="nil"/>
                  </w:tcBorders>
                  <w:vAlign w:val="center"/>
                </w:tcPr>
                <w:p w14:paraId="622DCBD4">
                  <w:pPr>
                    <w:autoSpaceDE w:val="0"/>
                    <w:autoSpaceDN w:val="0"/>
                    <w:adjustRightInd w:val="0"/>
                    <w:snapToGrid w:val="0"/>
                    <w:spacing w:line="240" w:lineRule="auto"/>
                    <w:ind w:firstLine="0" w:firstLineChars="0"/>
                    <w:jc w:val="center"/>
                    <w:rPr>
                      <w:bCs/>
                      <w:kern w:val="0"/>
                      <w:sz w:val="21"/>
                      <w:szCs w:val="21"/>
                    </w:rPr>
                  </w:pPr>
                  <w:r>
                    <w:rPr>
                      <w:bCs/>
                      <w:kern w:val="0"/>
                      <w:sz w:val="21"/>
                      <w:szCs w:val="21"/>
                    </w:rPr>
                    <w:t>60dB(A)</w:t>
                  </w:r>
                </w:p>
              </w:tc>
              <w:tc>
                <w:tcPr>
                  <w:tcW w:w="2193" w:type="pct"/>
                  <w:vMerge w:val="restart"/>
                  <w:tcBorders>
                    <w:tl2br w:val="nil"/>
                    <w:tr2bl w:val="nil"/>
                  </w:tcBorders>
                  <w:vAlign w:val="center"/>
                </w:tcPr>
                <w:p w14:paraId="11F16F8A">
                  <w:pPr>
                    <w:autoSpaceDE w:val="0"/>
                    <w:autoSpaceDN w:val="0"/>
                    <w:adjustRightInd w:val="0"/>
                    <w:snapToGrid w:val="0"/>
                    <w:spacing w:line="240" w:lineRule="auto"/>
                    <w:ind w:firstLine="0" w:firstLineChars="0"/>
                    <w:jc w:val="center"/>
                    <w:rPr>
                      <w:bCs/>
                      <w:kern w:val="0"/>
                      <w:sz w:val="21"/>
                      <w:szCs w:val="21"/>
                    </w:rPr>
                  </w:pPr>
                  <w:r>
                    <w:rPr>
                      <w:bCs/>
                      <w:kern w:val="0"/>
                      <w:sz w:val="21"/>
                      <w:szCs w:val="21"/>
                    </w:rPr>
                    <w:t>《工业企业厂界环境噪声排放标准》（GB21906-2008）中2类标准</w:t>
                  </w:r>
                </w:p>
              </w:tc>
            </w:tr>
            <w:tr w14:paraId="49DB9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1266" w:type="pct"/>
                  <w:vMerge w:val="continue"/>
                  <w:tcBorders>
                    <w:tl2br w:val="nil"/>
                    <w:tr2bl w:val="nil"/>
                  </w:tcBorders>
                </w:tcPr>
                <w:p w14:paraId="14F08B06">
                  <w:pPr>
                    <w:autoSpaceDE w:val="0"/>
                    <w:autoSpaceDN w:val="0"/>
                    <w:adjustRightInd w:val="0"/>
                    <w:snapToGrid w:val="0"/>
                    <w:spacing w:line="240" w:lineRule="auto"/>
                    <w:ind w:firstLine="0" w:firstLineChars="0"/>
                    <w:jc w:val="center"/>
                    <w:rPr>
                      <w:bCs/>
                      <w:kern w:val="0"/>
                      <w:sz w:val="21"/>
                      <w:szCs w:val="21"/>
                    </w:rPr>
                  </w:pPr>
                </w:p>
              </w:tc>
              <w:tc>
                <w:tcPr>
                  <w:tcW w:w="589" w:type="pct"/>
                  <w:tcBorders>
                    <w:tl2br w:val="nil"/>
                    <w:tr2bl w:val="nil"/>
                  </w:tcBorders>
                  <w:vAlign w:val="center"/>
                </w:tcPr>
                <w:p w14:paraId="6B1218CE">
                  <w:pPr>
                    <w:autoSpaceDE w:val="0"/>
                    <w:autoSpaceDN w:val="0"/>
                    <w:adjustRightInd w:val="0"/>
                    <w:snapToGrid w:val="0"/>
                    <w:spacing w:line="240" w:lineRule="auto"/>
                    <w:ind w:firstLine="0" w:firstLineChars="0"/>
                    <w:jc w:val="center"/>
                    <w:rPr>
                      <w:bCs/>
                      <w:kern w:val="0"/>
                      <w:sz w:val="21"/>
                      <w:szCs w:val="21"/>
                    </w:rPr>
                  </w:pPr>
                  <w:r>
                    <w:rPr>
                      <w:bCs/>
                      <w:kern w:val="0"/>
                      <w:sz w:val="21"/>
                      <w:szCs w:val="21"/>
                    </w:rPr>
                    <w:t>夜间</w:t>
                  </w:r>
                </w:p>
              </w:tc>
              <w:tc>
                <w:tcPr>
                  <w:tcW w:w="951" w:type="pct"/>
                  <w:tcBorders>
                    <w:tl2br w:val="nil"/>
                    <w:tr2bl w:val="nil"/>
                  </w:tcBorders>
                  <w:vAlign w:val="center"/>
                </w:tcPr>
                <w:p w14:paraId="304E7672">
                  <w:pPr>
                    <w:autoSpaceDE w:val="0"/>
                    <w:autoSpaceDN w:val="0"/>
                    <w:adjustRightInd w:val="0"/>
                    <w:snapToGrid w:val="0"/>
                    <w:spacing w:line="240" w:lineRule="auto"/>
                    <w:ind w:firstLine="0" w:firstLineChars="0"/>
                    <w:jc w:val="center"/>
                    <w:rPr>
                      <w:bCs/>
                      <w:kern w:val="0"/>
                      <w:sz w:val="21"/>
                      <w:szCs w:val="21"/>
                    </w:rPr>
                  </w:pPr>
                  <w:r>
                    <w:rPr>
                      <w:bCs/>
                      <w:kern w:val="0"/>
                      <w:sz w:val="21"/>
                      <w:szCs w:val="21"/>
                    </w:rPr>
                    <w:t>50dB(A)</w:t>
                  </w:r>
                </w:p>
              </w:tc>
              <w:tc>
                <w:tcPr>
                  <w:tcW w:w="2193" w:type="pct"/>
                  <w:vMerge w:val="continue"/>
                  <w:tcBorders>
                    <w:tl2br w:val="nil"/>
                    <w:tr2bl w:val="nil"/>
                  </w:tcBorders>
                </w:tcPr>
                <w:p w14:paraId="4D22C490">
                  <w:pPr>
                    <w:autoSpaceDE w:val="0"/>
                    <w:autoSpaceDN w:val="0"/>
                    <w:adjustRightInd w:val="0"/>
                    <w:snapToGrid w:val="0"/>
                    <w:spacing w:line="240" w:lineRule="auto"/>
                    <w:ind w:firstLine="0" w:firstLineChars="0"/>
                    <w:jc w:val="center"/>
                    <w:rPr>
                      <w:bCs/>
                      <w:kern w:val="0"/>
                      <w:sz w:val="21"/>
                      <w:szCs w:val="21"/>
                    </w:rPr>
                  </w:pPr>
                </w:p>
              </w:tc>
            </w:tr>
          </w:tbl>
          <w:p w14:paraId="0847B699">
            <w:pPr>
              <w:adjustRightInd w:val="0"/>
              <w:snapToGrid w:val="0"/>
              <w:ind w:firstLine="482"/>
              <w:rPr>
                <w:b/>
                <w:bCs/>
              </w:rPr>
            </w:pPr>
            <w:r>
              <w:rPr>
                <w:b/>
                <w:bCs/>
              </w:rPr>
              <w:fldChar w:fldCharType="begin"/>
            </w:r>
            <w:r>
              <w:rPr>
                <w:b/>
                <w:bCs/>
              </w:rPr>
              <w:instrText xml:space="preserve"> = 3 \* GB2 \* MERGEFORMAT </w:instrText>
            </w:r>
            <w:r>
              <w:rPr>
                <w:b/>
                <w:bCs/>
              </w:rPr>
              <w:fldChar w:fldCharType="separate"/>
            </w:r>
            <w:r>
              <w:t>⑶</w:t>
            </w:r>
            <w:r>
              <w:rPr>
                <w:b/>
                <w:bCs/>
              </w:rPr>
              <w:fldChar w:fldCharType="end"/>
            </w:r>
            <w:r>
              <w:rPr>
                <w:b/>
                <w:bCs/>
              </w:rPr>
              <w:t>固体废物</w:t>
            </w:r>
          </w:p>
          <w:p w14:paraId="4234AE59">
            <w:pPr>
              <w:ind w:firstLine="480"/>
            </w:pPr>
            <w:r>
              <w:t>《一般工业固体废物贮存和填埋污染控制标准》(GB18599-2020)要求。危险废物的暂存设施执行《危险废物贮存污染控制标准》(GB18597-2023)中相关规定。</w:t>
            </w:r>
          </w:p>
        </w:tc>
      </w:tr>
      <w:tr w14:paraId="718D77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60" w:hRule="atLeast"/>
          <w:jc w:val="center"/>
        </w:trPr>
        <w:tc>
          <w:tcPr>
            <w:tcW w:w="498" w:type="pct"/>
            <w:vAlign w:val="center"/>
          </w:tcPr>
          <w:p w14:paraId="0A276509">
            <w:pPr>
              <w:adjustRightInd w:val="0"/>
              <w:snapToGrid w:val="0"/>
              <w:spacing w:line="240" w:lineRule="atLeast"/>
              <w:ind w:firstLine="0" w:firstLineChars="0"/>
              <w:jc w:val="center"/>
              <w:rPr>
                <w:color w:val="FF0000"/>
                <w:kern w:val="0"/>
              </w:rPr>
            </w:pPr>
            <w:r>
              <w:rPr>
                <w:kern w:val="0"/>
              </w:rPr>
              <w:t>总量控制指标</w:t>
            </w:r>
          </w:p>
        </w:tc>
        <w:tc>
          <w:tcPr>
            <w:tcW w:w="4501" w:type="pct"/>
            <w:vAlign w:val="center"/>
          </w:tcPr>
          <w:p w14:paraId="245BD1D4">
            <w:pPr>
              <w:pStyle w:val="3"/>
              <w:numPr>
                <w:ilvl w:val="1"/>
                <w:numId w:val="0"/>
              </w:numPr>
              <w:spacing w:line="240" w:lineRule="auto"/>
              <w:jc w:val="center"/>
            </w:pPr>
            <w:r>
              <w:rPr>
                <w:rFonts w:ascii="Times New Roman" w:hAnsi="Times New Roman"/>
                <w:color w:val="000000"/>
                <w:kern w:val="0"/>
                <w:sz w:val="24"/>
                <w:lang w:bidi="ar"/>
              </w:rPr>
              <w:t>无</w:t>
            </w:r>
          </w:p>
        </w:tc>
      </w:tr>
    </w:tbl>
    <w:p w14:paraId="04861EC0">
      <w:pPr>
        <w:ind w:firstLine="0" w:firstLineChars="0"/>
        <w:rPr>
          <w:snapToGrid w:val="0"/>
          <w:sz w:val="30"/>
          <w:szCs w:val="30"/>
        </w:rPr>
      </w:pPr>
      <w:r>
        <w:rPr>
          <w:snapToGrid w:val="0"/>
          <w:sz w:val="30"/>
          <w:szCs w:val="30"/>
        </w:rPr>
        <w:br w:type="page"/>
      </w:r>
    </w:p>
    <w:p w14:paraId="28566765">
      <w:pPr>
        <w:pStyle w:val="20"/>
      </w:pPr>
      <w:r>
        <w:t>四、生态环境影响分析</w:t>
      </w:r>
    </w:p>
    <w:tbl>
      <w:tblPr>
        <w:tblStyle w:val="24"/>
        <w:tblW w:w="519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3"/>
        <w:gridCol w:w="7931"/>
      </w:tblGrid>
      <w:tr w14:paraId="3FD1DE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5" w:type="pct"/>
            <w:tcMar>
              <w:left w:w="28" w:type="dxa"/>
              <w:right w:w="28" w:type="dxa"/>
            </w:tcMar>
            <w:vAlign w:val="center"/>
          </w:tcPr>
          <w:p w14:paraId="15C957A6">
            <w:pPr>
              <w:pStyle w:val="20"/>
            </w:pPr>
            <w:bookmarkStart w:id="3" w:name="_Hlk49796138"/>
          </w:p>
          <w:p w14:paraId="6834397E">
            <w:pPr>
              <w:pStyle w:val="20"/>
            </w:pPr>
          </w:p>
          <w:p w14:paraId="368E8DD6">
            <w:pPr>
              <w:pStyle w:val="20"/>
            </w:pPr>
          </w:p>
          <w:p w14:paraId="15E41646">
            <w:pPr>
              <w:pStyle w:val="20"/>
            </w:pPr>
          </w:p>
          <w:p w14:paraId="6A373280">
            <w:pPr>
              <w:pStyle w:val="20"/>
            </w:pPr>
          </w:p>
          <w:p w14:paraId="629945BE">
            <w:pPr>
              <w:pStyle w:val="20"/>
            </w:pPr>
          </w:p>
          <w:p w14:paraId="2D1583C9">
            <w:pPr>
              <w:pStyle w:val="20"/>
            </w:pPr>
          </w:p>
          <w:p w14:paraId="2D6D6FDE">
            <w:pPr>
              <w:pStyle w:val="20"/>
            </w:pPr>
          </w:p>
          <w:p w14:paraId="5A6953D1">
            <w:pPr>
              <w:pStyle w:val="20"/>
            </w:pPr>
          </w:p>
          <w:p w14:paraId="15C14D4C">
            <w:pPr>
              <w:pStyle w:val="20"/>
            </w:pPr>
          </w:p>
          <w:p w14:paraId="33BF2451">
            <w:pPr>
              <w:pStyle w:val="20"/>
            </w:pPr>
          </w:p>
          <w:p w14:paraId="14C9F5B9">
            <w:pPr>
              <w:adjustRightInd w:val="0"/>
              <w:snapToGrid w:val="0"/>
              <w:ind w:firstLine="0" w:firstLineChars="0"/>
              <w:jc w:val="center"/>
            </w:pPr>
            <w:r>
              <w:rPr>
                <w:bCs/>
                <w:spacing w:val="10"/>
              </w:rPr>
              <w:t>施工期生态环境影响分析</w:t>
            </w:r>
            <w:bookmarkEnd w:id="3"/>
          </w:p>
          <w:p w14:paraId="22E48390">
            <w:pPr>
              <w:pStyle w:val="20"/>
            </w:pPr>
          </w:p>
          <w:p w14:paraId="3397FE7C">
            <w:pPr>
              <w:pStyle w:val="20"/>
            </w:pPr>
          </w:p>
          <w:p w14:paraId="690AA659">
            <w:pPr>
              <w:pStyle w:val="20"/>
            </w:pPr>
          </w:p>
          <w:p w14:paraId="589C933A">
            <w:pPr>
              <w:pStyle w:val="20"/>
            </w:pPr>
          </w:p>
          <w:p w14:paraId="09C8EB52">
            <w:pPr>
              <w:pStyle w:val="20"/>
            </w:pPr>
          </w:p>
          <w:p w14:paraId="7BF854B2">
            <w:pPr>
              <w:pStyle w:val="20"/>
            </w:pPr>
          </w:p>
          <w:p w14:paraId="00D61B71">
            <w:pPr>
              <w:pStyle w:val="20"/>
            </w:pPr>
          </w:p>
          <w:p w14:paraId="30E76B62">
            <w:pPr>
              <w:pStyle w:val="20"/>
            </w:pPr>
          </w:p>
          <w:p w14:paraId="390F6452">
            <w:pPr>
              <w:pStyle w:val="20"/>
            </w:pPr>
          </w:p>
          <w:p w14:paraId="1E887B57">
            <w:pPr>
              <w:pStyle w:val="20"/>
            </w:pPr>
          </w:p>
          <w:p w14:paraId="74F076CB">
            <w:pPr>
              <w:pStyle w:val="20"/>
            </w:pPr>
          </w:p>
          <w:p w14:paraId="480A40CF">
            <w:pPr>
              <w:pStyle w:val="20"/>
            </w:pPr>
          </w:p>
          <w:p w14:paraId="4C6510CD">
            <w:pPr>
              <w:pStyle w:val="20"/>
            </w:pPr>
          </w:p>
          <w:p w14:paraId="5C426CE0">
            <w:pPr>
              <w:pStyle w:val="20"/>
            </w:pPr>
          </w:p>
          <w:p w14:paraId="7B57B67F">
            <w:pPr>
              <w:pStyle w:val="20"/>
            </w:pPr>
          </w:p>
          <w:p w14:paraId="6F012044">
            <w:pPr>
              <w:pStyle w:val="20"/>
            </w:pPr>
          </w:p>
          <w:p w14:paraId="193FD3E8">
            <w:pPr>
              <w:pStyle w:val="20"/>
            </w:pPr>
          </w:p>
          <w:p w14:paraId="40B120DB">
            <w:pPr>
              <w:pStyle w:val="20"/>
            </w:pPr>
          </w:p>
          <w:p w14:paraId="66464686">
            <w:pPr>
              <w:pStyle w:val="20"/>
            </w:pPr>
          </w:p>
          <w:p w14:paraId="310C8222">
            <w:pPr>
              <w:pStyle w:val="20"/>
            </w:pPr>
          </w:p>
          <w:p w14:paraId="47E92B11">
            <w:pPr>
              <w:pStyle w:val="20"/>
            </w:pPr>
          </w:p>
          <w:p w14:paraId="57260769">
            <w:pPr>
              <w:pStyle w:val="20"/>
            </w:pPr>
          </w:p>
          <w:p w14:paraId="68F737FC">
            <w:pPr>
              <w:pStyle w:val="20"/>
            </w:pPr>
          </w:p>
          <w:p w14:paraId="6F2BAD83">
            <w:pPr>
              <w:pStyle w:val="20"/>
            </w:pPr>
          </w:p>
          <w:p w14:paraId="79AC7B2A">
            <w:pPr>
              <w:pStyle w:val="20"/>
            </w:pPr>
          </w:p>
          <w:p w14:paraId="68FDEEC5">
            <w:pPr>
              <w:pStyle w:val="20"/>
            </w:pPr>
          </w:p>
          <w:p w14:paraId="70BDE6C9">
            <w:pPr>
              <w:pStyle w:val="20"/>
            </w:pPr>
          </w:p>
          <w:p w14:paraId="404BAA73">
            <w:pPr>
              <w:pStyle w:val="20"/>
            </w:pPr>
          </w:p>
          <w:p w14:paraId="31D6DA51">
            <w:pPr>
              <w:pStyle w:val="20"/>
            </w:pPr>
          </w:p>
          <w:p w14:paraId="1A82156B">
            <w:pPr>
              <w:pStyle w:val="20"/>
            </w:pPr>
          </w:p>
          <w:p w14:paraId="0B7C61FF">
            <w:pPr>
              <w:pStyle w:val="20"/>
            </w:pPr>
          </w:p>
          <w:p w14:paraId="3DC828FC">
            <w:pPr>
              <w:pStyle w:val="20"/>
            </w:pPr>
          </w:p>
          <w:p w14:paraId="42D931F9">
            <w:pPr>
              <w:pStyle w:val="20"/>
            </w:pPr>
          </w:p>
          <w:p w14:paraId="215F02EA">
            <w:pPr>
              <w:pStyle w:val="20"/>
            </w:pPr>
          </w:p>
          <w:p w14:paraId="54FF7C3C">
            <w:pPr>
              <w:pStyle w:val="20"/>
            </w:pPr>
          </w:p>
          <w:p w14:paraId="684DF099">
            <w:pPr>
              <w:pStyle w:val="20"/>
            </w:pPr>
          </w:p>
          <w:p w14:paraId="1113FF84">
            <w:pPr>
              <w:pStyle w:val="20"/>
            </w:pPr>
          </w:p>
          <w:p w14:paraId="473E2DF0">
            <w:pPr>
              <w:pStyle w:val="20"/>
            </w:pPr>
          </w:p>
          <w:p w14:paraId="377538DD">
            <w:pPr>
              <w:pStyle w:val="20"/>
            </w:pPr>
          </w:p>
          <w:p w14:paraId="2713469C">
            <w:pPr>
              <w:pStyle w:val="20"/>
            </w:pPr>
          </w:p>
          <w:p w14:paraId="29889DB9">
            <w:pPr>
              <w:pStyle w:val="20"/>
            </w:pPr>
          </w:p>
          <w:p w14:paraId="79178DE2">
            <w:pPr>
              <w:pStyle w:val="20"/>
            </w:pPr>
          </w:p>
          <w:p w14:paraId="17AB027A">
            <w:pPr>
              <w:pStyle w:val="20"/>
            </w:pPr>
          </w:p>
          <w:p w14:paraId="168AC10A">
            <w:pPr>
              <w:pStyle w:val="20"/>
            </w:pPr>
          </w:p>
          <w:p w14:paraId="641C5161">
            <w:pPr>
              <w:pStyle w:val="20"/>
            </w:pPr>
          </w:p>
          <w:p w14:paraId="2D6AF1A6">
            <w:pPr>
              <w:pStyle w:val="20"/>
            </w:pPr>
          </w:p>
          <w:p w14:paraId="7AC526FF">
            <w:pPr>
              <w:pStyle w:val="20"/>
            </w:pPr>
          </w:p>
          <w:p w14:paraId="7875FF97">
            <w:pPr>
              <w:pStyle w:val="20"/>
            </w:pPr>
          </w:p>
          <w:p w14:paraId="61DB46E7">
            <w:pPr>
              <w:pStyle w:val="20"/>
            </w:pPr>
          </w:p>
          <w:p w14:paraId="343C0048">
            <w:pPr>
              <w:pStyle w:val="20"/>
            </w:pPr>
          </w:p>
          <w:p w14:paraId="7CE3A75D">
            <w:pPr>
              <w:pStyle w:val="20"/>
            </w:pPr>
          </w:p>
          <w:p w14:paraId="4498997D">
            <w:pPr>
              <w:pStyle w:val="20"/>
            </w:pPr>
          </w:p>
          <w:p w14:paraId="2D45303F">
            <w:pPr>
              <w:pStyle w:val="20"/>
            </w:pPr>
          </w:p>
          <w:p w14:paraId="5258A093">
            <w:pPr>
              <w:pStyle w:val="20"/>
            </w:pPr>
          </w:p>
          <w:p w14:paraId="2D151061">
            <w:pPr>
              <w:pStyle w:val="20"/>
            </w:pPr>
          </w:p>
          <w:p w14:paraId="1C221F13">
            <w:pPr>
              <w:pStyle w:val="20"/>
            </w:pPr>
          </w:p>
          <w:p w14:paraId="640EDA77">
            <w:pPr>
              <w:pStyle w:val="20"/>
            </w:pPr>
          </w:p>
          <w:p w14:paraId="28DFFAC6">
            <w:pPr>
              <w:pStyle w:val="20"/>
            </w:pPr>
          </w:p>
          <w:p w14:paraId="33A434DA">
            <w:pPr>
              <w:pStyle w:val="20"/>
            </w:pPr>
          </w:p>
          <w:p w14:paraId="3D8C6E81">
            <w:pPr>
              <w:pStyle w:val="20"/>
            </w:pPr>
          </w:p>
          <w:p w14:paraId="4F782680">
            <w:pPr>
              <w:pStyle w:val="20"/>
            </w:pPr>
          </w:p>
          <w:p w14:paraId="4F69DBF5">
            <w:pPr>
              <w:pStyle w:val="20"/>
            </w:pPr>
          </w:p>
          <w:p w14:paraId="2B282F94">
            <w:pPr>
              <w:pStyle w:val="20"/>
            </w:pPr>
          </w:p>
          <w:p w14:paraId="3FB617FC">
            <w:pPr>
              <w:pStyle w:val="20"/>
            </w:pPr>
          </w:p>
          <w:p w14:paraId="47C2E282">
            <w:pPr>
              <w:pStyle w:val="20"/>
            </w:pPr>
          </w:p>
          <w:p w14:paraId="1A786567">
            <w:pPr>
              <w:pStyle w:val="20"/>
            </w:pPr>
          </w:p>
          <w:p w14:paraId="17D6E189">
            <w:pPr>
              <w:pStyle w:val="20"/>
            </w:pPr>
          </w:p>
          <w:p w14:paraId="2996F254">
            <w:pPr>
              <w:pStyle w:val="20"/>
            </w:pPr>
          </w:p>
          <w:p w14:paraId="1EDB44C7">
            <w:pPr>
              <w:pStyle w:val="20"/>
            </w:pPr>
          </w:p>
          <w:p w14:paraId="5CEA4BFA">
            <w:pPr>
              <w:pStyle w:val="20"/>
            </w:pPr>
          </w:p>
          <w:p w14:paraId="23718CD0">
            <w:pPr>
              <w:pStyle w:val="20"/>
            </w:pPr>
          </w:p>
          <w:p w14:paraId="5633DCFB">
            <w:pPr>
              <w:pStyle w:val="20"/>
            </w:pPr>
          </w:p>
          <w:p w14:paraId="1EB165B9">
            <w:pPr>
              <w:pStyle w:val="20"/>
            </w:pPr>
          </w:p>
          <w:p w14:paraId="16982A33">
            <w:pPr>
              <w:adjustRightInd w:val="0"/>
              <w:snapToGrid w:val="0"/>
              <w:ind w:firstLine="0" w:firstLineChars="0"/>
              <w:jc w:val="center"/>
              <w:rPr>
                <w:color w:val="FF0000"/>
              </w:rPr>
            </w:pPr>
            <w:r>
              <w:rPr>
                <w:bCs/>
                <w:spacing w:val="10"/>
              </w:rPr>
              <w:t>运营期生态环境影响分析</w:t>
            </w:r>
          </w:p>
        </w:tc>
        <w:tc>
          <w:tcPr>
            <w:tcW w:w="4524" w:type="pct"/>
          </w:tcPr>
          <w:p w14:paraId="66979EA6">
            <w:pPr>
              <w:pStyle w:val="55"/>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1.大气环境影响分析</w:t>
            </w:r>
          </w:p>
          <w:p w14:paraId="61AE2204">
            <w:pPr>
              <w:pStyle w:val="5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施工现场不设混凝土拌和站，所需混凝土均由混凝土搅拌车运送至施工区。施工期对环境空气产生的影响主要为：土方的挖掘、堆放、清运，以及场地平整等过程中产生的粉尘；施工机械及运输车辆造成的地面扬尘；建筑材料在装卸、运输、堆放等过程中造成的扬尘；矿区预先采掘时，清理石英砂矿产生的粉尘；施工垃圾在堆放、清运过程中的扬尘，以及燃油设备产生的燃油废气。</w:t>
            </w:r>
          </w:p>
          <w:p w14:paraId="705BD9E1">
            <w:pPr>
              <w:pStyle w:val="55"/>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1.1施工扬尘</w:t>
            </w:r>
          </w:p>
          <w:p w14:paraId="0EC27232">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场地平整、路基开挖、路基填筑、筑路材料的运输、装卸、摊铺等施工过程会产生大量扬尘，其起尘量视施工场地情况不同而不同，一般来说距施工场地200m范围内贴地环境空气中粉尘浓度可达5-20mg/m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当施工区起风并且风速较大时，扬尘可以影响到距施工场地500m左右的范围；车辆运输土方过程中，若没有防护措施则会导致土方漏洒及出现风吹扬尘；漏洒在运输路线上的土覆盖路面，晒干后又因车辆的作用和风吹再次扬尘；粉状建筑材料运输、装卸、储存和使用过程也会产生扬尘；矿区预先采掘时，清理石英砂矿产生的粉尘；施工区在矿区范围内，先要将清理的石英砂矿堆放至指定的位置，清理及堆放过程也会产生粉尘</w:t>
            </w:r>
            <w:r>
              <w:rPr>
                <w:rFonts w:hint="eastAsia"/>
                <w:color w:val="000000" w:themeColor="text1"/>
                <w14:textFill>
                  <w14:solidFill>
                    <w14:schemeClr w14:val="tx1"/>
                  </w14:solidFill>
                </w14:textFill>
              </w:rPr>
              <w:t>。</w:t>
            </w:r>
          </w:p>
          <w:p w14:paraId="54A3998A">
            <w:pPr>
              <w:pStyle w:val="55"/>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1.2 机械设备、运输车辆尾气</w:t>
            </w:r>
          </w:p>
          <w:p w14:paraId="234637E0">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机械设备尾气主要来自各类燃油动力机械施工过程中排出的各种燃油废气，其主要污染物有CO、NO</w:t>
            </w:r>
            <w:r>
              <w:rPr>
                <w:color w:val="000000" w:themeColor="text1"/>
                <w:vertAlign w:val="subscript"/>
                <w14:textFill>
                  <w14:solidFill>
                    <w14:schemeClr w14:val="tx1"/>
                  </w14:solidFill>
                </w14:textFill>
              </w:rPr>
              <w:t>X</w:t>
            </w:r>
            <w:r>
              <w:rPr>
                <w:color w:val="000000" w:themeColor="text1"/>
                <w14:textFill>
                  <w14:solidFill>
                    <w14:schemeClr w14:val="tx1"/>
                  </w14:solidFill>
                </w14:textFill>
              </w:rPr>
              <w:t>和THC，由于施工的燃油机械为间歇作业，使用数量不多，排放的尾气较少。</w:t>
            </w:r>
          </w:p>
          <w:p w14:paraId="57DA3FB3">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运输车辆尾气主要污染因子有CO、THC和NO</w:t>
            </w:r>
            <w:r>
              <w:rPr>
                <w:color w:val="000000" w:themeColor="text1"/>
                <w:vertAlign w:val="subscript"/>
                <w14:textFill>
                  <w14:solidFill>
                    <w14:schemeClr w14:val="tx1"/>
                  </w14:solidFill>
                </w14:textFill>
              </w:rPr>
              <w:t>X</w:t>
            </w:r>
            <w:r>
              <w:rPr>
                <w:color w:val="000000" w:themeColor="text1"/>
                <w14:textFill>
                  <w14:solidFill>
                    <w14:schemeClr w14:val="tx1"/>
                  </w14:solidFill>
                </w14:textFill>
              </w:rPr>
              <w:t>，一般大型车辆尾气污染物排放量为：CO37.23g/辆km，THC15.98g/辆·km，NO</w:t>
            </w:r>
            <w:r>
              <w:rPr>
                <w:color w:val="000000" w:themeColor="text1"/>
                <w:vertAlign w:val="subscript"/>
                <w14:textFill>
                  <w14:solidFill>
                    <w14:schemeClr w14:val="tx1"/>
                  </w14:solidFill>
                </w14:textFill>
              </w:rPr>
              <w:t>X</w:t>
            </w:r>
            <w:r>
              <w:rPr>
                <w:color w:val="000000" w:themeColor="text1"/>
                <w14:textFill>
                  <w14:solidFill>
                    <w14:schemeClr w14:val="tx1"/>
                  </w14:solidFill>
                </w14:textFill>
              </w:rPr>
              <w:t>16.83g/辆·km。本项目现场施工车辆一般不超过5辆，排放的车辆尾气较少</w:t>
            </w:r>
            <w:r>
              <w:rPr>
                <w:rFonts w:hint="eastAsia"/>
                <w:color w:val="000000" w:themeColor="text1"/>
                <w14:textFill>
                  <w14:solidFill>
                    <w14:schemeClr w14:val="tx1"/>
                  </w14:solidFill>
                </w14:textFill>
              </w:rPr>
              <w:t>。</w:t>
            </w:r>
          </w:p>
          <w:p w14:paraId="6ACAA020">
            <w:pPr>
              <w:pStyle w:val="55"/>
              <w:numPr>
                <w:ilvl w:val="0"/>
                <w:numId w:val="4"/>
              </w:num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地表</w:t>
            </w:r>
            <w:r>
              <w:rPr>
                <w:rFonts w:hint="eastAsia"/>
                <w:b/>
                <w:bCs/>
                <w:color w:val="000000" w:themeColor="text1"/>
                <w:lang w:eastAsia="zh-CN"/>
                <w14:textFill>
                  <w14:solidFill>
                    <w14:schemeClr w14:val="tx1"/>
                  </w14:solidFill>
                </w14:textFill>
              </w:rPr>
              <w:t>水</w:t>
            </w:r>
            <w:r>
              <w:rPr>
                <w:b/>
                <w:bCs/>
                <w:color w:val="000000" w:themeColor="text1"/>
                <w14:textFill>
                  <w14:solidFill>
                    <w14:schemeClr w14:val="tx1"/>
                  </w14:solidFill>
                </w14:textFill>
              </w:rPr>
              <w:t>环境影响分析</w:t>
            </w:r>
          </w:p>
          <w:p w14:paraId="7A6DCD41">
            <w:pPr>
              <w:pStyle w:val="55"/>
              <w:ind w:left="480" w:leftChars="200" w:firstLine="0" w:firstLineChars="0"/>
              <w:rPr>
                <w:color w:val="000000" w:themeColor="text1"/>
                <w14:textFill>
                  <w14:solidFill>
                    <w14:schemeClr w14:val="tx1"/>
                  </w14:solidFill>
                </w14:textFill>
              </w:rPr>
            </w:pPr>
            <w:r>
              <w:rPr>
                <w:color w:val="000000" w:themeColor="text1"/>
                <w14:textFill>
                  <w14:solidFill>
                    <w14:schemeClr w14:val="tx1"/>
                  </w14:solidFill>
                </w14:textFill>
              </w:rPr>
              <w:t>（1）施工废水</w:t>
            </w:r>
          </w:p>
          <w:p w14:paraId="61682A87">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施工废水为施工机械冲洗、混凝土养护等废水，废水中主要的污染物为悬浮物，建设单位在施工场地内设置临时沉淀池，施工废水通过沉淀后回用于场地降尘等，不外排。</w:t>
            </w:r>
          </w:p>
          <w:p w14:paraId="743456E1">
            <w:pPr>
              <w:pStyle w:val="55"/>
              <w:ind w:left="480" w:leftChars="200" w:firstLine="0" w:firstLineChars="0"/>
              <w:rPr>
                <w:color w:val="000000" w:themeColor="text1"/>
                <w14:textFill>
                  <w14:solidFill>
                    <w14:schemeClr w14:val="tx1"/>
                  </w14:solidFill>
                </w14:textFill>
              </w:rPr>
            </w:pPr>
            <w:r>
              <w:rPr>
                <w:color w:val="000000" w:themeColor="text1"/>
                <w14:textFill>
                  <w14:solidFill>
                    <w14:schemeClr w14:val="tx1"/>
                  </w14:solidFill>
                </w14:textFill>
              </w:rPr>
              <w:t>（2）生活污水</w:t>
            </w:r>
          </w:p>
          <w:p w14:paraId="16F5EDC7">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施工期间施工人员会产生一定的生活污水。生活污水</w:t>
            </w:r>
            <w:r>
              <w:rPr>
                <w:rFonts w:hint="eastAsia"/>
                <w:color w:val="000000" w:themeColor="text1"/>
                <w14:textFill>
                  <w14:solidFill>
                    <w14:schemeClr w14:val="tx1"/>
                  </w14:solidFill>
                </w14:textFill>
              </w:rPr>
              <w:t>设置临时防渗卫生厕所</w:t>
            </w:r>
            <w:r>
              <w:rPr>
                <w:color w:val="000000" w:themeColor="text1"/>
                <w14:textFill>
                  <w14:solidFill>
                    <w14:schemeClr w14:val="tx1"/>
                  </w14:solidFill>
                </w14:textFill>
              </w:rPr>
              <w:t>，旱厕定期清掏用于施肥。</w:t>
            </w:r>
          </w:p>
          <w:p w14:paraId="73AF9E77">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综上，项目施工期产生的废水量较少，在采取相关措施的情况下，对区域地表水没有影响。</w:t>
            </w:r>
          </w:p>
          <w:p w14:paraId="335F3DC2">
            <w:pPr>
              <w:pStyle w:val="55"/>
              <w:numPr>
                <w:ilvl w:val="0"/>
                <w:numId w:val="4"/>
              </w:num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声环境影响分析</w:t>
            </w:r>
          </w:p>
          <w:p w14:paraId="67D0FF22">
            <w:pPr>
              <w:pStyle w:val="55"/>
              <w:ind w:left="480" w:leftChars="200" w:firstLine="0" w:firstLineChars="0"/>
              <w:rPr>
                <w:color w:val="000000" w:themeColor="text1"/>
                <w14:textFill>
                  <w14:solidFill>
                    <w14:schemeClr w14:val="tx1"/>
                  </w14:solidFill>
                </w14:textFill>
              </w:rPr>
            </w:pPr>
            <w:r>
              <w:rPr>
                <w:color w:val="000000" w:themeColor="text1"/>
                <w14:textFill>
                  <w14:solidFill>
                    <w14:schemeClr w14:val="tx1"/>
                  </w14:solidFill>
                </w14:textFill>
              </w:rPr>
              <w:t>本项目施工期间噪声主要来源于施工机械噪声和运输车辆噪声。</w:t>
            </w:r>
          </w:p>
          <w:p w14:paraId="57D8BC60">
            <w:pPr>
              <w:pStyle w:val="55"/>
              <w:ind w:left="480" w:leftChars="200" w:firstLine="0" w:firstLineChars="0"/>
              <w:rPr>
                <w:color w:val="000000" w:themeColor="text1"/>
                <w14:textFill>
                  <w14:solidFill>
                    <w14:schemeClr w14:val="tx1"/>
                  </w14:solidFill>
                </w14:textFill>
              </w:rPr>
            </w:pPr>
            <w:r>
              <w:rPr>
                <w:color w:val="000000" w:themeColor="text1"/>
                <w14:textFill>
                  <w14:solidFill>
                    <w14:schemeClr w14:val="tx1"/>
                  </w14:solidFill>
                </w14:textFill>
              </w:rPr>
              <w:t>（1）施工机械噪声</w:t>
            </w:r>
          </w:p>
          <w:p w14:paraId="30BFA6D6">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主要指施工现场使用各类机械设备产生的施工噪声。这些施工机械包括装载机、挖掘机、推土机等，在施工中这类机械是最主要的施工噪声源。根据《环境噪声与振动控制工程技术导则》（HJ2034-2013）附表A.2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主要施工机械噪声源强见下表</w:t>
            </w:r>
            <w:r>
              <w:rPr>
                <w:rFonts w:hint="eastAsia"/>
                <w:color w:val="000000" w:themeColor="text1"/>
                <w14:textFill>
                  <w14:solidFill>
                    <w14:schemeClr w14:val="tx1"/>
                  </w14:solidFill>
                </w14:textFill>
              </w:rPr>
              <w:t>。</w:t>
            </w:r>
          </w:p>
          <w:p w14:paraId="4370322A">
            <w:pPr>
              <w:pStyle w:val="72"/>
              <w:spacing w:before="34" w:line="214" w:lineRule="auto"/>
              <w:ind w:firstLine="1205" w:firstLineChars="500"/>
              <w:rPr>
                <w:b/>
                <w:bCs/>
                <w:sz w:val="24"/>
                <w:szCs w:val="24"/>
              </w:rPr>
            </w:pPr>
            <w:r>
              <w:rPr>
                <w:b/>
                <w:bCs/>
                <w:sz w:val="24"/>
                <w:szCs w:val="24"/>
              </w:rPr>
              <w:t>表</w:t>
            </w:r>
            <w:r>
              <w:rPr>
                <w:b/>
                <w:bCs/>
                <w:spacing w:val="-42"/>
                <w:sz w:val="24"/>
                <w:szCs w:val="24"/>
              </w:rPr>
              <w:t xml:space="preserve"> </w:t>
            </w:r>
            <w:r>
              <w:rPr>
                <w:rFonts w:ascii="Times New Roman" w:hAnsi="Times New Roman" w:eastAsia="Times New Roman" w:cs="Times New Roman"/>
                <w:b/>
                <w:bCs/>
                <w:sz w:val="24"/>
                <w:szCs w:val="24"/>
              </w:rPr>
              <w:t xml:space="preserve">4-1 </w:t>
            </w:r>
            <w:r>
              <w:rPr>
                <w:b/>
                <w:bCs/>
                <w:sz w:val="24"/>
                <w:szCs w:val="24"/>
              </w:rPr>
              <w:t>主要施工机械设备的噪声声级   单位：</w:t>
            </w:r>
            <w:r>
              <w:rPr>
                <w:rFonts w:ascii="Times New Roman" w:hAnsi="Times New Roman" w:eastAsia="Times New Roman" w:cs="Times New Roman"/>
                <w:b/>
                <w:bCs/>
                <w:sz w:val="24"/>
                <w:szCs w:val="24"/>
              </w:rPr>
              <w:t>dB</w:t>
            </w:r>
            <w:r>
              <w:rPr>
                <w:b/>
                <w:bCs/>
                <w:sz w:val="24"/>
                <w:szCs w:val="24"/>
              </w:rPr>
              <w:t>（</w:t>
            </w:r>
            <w:r>
              <w:rPr>
                <w:rFonts w:ascii="Times New Roman" w:hAnsi="Times New Roman" w:eastAsia="Times New Roman" w:cs="Times New Roman"/>
                <w:b/>
                <w:bCs/>
                <w:sz w:val="24"/>
                <w:szCs w:val="24"/>
              </w:rPr>
              <w:t>A</w:t>
            </w:r>
            <w:r>
              <w:rPr>
                <w:b/>
                <w:bCs/>
                <w:sz w:val="24"/>
                <w:szCs w:val="24"/>
              </w:rPr>
              <w:t>）</w:t>
            </w:r>
          </w:p>
          <w:tbl>
            <w:tblPr>
              <w:tblStyle w:val="73"/>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35"/>
              <w:gridCol w:w="1945"/>
              <w:gridCol w:w="2827"/>
            </w:tblGrid>
            <w:tr w14:paraId="3B0AF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1904" w:type="pct"/>
                  <w:vAlign w:val="center"/>
                </w:tcPr>
                <w:p w14:paraId="4241479B">
                  <w:pPr>
                    <w:adjustRightInd w:val="0"/>
                    <w:snapToGrid w:val="0"/>
                    <w:spacing w:line="240" w:lineRule="auto"/>
                    <w:ind w:firstLine="0" w:firstLineChars="0"/>
                    <w:jc w:val="center"/>
                    <w:rPr>
                      <w:b/>
                      <w:bCs/>
                      <w:sz w:val="21"/>
                      <w:szCs w:val="21"/>
                    </w:rPr>
                  </w:pPr>
                  <w:r>
                    <w:rPr>
                      <w:b/>
                      <w:bCs/>
                      <w:sz w:val="21"/>
                      <w:szCs w:val="21"/>
                    </w:rPr>
                    <w:t>设备名称</w:t>
                  </w:r>
                </w:p>
              </w:tc>
              <w:tc>
                <w:tcPr>
                  <w:tcW w:w="1261" w:type="pct"/>
                  <w:vAlign w:val="center"/>
                </w:tcPr>
                <w:p w14:paraId="5D64D0AF">
                  <w:pPr>
                    <w:adjustRightInd w:val="0"/>
                    <w:snapToGrid w:val="0"/>
                    <w:spacing w:line="240" w:lineRule="auto"/>
                    <w:ind w:firstLine="0" w:firstLineChars="0"/>
                    <w:jc w:val="center"/>
                    <w:rPr>
                      <w:b/>
                      <w:bCs/>
                      <w:sz w:val="21"/>
                      <w:szCs w:val="21"/>
                    </w:rPr>
                  </w:pPr>
                  <w:r>
                    <w:rPr>
                      <w:b/>
                      <w:bCs/>
                      <w:sz w:val="21"/>
                      <w:szCs w:val="21"/>
                    </w:rPr>
                    <w:t>声级 dB(A)</w:t>
                  </w:r>
                </w:p>
              </w:tc>
              <w:tc>
                <w:tcPr>
                  <w:tcW w:w="1833" w:type="pct"/>
                  <w:vAlign w:val="center"/>
                </w:tcPr>
                <w:p w14:paraId="7FA6BF6F">
                  <w:pPr>
                    <w:adjustRightInd w:val="0"/>
                    <w:snapToGrid w:val="0"/>
                    <w:spacing w:line="240" w:lineRule="auto"/>
                    <w:ind w:firstLine="0" w:firstLineChars="0"/>
                    <w:jc w:val="center"/>
                    <w:rPr>
                      <w:b/>
                      <w:bCs/>
                      <w:sz w:val="21"/>
                      <w:szCs w:val="21"/>
                    </w:rPr>
                  </w:pPr>
                  <w:r>
                    <w:rPr>
                      <w:b/>
                      <w:bCs/>
                      <w:sz w:val="21"/>
                      <w:szCs w:val="21"/>
                    </w:rPr>
                    <w:t>测点距声源距离(m)</w:t>
                  </w:r>
                </w:p>
              </w:tc>
            </w:tr>
            <w:tr w14:paraId="2C14D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1904" w:type="pct"/>
                  <w:vAlign w:val="center"/>
                </w:tcPr>
                <w:p w14:paraId="2F44D036">
                  <w:pPr>
                    <w:adjustRightInd w:val="0"/>
                    <w:snapToGrid w:val="0"/>
                    <w:spacing w:line="240" w:lineRule="auto"/>
                    <w:ind w:firstLine="0" w:firstLineChars="0"/>
                    <w:jc w:val="center"/>
                    <w:rPr>
                      <w:sz w:val="21"/>
                      <w:szCs w:val="21"/>
                    </w:rPr>
                  </w:pPr>
                  <w:r>
                    <w:rPr>
                      <w:sz w:val="21"/>
                      <w:szCs w:val="21"/>
                    </w:rPr>
                    <w:t>轮式装载机</w:t>
                  </w:r>
                </w:p>
              </w:tc>
              <w:tc>
                <w:tcPr>
                  <w:tcW w:w="1261" w:type="pct"/>
                  <w:vAlign w:val="center"/>
                </w:tcPr>
                <w:p w14:paraId="7DF46880">
                  <w:pPr>
                    <w:adjustRightInd w:val="0"/>
                    <w:snapToGrid w:val="0"/>
                    <w:spacing w:line="240" w:lineRule="auto"/>
                    <w:ind w:firstLine="0" w:firstLineChars="0"/>
                    <w:jc w:val="center"/>
                    <w:rPr>
                      <w:sz w:val="21"/>
                      <w:szCs w:val="21"/>
                    </w:rPr>
                  </w:pPr>
                  <w:r>
                    <w:rPr>
                      <w:sz w:val="21"/>
                      <w:szCs w:val="21"/>
                    </w:rPr>
                    <w:t>90～95</w:t>
                  </w:r>
                </w:p>
              </w:tc>
              <w:tc>
                <w:tcPr>
                  <w:tcW w:w="1833" w:type="pct"/>
                  <w:vAlign w:val="center"/>
                </w:tcPr>
                <w:p w14:paraId="245A023E">
                  <w:pPr>
                    <w:adjustRightInd w:val="0"/>
                    <w:snapToGrid w:val="0"/>
                    <w:spacing w:line="240" w:lineRule="auto"/>
                    <w:ind w:firstLine="0" w:firstLineChars="0"/>
                    <w:jc w:val="center"/>
                    <w:rPr>
                      <w:sz w:val="21"/>
                      <w:szCs w:val="21"/>
                    </w:rPr>
                  </w:pPr>
                  <w:r>
                    <w:rPr>
                      <w:sz w:val="21"/>
                      <w:szCs w:val="21"/>
                    </w:rPr>
                    <w:t>5</w:t>
                  </w:r>
                </w:p>
              </w:tc>
            </w:tr>
            <w:tr w14:paraId="0C4EA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1904" w:type="pct"/>
                  <w:vAlign w:val="center"/>
                </w:tcPr>
                <w:p w14:paraId="3644B73C">
                  <w:pPr>
                    <w:adjustRightInd w:val="0"/>
                    <w:snapToGrid w:val="0"/>
                    <w:spacing w:line="240" w:lineRule="auto"/>
                    <w:ind w:firstLine="0" w:firstLineChars="0"/>
                    <w:jc w:val="center"/>
                    <w:rPr>
                      <w:sz w:val="21"/>
                      <w:szCs w:val="21"/>
                    </w:rPr>
                  </w:pPr>
                  <w:r>
                    <w:rPr>
                      <w:sz w:val="21"/>
                      <w:szCs w:val="21"/>
                    </w:rPr>
                    <w:t>挖掘机</w:t>
                  </w:r>
                </w:p>
              </w:tc>
              <w:tc>
                <w:tcPr>
                  <w:tcW w:w="1261" w:type="pct"/>
                  <w:vAlign w:val="center"/>
                </w:tcPr>
                <w:p w14:paraId="0536563D">
                  <w:pPr>
                    <w:adjustRightInd w:val="0"/>
                    <w:snapToGrid w:val="0"/>
                    <w:spacing w:line="240" w:lineRule="auto"/>
                    <w:ind w:firstLine="0" w:firstLineChars="0"/>
                    <w:jc w:val="center"/>
                    <w:rPr>
                      <w:sz w:val="21"/>
                      <w:szCs w:val="21"/>
                    </w:rPr>
                  </w:pPr>
                  <w:r>
                    <w:rPr>
                      <w:sz w:val="21"/>
                      <w:szCs w:val="21"/>
                    </w:rPr>
                    <w:t>80～86</w:t>
                  </w:r>
                </w:p>
              </w:tc>
              <w:tc>
                <w:tcPr>
                  <w:tcW w:w="1833" w:type="pct"/>
                  <w:vAlign w:val="center"/>
                </w:tcPr>
                <w:p w14:paraId="109702AF">
                  <w:pPr>
                    <w:adjustRightInd w:val="0"/>
                    <w:snapToGrid w:val="0"/>
                    <w:spacing w:line="240" w:lineRule="auto"/>
                    <w:ind w:firstLine="0" w:firstLineChars="0"/>
                    <w:jc w:val="center"/>
                    <w:rPr>
                      <w:sz w:val="21"/>
                      <w:szCs w:val="21"/>
                    </w:rPr>
                  </w:pPr>
                  <w:r>
                    <w:rPr>
                      <w:sz w:val="21"/>
                      <w:szCs w:val="21"/>
                    </w:rPr>
                    <w:t>5</w:t>
                  </w:r>
                </w:p>
              </w:tc>
            </w:tr>
            <w:tr w14:paraId="37D89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jc w:val="center"/>
              </w:trPr>
              <w:tc>
                <w:tcPr>
                  <w:tcW w:w="1904" w:type="pct"/>
                  <w:vAlign w:val="center"/>
                </w:tcPr>
                <w:p w14:paraId="3F743A84">
                  <w:pPr>
                    <w:adjustRightInd w:val="0"/>
                    <w:snapToGrid w:val="0"/>
                    <w:spacing w:line="240" w:lineRule="auto"/>
                    <w:ind w:firstLine="0" w:firstLineChars="0"/>
                    <w:jc w:val="center"/>
                    <w:rPr>
                      <w:sz w:val="21"/>
                      <w:szCs w:val="21"/>
                    </w:rPr>
                  </w:pPr>
                  <w:r>
                    <w:rPr>
                      <w:sz w:val="21"/>
                      <w:szCs w:val="21"/>
                    </w:rPr>
                    <w:t>推土机</w:t>
                  </w:r>
                </w:p>
              </w:tc>
              <w:tc>
                <w:tcPr>
                  <w:tcW w:w="1261" w:type="pct"/>
                  <w:vAlign w:val="center"/>
                </w:tcPr>
                <w:p w14:paraId="68F5BC7B">
                  <w:pPr>
                    <w:adjustRightInd w:val="0"/>
                    <w:snapToGrid w:val="0"/>
                    <w:spacing w:line="240" w:lineRule="auto"/>
                    <w:ind w:firstLine="0" w:firstLineChars="0"/>
                    <w:jc w:val="center"/>
                    <w:rPr>
                      <w:sz w:val="21"/>
                      <w:szCs w:val="21"/>
                    </w:rPr>
                  </w:pPr>
                  <w:r>
                    <w:rPr>
                      <w:sz w:val="21"/>
                      <w:szCs w:val="21"/>
                    </w:rPr>
                    <w:t>83～88</w:t>
                  </w:r>
                </w:p>
              </w:tc>
              <w:tc>
                <w:tcPr>
                  <w:tcW w:w="1833" w:type="pct"/>
                  <w:vAlign w:val="center"/>
                </w:tcPr>
                <w:p w14:paraId="364CB56B">
                  <w:pPr>
                    <w:adjustRightInd w:val="0"/>
                    <w:snapToGrid w:val="0"/>
                    <w:spacing w:line="240" w:lineRule="auto"/>
                    <w:ind w:firstLine="0" w:firstLineChars="0"/>
                    <w:jc w:val="center"/>
                    <w:rPr>
                      <w:sz w:val="21"/>
                      <w:szCs w:val="21"/>
                    </w:rPr>
                  </w:pPr>
                  <w:r>
                    <w:rPr>
                      <w:sz w:val="21"/>
                      <w:szCs w:val="21"/>
                    </w:rPr>
                    <w:t>5</w:t>
                  </w:r>
                </w:p>
              </w:tc>
            </w:tr>
            <w:tr w14:paraId="7FC49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1904" w:type="pct"/>
                  <w:vAlign w:val="center"/>
                </w:tcPr>
                <w:p w14:paraId="0A55AE17">
                  <w:pPr>
                    <w:adjustRightInd w:val="0"/>
                    <w:snapToGrid w:val="0"/>
                    <w:spacing w:line="240" w:lineRule="auto"/>
                    <w:ind w:firstLine="0" w:firstLineChars="0"/>
                    <w:jc w:val="center"/>
                    <w:rPr>
                      <w:sz w:val="21"/>
                      <w:szCs w:val="21"/>
                    </w:rPr>
                  </w:pPr>
                  <w:r>
                    <w:rPr>
                      <w:sz w:val="21"/>
                      <w:szCs w:val="21"/>
                    </w:rPr>
                    <w:t>压路机</w:t>
                  </w:r>
                </w:p>
              </w:tc>
              <w:tc>
                <w:tcPr>
                  <w:tcW w:w="1261" w:type="pct"/>
                  <w:vAlign w:val="center"/>
                </w:tcPr>
                <w:p w14:paraId="14045B3C">
                  <w:pPr>
                    <w:adjustRightInd w:val="0"/>
                    <w:snapToGrid w:val="0"/>
                    <w:spacing w:line="240" w:lineRule="auto"/>
                    <w:ind w:firstLine="0" w:firstLineChars="0"/>
                    <w:jc w:val="center"/>
                    <w:rPr>
                      <w:sz w:val="21"/>
                      <w:szCs w:val="21"/>
                    </w:rPr>
                  </w:pPr>
                  <w:r>
                    <w:rPr>
                      <w:sz w:val="21"/>
                      <w:szCs w:val="21"/>
                    </w:rPr>
                    <w:t>80～88</w:t>
                  </w:r>
                </w:p>
              </w:tc>
              <w:tc>
                <w:tcPr>
                  <w:tcW w:w="1833" w:type="pct"/>
                  <w:vAlign w:val="center"/>
                </w:tcPr>
                <w:p w14:paraId="062CCD17">
                  <w:pPr>
                    <w:adjustRightInd w:val="0"/>
                    <w:snapToGrid w:val="0"/>
                    <w:spacing w:line="240" w:lineRule="auto"/>
                    <w:ind w:firstLine="0" w:firstLineChars="0"/>
                    <w:jc w:val="center"/>
                    <w:rPr>
                      <w:sz w:val="21"/>
                      <w:szCs w:val="21"/>
                    </w:rPr>
                  </w:pPr>
                  <w:r>
                    <w:rPr>
                      <w:sz w:val="21"/>
                      <w:szCs w:val="21"/>
                    </w:rPr>
                    <w:t>5</w:t>
                  </w:r>
                </w:p>
              </w:tc>
            </w:tr>
            <w:tr w14:paraId="43E00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1904" w:type="pct"/>
                  <w:vAlign w:val="center"/>
                </w:tcPr>
                <w:p w14:paraId="342DED24">
                  <w:pPr>
                    <w:adjustRightInd w:val="0"/>
                    <w:snapToGrid w:val="0"/>
                    <w:spacing w:line="240" w:lineRule="auto"/>
                    <w:ind w:firstLine="0" w:firstLineChars="0"/>
                    <w:jc w:val="center"/>
                    <w:rPr>
                      <w:sz w:val="21"/>
                      <w:szCs w:val="21"/>
                    </w:rPr>
                  </w:pPr>
                  <w:r>
                    <w:rPr>
                      <w:sz w:val="21"/>
                      <w:szCs w:val="21"/>
                    </w:rPr>
                    <w:t>重型运输车</w:t>
                  </w:r>
                </w:p>
              </w:tc>
              <w:tc>
                <w:tcPr>
                  <w:tcW w:w="1261" w:type="pct"/>
                  <w:vAlign w:val="center"/>
                </w:tcPr>
                <w:p w14:paraId="60EF3FA4">
                  <w:pPr>
                    <w:adjustRightInd w:val="0"/>
                    <w:snapToGrid w:val="0"/>
                    <w:spacing w:line="240" w:lineRule="auto"/>
                    <w:ind w:firstLine="0" w:firstLineChars="0"/>
                    <w:jc w:val="center"/>
                    <w:rPr>
                      <w:sz w:val="21"/>
                      <w:szCs w:val="21"/>
                    </w:rPr>
                  </w:pPr>
                  <w:r>
                    <w:rPr>
                      <w:sz w:val="21"/>
                      <w:szCs w:val="21"/>
                    </w:rPr>
                    <w:t>82～90</w:t>
                  </w:r>
                </w:p>
              </w:tc>
              <w:tc>
                <w:tcPr>
                  <w:tcW w:w="1833" w:type="pct"/>
                  <w:vAlign w:val="center"/>
                </w:tcPr>
                <w:p w14:paraId="55694DF2">
                  <w:pPr>
                    <w:adjustRightInd w:val="0"/>
                    <w:snapToGrid w:val="0"/>
                    <w:spacing w:line="240" w:lineRule="auto"/>
                    <w:ind w:firstLine="0" w:firstLineChars="0"/>
                    <w:jc w:val="center"/>
                    <w:rPr>
                      <w:sz w:val="21"/>
                      <w:szCs w:val="21"/>
                    </w:rPr>
                  </w:pPr>
                  <w:r>
                    <w:rPr>
                      <w:sz w:val="21"/>
                      <w:szCs w:val="21"/>
                    </w:rPr>
                    <w:t>5</w:t>
                  </w:r>
                </w:p>
              </w:tc>
            </w:tr>
          </w:tbl>
          <w:p w14:paraId="05A5097F">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施工期一般为露天作业，声源较高，由于施工场地内机械设备大多属于移动声源，要准确预测施工场地各场界噪声值较困难。施工机械噪声可近似点声源处理，为了反映施工机械噪声对环境的影响， 利用距离传播衰减模式预测施工机械噪声距离厂界处的噪声值，公式为：</w:t>
            </w:r>
          </w:p>
          <w:p w14:paraId="276A0F00">
            <w:pPr>
              <w:pStyle w:val="55"/>
              <w:ind w:firstLine="960" w:firstLineChars="400"/>
              <w:rPr>
                <w:color w:val="000000" w:themeColor="text1"/>
                <w14:textFill>
                  <w14:solidFill>
                    <w14:schemeClr w14:val="tx1"/>
                  </w14:solidFill>
                </w14:textFill>
              </w:rPr>
            </w:pPr>
            <w:r>
              <w:rPr>
                <w:color w:val="000000" w:themeColor="text1"/>
                <w14:textFill>
                  <w14:solidFill>
                    <w14:schemeClr w14:val="tx1"/>
                  </w14:solidFill>
                </w14:textFill>
              </w:rPr>
              <w:t>L</w:t>
            </w:r>
            <w:r>
              <w:rPr>
                <w:rFonts w:hint="eastAsia"/>
                <w:color w:val="000000" w:themeColor="text1"/>
                <w:vertAlign w:val="subscript"/>
                <w14:textFill>
                  <w14:solidFill>
                    <w14:schemeClr w14:val="tx1"/>
                  </w14:solidFill>
                </w14:textFill>
              </w:rPr>
              <w:t>A</w:t>
            </w:r>
            <w:r>
              <w:rPr>
                <w:rFonts w:hint="eastAsia"/>
                <w:color w:val="000000" w:themeColor="text1"/>
                <w14:textFill>
                  <w14:solidFill>
                    <w14:schemeClr w14:val="tx1"/>
                  </w14:solidFill>
                </w14:textFill>
              </w:rPr>
              <w:t>（r）</w:t>
            </w:r>
            <w:r>
              <w:rPr>
                <w:color w:val="000000" w:themeColor="text1"/>
                <w14:textFill>
                  <w14:solidFill>
                    <w14:schemeClr w14:val="tx1"/>
                  </w14:solidFill>
                </w14:textFill>
              </w:rPr>
              <w:t>=L</w:t>
            </w:r>
            <w:r>
              <w:rPr>
                <w:rFonts w:hint="eastAsia"/>
                <w:color w:val="000000" w:themeColor="text1"/>
                <w:vertAlign w:val="subscript"/>
                <w14:textFill>
                  <w14:solidFill>
                    <w14:schemeClr w14:val="tx1"/>
                  </w14:solidFill>
                </w14:textFill>
              </w:rPr>
              <w:t>A</w:t>
            </w:r>
            <w:r>
              <w:rPr>
                <w:rFonts w:hint="eastAsia"/>
                <w:color w:val="000000" w:themeColor="text1"/>
                <w14:textFill>
                  <w14:solidFill>
                    <w14:schemeClr w14:val="tx1"/>
                  </w14:solidFill>
                </w14:textFill>
              </w:rPr>
              <w:t>（r</w:t>
            </w:r>
            <w:r>
              <w:rPr>
                <w:rFonts w:hint="eastAsia"/>
                <w:color w:val="000000" w:themeColor="text1"/>
                <w:vertAlign w:val="subscript"/>
                <w14:textFill>
                  <w14:solidFill>
                    <w14:schemeClr w14:val="tx1"/>
                  </w14:solidFill>
                </w14:textFill>
              </w:rPr>
              <w:t>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-20lg(r/r0)</w:t>
            </w:r>
          </w:p>
          <w:p w14:paraId="2ACE3FE1">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式中：L</w:t>
            </w:r>
            <w:r>
              <w:rPr>
                <w:rFonts w:hint="eastAsia"/>
                <w:color w:val="000000" w:themeColor="text1"/>
                <w:vertAlign w:val="subscript"/>
                <w14:textFill>
                  <w14:solidFill>
                    <w14:schemeClr w14:val="tx1"/>
                  </w14:solidFill>
                </w14:textFill>
              </w:rPr>
              <w:t>A</w:t>
            </w:r>
            <w:r>
              <w:rPr>
                <w:rFonts w:hint="eastAsia"/>
                <w:color w:val="000000" w:themeColor="text1"/>
                <w14:textFill>
                  <w14:solidFill>
                    <w14:schemeClr w14:val="tx1"/>
                  </w14:solidFill>
                </w14:textFill>
              </w:rPr>
              <w:t>（r）</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距离r处的</w:t>
            </w:r>
            <w:r>
              <w:rPr>
                <w:color w:val="000000" w:themeColor="text1"/>
                <w14:textFill>
                  <w14:solidFill>
                    <w14:schemeClr w14:val="tx1"/>
                  </w14:solidFill>
                </w14:textFill>
              </w:rPr>
              <w:t>声</w:t>
            </w:r>
            <w:r>
              <w:rPr>
                <w:rFonts w:hint="eastAsia"/>
                <w:color w:val="000000" w:themeColor="text1"/>
                <w14:textFill>
                  <w14:solidFill>
                    <w14:schemeClr w14:val="tx1"/>
                  </w14:solidFill>
                </w14:textFill>
              </w:rPr>
              <w:t>级</w:t>
            </w:r>
            <w:r>
              <w:rPr>
                <w:color w:val="000000" w:themeColor="text1"/>
                <w14:textFill>
                  <w14:solidFill>
                    <w14:schemeClr w14:val="tx1"/>
                  </w14:solidFill>
                </w14:textFill>
              </w:rPr>
              <w:t>，dB(A)；</w:t>
            </w:r>
          </w:p>
          <w:p w14:paraId="45755C27">
            <w:pPr>
              <w:pStyle w:val="55"/>
              <w:ind w:firstLine="960" w:firstLineChars="400"/>
              <w:rPr>
                <w:color w:val="000000" w:themeColor="text1"/>
                <w14:textFill>
                  <w14:solidFill>
                    <w14:schemeClr w14:val="tx1"/>
                  </w14:solidFill>
                </w14:textFill>
              </w:rPr>
            </w:pPr>
            <w:r>
              <w:rPr>
                <w:color w:val="000000" w:themeColor="text1"/>
                <w14:textFill>
                  <w14:solidFill>
                    <w14:schemeClr w14:val="tx1"/>
                  </w14:solidFill>
                </w14:textFill>
              </w:rPr>
              <w:t>L</w:t>
            </w:r>
            <w:r>
              <w:rPr>
                <w:rFonts w:hint="eastAsia"/>
                <w:color w:val="000000" w:themeColor="text1"/>
                <w:vertAlign w:val="subscript"/>
                <w14:textFill>
                  <w14:solidFill>
                    <w14:schemeClr w14:val="tx1"/>
                  </w14:solidFill>
                </w14:textFill>
              </w:rPr>
              <w:t>A</w:t>
            </w:r>
            <w:r>
              <w:rPr>
                <w:rFonts w:hint="eastAsia"/>
                <w:color w:val="000000" w:themeColor="text1"/>
                <w14:textFill>
                  <w14:solidFill>
                    <w14:schemeClr w14:val="tx1"/>
                  </w14:solidFill>
                </w14:textFill>
              </w:rPr>
              <w:t>（r</w:t>
            </w:r>
            <w:r>
              <w:rPr>
                <w:rFonts w:hint="eastAsia"/>
                <w:color w:val="000000" w:themeColor="text1"/>
                <w:vertAlign w:val="subscript"/>
                <w14:textFill>
                  <w14:solidFill>
                    <w14:schemeClr w14:val="tx1"/>
                  </w14:solidFill>
                </w14:textFill>
              </w:rPr>
              <w:t>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参测点的噪声值</w:t>
            </w:r>
            <w:r>
              <w:rPr>
                <w:color w:val="000000" w:themeColor="text1"/>
                <w14:textFill>
                  <w14:solidFill>
                    <w14:schemeClr w14:val="tx1"/>
                  </w14:solidFill>
                </w14:textFill>
              </w:rPr>
              <w:t>，dB(A)；</w:t>
            </w:r>
          </w:p>
          <w:p w14:paraId="425D0D99">
            <w:pPr>
              <w:pStyle w:val="55"/>
              <w:ind w:firstLine="960" w:firstLineChars="400"/>
              <w:rPr>
                <w:color w:val="000000" w:themeColor="text1"/>
                <w14:textFill>
                  <w14:solidFill>
                    <w14:schemeClr w14:val="tx1"/>
                  </w14:solidFill>
                </w14:textFill>
              </w:rPr>
            </w:pPr>
            <w:r>
              <w:rPr>
                <w:color w:val="000000" w:themeColor="text1"/>
                <w14:textFill>
                  <w14:solidFill>
                    <w14:schemeClr w14:val="tx1"/>
                  </w14:solidFill>
                </w14:textFill>
              </w:rPr>
              <w:t>r—预测点</w:t>
            </w:r>
            <w:r>
              <w:rPr>
                <w:rFonts w:hint="eastAsia"/>
                <w:color w:val="000000" w:themeColor="text1"/>
                <w14:textFill>
                  <w14:solidFill>
                    <w14:schemeClr w14:val="tx1"/>
                  </w14:solidFill>
                </w14:textFill>
              </w:rPr>
              <w:t>距</w:t>
            </w:r>
            <w:r>
              <w:rPr>
                <w:color w:val="000000" w:themeColor="text1"/>
                <w14:textFill>
                  <w14:solidFill>
                    <w14:schemeClr w14:val="tx1"/>
                  </w14:solidFill>
                </w14:textFill>
              </w:rPr>
              <w:t>声源</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距离，m；</w:t>
            </w:r>
          </w:p>
          <w:p w14:paraId="06DF80B9">
            <w:pPr>
              <w:pStyle w:val="55"/>
              <w:ind w:firstLine="960" w:firstLineChars="400"/>
              <w:rPr>
                <w:color w:val="000000" w:themeColor="text1"/>
                <w14:textFill>
                  <w14:solidFill>
                    <w14:schemeClr w14:val="tx1"/>
                  </w14:solidFill>
                </w14:textFill>
              </w:rPr>
            </w:pPr>
            <w:r>
              <w:rPr>
                <w:color w:val="000000" w:themeColor="text1"/>
                <w14:textFill>
                  <w14:solidFill>
                    <w14:schemeClr w14:val="tx1"/>
                  </w14:solidFill>
                </w14:textFill>
              </w:rPr>
              <w:t>r</w:t>
            </w:r>
            <w:r>
              <w:rPr>
                <w:color w:val="000000" w:themeColor="text1"/>
                <w:vertAlign w:val="subscript"/>
                <w14:textFill>
                  <w14:solidFill>
                    <w14:schemeClr w14:val="tx1"/>
                  </w14:solidFill>
                </w14:textFill>
              </w:rPr>
              <w:t>0</w:t>
            </w:r>
            <w:r>
              <w:rPr>
                <w:color w:val="000000" w:themeColor="text1"/>
                <w14:textFill>
                  <w14:solidFill>
                    <w14:schemeClr w14:val="tx1"/>
                  </w14:solidFill>
                </w14:textFill>
              </w:rPr>
              <w:t>— 参考</w:t>
            </w:r>
            <w:r>
              <w:rPr>
                <w:rFonts w:hint="eastAsia"/>
                <w:color w:val="000000" w:themeColor="text1"/>
                <w14:textFill>
                  <w14:solidFill>
                    <w14:schemeClr w14:val="tx1"/>
                  </w14:solidFill>
                </w14:textFill>
              </w:rPr>
              <w:t>位置距声源的距离</w:t>
            </w:r>
            <w:r>
              <w:rPr>
                <w:color w:val="000000" w:themeColor="text1"/>
                <w14:textFill>
                  <w14:solidFill>
                    <w14:schemeClr w14:val="tx1"/>
                  </w14:solidFill>
                </w14:textFill>
              </w:rPr>
              <w:t>，m。</w:t>
            </w:r>
          </w:p>
          <w:p w14:paraId="475A0064">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根据上述公式，预测结果见表4-2所示。</w:t>
            </w:r>
          </w:p>
          <w:p w14:paraId="62CDC53B">
            <w:pPr>
              <w:adjustRightInd w:val="0"/>
              <w:snapToGrid w:val="0"/>
              <w:spacing w:line="240" w:lineRule="auto"/>
              <w:ind w:firstLine="0" w:firstLineChars="0"/>
              <w:jc w:val="center"/>
              <w:rPr>
                <w:b/>
                <w:bCs/>
              </w:rPr>
            </w:pPr>
            <w:r>
              <w:rPr>
                <w:b/>
                <w:bCs/>
              </w:rPr>
              <w:t>表4-</w:t>
            </w:r>
            <w:r>
              <w:rPr>
                <w:rFonts w:hint="eastAsia"/>
                <w:b/>
                <w:bCs/>
              </w:rPr>
              <w:t>2</w:t>
            </w:r>
            <w:r>
              <w:rPr>
                <w:b/>
                <w:bCs/>
              </w:rPr>
              <w:t xml:space="preserve">  噪声影响范围预测结果    单位：dB（A）</w:t>
            </w:r>
          </w:p>
          <w:tbl>
            <w:tblPr>
              <w:tblStyle w:val="25"/>
              <w:tblW w:w="76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819"/>
              <w:gridCol w:w="709"/>
              <w:gridCol w:w="845"/>
              <w:gridCol w:w="873"/>
              <w:gridCol w:w="688"/>
              <w:gridCol w:w="902"/>
              <w:gridCol w:w="902"/>
              <w:gridCol w:w="904"/>
            </w:tblGrid>
            <w:tr w14:paraId="33963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dxa"/>
                  <w:vMerge w:val="restart"/>
                  <w:vAlign w:val="center"/>
                </w:tcPr>
                <w:p w14:paraId="0B145E86">
                  <w:pPr>
                    <w:spacing w:line="240" w:lineRule="auto"/>
                    <w:ind w:firstLine="0" w:firstLineChars="0"/>
                    <w:jc w:val="center"/>
                  </w:pPr>
                  <w:r>
                    <w:rPr>
                      <w:rFonts w:hint="eastAsia"/>
                      <w:b/>
                      <w:bCs/>
                      <w:sz w:val="21"/>
                      <w:szCs w:val="21"/>
                    </w:rPr>
                    <w:t>噪声源</w:t>
                  </w:r>
                </w:p>
              </w:tc>
              <w:tc>
                <w:tcPr>
                  <w:tcW w:w="6642" w:type="dxa"/>
                  <w:gridSpan w:val="8"/>
                  <w:vAlign w:val="center"/>
                </w:tcPr>
                <w:p w14:paraId="277AF859">
                  <w:pPr>
                    <w:spacing w:line="240" w:lineRule="auto"/>
                    <w:ind w:firstLine="0" w:firstLineChars="0"/>
                    <w:jc w:val="center"/>
                    <w:rPr>
                      <w:b/>
                      <w:bCs/>
                      <w:sz w:val="21"/>
                      <w:szCs w:val="21"/>
                    </w:rPr>
                  </w:pPr>
                  <w:r>
                    <w:rPr>
                      <w:b/>
                      <w:bCs/>
                      <w:sz w:val="21"/>
                      <w:szCs w:val="21"/>
                    </w:rPr>
                    <w:t>距声源距离</w:t>
                  </w:r>
                </w:p>
              </w:tc>
            </w:tr>
            <w:tr w14:paraId="135B7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dxa"/>
                  <w:vMerge w:val="continue"/>
                  <w:vAlign w:val="center"/>
                </w:tcPr>
                <w:p w14:paraId="246D536A">
                  <w:pPr>
                    <w:spacing w:line="240" w:lineRule="auto"/>
                    <w:ind w:firstLine="0" w:firstLineChars="0"/>
                    <w:jc w:val="center"/>
                    <w:rPr>
                      <w:b/>
                      <w:bCs/>
                      <w:sz w:val="21"/>
                      <w:szCs w:val="21"/>
                    </w:rPr>
                  </w:pPr>
                </w:p>
              </w:tc>
              <w:tc>
                <w:tcPr>
                  <w:tcW w:w="819" w:type="dxa"/>
                  <w:vAlign w:val="center"/>
                </w:tcPr>
                <w:p w14:paraId="1125BDF6">
                  <w:pPr>
                    <w:spacing w:line="240" w:lineRule="auto"/>
                    <w:ind w:firstLine="0" w:firstLineChars="0"/>
                    <w:jc w:val="center"/>
                    <w:rPr>
                      <w:b/>
                      <w:bCs/>
                      <w:sz w:val="21"/>
                      <w:szCs w:val="21"/>
                    </w:rPr>
                  </w:pPr>
                  <w:r>
                    <w:rPr>
                      <w:b/>
                      <w:bCs/>
                      <w:sz w:val="21"/>
                      <w:szCs w:val="21"/>
                    </w:rPr>
                    <w:t>10</w:t>
                  </w:r>
                </w:p>
              </w:tc>
              <w:tc>
                <w:tcPr>
                  <w:tcW w:w="709" w:type="dxa"/>
                  <w:vAlign w:val="center"/>
                </w:tcPr>
                <w:p w14:paraId="6FF53F89">
                  <w:pPr>
                    <w:spacing w:line="240" w:lineRule="auto"/>
                    <w:ind w:firstLine="0" w:firstLineChars="0"/>
                    <w:jc w:val="center"/>
                    <w:rPr>
                      <w:b/>
                      <w:bCs/>
                      <w:sz w:val="21"/>
                      <w:szCs w:val="21"/>
                    </w:rPr>
                  </w:pPr>
                  <w:r>
                    <w:rPr>
                      <w:b/>
                      <w:bCs/>
                      <w:sz w:val="21"/>
                      <w:szCs w:val="21"/>
                    </w:rPr>
                    <w:t>20</w:t>
                  </w:r>
                </w:p>
              </w:tc>
              <w:tc>
                <w:tcPr>
                  <w:tcW w:w="845" w:type="dxa"/>
                  <w:vAlign w:val="center"/>
                </w:tcPr>
                <w:p w14:paraId="2E935B50">
                  <w:pPr>
                    <w:spacing w:line="240" w:lineRule="auto"/>
                    <w:ind w:firstLine="0" w:firstLineChars="0"/>
                    <w:jc w:val="center"/>
                    <w:rPr>
                      <w:b/>
                      <w:bCs/>
                      <w:sz w:val="21"/>
                      <w:szCs w:val="21"/>
                    </w:rPr>
                  </w:pPr>
                  <w:r>
                    <w:rPr>
                      <w:b/>
                      <w:bCs/>
                      <w:sz w:val="21"/>
                      <w:szCs w:val="21"/>
                    </w:rPr>
                    <w:t>40</w:t>
                  </w:r>
                </w:p>
              </w:tc>
              <w:tc>
                <w:tcPr>
                  <w:tcW w:w="873" w:type="dxa"/>
                  <w:vAlign w:val="center"/>
                </w:tcPr>
                <w:p w14:paraId="6622DF4E">
                  <w:pPr>
                    <w:spacing w:line="240" w:lineRule="auto"/>
                    <w:ind w:firstLine="0" w:firstLineChars="0"/>
                    <w:jc w:val="center"/>
                    <w:rPr>
                      <w:b/>
                      <w:bCs/>
                      <w:sz w:val="21"/>
                      <w:szCs w:val="21"/>
                    </w:rPr>
                  </w:pPr>
                  <w:r>
                    <w:rPr>
                      <w:b/>
                      <w:bCs/>
                      <w:sz w:val="21"/>
                      <w:szCs w:val="21"/>
                    </w:rPr>
                    <w:t>80</w:t>
                  </w:r>
                </w:p>
              </w:tc>
              <w:tc>
                <w:tcPr>
                  <w:tcW w:w="688" w:type="dxa"/>
                  <w:vAlign w:val="center"/>
                </w:tcPr>
                <w:p w14:paraId="62DDABF8">
                  <w:pPr>
                    <w:spacing w:line="240" w:lineRule="auto"/>
                    <w:ind w:firstLine="0" w:firstLineChars="0"/>
                    <w:jc w:val="center"/>
                    <w:rPr>
                      <w:b/>
                      <w:bCs/>
                      <w:sz w:val="21"/>
                      <w:szCs w:val="21"/>
                    </w:rPr>
                  </w:pPr>
                  <w:r>
                    <w:rPr>
                      <w:b/>
                      <w:bCs/>
                      <w:sz w:val="21"/>
                      <w:szCs w:val="21"/>
                    </w:rPr>
                    <w:t>100</w:t>
                  </w:r>
                </w:p>
              </w:tc>
              <w:tc>
                <w:tcPr>
                  <w:tcW w:w="902" w:type="dxa"/>
                  <w:vAlign w:val="center"/>
                </w:tcPr>
                <w:p w14:paraId="6D1B33DD">
                  <w:pPr>
                    <w:spacing w:line="240" w:lineRule="auto"/>
                    <w:ind w:firstLine="0" w:firstLineChars="0"/>
                    <w:jc w:val="center"/>
                    <w:rPr>
                      <w:b/>
                      <w:bCs/>
                      <w:sz w:val="21"/>
                      <w:szCs w:val="21"/>
                    </w:rPr>
                  </w:pPr>
                  <w:r>
                    <w:rPr>
                      <w:b/>
                      <w:bCs/>
                      <w:sz w:val="21"/>
                      <w:szCs w:val="21"/>
                    </w:rPr>
                    <w:t>150</w:t>
                  </w:r>
                </w:p>
              </w:tc>
              <w:tc>
                <w:tcPr>
                  <w:tcW w:w="902" w:type="dxa"/>
                  <w:vAlign w:val="center"/>
                </w:tcPr>
                <w:p w14:paraId="47A19F45">
                  <w:pPr>
                    <w:spacing w:line="240" w:lineRule="auto"/>
                    <w:ind w:firstLine="0" w:firstLineChars="0"/>
                    <w:jc w:val="center"/>
                    <w:rPr>
                      <w:b/>
                      <w:bCs/>
                      <w:sz w:val="21"/>
                      <w:szCs w:val="21"/>
                    </w:rPr>
                  </w:pPr>
                  <w:r>
                    <w:rPr>
                      <w:b/>
                      <w:bCs/>
                      <w:sz w:val="21"/>
                      <w:szCs w:val="21"/>
                    </w:rPr>
                    <w:t>200</w:t>
                  </w:r>
                </w:p>
              </w:tc>
              <w:tc>
                <w:tcPr>
                  <w:tcW w:w="904" w:type="dxa"/>
                  <w:vAlign w:val="center"/>
                </w:tcPr>
                <w:p w14:paraId="1E67E8D2">
                  <w:pPr>
                    <w:spacing w:line="240" w:lineRule="auto"/>
                    <w:ind w:firstLine="0" w:firstLineChars="0"/>
                    <w:jc w:val="center"/>
                    <w:rPr>
                      <w:b/>
                      <w:bCs/>
                      <w:sz w:val="21"/>
                      <w:szCs w:val="21"/>
                    </w:rPr>
                  </w:pPr>
                  <w:r>
                    <w:rPr>
                      <w:b/>
                      <w:bCs/>
                      <w:sz w:val="21"/>
                      <w:szCs w:val="21"/>
                    </w:rPr>
                    <w:t>400</w:t>
                  </w:r>
                </w:p>
              </w:tc>
            </w:tr>
            <w:tr w14:paraId="7394C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dxa"/>
                  <w:vAlign w:val="center"/>
                </w:tcPr>
                <w:p w14:paraId="35E81E36">
                  <w:pPr>
                    <w:adjustRightInd w:val="0"/>
                    <w:snapToGrid w:val="0"/>
                    <w:spacing w:line="240" w:lineRule="auto"/>
                    <w:ind w:firstLine="0" w:firstLineChars="0"/>
                    <w:jc w:val="center"/>
                    <w:rPr>
                      <w:sz w:val="21"/>
                      <w:szCs w:val="21"/>
                    </w:rPr>
                  </w:pPr>
                  <w:r>
                    <w:rPr>
                      <w:sz w:val="21"/>
                      <w:szCs w:val="21"/>
                    </w:rPr>
                    <w:t>轮式装载机</w:t>
                  </w:r>
                </w:p>
              </w:tc>
              <w:tc>
                <w:tcPr>
                  <w:tcW w:w="819" w:type="dxa"/>
                  <w:vAlign w:val="center"/>
                </w:tcPr>
                <w:p w14:paraId="24DBE120">
                  <w:pPr>
                    <w:adjustRightInd w:val="0"/>
                    <w:snapToGrid w:val="0"/>
                    <w:spacing w:line="240" w:lineRule="auto"/>
                    <w:ind w:firstLine="0" w:firstLineChars="0"/>
                    <w:jc w:val="center"/>
                    <w:rPr>
                      <w:sz w:val="21"/>
                      <w:szCs w:val="21"/>
                    </w:rPr>
                  </w:pPr>
                  <w:r>
                    <w:rPr>
                      <w:sz w:val="21"/>
                      <w:szCs w:val="21"/>
                    </w:rPr>
                    <w:t>89</w:t>
                  </w:r>
                </w:p>
              </w:tc>
              <w:tc>
                <w:tcPr>
                  <w:tcW w:w="709" w:type="dxa"/>
                  <w:vAlign w:val="center"/>
                </w:tcPr>
                <w:p w14:paraId="2258447F">
                  <w:pPr>
                    <w:adjustRightInd w:val="0"/>
                    <w:snapToGrid w:val="0"/>
                    <w:spacing w:line="240" w:lineRule="auto"/>
                    <w:ind w:firstLine="0" w:firstLineChars="0"/>
                    <w:jc w:val="center"/>
                    <w:rPr>
                      <w:sz w:val="21"/>
                      <w:szCs w:val="21"/>
                    </w:rPr>
                  </w:pPr>
                  <w:r>
                    <w:rPr>
                      <w:sz w:val="21"/>
                      <w:szCs w:val="21"/>
                    </w:rPr>
                    <w:t>83</w:t>
                  </w:r>
                </w:p>
              </w:tc>
              <w:tc>
                <w:tcPr>
                  <w:tcW w:w="845" w:type="dxa"/>
                  <w:vAlign w:val="center"/>
                </w:tcPr>
                <w:p w14:paraId="2F4874A2">
                  <w:pPr>
                    <w:adjustRightInd w:val="0"/>
                    <w:snapToGrid w:val="0"/>
                    <w:spacing w:line="240" w:lineRule="auto"/>
                    <w:ind w:firstLine="0" w:firstLineChars="0"/>
                    <w:jc w:val="center"/>
                    <w:rPr>
                      <w:sz w:val="21"/>
                      <w:szCs w:val="21"/>
                    </w:rPr>
                  </w:pPr>
                  <w:r>
                    <w:rPr>
                      <w:sz w:val="21"/>
                      <w:szCs w:val="21"/>
                    </w:rPr>
                    <w:t>77</w:t>
                  </w:r>
                </w:p>
              </w:tc>
              <w:tc>
                <w:tcPr>
                  <w:tcW w:w="873" w:type="dxa"/>
                  <w:vAlign w:val="center"/>
                </w:tcPr>
                <w:p w14:paraId="09AF430C">
                  <w:pPr>
                    <w:adjustRightInd w:val="0"/>
                    <w:snapToGrid w:val="0"/>
                    <w:spacing w:line="240" w:lineRule="auto"/>
                    <w:ind w:firstLine="0" w:firstLineChars="0"/>
                    <w:jc w:val="center"/>
                    <w:rPr>
                      <w:sz w:val="21"/>
                      <w:szCs w:val="21"/>
                    </w:rPr>
                  </w:pPr>
                  <w:r>
                    <w:rPr>
                      <w:sz w:val="21"/>
                      <w:szCs w:val="21"/>
                    </w:rPr>
                    <w:t>71</w:t>
                  </w:r>
                </w:p>
              </w:tc>
              <w:tc>
                <w:tcPr>
                  <w:tcW w:w="688" w:type="dxa"/>
                  <w:vAlign w:val="center"/>
                </w:tcPr>
                <w:p w14:paraId="23ABCED2">
                  <w:pPr>
                    <w:adjustRightInd w:val="0"/>
                    <w:snapToGrid w:val="0"/>
                    <w:spacing w:line="240" w:lineRule="auto"/>
                    <w:ind w:firstLine="0" w:firstLineChars="0"/>
                    <w:jc w:val="center"/>
                    <w:rPr>
                      <w:sz w:val="21"/>
                      <w:szCs w:val="21"/>
                    </w:rPr>
                  </w:pPr>
                  <w:r>
                    <w:rPr>
                      <w:sz w:val="21"/>
                      <w:szCs w:val="21"/>
                    </w:rPr>
                    <w:t>69</w:t>
                  </w:r>
                </w:p>
              </w:tc>
              <w:tc>
                <w:tcPr>
                  <w:tcW w:w="902" w:type="dxa"/>
                  <w:vAlign w:val="center"/>
                </w:tcPr>
                <w:p w14:paraId="112A0F41">
                  <w:pPr>
                    <w:adjustRightInd w:val="0"/>
                    <w:snapToGrid w:val="0"/>
                    <w:spacing w:line="240" w:lineRule="auto"/>
                    <w:ind w:firstLine="0" w:firstLineChars="0"/>
                    <w:jc w:val="center"/>
                    <w:rPr>
                      <w:sz w:val="21"/>
                      <w:szCs w:val="21"/>
                    </w:rPr>
                  </w:pPr>
                  <w:r>
                    <w:rPr>
                      <w:sz w:val="21"/>
                      <w:szCs w:val="21"/>
                    </w:rPr>
                    <w:t>65</w:t>
                  </w:r>
                </w:p>
              </w:tc>
              <w:tc>
                <w:tcPr>
                  <w:tcW w:w="902" w:type="dxa"/>
                  <w:vAlign w:val="center"/>
                </w:tcPr>
                <w:p w14:paraId="1597F699">
                  <w:pPr>
                    <w:adjustRightInd w:val="0"/>
                    <w:snapToGrid w:val="0"/>
                    <w:spacing w:line="240" w:lineRule="auto"/>
                    <w:ind w:firstLine="0" w:firstLineChars="0"/>
                    <w:jc w:val="center"/>
                    <w:rPr>
                      <w:sz w:val="21"/>
                      <w:szCs w:val="21"/>
                    </w:rPr>
                  </w:pPr>
                  <w:r>
                    <w:rPr>
                      <w:sz w:val="21"/>
                      <w:szCs w:val="21"/>
                    </w:rPr>
                    <w:t>63</w:t>
                  </w:r>
                </w:p>
              </w:tc>
              <w:tc>
                <w:tcPr>
                  <w:tcW w:w="904" w:type="dxa"/>
                  <w:vAlign w:val="center"/>
                </w:tcPr>
                <w:p w14:paraId="01DC1817">
                  <w:pPr>
                    <w:adjustRightInd w:val="0"/>
                    <w:snapToGrid w:val="0"/>
                    <w:spacing w:line="240" w:lineRule="auto"/>
                    <w:ind w:firstLine="0" w:firstLineChars="0"/>
                    <w:jc w:val="center"/>
                    <w:rPr>
                      <w:sz w:val="21"/>
                      <w:szCs w:val="21"/>
                    </w:rPr>
                  </w:pPr>
                  <w:r>
                    <w:rPr>
                      <w:sz w:val="21"/>
                      <w:szCs w:val="21"/>
                    </w:rPr>
                    <w:t>55</w:t>
                  </w:r>
                </w:p>
              </w:tc>
            </w:tr>
            <w:tr w14:paraId="0B2D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dxa"/>
                  <w:vAlign w:val="center"/>
                </w:tcPr>
                <w:p w14:paraId="2DED0A23">
                  <w:pPr>
                    <w:adjustRightInd w:val="0"/>
                    <w:snapToGrid w:val="0"/>
                    <w:spacing w:line="240" w:lineRule="auto"/>
                    <w:ind w:firstLine="0" w:firstLineChars="0"/>
                    <w:jc w:val="center"/>
                    <w:rPr>
                      <w:sz w:val="21"/>
                      <w:szCs w:val="21"/>
                    </w:rPr>
                  </w:pPr>
                  <w:r>
                    <w:rPr>
                      <w:sz w:val="21"/>
                      <w:szCs w:val="21"/>
                    </w:rPr>
                    <w:t>挖掘机</w:t>
                  </w:r>
                </w:p>
              </w:tc>
              <w:tc>
                <w:tcPr>
                  <w:tcW w:w="819" w:type="dxa"/>
                  <w:vAlign w:val="center"/>
                </w:tcPr>
                <w:p w14:paraId="79AAA99E">
                  <w:pPr>
                    <w:adjustRightInd w:val="0"/>
                    <w:snapToGrid w:val="0"/>
                    <w:spacing w:line="240" w:lineRule="auto"/>
                    <w:ind w:firstLine="0" w:firstLineChars="0"/>
                    <w:jc w:val="center"/>
                    <w:rPr>
                      <w:sz w:val="21"/>
                      <w:szCs w:val="21"/>
                    </w:rPr>
                  </w:pPr>
                  <w:r>
                    <w:rPr>
                      <w:sz w:val="21"/>
                      <w:szCs w:val="21"/>
                    </w:rPr>
                    <w:t>80</w:t>
                  </w:r>
                </w:p>
              </w:tc>
              <w:tc>
                <w:tcPr>
                  <w:tcW w:w="709" w:type="dxa"/>
                  <w:vAlign w:val="center"/>
                </w:tcPr>
                <w:p w14:paraId="233A087D">
                  <w:pPr>
                    <w:adjustRightInd w:val="0"/>
                    <w:snapToGrid w:val="0"/>
                    <w:spacing w:line="240" w:lineRule="auto"/>
                    <w:ind w:firstLine="0" w:firstLineChars="0"/>
                    <w:jc w:val="center"/>
                    <w:rPr>
                      <w:sz w:val="21"/>
                      <w:szCs w:val="21"/>
                    </w:rPr>
                  </w:pPr>
                  <w:r>
                    <w:rPr>
                      <w:sz w:val="21"/>
                      <w:szCs w:val="21"/>
                    </w:rPr>
                    <w:t>74</w:t>
                  </w:r>
                </w:p>
              </w:tc>
              <w:tc>
                <w:tcPr>
                  <w:tcW w:w="845" w:type="dxa"/>
                  <w:vAlign w:val="center"/>
                </w:tcPr>
                <w:p w14:paraId="04646115">
                  <w:pPr>
                    <w:adjustRightInd w:val="0"/>
                    <w:snapToGrid w:val="0"/>
                    <w:spacing w:line="240" w:lineRule="auto"/>
                    <w:ind w:firstLine="0" w:firstLineChars="0"/>
                    <w:jc w:val="center"/>
                    <w:rPr>
                      <w:sz w:val="21"/>
                      <w:szCs w:val="21"/>
                    </w:rPr>
                  </w:pPr>
                  <w:r>
                    <w:rPr>
                      <w:sz w:val="21"/>
                      <w:szCs w:val="21"/>
                    </w:rPr>
                    <w:t>68</w:t>
                  </w:r>
                </w:p>
              </w:tc>
              <w:tc>
                <w:tcPr>
                  <w:tcW w:w="873" w:type="dxa"/>
                  <w:vAlign w:val="center"/>
                </w:tcPr>
                <w:p w14:paraId="19ED028D">
                  <w:pPr>
                    <w:adjustRightInd w:val="0"/>
                    <w:snapToGrid w:val="0"/>
                    <w:spacing w:line="240" w:lineRule="auto"/>
                    <w:ind w:firstLine="0" w:firstLineChars="0"/>
                    <w:jc w:val="center"/>
                    <w:rPr>
                      <w:sz w:val="21"/>
                      <w:szCs w:val="21"/>
                    </w:rPr>
                  </w:pPr>
                  <w:r>
                    <w:rPr>
                      <w:sz w:val="21"/>
                      <w:szCs w:val="21"/>
                    </w:rPr>
                    <w:t>62</w:t>
                  </w:r>
                </w:p>
              </w:tc>
              <w:tc>
                <w:tcPr>
                  <w:tcW w:w="688" w:type="dxa"/>
                  <w:vAlign w:val="center"/>
                </w:tcPr>
                <w:p w14:paraId="34879D3C">
                  <w:pPr>
                    <w:adjustRightInd w:val="0"/>
                    <w:snapToGrid w:val="0"/>
                    <w:spacing w:line="240" w:lineRule="auto"/>
                    <w:ind w:firstLine="0" w:firstLineChars="0"/>
                    <w:jc w:val="center"/>
                    <w:rPr>
                      <w:sz w:val="21"/>
                      <w:szCs w:val="21"/>
                    </w:rPr>
                  </w:pPr>
                  <w:r>
                    <w:rPr>
                      <w:sz w:val="21"/>
                      <w:szCs w:val="21"/>
                    </w:rPr>
                    <w:t>60</w:t>
                  </w:r>
                </w:p>
              </w:tc>
              <w:tc>
                <w:tcPr>
                  <w:tcW w:w="902" w:type="dxa"/>
                  <w:vAlign w:val="center"/>
                </w:tcPr>
                <w:p w14:paraId="51A7E19C">
                  <w:pPr>
                    <w:adjustRightInd w:val="0"/>
                    <w:snapToGrid w:val="0"/>
                    <w:spacing w:line="240" w:lineRule="auto"/>
                    <w:ind w:firstLine="0" w:firstLineChars="0"/>
                    <w:jc w:val="center"/>
                    <w:rPr>
                      <w:sz w:val="21"/>
                      <w:szCs w:val="21"/>
                    </w:rPr>
                  </w:pPr>
                  <w:r>
                    <w:rPr>
                      <w:sz w:val="21"/>
                      <w:szCs w:val="21"/>
                    </w:rPr>
                    <w:t>56</w:t>
                  </w:r>
                </w:p>
              </w:tc>
              <w:tc>
                <w:tcPr>
                  <w:tcW w:w="902" w:type="dxa"/>
                  <w:vAlign w:val="center"/>
                </w:tcPr>
                <w:p w14:paraId="3086FD35">
                  <w:pPr>
                    <w:adjustRightInd w:val="0"/>
                    <w:snapToGrid w:val="0"/>
                    <w:spacing w:line="240" w:lineRule="auto"/>
                    <w:ind w:firstLine="0" w:firstLineChars="0"/>
                    <w:jc w:val="center"/>
                    <w:rPr>
                      <w:sz w:val="21"/>
                      <w:szCs w:val="21"/>
                    </w:rPr>
                  </w:pPr>
                  <w:r>
                    <w:rPr>
                      <w:sz w:val="21"/>
                      <w:szCs w:val="21"/>
                    </w:rPr>
                    <w:t>54</w:t>
                  </w:r>
                </w:p>
              </w:tc>
              <w:tc>
                <w:tcPr>
                  <w:tcW w:w="904" w:type="dxa"/>
                  <w:vAlign w:val="center"/>
                </w:tcPr>
                <w:p w14:paraId="45ACA46F">
                  <w:pPr>
                    <w:adjustRightInd w:val="0"/>
                    <w:snapToGrid w:val="0"/>
                    <w:spacing w:line="240" w:lineRule="auto"/>
                    <w:ind w:firstLine="0" w:firstLineChars="0"/>
                    <w:jc w:val="center"/>
                    <w:rPr>
                      <w:sz w:val="21"/>
                      <w:szCs w:val="21"/>
                    </w:rPr>
                  </w:pPr>
                  <w:r>
                    <w:rPr>
                      <w:sz w:val="21"/>
                      <w:szCs w:val="21"/>
                    </w:rPr>
                    <w:t>46</w:t>
                  </w:r>
                </w:p>
              </w:tc>
            </w:tr>
            <w:tr w14:paraId="6D984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dxa"/>
                  <w:vAlign w:val="center"/>
                </w:tcPr>
                <w:p w14:paraId="59CF3891">
                  <w:pPr>
                    <w:adjustRightInd w:val="0"/>
                    <w:snapToGrid w:val="0"/>
                    <w:spacing w:line="240" w:lineRule="auto"/>
                    <w:ind w:firstLine="0" w:firstLineChars="0"/>
                    <w:jc w:val="center"/>
                    <w:rPr>
                      <w:sz w:val="21"/>
                      <w:szCs w:val="21"/>
                    </w:rPr>
                  </w:pPr>
                  <w:r>
                    <w:rPr>
                      <w:sz w:val="21"/>
                      <w:szCs w:val="21"/>
                    </w:rPr>
                    <w:t>推土机</w:t>
                  </w:r>
                </w:p>
              </w:tc>
              <w:tc>
                <w:tcPr>
                  <w:tcW w:w="819" w:type="dxa"/>
                  <w:vAlign w:val="center"/>
                </w:tcPr>
                <w:p w14:paraId="7DBA05B0">
                  <w:pPr>
                    <w:adjustRightInd w:val="0"/>
                    <w:snapToGrid w:val="0"/>
                    <w:spacing w:line="240" w:lineRule="auto"/>
                    <w:ind w:firstLine="0" w:firstLineChars="0"/>
                    <w:jc w:val="center"/>
                    <w:rPr>
                      <w:sz w:val="21"/>
                      <w:szCs w:val="21"/>
                    </w:rPr>
                  </w:pPr>
                  <w:r>
                    <w:rPr>
                      <w:sz w:val="21"/>
                      <w:szCs w:val="21"/>
                    </w:rPr>
                    <w:t>82</w:t>
                  </w:r>
                </w:p>
              </w:tc>
              <w:tc>
                <w:tcPr>
                  <w:tcW w:w="709" w:type="dxa"/>
                  <w:vAlign w:val="center"/>
                </w:tcPr>
                <w:p w14:paraId="64792A2B">
                  <w:pPr>
                    <w:adjustRightInd w:val="0"/>
                    <w:snapToGrid w:val="0"/>
                    <w:spacing w:line="240" w:lineRule="auto"/>
                    <w:ind w:firstLine="0" w:firstLineChars="0"/>
                    <w:jc w:val="center"/>
                    <w:rPr>
                      <w:sz w:val="21"/>
                      <w:szCs w:val="21"/>
                    </w:rPr>
                  </w:pPr>
                  <w:r>
                    <w:rPr>
                      <w:sz w:val="21"/>
                      <w:szCs w:val="21"/>
                    </w:rPr>
                    <w:t>76</w:t>
                  </w:r>
                </w:p>
              </w:tc>
              <w:tc>
                <w:tcPr>
                  <w:tcW w:w="845" w:type="dxa"/>
                  <w:vAlign w:val="center"/>
                </w:tcPr>
                <w:p w14:paraId="1753AFEE">
                  <w:pPr>
                    <w:adjustRightInd w:val="0"/>
                    <w:snapToGrid w:val="0"/>
                    <w:spacing w:line="240" w:lineRule="auto"/>
                    <w:ind w:firstLine="0" w:firstLineChars="0"/>
                    <w:jc w:val="center"/>
                    <w:rPr>
                      <w:sz w:val="21"/>
                      <w:szCs w:val="21"/>
                    </w:rPr>
                  </w:pPr>
                  <w:r>
                    <w:rPr>
                      <w:sz w:val="21"/>
                      <w:szCs w:val="21"/>
                    </w:rPr>
                    <w:t>70</w:t>
                  </w:r>
                </w:p>
              </w:tc>
              <w:tc>
                <w:tcPr>
                  <w:tcW w:w="873" w:type="dxa"/>
                  <w:vAlign w:val="center"/>
                </w:tcPr>
                <w:p w14:paraId="0090FE0E">
                  <w:pPr>
                    <w:adjustRightInd w:val="0"/>
                    <w:snapToGrid w:val="0"/>
                    <w:spacing w:line="240" w:lineRule="auto"/>
                    <w:ind w:firstLine="0" w:firstLineChars="0"/>
                    <w:jc w:val="center"/>
                    <w:rPr>
                      <w:sz w:val="21"/>
                      <w:szCs w:val="21"/>
                    </w:rPr>
                  </w:pPr>
                  <w:r>
                    <w:rPr>
                      <w:sz w:val="21"/>
                      <w:szCs w:val="21"/>
                    </w:rPr>
                    <w:t>64</w:t>
                  </w:r>
                </w:p>
              </w:tc>
              <w:tc>
                <w:tcPr>
                  <w:tcW w:w="688" w:type="dxa"/>
                  <w:vAlign w:val="center"/>
                </w:tcPr>
                <w:p w14:paraId="556F023A">
                  <w:pPr>
                    <w:adjustRightInd w:val="0"/>
                    <w:snapToGrid w:val="0"/>
                    <w:spacing w:line="240" w:lineRule="auto"/>
                    <w:ind w:firstLine="0" w:firstLineChars="0"/>
                    <w:jc w:val="center"/>
                    <w:rPr>
                      <w:sz w:val="21"/>
                      <w:szCs w:val="21"/>
                    </w:rPr>
                  </w:pPr>
                  <w:r>
                    <w:rPr>
                      <w:sz w:val="21"/>
                      <w:szCs w:val="21"/>
                    </w:rPr>
                    <w:t>62</w:t>
                  </w:r>
                </w:p>
              </w:tc>
              <w:tc>
                <w:tcPr>
                  <w:tcW w:w="902" w:type="dxa"/>
                  <w:vAlign w:val="center"/>
                </w:tcPr>
                <w:p w14:paraId="1EB54C2E">
                  <w:pPr>
                    <w:adjustRightInd w:val="0"/>
                    <w:snapToGrid w:val="0"/>
                    <w:spacing w:line="240" w:lineRule="auto"/>
                    <w:ind w:firstLine="0" w:firstLineChars="0"/>
                    <w:jc w:val="center"/>
                    <w:rPr>
                      <w:sz w:val="21"/>
                      <w:szCs w:val="21"/>
                    </w:rPr>
                  </w:pPr>
                  <w:r>
                    <w:rPr>
                      <w:sz w:val="21"/>
                      <w:szCs w:val="21"/>
                    </w:rPr>
                    <w:t>58</w:t>
                  </w:r>
                </w:p>
              </w:tc>
              <w:tc>
                <w:tcPr>
                  <w:tcW w:w="902" w:type="dxa"/>
                  <w:vAlign w:val="center"/>
                </w:tcPr>
                <w:p w14:paraId="2C384F3D">
                  <w:pPr>
                    <w:adjustRightInd w:val="0"/>
                    <w:snapToGrid w:val="0"/>
                    <w:spacing w:line="240" w:lineRule="auto"/>
                    <w:ind w:firstLine="0" w:firstLineChars="0"/>
                    <w:jc w:val="center"/>
                    <w:rPr>
                      <w:sz w:val="21"/>
                      <w:szCs w:val="21"/>
                    </w:rPr>
                  </w:pPr>
                  <w:r>
                    <w:rPr>
                      <w:sz w:val="21"/>
                      <w:szCs w:val="21"/>
                    </w:rPr>
                    <w:t>56</w:t>
                  </w:r>
                </w:p>
              </w:tc>
              <w:tc>
                <w:tcPr>
                  <w:tcW w:w="904" w:type="dxa"/>
                  <w:vAlign w:val="center"/>
                </w:tcPr>
                <w:p w14:paraId="0744986D">
                  <w:pPr>
                    <w:adjustRightInd w:val="0"/>
                    <w:snapToGrid w:val="0"/>
                    <w:spacing w:line="240" w:lineRule="auto"/>
                    <w:ind w:firstLine="0" w:firstLineChars="0"/>
                    <w:jc w:val="center"/>
                    <w:rPr>
                      <w:sz w:val="21"/>
                      <w:szCs w:val="21"/>
                    </w:rPr>
                  </w:pPr>
                  <w:r>
                    <w:rPr>
                      <w:sz w:val="21"/>
                      <w:szCs w:val="21"/>
                    </w:rPr>
                    <w:t>48</w:t>
                  </w:r>
                </w:p>
              </w:tc>
            </w:tr>
            <w:tr w14:paraId="6BC0B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dxa"/>
                  <w:vAlign w:val="center"/>
                </w:tcPr>
                <w:p w14:paraId="0638D9BD">
                  <w:pPr>
                    <w:adjustRightInd w:val="0"/>
                    <w:snapToGrid w:val="0"/>
                    <w:spacing w:line="240" w:lineRule="auto"/>
                    <w:ind w:firstLine="0" w:firstLineChars="0"/>
                    <w:jc w:val="center"/>
                    <w:rPr>
                      <w:sz w:val="21"/>
                      <w:szCs w:val="21"/>
                    </w:rPr>
                  </w:pPr>
                  <w:r>
                    <w:rPr>
                      <w:sz w:val="21"/>
                      <w:szCs w:val="21"/>
                    </w:rPr>
                    <w:t>压路机</w:t>
                  </w:r>
                </w:p>
              </w:tc>
              <w:tc>
                <w:tcPr>
                  <w:tcW w:w="819" w:type="dxa"/>
                  <w:vAlign w:val="center"/>
                </w:tcPr>
                <w:p w14:paraId="4E05EE2B">
                  <w:pPr>
                    <w:adjustRightInd w:val="0"/>
                    <w:snapToGrid w:val="0"/>
                    <w:spacing w:line="240" w:lineRule="auto"/>
                    <w:ind w:firstLine="0" w:firstLineChars="0"/>
                    <w:jc w:val="center"/>
                    <w:rPr>
                      <w:sz w:val="21"/>
                      <w:szCs w:val="21"/>
                    </w:rPr>
                  </w:pPr>
                  <w:r>
                    <w:rPr>
                      <w:sz w:val="21"/>
                      <w:szCs w:val="21"/>
                    </w:rPr>
                    <w:t>82</w:t>
                  </w:r>
                </w:p>
              </w:tc>
              <w:tc>
                <w:tcPr>
                  <w:tcW w:w="709" w:type="dxa"/>
                  <w:vAlign w:val="center"/>
                </w:tcPr>
                <w:p w14:paraId="548EBE89">
                  <w:pPr>
                    <w:adjustRightInd w:val="0"/>
                    <w:snapToGrid w:val="0"/>
                    <w:spacing w:line="240" w:lineRule="auto"/>
                    <w:ind w:firstLine="0" w:firstLineChars="0"/>
                    <w:jc w:val="center"/>
                    <w:rPr>
                      <w:sz w:val="21"/>
                      <w:szCs w:val="21"/>
                    </w:rPr>
                  </w:pPr>
                  <w:r>
                    <w:rPr>
                      <w:sz w:val="21"/>
                      <w:szCs w:val="21"/>
                    </w:rPr>
                    <w:t>76</w:t>
                  </w:r>
                </w:p>
              </w:tc>
              <w:tc>
                <w:tcPr>
                  <w:tcW w:w="845" w:type="dxa"/>
                  <w:vAlign w:val="center"/>
                </w:tcPr>
                <w:p w14:paraId="03308296">
                  <w:pPr>
                    <w:adjustRightInd w:val="0"/>
                    <w:snapToGrid w:val="0"/>
                    <w:spacing w:line="240" w:lineRule="auto"/>
                    <w:ind w:firstLine="0" w:firstLineChars="0"/>
                    <w:jc w:val="center"/>
                    <w:rPr>
                      <w:sz w:val="21"/>
                      <w:szCs w:val="21"/>
                    </w:rPr>
                  </w:pPr>
                  <w:r>
                    <w:rPr>
                      <w:sz w:val="21"/>
                      <w:szCs w:val="21"/>
                    </w:rPr>
                    <w:t>70</w:t>
                  </w:r>
                </w:p>
              </w:tc>
              <w:tc>
                <w:tcPr>
                  <w:tcW w:w="873" w:type="dxa"/>
                  <w:vAlign w:val="center"/>
                </w:tcPr>
                <w:p w14:paraId="770E6EC9">
                  <w:pPr>
                    <w:adjustRightInd w:val="0"/>
                    <w:snapToGrid w:val="0"/>
                    <w:spacing w:line="240" w:lineRule="auto"/>
                    <w:ind w:firstLine="0" w:firstLineChars="0"/>
                    <w:jc w:val="center"/>
                    <w:rPr>
                      <w:sz w:val="21"/>
                      <w:szCs w:val="21"/>
                    </w:rPr>
                  </w:pPr>
                  <w:r>
                    <w:rPr>
                      <w:sz w:val="21"/>
                      <w:szCs w:val="21"/>
                    </w:rPr>
                    <w:t>64</w:t>
                  </w:r>
                </w:p>
              </w:tc>
              <w:tc>
                <w:tcPr>
                  <w:tcW w:w="688" w:type="dxa"/>
                  <w:vAlign w:val="center"/>
                </w:tcPr>
                <w:p w14:paraId="7FBCFAFF">
                  <w:pPr>
                    <w:adjustRightInd w:val="0"/>
                    <w:snapToGrid w:val="0"/>
                    <w:spacing w:line="240" w:lineRule="auto"/>
                    <w:ind w:firstLine="0" w:firstLineChars="0"/>
                    <w:jc w:val="center"/>
                    <w:rPr>
                      <w:sz w:val="21"/>
                      <w:szCs w:val="21"/>
                    </w:rPr>
                  </w:pPr>
                  <w:r>
                    <w:rPr>
                      <w:sz w:val="21"/>
                      <w:szCs w:val="21"/>
                    </w:rPr>
                    <w:t>62</w:t>
                  </w:r>
                </w:p>
              </w:tc>
              <w:tc>
                <w:tcPr>
                  <w:tcW w:w="902" w:type="dxa"/>
                  <w:vAlign w:val="center"/>
                </w:tcPr>
                <w:p w14:paraId="0FF601A6">
                  <w:pPr>
                    <w:adjustRightInd w:val="0"/>
                    <w:snapToGrid w:val="0"/>
                    <w:spacing w:line="240" w:lineRule="auto"/>
                    <w:ind w:firstLine="0" w:firstLineChars="0"/>
                    <w:jc w:val="center"/>
                    <w:rPr>
                      <w:sz w:val="21"/>
                      <w:szCs w:val="21"/>
                    </w:rPr>
                  </w:pPr>
                  <w:r>
                    <w:rPr>
                      <w:sz w:val="21"/>
                      <w:szCs w:val="21"/>
                    </w:rPr>
                    <w:t>58</w:t>
                  </w:r>
                </w:p>
              </w:tc>
              <w:tc>
                <w:tcPr>
                  <w:tcW w:w="902" w:type="dxa"/>
                  <w:vAlign w:val="center"/>
                </w:tcPr>
                <w:p w14:paraId="6BA9FE44">
                  <w:pPr>
                    <w:adjustRightInd w:val="0"/>
                    <w:snapToGrid w:val="0"/>
                    <w:spacing w:line="240" w:lineRule="auto"/>
                    <w:ind w:firstLine="0" w:firstLineChars="0"/>
                    <w:jc w:val="center"/>
                    <w:rPr>
                      <w:sz w:val="21"/>
                      <w:szCs w:val="21"/>
                    </w:rPr>
                  </w:pPr>
                  <w:r>
                    <w:rPr>
                      <w:sz w:val="21"/>
                      <w:szCs w:val="21"/>
                    </w:rPr>
                    <w:t>56</w:t>
                  </w:r>
                </w:p>
              </w:tc>
              <w:tc>
                <w:tcPr>
                  <w:tcW w:w="904" w:type="dxa"/>
                  <w:vAlign w:val="center"/>
                </w:tcPr>
                <w:p w14:paraId="738C630C">
                  <w:pPr>
                    <w:adjustRightInd w:val="0"/>
                    <w:snapToGrid w:val="0"/>
                    <w:spacing w:line="240" w:lineRule="auto"/>
                    <w:ind w:firstLine="0" w:firstLineChars="0"/>
                    <w:jc w:val="center"/>
                    <w:rPr>
                      <w:sz w:val="21"/>
                      <w:szCs w:val="21"/>
                    </w:rPr>
                  </w:pPr>
                  <w:r>
                    <w:rPr>
                      <w:sz w:val="21"/>
                      <w:szCs w:val="21"/>
                    </w:rPr>
                    <w:t>48</w:t>
                  </w:r>
                </w:p>
              </w:tc>
            </w:tr>
            <w:tr w14:paraId="620D0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dxa"/>
                  <w:vAlign w:val="center"/>
                </w:tcPr>
                <w:p w14:paraId="5B2153D2">
                  <w:pPr>
                    <w:adjustRightInd w:val="0"/>
                    <w:snapToGrid w:val="0"/>
                    <w:spacing w:line="240" w:lineRule="auto"/>
                    <w:ind w:firstLine="0" w:firstLineChars="0"/>
                    <w:jc w:val="center"/>
                    <w:rPr>
                      <w:sz w:val="21"/>
                      <w:szCs w:val="21"/>
                    </w:rPr>
                  </w:pPr>
                  <w:r>
                    <w:rPr>
                      <w:sz w:val="21"/>
                      <w:szCs w:val="21"/>
                    </w:rPr>
                    <w:t>重型运输车</w:t>
                  </w:r>
                </w:p>
              </w:tc>
              <w:tc>
                <w:tcPr>
                  <w:tcW w:w="819" w:type="dxa"/>
                  <w:vAlign w:val="center"/>
                </w:tcPr>
                <w:p w14:paraId="28997C21">
                  <w:pPr>
                    <w:adjustRightInd w:val="0"/>
                    <w:snapToGrid w:val="0"/>
                    <w:spacing w:line="240" w:lineRule="auto"/>
                    <w:ind w:firstLine="0" w:firstLineChars="0"/>
                    <w:jc w:val="center"/>
                    <w:rPr>
                      <w:sz w:val="21"/>
                      <w:szCs w:val="21"/>
                    </w:rPr>
                  </w:pPr>
                  <w:r>
                    <w:rPr>
                      <w:sz w:val="21"/>
                      <w:szCs w:val="21"/>
                    </w:rPr>
                    <w:t>84</w:t>
                  </w:r>
                </w:p>
              </w:tc>
              <w:tc>
                <w:tcPr>
                  <w:tcW w:w="709" w:type="dxa"/>
                  <w:vAlign w:val="center"/>
                </w:tcPr>
                <w:p w14:paraId="233BB37D">
                  <w:pPr>
                    <w:adjustRightInd w:val="0"/>
                    <w:snapToGrid w:val="0"/>
                    <w:spacing w:line="240" w:lineRule="auto"/>
                    <w:ind w:firstLine="0" w:firstLineChars="0"/>
                    <w:jc w:val="center"/>
                    <w:rPr>
                      <w:sz w:val="21"/>
                      <w:szCs w:val="21"/>
                    </w:rPr>
                  </w:pPr>
                  <w:r>
                    <w:rPr>
                      <w:sz w:val="21"/>
                      <w:szCs w:val="21"/>
                    </w:rPr>
                    <w:t>78</w:t>
                  </w:r>
                </w:p>
              </w:tc>
              <w:tc>
                <w:tcPr>
                  <w:tcW w:w="845" w:type="dxa"/>
                  <w:vAlign w:val="center"/>
                </w:tcPr>
                <w:p w14:paraId="44619069">
                  <w:pPr>
                    <w:adjustRightInd w:val="0"/>
                    <w:snapToGrid w:val="0"/>
                    <w:spacing w:line="240" w:lineRule="auto"/>
                    <w:ind w:firstLine="0" w:firstLineChars="0"/>
                    <w:jc w:val="center"/>
                    <w:rPr>
                      <w:sz w:val="21"/>
                      <w:szCs w:val="21"/>
                    </w:rPr>
                  </w:pPr>
                  <w:r>
                    <w:rPr>
                      <w:sz w:val="21"/>
                      <w:szCs w:val="21"/>
                    </w:rPr>
                    <w:t>72</w:t>
                  </w:r>
                </w:p>
              </w:tc>
              <w:tc>
                <w:tcPr>
                  <w:tcW w:w="873" w:type="dxa"/>
                  <w:vAlign w:val="center"/>
                </w:tcPr>
                <w:p w14:paraId="6DEDE95A">
                  <w:pPr>
                    <w:adjustRightInd w:val="0"/>
                    <w:snapToGrid w:val="0"/>
                    <w:spacing w:line="240" w:lineRule="auto"/>
                    <w:ind w:firstLine="0" w:firstLineChars="0"/>
                    <w:jc w:val="center"/>
                    <w:rPr>
                      <w:sz w:val="21"/>
                      <w:szCs w:val="21"/>
                    </w:rPr>
                  </w:pPr>
                  <w:r>
                    <w:rPr>
                      <w:sz w:val="21"/>
                      <w:szCs w:val="21"/>
                    </w:rPr>
                    <w:t>66</w:t>
                  </w:r>
                </w:p>
              </w:tc>
              <w:tc>
                <w:tcPr>
                  <w:tcW w:w="688" w:type="dxa"/>
                  <w:vAlign w:val="center"/>
                </w:tcPr>
                <w:p w14:paraId="5B1E2066">
                  <w:pPr>
                    <w:adjustRightInd w:val="0"/>
                    <w:snapToGrid w:val="0"/>
                    <w:spacing w:line="240" w:lineRule="auto"/>
                    <w:ind w:firstLine="0" w:firstLineChars="0"/>
                    <w:jc w:val="center"/>
                    <w:rPr>
                      <w:sz w:val="21"/>
                      <w:szCs w:val="21"/>
                    </w:rPr>
                  </w:pPr>
                  <w:r>
                    <w:rPr>
                      <w:sz w:val="21"/>
                      <w:szCs w:val="21"/>
                    </w:rPr>
                    <w:t>64</w:t>
                  </w:r>
                </w:p>
              </w:tc>
              <w:tc>
                <w:tcPr>
                  <w:tcW w:w="902" w:type="dxa"/>
                  <w:vAlign w:val="center"/>
                </w:tcPr>
                <w:p w14:paraId="2DCDC8E4">
                  <w:pPr>
                    <w:adjustRightInd w:val="0"/>
                    <w:snapToGrid w:val="0"/>
                    <w:spacing w:line="240" w:lineRule="auto"/>
                    <w:ind w:firstLine="0" w:firstLineChars="0"/>
                    <w:jc w:val="center"/>
                    <w:rPr>
                      <w:sz w:val="21"/>
                      <w:szCs w:val="21"/>
                    </w:rPr>
                  </w:pPr>
                  <w:r>
                    <w:rPr>
                      <w:sz w:val="21"/>
                      <w:szCs w:val="21"/>
                    </w:rPr>
                    <w:t>60</w:t>
                  </w:r>
                </w:p>
              </w:tc>
              <w:tc>
                <w:tcPr>
                  <w:tcW w:w="902" w:type="dxa"/>
                  <w:vAlign w:val="center"/>
                </w:tcPr>
                <w:p w14:paraId="4AA09284">
                  <w:pPr>
                    <w:adjustRightInd w:val="0"/>
                    <w:snapToGrid w:val="0"/>
                    <w:spacing w:line="240" w:lineRule="auto"/>
                    <w:ind w:firstLine="0" w:firstLineChars="0"/>
                    <w:jc w:val="center"/>
                    <w:rPr>
                      <w:sz w:val="21"/>
                      <w:szCs w:val="21"/>
                    </w:rPr>
                  </w:pPr>
                  <w:r>
                    <w:rPr>
                      <w:sz w:val="21"/>
                      <w:szCs w:val="21"/>
                    </w:rPr>
                    <w:t>58</w:t>
                  </w:r>
                </w:p>
              </w:tc>
              <w:tc>
                <w:tcPr>
                  <w:tcW w:w="904" w:type="dxa"/>
                  <w:vAlign w:val="center"/>
                </w:tcPr>
                <w:p w14:paraId="0D21BAEE">
                  <w:pPr>
                    <w:adjustRightInd w:val="0"/>
                    <w:snapToGrid w:val="0"/>
                    <w:spacing w:line="240" w:lineRule="auto"/>
                    <w:ind w:firstLine="0" w:firstLineChars="0"/>
                    <w:jc w:val="center"/>
                    <w:rPr>
                      <w:sz w:val="21"/>
                      <w:szCs w:val="21"/>
                    </w:rPr>
                  </w:pPr>
                  <w:r>
                    <w:rPr>
                      <w:sz w:val="21"/>
                      <w:szCs w:val="21"/>
                    </w:rPr>
                    <w:t>50</w:t>
                  </w:r>
                </w:p>
              </w:tc>
            </w:tr>
          </w:tbl>
          <w:p w14:paraId="281DDC2D">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由表4-2可知，项目施工期施工机械产生的噪声</w:t>
            </w:r>
            <w:r>
              <w:rPr>
                <w:rFonts w:hint="eastAsia"/>
                <w:color w:val="000000" w:themeColor="text1"/>
                <w14:textFill>
                  <w14:solidFill>
                    <w14:schemeClr w14:val="tx1"/>
                  </w14:solidFill>
                </w14:textFill>
              </w:rPr>
              <w:t>200m</w:t>
            </w:r>
            <w:r>
              <w:rPr>
                <w:color w:val="000000" w:themeColor="text1"/>
                <w14:textFill>
                  <w14:solidFill>
                    <w14:schemeClr w14:val="tx1"/>
                  </w14:solidFill>
                </w14:textFill>
              </w:rPr>
              <w:t>可达到《建筑施工场界环境噪声排放标准》（GB12523-2011）规定的场界排放标准限值。根据现场调查，本项目</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00m范围内无声环境敏感点。</w:t>
            </w:r>
          </w:p>
          <w:p w14:paraId="1C947787">
            <w:pPr>
              <w:pStyle w:val="55"/>
              <w:ind w:firstLine="480"/>
              <w:rPr>
                <w:color w:val="000000" w:themeColor="text1"/>
                <w14:textFill>
                  <w14:solidFill>
                    <w14:schemeClr w14:val="tx1"/>
                  </w14:solidFill>
                </w14:textFill>
              </w:rPr>
            </w:pPr>
            <w:r>
              <w:rPr>
                <w:rFonts w:ascii="宋体" w:hAnsi="宋体" w:cs="宋体"/>
              </w:rPr>
              <w:t>施工单位采用低噪声施工设备，合理安排施工计划并采取严格的施工管理措施，将施工噪声造成的影响减小到最低。项目夜间不施工，且施工期间加强管理，在严格落实基础减振、隔声等降噪措施的前提下，施工噪声对周围声环境影响较小。</w:t>
            </w:r>
          </w:p>
          <w:p w14:paraId="06BA2CF8">
            <w:pPr>
              <w:pStyle w:val="55"/>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4.固体废物影响分析</w:t>
            </w:r>
          </w:p>
          <w:p w14:paraId="2F5BDF0A">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本项目不设施工生活营地，因此无生活垃圾产生。施工期固体废物主要来自建筑垃圾及剥离的表土。</w:t>
            </w:r>
          </w:p>
          <w:p w14:paraId="72885E44">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施工期场内道路、截排水设施等建设期会产生剥离土，剥离土统一堆放在表土堆放场，用于后期复垦，并建设排水沟和挡土墙等措施。</w:t>
            </w:r>
          </w:p>
          <w:p w14:paraId="74955C86">
            <w:pPr>
              <w:pStyle w:val="55"/>
              <w:ind w:firstLine="480"/>
              <w:rPr>
                <w:color w:val="000000" w:themeColor="text1"/>
                <w14:textFill>
                  <w14:solidFill>
                    <w14:schemeClr w14:val="tx1"/>
                  </w14:solidFill>
                </w14:textFill>
              </w:rPr>
            </w:pPr>
            <w:r>
              <w:rPr>
                <w:color w:val="000000" w:themeColor="text1"/>
                <w14:textFill>
                  <w14:solidFill>
                    <w14:schemeClr w14:val="tx1"/>
                  </w14:solidFill>
                </w14:textFill>
              </w:rPr>
              <w:t>施工期的建筑垃圾主要为碎砖头、混凝土和砂土，分类收集后由本项目回收利用，本次环评要求对于无利用价值的废弃物应按市政部门要求运往指定地点。另外，建设单位须要求施工单位规范运输，不能随地洒落物料，不能随意倾倒、堆放建筑垃圾，施工结束后应及时清运多余或废弃的建筑材料或建筑垃圾。</w:t>
            </w:r>
          </w:p>
          <w:p w14:paraId="210B6A68">
            <w:pPr>
              <w:pStyle w:val="2"/>
              <w:ind w:firstLine="482" w:firstLineChars="200"/>
              <w:rPr>
                <w:rFonts w:eastAsia="宋体"/>
                <w:color w:val="auto"/>
                <w:szCs w:val="24"/>
              </w:rPr>
            </w:pPr>
            <w:r>
              <w:rPr>
                <w:rFonts w:hint="eastAsia" w:eastAsia="宋体"/>
                <w:color w:val="auto"/>
                <w:szCs w:val="24"/>
              </w:rPr>
              <w:t>5.</w:t>
            </w:r>
            <w:r>
              <w:rPr>
                <w:rFonts w:eastAsia="宋体"/>
                <w:color w:val="auto"/>
                <w:szCs w:val="24"/>
              </w:rPr>
              <w:t>生态环境影响分析</w:t>
            </w:r>
          </w:p>
          <w:p w14:paraId="4DFDD6A5">
            <w:pPr>
              <w:pStyle w:val="23"/>
              <w:spacing w:after="0"/>
              <w:ind w:left="0" w:leftChars="0" w:firstLine="482"/>
              <w:rPr>
                <w:b/>
                <w:bCs/>
              </w:rPr>
            </w:pPr>
            <w:r>
              <w:rPr>
                <w:rFonts w:hint="eastAsia"/>
                <w:b/>
                <w:bCs/>
              </w:rPr>
              <w:t>（1）</w:t>
            </w:r>
            <w:r>
              <w:rPr>
                <w:b/>
                <w:bCs/>
              </w:rPr>
              <w:t>对土地利用类型的影响分析</w:t>
            </w:r>
          </w:p>
          <w:p w14:paraId="1E2060FE">
            <w:pPr>
              <w:ind w:firstLine="480"/>
            </w:pPr>
            <w:r>
              <w:t>本项目</w:t>
            </w:r>
            <w:r>
              <w:rPr>
                <w:rFonts w:hint="eastAsia"/>
              </w:rPr>
              <w:t>矿区占地为临时占地，</w:t>
            </w:r>
            <w:r>
              <w:t>本项目矿山开采方式为“边开采边恢复”，采矿平台终了进行覆土，其上采用乔草相结合的方式进行植被恢复，尽可能优化矿区土地利用结构，将土地利用结构的影响降低到最小。</w:t>
            </w:r>
          </w:p>
          <w:p w14:paraId="5B35BD13">
            <w:pPr>
              <w:pStyle w:val="23"/>
              <w:spacing w:after="0"/>
              <w:ind w:left="0" w:leftChars="0" w:firstLine="482"/>
              <w:rPr>
                <w:b/>
                <w:bCs/>
              </w:rPr>
            </w:pPr>
            <w:r>
              <w:rPr>
                <w:rFonts w:hint="eastAsia"/>
                <w:b/>
                <w:bCs/>
              </w:rPr>
              <w:t>（2）</w:t>
            </w:r>
            <w:r>
              <w:rPr>
                <w:b/>
                <w:bCs/>
              </w:rPr>
              <w:t>对生态系统的影响分析</w:t>
            </w:r>
          </w:p>
          <w:p w14:paraId="37A362B6">
            <w:pPr>
              <w:pStyle w:val="23"/>
              <w:adjustRightInd w:val="0"/>
              <w:snapToGrid w:val="0"/>
              <w:spacing w:after="0"/>
              <w:ind w:left="0" w:leftChars="0" w:firstLine="480"/>
            </w:pPr>
            <w:r>
              <w:t>本项目为露天开采，将会导致原有的、自然生产的生态格局的完整性被破坏，由于矿山采矿活动及占地，使动植物自然栖息地受到扰动，属种减少，系统结构将会简单，生态系统功能有所减弱，原有的生态平衡将会被打破。项目使用林地，使林地面积减少，影响森林保持水土，涵养水源等生态效能，但占用地面积较小，同时通过科学施工，严格管理、加强监督检查，对区域生态效能产生影响是轻微的，有限的，随着植被恢复任务的完成，这种影响将会逐步消失。</w:t>
            </w:r>
          </w:p>
          <w:p w14:paraId="120EADAC">
            <w:pPr>
              <w:pStyle w:val="23"/>
              <w:adjustRightInd w:val="0"/>
              <w:snapToGrid w:val="0"/>
              <w:spacing w:after="0"/>
              <w:ind w:left="0" w:leftChars="0" w:firstLine="482"/>
              <w:rPr>
                <w:b/>
                <w:bCs/>
              </w:rPr>
            </w:pPr>
            <w:r>
              <w:rPr>
                <w:rFonts w:hint="eastAsia"/>
                <w:b/>
                <w:bCs/>
              </w:rPr>
              <w:t>（3）</w:t>
            </w:r>
            <w:r>
              <w:rPr>
                <w:b/>
                <w:bCs/>
              </w:rPr>
              <w:t>对植物的影响分析</w:t>
            </w:r>
          </w:p>
          <w:p w14:paraId="582952E2">
            <w:pPr>
              <w:adjustRightInd w:val="0"/>
              <w:snapToGrid w:val="0"/>
              <w:ind w:firstLine="480"/>
            </w:pPr>
            <w:r>
              <w:t>在矿山开采过程中，运输道路沿线区域的植物，受道路扬尘的影响，光合作用强度将微弱降低；运输车辆排放的NO</w:t>
            </w:r>
            <w:r>
              <w:rPr>
                <w:vertAlign w:val="subscript"/>
              </w:rPr>
              <w:t>X</w:t>
            </w:r>
            <w:r>
              <w:t>、SO</w:t>
            </w:r>
            <w:r>
              <w:rPr>
                <w:vertAlign w:val="subscript"/>
              </w:rPr>
              <w:t>2</w:t>
            </w:r>
            <w:r>
              <w:t>等污染物质也会间接影响植物生长发育。项目开采运营中，矿山做好运输车辆密闭运输、清洗轮胎、洒水降尘等工作，会大大降低道路扬尘的产生量及对沿线植物的影响。且由于运输车辆污染物的排放量本身就小，不会对道路沿线植物的生长发育产生显著的负面影响。</w:t>
            </w:r>
          </w:p>
          <w:p w14:paraId="445D992B">
            <w:pPr>
              <w:pStyle w:val="23"/>
              <w:adjustRightInd w:val="0"/>
              <w:snapToGrid w:val="0"/>
              <w:spacing w:after="0"/>
              <w:ind w:left="480" w:firstLine="0" w:firstLineChars="0"/>
              <w:rPr>
                <w:b/>
                <w:bCs/>
              </w:rPr>
            </w:pPr>
            <w:r>
              <w:rPr>
                <w:rFonts w:hint="eastAsia"/>
                <w:b/>
                <w:bCs/>
              </w:rPr>
              <w:t>（4）</w:t>
            </w:r>
            <w:r>
              <w:rPr>
                <w:b/>
                <w:bCs/>
              </w:rPr>
              <w:t>对动物的影响分析</w:t>
            </w:r>
          </w:p>
          <w:p w14:paraId="55C9E421">
            <w:pPr>
              <w:pStyle w:val="23"/>
              <w:spacing w:after="0"/>
              <w:ind w:left="0" w:leftChars="0" w:firstLine="480"/>
            </w:pPr>
            <w:r>
              <w:t>本项目对动物的直接影响主要是采场噪声、道路交通噪声对野生动物栖息环境的影响。根据现场实地调查，项目占地范围内动物均为常见动物物种，多为鸟类和小型兽类。生态影响评价区内未发现国家级和省级保护级别的动物的栖息繁殖地。矿山运营过程中，对动物栖息生态环境的破坏不可避免，可能影响鸟类等动物的觅食和繁殖。鸟类等动物的规避本能将会使其远离被干扰地区，向其他林区迁徙。因此，项目运营对项目区周边的野生动物有一定影响，但影响程度在可接受范围内。</w:t>
            </w:r>
          </w:p>
          <w:p w14:paraId="3D41BA34">
            <w:pPr>
              <w:pStyle w:val="23"/>
              <w:adjustRightInd w:val="0"/>
              <w:snapToGrid w:val="0"/>
              <w:spacing w:after="0"/>
              <w:ind w:left="480" w:firstLine="0" w:firstLineChars="0"/>
              <w:rPr>
                <w:b/>
                <w:bCs/>
              </w:rPr>
            </w:pPr>
            <w:r>
              <w:rPr>
                <w:rFonts w:hint="eastAsia"/>
                <w:b/>
                <w:bCs/>
              </w:rPr>
              <w:t>（5）</w:t>
            </w:r>
            <w:r>
              <w:rPr>
                <w:b/>
                <w:bCs/>
              </w:rPr>
              <w:t>对景观的影响分析</w:t>
            </w:r>
          </w:p>
          <w:p w14:paraId="1D912C2B">
            <w:pPr>
              <w:pStyle w:val="23"/>
              <w:spacing w:after="0"/>
              <w:ind w:left="0" w:leftChars="0" w:firstLine="480"/>
            </w:pPr>
            <w:r>
              <w:t>本项目</w:t>
            </w:r>
            <w:r>
              <w:rPr>
                <w:rFonts w:hint="eastAsia"/>
              </w:rPr>
              <w:t>矿区</w:t>
            </w:r>
            <w:r>
              <w:t>露天采场在一定程度上影响景观格局，改变矿区的景观结构，使单纯的自然景观向着人工化、工业化、多样化的方向发展。露天开采占地，使植被减少、地表的完整性与平整性变差。使原来的自然景观类型变为采矿、工矿设施、供电通讯线路以及运输道路等人工景观，而且会对原来的景观进行分隔，造成空间上的非连续性和一些人为的劣质景观，造成与周围自然环境的不相协调。采用“边开采、边恢复”的方式，尽快恢复矿区植被，减少视觉影响。经过水土保持、植被恢复和土地复垦等措施的逐步实施，矿区生态环境会得到逐步改善。</w:t>
            </w:r>
          </w:p>
          <w:p w14:paraId="655827D7">
            <w:pPr>
              <w:ind w:firstLine="482"/>
              <w:rPr>
                <w:b/>
                <w:bCs/>
              </w:rPr>
            </w:pPr>
            <w:r>
              <w:rPr>
                <w:b/>
                <w:bCs/>
              </w:rPr>
              <w:t>（</w:t>
            </w:r>
            <w:r>
              <w:rPr>
                <w:rFonts w:hint="eastAsia"/>
                <w:b/>
                <w:bCs/>
              </w:rPr>
              <w:t>6</w:t>
            </w:r>
            <w:r>
              <w:rPr>
                <w:b/>
                <w:bCs/>
              </w:rPr>
              <w:t>）水土流失影响</w:t>
            </w:r>
            <w:r>
              <w:rPr>
                <w:rFonts w:hint="eastAsia"/>
                <w:b/>
                <w:bCs/>
              </w:rPr>
              <w:t>分析</w:t>
            </w:r>
          </w:p>
          <w:p w14:paraId="47309B57">
            <w:pPr>
              <w:pStyle w:val="2"/>
              <w:adjustRightInd w:val="0"/>
              <w:ind w:firstLine="480" w:firstLineChars="200"/>
              <w:rPr>
                <w:rFonts w:eastAsia="宋体"/>
                <w:color w:val="auto"/>
                <w:szCs w:val="24"/>
              </w:rPr>
            </w:pPr>
            <w:r>
              <w:rPr>
                <w:rFonts w:hint="eastAsia" w:eastAsia="宋体"/>
                <w:b w:val="0"/>
                <w:bCs w:val="0"/>
                <w:color w:val="auto"/>
                <w:szCs w:val="24"/>
              </w:rPr>
              <w:t>项目建设过程中由于机械作业、表土剥离和地表开挖等，会对地表植被及土壤结构造成一定的破坏，形成地面裸露，遇到下雨及大风天气将会造成土壤侵蚀和水土流失。施工期间对原生地表的扰动和破坏是不可避免的，尽量控制施工期工程范围，合理安排工程进度，尽量减少不必要的动土工程。</w:t>
            </w:r>
          </w:p>
          <w:p w14:paraId="2EC43166">
            <w:pPr>
              <w:pStyle w:val="2"/>
              <w:snapToGrid/>
              <w:ind w:firstLine="482" w:firstLineChars="200"/>
              <w:rPr>
                <w:rFonts w:eastAsia="宋体"/>
                <w:color w:val="auto"/>
                <w:szCs w:val="24"/>
              </w:rPr>
            </w:pPr>
            <w:r>
              <w:rPr>
                <w:rFonts w:hint="eastAsia" w:eastAsia="宋体"/>
                <w:color w:val="auto"/>
                <w:szCs w:val="24"/>
              </w:rPr>
              <w:t>二</w:t>
            </w:r>
            <w:r>
              <w:rPr>
                <w:rFonts w:eastAsia="宋体"/>
                <w:color w:val="auto"/>
                <w:szCs w:val="24"/>
              </w:rPr>
              <w:t>、环境污染影响分析</w:t>
            </w:r>
          </w:p>
          <w:p w14:paraId="37A7D2E6">
            <w:pPr>
              <w:ind w:firstLine="482"/>
              <w:rPr>
                <w:b/>
                <w:bCs/>
              </w:rPr>
            </w:pPr>
            <w:r>
              <w:rPr>
                <w:rFonts w:hint="eastAsia"/>
                <w:b/>
                <w:bCs/>
              </w:rPr>
              <w:t>1、</w:t>
            </w:r>
            <w:r>
              <w:rPr>
                <w:b/>
                <w:bCs/>
              </w:rPr>
              <w:t>运营期废气</w:t>
            </w:r>
          </w:p>
          <w:p w14:paraId="3C5287EA">
            <w:pPr>
              <w:pStyle w:val="23"/>
              <w:spacing w:after="0"/>
              <w:ind w:left="0" w:leftChars="0" w:firstLine="482"/>
            </w:pPr>
            <w:r>
              <w:rPr>
                <w:b/>
                <w:bCs/>
              </w:rPr>
              <w:fldChar w:fldCharType="begin"/>
            </w:r>
            <w:r>
              <w:rPr>
                <w:b/>
                <w:bCs/>
              </w:rPr>
              <w:instrText xml:space="preserve"> = 1 \* GB2 \* MERGEFORMAT </w:instrText>
            </w:r>
            <w:r>
              <w:rPr>
                <w:b/>
                <w:bCs/>
              </w:rPr>
              <w:fldChar w:fldCharType="separate"/>
            </w:r>
            <w:r>
              <w:t>⑴</w:t>
            </w:r>
            <w:r>
              <w:rPr>
                <w:b/>
                <w:bCs/>
              </w:rPr>
              <w:fldChar w:fldCharType="end"/>
            </w:r>
            <w:r>
              <w:t>采矿区</w:t>
            </w:r>
          </w:p>
          <w:p w14:paraId="4534E4FD">
            <w:pPr>
              <w:pStyle w:val="23"/>
              <w:spacing w:after="0"/>
              <w:ind w:left="0" w:leftChars="0" w:firstLine="480"/>
            </w:pPr>
            <w:r>
              <w:t>采矿区生产过程中废气主要</w:t>
            </w:r>
            <w:r>
              <w:rPr>
                <w:rFonts w:hint="eastAsia"/>
              </w:rPr>
              <w:t>来自</w:t>
            </w:r>
            <w:r>
              <w:t>钻孔、爆破</w:t>
            </w:r>
            <w:r>
              <w:rPr>
                <w:rFonts w:hint="eastAsia"/>
              </w:rPr>
              <w:t>、</w:t>
            </w:r>
            <w:r>
              <w:t>装车工序</w:t>
            </w:r>
            <w:r>
              <w:rPr>
                <w:rFonts w:hint="eastAsia"/>
              </w:rPr>
              <w:t>以及运输道路</w:t>
            </w:r>
            <w:r>
              <w:t>产生的粉尘。</w:t>
            </w:r>
          </w:p>
          <w:p w14:paraId="1941949B">
            <w:pPr>
              <w:pStyle w:val="23"/>
              <w:spacing w:after="0"/>
              <w:ind w:left="0" w:leftChars="0" w:firstLine="480"/>
            </w:pPr>
            <w:r>
              <w:t>①钻孔粉尘</w:t>
            </w:r>
          </w:p>
          <w:p w14:paraId="03EEB7DC">
            <w:pPr>
              <w:pStyle w:val="23"/>
              <w:spacing w:after="0"/>
              <w:ind w:left="0" w:leftChars="0" w:firstLine="480"/>
            </w:pPr>
            <w:r>
              <w:t>本项目矿山石料的开采量为</w:t>
            </w:r>
            <w:r>
              <w:rPr>
                <w:rFonts w:hint="eastAsia"/>
              </w:rPr>
              <w:t>40</w:t>
            </w:r>
            <w:r>
              <w:t>万t/a，参考《逸散性工业粉尘控制技术》钻孔作业中逸散尘排放因子为0.004kg/t（石料），则钻孔时粉尘的产生量约为</w:t>
            </w:r>
            <w:r>
              <w:rPr>
                <w:rFonts w:hint="eastAsia"/>
              </w:rPr>
              <w:t>1.</w:t>
            </w:r>
            <w:r>
              <w:t>6t/a。工作制度为1班/天，8小时/班，年运营天数为300天，建设单位在钻孔的时候进行水喷淋降尘处理，处理效率可达到90%左右，采取上述处理方式后，钻孔过程中扬尘排放量为0.</w:t>
            </w:r>
            <w:r>
              <w:rPr>
                <w:rFonts w:hint="eastAsia"/>
              </w:rPr>
              <w:t>1</w:t>
            </w:r>
            <w:r>
              <w:t>6t/a（0.0</w:t>
            </w:r>
            <w:r>
              <w:rPr>
                <w:rFonts w:hint="eastAsia"/>
              </w:rPr>
              <w:t>66</w:t>
            </w:r>
            <w:r>
              <w:t>kg/h）。</w:t>
            </w:r>
          </w:p>
          <w:p w14:paraId="78101336">
            <w:pPr>
              <w:pStyle w:val="23"/>
              <w:spacing w:after="0"/>
              <w:ind w:left="0" w:leftChars="0" w:firstLine="480"/>
            </w:pPr>
            <w:r>
              <w:t>②爆破粉尘</w:t>
            </w:r>
          </w:p>
          <w:p w14:paraId="1BBE09D6">
            <w:pPr>
              <w:tabs>
                <w:tab w:val="left" w:pos="900"/>
              </w:tabs>
              <w:adjustRightInd w:val="0"/>
              <w:snapToGrid w:val="0"/>
              <w:ind w:firstLine="480"/>
            </w:pPr>
            <w:r>
              <w:t>炸药爆炸过程中产生的大气污染物主要有CO、NO</w:t>
            </w:r>
            <w:r>
              <w:rPr>
                <w:vertAlign w:val="subscript"/>
              </w:rPr>
              <w:t>X</w:t>
            </w:r>
            <w:r>
              <w:t>和粉尘，类比同类项目，爆破过程CO、NO</w:t>
            </w:r>
            <w:r>
              <w:rPr>
                <w:vertAlign w:val="subscript"/>
              </w:rPr>
              <w:t>X</w:t>
            </w:r>
            <w:r>
              <w:t>产生量较少，且爆破时周边无常住人员分布，经大气扩散后不会对工作人员及大气环境产生影响，因此本次评价不做定量分析。</w:t>
            </w:r>
          </w:p>
          <w:p w14:paraId="648C1D19">
            <w:pPr>
              <w:tabs>
                <w:tab w:val="left" w:pos="900"/>
              </w:tabs>
              <w:adjustRightInd w:val="0"/>
              <w:snapToGrid w:val="0"/>
              <w:ind w:firstLine="480"/>
            </w:pPr>
            <w:r>
              <w:t>根据美国国家环保局AP-42资料，岩石炸药爆炸过程中产生的粉尘为54.2kg/t（炸药）。项目年开采量</w:t>
            </w:r>
            <w:r>
              <w:rPr>
                <w:rFonts w:hint="eastAsia"/>
              </w:rPr>
              <w:t>40</w:t>
            </w:r>
            <w:r>
              <w:t>万t/a，炸药年使用量约为120t，经核算</w:t>
            </w:r>
            <w:r>
              <w:rPr>
                <w:rFonts w:hint="eastAsia"/>
              </w:rPr>
              <w:t>扩建</w:t>
            </w:r>
            <w:r>
              <w:t>项目爆破粉尘产生量为6.504t/a。爆破后粒径大的粉尘在近距离内短时间沉降，粒径&lt;10mm的飘尘不易沉降，但仅占产尘量的3%以下（约为0.195t/a）。采场区采用洒水抑尘，参照《喷雾洒水抑制城市二次扬尘的效果分析》中“喷雾洒水是抑制二次扬尘的一项有效措施，抑制二次扬尘率为85%”，本次评价取85%，则粉尘排放量为0.029t/a，排放速率为0.012kg/h。</w:t>
            </w:r>
          </w:p>
          <w:p w14:paraId="6E45376C">
            <w:pPr>
              <w:pStyle w:val="23"/>
              <w:spacing w:after="0"/>
              <w:ind w:left="0" w:leftChars="0" w:firstLine="482"/>
              <w:rPr>
                <w:b/>
                <w:bCs/>
              </w:rPr>
            </w:pPr>
            <w:r>
              <w:rPr>
                <w:b/>
                <w:bCs/>
              </w:rPr>
              <w:t>③铲装粉尘</w:t>
            </w:r>
          </w:p>
          <w:p w14:paraId="706C2749">
            <w:pPr>
              <w:ind w:firstLine="480"/>
              <w:rPr>
                <w:color w:val="0000FF"/>
              </w:rPr>
            </w:pPr>
            <w:r>
              <w:rPr>
                <w:color w:val="0000FF"/>
              </w:rPr>
              <w:t>项目矿石在装车作业过程中由于落差引起的粉尘，属于无组织排放，</w:t>
            </w:r>
            <w:r>
              <w:rPr>
                <w:rFonts w:hint="eastAsia"/>
                <w:color w:val="0000FF"/>
              </w:rPr>
              <w:t>项目采出的矿石通过自卸汽车运输，采用铲车装卸，装卸过程中易产生扬尘。参照《逸散性工业粉尘控制技术》表1-12中花岗岩装卸排放因子，项目矿石装卸粉尘产生系数按0.0001kg/t（卸料）计，则装卸扬尘产生量为0.0</w:t>
            </w:r>
            <w:r>
              <w:rPr>
                <w:rFonts w:hint="eastAsia"/>
                <w:color w:val="0000FF"/>
                <w:lang w:val="en-US" w:eastAsia="zh-CN"/>
              </w:rPr>
              <w:t>4</w:t>
            </w:r>
            <w:r>
              <w:rPr>
                <w:rFonts w:hint="eastAsia"/>
                <w:color w:val="0000FF"/>
              </w:rPr>
              <w:t>t/a。通过降低装卸过程中物料高度，在临时堆场设置喷雾降尘，抑尘效率约80%。因此，项目矿石装卸粉尘排放量为0.0</w:t>
            </w:r>
            <w:r>
              <w:rPr>
                <w:rFonts w:hint="eastAsia"/>
                <w:color w:val="0000FF"/>
                <w:lang w:val="en-US" w:eastAsia="zh-CN"/>
              </w:rPr>
              <w:t>08</w:t>
            </w:r>
            <w:r>
              <w:rPr>
                <w:rFonts w:hint="eastAsia"/>
                <w:color w:val="0000FF"/>
              </w:rPr>
              <w:t>t/a，排放速率为0.00</w:t>
            </w:r>
            <w:r>
              <w:rPr>
                <w:rFonts w:hint="eastAsia"/>
                <w:color w:val="0000FF"/>
                <w:lang w:val="en-US" w:eastAsia="zh-CN"/>
              </w:rPr>
              <w:t>33</w:t>
            </w:r>
            <w:r>
              <w:rPr>
                <w:rFonts w:hint="eastAsia"/>
                <w:color w:val="0000FF"/>
              </w:rPr>
              <w:t>kg/h</w:t>
            </w:r>
            <w:r>
              <w:rPr>
                <w:color w:val="0000FF"/>
              </w:rPr>
              <w:t>。</w:t>
            </w:r>
          </w:p>
          <w:p w14:paraId="76583546">
            <w:pPr>
              <w:pStyle w:val="23"/>
              <w:spacing w:after="0"/>
              <w:ind w:left="480" w:leftChars="0" w:firstLine="0" w:firstLineChars="0"/>
              <w:rPr>
                <w:b/>
                <w:bCs/>
              </w:rPr>
            </w:pPr>
            <w:r>
              <w:rPr>
                <w:b/>
                <w:bCs/>
              </w:rPr>
              <w:fldChar w:fldCharType="begin"/>
            </w:r>
            <w:r>
              <w:rPr>
                <w:b/>
                <w:bCs/>
              </w:rPr>
              <w:instrText xml:space="preserve"> = 3 \* GB2 \* MERGEFORMAT </w:instrText>
            </w:r>
            <w:r>
              <w:rPr>
                <w:b/>
                <w:bCs/>
              </w:rPr>
              <w:fldChar w:fldCharType="separate"/>
            </w:r>
            <w:r>
              <w:t>⑶</w:t>
            </w:r>
            <w:r>
              <w:rPr>
                <w:b/>
                <w:bCs/>
              </w:rPr>
              <w:fldChar w:fldCharType="end"/>
            </w:r>
            <w:r>
              <w:rPr>
                <w:b/>
                <w:bCs/>
              </w:rPr>
              <w:t>运输道路</w:t>
            </w:r>
          </w:p>
          <w:p w14:paraId="3100C228">
            <w:pPr>
              <w:ind w:firstLine="480"/>
            </w:pPr>
            <w:r>
              <w:rPr>
                <w:rFonts w:hint="eastAsia"/>
                <w:color w:val="0000FF"/>
              </w:rPr>
              <w:t>矿区</w:t>
            </w:r>
            <w:r>
              <w:rPr>
                <w:rFonts w:hint="eastAsia"/>
                <w:color w:val="0000FF"/>
                <w:lang w:eastAsia="zh-CN"/>
              </w:rPr>
              <w:t>场内场外</w:t>
            </w:r>
            <w:r>
              <w:rPr>
                <w:rFonts w:hint="eastAsia"/>
                <w:color w:val="0000FF"/>
              </w:rPr>
              <w:t>公路运输扬尘</w:t>
            </w:r>
            <w:r>
              <w:rPr>
                <w:rFonts w:hint="eastAsia"/>
                <w:color w:val="0000FF"/>
                <w:lang w:eastAsia="zh-CN"/>
              </w:rPr>
              <w:t>参考</w:t>
            </w:r>
            <w:r>
              <w:rPr>
                <w:rFonts w:hint="eastAsia"/>
                <w:color w:val="0000FF"/>
              </w:rPr>
              <w:t>《扬尘源颗粒物排放清单编制技术指南》（试行）未铺装公路扬尘排放系数计算</w:t>
            </w:r>
            <w:r>
              <w:rPr>
                <w:rFonts w:hint="eastAsia"/>
              </w:rPr>
              <w:t>：</w:t>
            </w:r>
            <w:r>
              <w:t>。</w:t>
            </w:r>
          </w:p>
          <w:p w14:paraId="05253899">
            <w:pPr>
              <w:ind w:firstLine="480"/>
              <w:jc w:val="center"/>
              <w:rPr>
                <w:color w:val="0000FF"/>
              </w:rPr>
            </w:pPr>
            <w:r>
              <w:drawing>
                <wp:inline distT="0" distB="0" distL="114300" distR="114300">
                  <wp:extent cx="2122170" cy="487680"/>
                  <wp:effectExtent l="0" t="0" r="1143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6"/>
                          <a:stretch>
                            <a:fillRect/>
                          </a:stretch>
                        </pic:blipFill>
                        <pic:spPr>
                          <a:xfrm>
                            <a:off x="0" y="0"/>
                            <a:ext cx="2122170" cy="487680"/>
                          </a:xfrm>
                          <a:prstGeom prst="rect">
                            <a:avLst/>
                          </a:prstGeom>
                          <a:noFill/>
                          <a:ln>
                            <a:noFill/>
                          </a:ln>
                        </pic:spPr>
                      </pic:pic>
                    </a:graphicData>
                  </a:graphic>
                </wp:inline>
              </w:drawing>
            </w:r>
          </w:p>
          <w:p w14:paraId="7FF904AB">
            <w:pPr>
              <w:ind w:firstLine="480"/>
            </w:pPr>
            <w:r>
              <w:t>式中：E</w:t>
            </w:r>
            <w:r>
              <w:rPr>
                <w:vertAlign w:val="subscript"/>
              </w:rPr>
              <w:t>UPi</w:t>
            </w:r>
            <w:r>
              <w:t>—未铺装公路扬尘中PMi排放系数，g/km；</w:t>
            </w:r>
          </w:p>
          <w:p w14:paraId="0F351214">
            <w:pPr>
              <w:ind w:firstLine="480"/>
            </w:pPr>
            <w:r>
              <w:t>ki一产生的扬尘中PMi的粒度乘数，颗粒物取1691.4g/km；a取0.3，b取0.3；</w:t>
            </w:r>
          </w:p>
          <w:p w14:paraId="020349C8">
            <w:pPr>
              <w:ind w:firstLine="480"/>
            </w:pPr>
            <w:r>
              <w:t>s—公路表面有效积尘率，取40%；</w:t>
            </w:r>
          </w:p>
          <w:p w14:paraId="53324031">
            <w:pPr>
              <w:ind w:firstLine="480"/>
            </w:pPr>
            <w:r>
              <w:t>v—平均车速，km/h，本次评价取15km/h；</w:t>
            </w:r>
          </w:p>
          <w:p w14:paraId="49D57D08">
            <w:pPr>
              <w:ind w:firstLine="480"/>
            </w:pPr>
            <w:r>
              <w:t>M—公路积尘含水率，取10%；</w:t>
            </w:r>
          </w:p>
          <w:p w14:paraId="1E2A7599">
            <w:pPr>
              <w:ind w:firstLine="480"/>
            </w:pPr>
            <w:r>
              <w:t>η—污染控制技术对扬尘的去除效率，本项目采取公路洒水降尘、控制车速、载重等措施，控制效率取84%。</w:t>
            </w:r>
          </w:p>
          <w:p w14:paraId="5DEE3251">
            <w:pPr>
              <w:ind w:firstLine="480"/>
            </w:pPr>
            <w:r>
              <w:t>通过上式计算，E</w:t>
            </w:r>
            <w:r>
              <w:rPr>
                <w:vertAlign w:val="subscript"/>
              </w:rPr>
              <w:t>UPi</w:t>
            </w:r>
            <w:r>
              <w:t>为14.58g/km，矿区内公路长度为</w:t>
            </w:r>
            <w:r>
              <w:rPr>
                <w:rFonts w:hint="eastAsia"/>
              </w:rPr>
              <w:t>3.68</w:t>
            </w:r>
            <w:r>
              <w:t>km。本项目需要汽车运输的矿石约为</w:t>
            </w:r>
            <w:r>
              <w:rPr>
                <w:rFonts w:hint="eastAsia"/>
              </w:rPr>
              <w:t>40</w:t>
            </w:r>
            <w:r>
              <w:t>万t，每辆汽车的载重量为</w:t>
            </w:r>
            <w:r>
              <w:rPr>
                <w:rFonts w:hint="eastAsia"/>
              </w:rPr>
              <w:t>2</w:t>
            </w:r>
            <w:r>
              <w:t>0t，则年运输次数为</w:t>
            </w:r>
            <w:r>
              <w:rPr>
                <w:rFonts w:hint="eastAsia"/>
              </w:rPr>
              <w:t>2</w:t>
            </w:r>
            <w:r>
              <w:t>万次，因此公路扬尘产生量为</w:t>
            </w:r>
            <w:r>
              <w:rPr>
                <w:rFonts w:hint="eastAsia"/>
              </w:rPr>
              <w:t>1.09</w:t>
            </w:r>
            <w:r>
              <w:t xml:space="preserve">t/a。本环评要求在路面釆用砾石压盖，并洒水降尘，预计抑尘效率可达84%，可得出公路扬尘产生量为 </w:t>
            </w:r>
            <w:r>
              <w:rPr>
                <w:rFonts w:hint="eastAsia"/>
              </w:rPr>
              <w:t>0.17</w:t>
            </w:r>
            <w:r>
              <w:t>t/a。</w:t>
            </w:r>
          </w:p>
          <w:p w14:paraId="160D2F0F">
            <w:pPr>
              <w:ind w:left="480" w:firstLine="0" w:firstLineChars="0"/>
              <w:rPr>
                <w:b/>
                <w:bCs/>
              </w:rPr>
            </w:pPr>
            <w:r>
              <w:rPr>
                <w:b/>
                <w:bCs/>
              </w:rPr>
              <w:fldChar w:fldCharType="begin"/>
            </w:r>
            <w:r>
              <w:rPr>
                <w:b/>
                <w:bCs/>
              </w:rPr>
              <w:instrText xml:space="preserve"> = 4 \* GB2 \* MERGEFORMAT </w:instrText>
            </w:r>
            <w:r>
              <w:rPr>
                <w:b/>
                <w:bCs/>
              </w:rPr>
              <w:fldChar w:fldCharType="separate"/>
            </w:r>
            <w:r>
              <w:t>⑷</w:t>
            </w:r>
            <w:r>
              <w:rPr>
                <w:b/>
                <w:bCs/>
              </w:rPr>
              <w:fldChar w:fldCharType="end"/>
            </w:r>
            <w:r>
              <w:rPr>
                <w:b/>
                <w:bCs/>
              </w:rPr>
              <w:t>车辆尾气</w:t>
            </w:r>
          </w:p>
          <w:p w14:paraId="12D31FEE">
            <w:pPr>
              <w:adjustRightInd w:val="0"/>
              <w:snapToGrid w:val="0"/>
              <w:ind w:firstLine="480"/>
            </w:pPr>
            <w:r>
              <w:t>项目</w:t>
            </w:r>
            <w:r>
              <w:rPr>
                <w:rFonts w:hint="eastAsia"/>
              </w:rPr>
              <w:t>矿区</w:t>
            </w:r>
            <w:r>
              <w:t>主要机械设备为挖掘机、自卸汽车等，机械设备均采用柴油，尾气中的主要污染物为NO</w:t>
            </w:r>
            <w:r>
              <w:rPr>
                <w:vertAlign w:val="subscript"/>
              </w:rPr>
              <w:t>X</w:t>
            </w:r>
            <w:r>
              <w:t>、CO和THC等。采取质量合格的机械设备，加强设备的维护等，同时作业环境空旷，产生的尾气经自然扩散后对大气环境的影响较小，本次不做定量分析。</w:t>
            </w:r>
          </w:p>
          <w:p w14:paraId="487C99E5">
            <w:pPr>
              <w:pStyle w:val="23"/>
              <w:wordWrap w:val="0"/>
              <w:spacing w:after="0"/>
              <w:ind w:left="0" w:leftChars="0" w:firstLine="480"/>
              <w:jc w:val="left"/>
            </w:pPr>
            <w:r>
              <w:rPr>
                <w:lang w:eastAsia="zh-TW"/>
              </w:rPr>
              <w:t>废气</w:t>
            </w:r>
            <w:r>
              <w:t>产排情况汇总见表4-</w:t>
            </w:r>
            <w:r>
              <w:rPr>
                <w:rFonts w:hint="eastAsia"/>
              </w:rPr>
              <w:t>3</w:t>
            </w:r>
            <w:r>
              <w:t>，废气监测计划见表4-</w:t>
            </w:r>
            <w:r>
              <w:rPr>
                <w:rFonts w:hint="eastAsia"/>
              </w:rPr>
              <w:t>4</w:t>
            </w:r>
            <w:r>
              <w:t>。</w:t>
            </w:r>
          </w:p>
          <w:p w14:paraId="6F28B503">
            <w:pPr>
              <w:tabs>
                <w:tab w:val="left" w:pos="1294"/>
              </w:tabs>
              <w:spacing w:line="240" w:lineRule="auto"/>
              <w:ind w:firstLine="0" w:firstLineChars="0"/>
              <w:jc w:val="center"/>
              <w:rPr>
                <w:b/>
                <w:bCs/>
                <w:sz w:val="21"/>
                <w:szCs w:val="21"/>
                <w:lang w:eastAsia="zh-TW"/>
              </w:rPr>
            </w:pPr>
            <w:r>
              <w:rPr>
                <w:b/>
                <w:bCs/>
                <w:lang w:eastAsia="zh-TW"/>
              </w:rPr>
              <w:t>表</w:t>
            </w:r>
            <w:r>
              <w:rPr>
                <w:b/>
                <w:bCs/>
              </w:rPr>
              <w:t>4-</w:t>
            </w:r>
            <w:r>
              <w:rPr>
                <w:rFonts w:hint="eastAsia"/>
                <w:b/>
                <w:bCs/>
              </w:rPr>
              <w:t>3</w:t>
            </w:r>
            <w:r>
              <w:rPr>
                <w:b/>
                <w:bCs/>
              </w:rPr>
              <w:t xml:space="preserve">  </w:t>
            </w:r>
            <w:r>
              <w:rPr>
                <w:b/>
                <w:bCs/>
                <w:lang w:eastAsia="zh-TW"/>
              </w:rPr>
              <w:t>废气</w:t>
            </w:r>
            <w:r>
              <w:rPr>
                <w:b/>
                <w:bCs/>
              </w:rPr>
              <w:t>产排情况汇总一览</w:t>
            </w:r>
            <w:r>
              <w:rPr>
                <w:b/>
                <w:bCs/>
                <w:lang w:eastAsia="zh-TW"/>
              </w:rPr>
              <w:t>表</w:t>
            </w:r>
          </w:p>
          <w:tbl>
            <w:tblPr>
              <w:tblStyle w:val="24"/>
              <w:tblW w:w="4954"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749"/>
              <w:gridCol w:w="610"/>
              <w:gridCol w:w="595"/>
              <w:gridCol w:w="720"/>
              <w:gridCol w:w="613"/>
              <w:gridCol w:w="728"/>
              <w:gridCol w:w="643"/>
              <w:gridCol w:w="678"/>
              <w:gridCol w:w="719"/>
              <w:gridCol w:w="762"/>
              <w:gridCol w:w="817"/>
            </w:tblGrid>
            <w:tr w14:paraId="10D00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26" w:hRule="atLeast"/>
              </w:trPr>
              <w:tc>
                <w:tcPr>
                  <w:tcW w:w="490" w:type="pct"/>
                  <w:vMerge w:val="restart"/>
                  <w:tcBorders>
                    <w:tl2br w:val="nil"/>
                    <w:tr2bl w:val="nil"/>
                  </w:tcBorders>
                  <w:shd w:val="clear" w:color="auto" w:fill="FFFFFF" w:themeFill="background1"/>
                  <w:vAlign w:val="center"/>
                </w:tcPr>
                <w:p w14:paraId="07B53798">
                  <w:pPr>
                    <w:adjustRightInd w:val="0"/>
                    <w:snapToGrid w:val="0"/>
                    <w:spacing w:line="240" w:lineRule="auto"/>
                    <w:ind w:firstLine="0" w:firstLineChars="0"/>
                    <w:jc w:val="center"/>
                    <w:rPr>
                      <w:b/>
                      <w:bCs/>
                      <w:sz w:val="21"/>
                      <w:szCs w:val="21"/>
                    </w:rPr>
                  </w:pPr>
                  <w:r>
                    <w:rPr>
                      <w:b/>
                      <w:bCs/>
                      <w:sz w:val="21"/>
                      <w:szCs w:val="21"/>
                      <w:lang w:eastAsia="zh-TW"/>
                    </w:rPr>
                    <w:t>产</w:t>
                  </w:r>
                  <w:r>
                    <w:rPr>
                      <w:b/>
                      <w:bCs/>
                      <w:sz w:val="21"/>
                      <w:szCs w:val="21"/>
                    </w:rPr>
                    <w:t>污</w:t>
                  </w:r>
                </w:p>
                <w:p w14:paraId="4E226D4D">
                  <w:pPr>
                    <w:adjustRightInd w:val="0"/>
                    <w:snapToGrid w:val="0"/>
                    <w:spacing w:line="240" w:lineRule="auto"/>
                    <w:ind w:firstLine="0" w:firstLineChars="0"/>
                    <w:jc w:val="center"/>
                    <w:rPr>
                      <w:b/>
                      <w:bCs/>
                      <w:sz w:val="21"/>
                      <w:szCs w:val="21"/>
                      <w:lang w:eastAsia="zh-TW"/>
                    </w:rPr>
                  </w:pPr>
                  <w:r>
                    <w:rPr>
                      <w:b/>
                      <w:bCs/>
                      <w:sz w:val="21"/>
                      <w:szCs w:val="21"/>
                      <w:lang w:eastAsia="zh-TW"/>
                    </w:rPr>
                    <w:t>工序</w:t>
                  </w:r>
                </w:p>
              </w:tc>
              <w:tc>
                <w:tcPr>
                  <w:tcW w:w="399" w:type="pct"/>
                  <w:vMerge w:val="restart"/>
                  <w:tcBorders>
                    <w:tl2br w:val="nil"/>
                    <w:tr2bl w:val="nil"/>
                  </w:tcBorders>
                  <w:shd w:val="clear" w:color="auto" w:fill="FFFFFF" w:themeFill="background1"/>
                  <w:vAlign w:val="center"/>
                </w:tcPr>
                <w:p w14:paraId="19C80DD3">
                  <w:pPr>
                    <w:adjustRightInd w:val="0"/>
                    <w:snapToGrid w:val="0"/>
                    <w:spacing w:line="240" w:lineRule="auto"/>
                    <w:ind w:firstLine="0" w:firstLineChars="0"/>
                    <w:jc w:val="center"/>
                    <w:rPr>
                      <w:b/>
                      <w:bCs/>
                      <w:sz w:val="21"/>
                      <w:szCs w:val="21"/>
                      <w:lang w:eastAsia="zh-TW"/>
                    </w:rPr>
                  </w:pPr>
                  <w:r>
                    <w:rPr>
                      <w:b/>
                      <w:bCs/>
                      <w:sz w:val="21"/>
                      <w:szCs w:val="21"/>
                      <w:lang w:eastAsia="zh-TW"/>
                    </w:rPr>
                    <w:t>排放</w:t>
                  </w:r>
                </w:p>
                <w:p w14:paraId="2AC70BE1">
                  <w:pPr>
                    <w:adjustRightInd w:val="0"/>
                    <w:snapToGrid w:val="0"/>
                    <w:spacing w:line="240" w:lineRule="auto"/>
                    <w:ind w:firstLine="0" w:firstLineChars="0"/>
                    <w:jc w:val="center"/>
                    <w:rPr>
                      <w:b/>
                      <w:bCs/>
                      <w:sz w:val="21"/>
                      <w:szCs w:val="21"/>
                      <w:lang w:eastAsia="zh-TW"/>
                    </w:rPr>
                  </w:pPr>
                  <w:r>
                    <w:rPr>
                      <w:b/>
                      <w:bCs/>
                      <w:sz w:val="21"/>
                      <w:szCs w:val="21"/>
                      <w:lang w:eastAsia="zh-TW"/>
                    </w:rPr>
                    <w:t>形式</w:t>
                  </w:r>
                </w:p>
              </w:tc>
              <w:tc>
                <w:tcPr>
                  <w:tcW w:w="389" w:type="pct"/>
                  <w:vMerge w:val="restart"/>
                  <w:tcBorders>
                    <w:tl2br w:val="nil"/>
                    <w:tr2bl w:val="nil"/>
                  </w:tcBorders>
                  <w:shd w:val="clear" w:color="auto" w:fill="FFFFFF" w:themeFill="background1"/>
                  <w:vAlign w:val="center"/>
                </w:tcPr>
                <w:p w14:paraId="311F815E">
                  <w:pPr>
                    <w:adjustRightInd w:val="0"/>
                    <w:snapToGrid w:val="0"/>
                    <w:spacing w:line="240" w:lineRule="auto"/>
                    <w:ind w:firstLine="0" w:firstLineChars="0"/>
                    <w:jc w:val="center"/>
                    <w:rPr>
                      <w:b/>
                      <w:bCs/>
                      <w:sz w:val="21"/>
                      <w:szCs w:val="21"/>
                    </w:rPr>
                  </w:pPr>
                  <w:r>
                    <w:rPr>
                      <w:b/>
                      <w:bCs/>
                      <w:sz w:val="21"/>
                      <w:szCs w:val="21"/>
                    </w:rPr>
                    <w:t>物质名称</w:t>
                  </w:r>
                </w:p>
              </w:tc>
              <w:tc>
                <w:tcPr>
                  <w:tcW w:w="1348" w:type="pct"/>
                  <w:gridSpan w:val="3"/>
                  <w:tcBorders>
                    <w:tl2br w:val="nil"/>
                    <w:tr2bl w:val="nil"/>
                  </w:tcBorders>
                  <w:shd w:val="clear" w:color="auto" w:fill="FFFFFF" w:themeFill="background1"/>
                  <w:vAlign w:val="center"/>
                </w:tcPr>
                <w:p w14:paraId="20B2C9B1">
                  <w:pPr>
                    <w:adjustRightInd w:val="0"/>
                    <w:snapToGrid w:val="0"/>
                    <w:spacing w:line="240" w:lineRule="auto"/>
                    <w:ind w:firstLine="0" w:firstLineChars="0"/>
                    <w:jc w:val="center"/>
                    <w:rPr>
                      <w:b/>
                      <w:bCs/>
                      <w:sz w:val="21"/>
                      <w:szCs w:val="21"/>
                    </w:rPr>
                  </w:pPr>
                  <w:r>
                    <w:rPr>
                      <w:b/>
                      <w:bCs/>
                      <w:sz w:val="21"/>
                      <w:szCs w:val="21"/>
                    </w:rPr>
                    <w:t>产生情况</w:t>
                  </w:r>
                </w:p>
              </w:tc>
              <w:tc>
                <w:tcPr>
                  <w:tcW w:w="421" w:type="pct"/>
                  <w:vMerge w:val="restart"/>
                  <w:tcBorders>
                    <w:tl2br w:val="nil"/>
                    <w:tr2bl w:val="nil"/>
                  </w:tcBorders>
                  <w:shd w:val="clear" w:color="auto" w:fill="FFFFFF" w:themeFill="background1"/>
                  <w:vAlign w:val="center"/>
                </w:tcPr>
                <w:p w14:paraId="05F05D47">
                  <w:pPr>
                    <w:adjustRightInd w:val="0"/>
                    <w:snapToGrid w:val="0"/>
                    <w:spacing w:line="240" w:lineRule="auto"/>
                    <w:ind w:firstLine="0" w:firstLineChars="0"/>
                    <w:jc w:val="center"/>
                    <w:rPr>
                      <w:b/>
                      <w:bCs/>
                      <w:sz w:val="21"/>
                      <w:szCs w:val="21"/>
                    </w:rPr>
                  </w:pPr>
                  <w:r>
                    <w:rPr>
                      <w:b/>
                      <w:bCs/>
                      <w:sz w:val="21"/>
                      <w:szCs w:val="21"/>
                    </w:rPr>
                    <w:t>环保</w:t>
                  </w:r>
                </w:p>
                <w:p w14:paraId="71371554">
                  <w:pPr>
                    <w:adjustRightInd w:val="0"/>
                    <w:snapToGrid w:val="0"/>
                    <w:spacing w:line="240" w:lineRule="auto"/>
                    <w:ind w:firstLine="0" w:firstLineChars="0"/>
                    <w:jc w:val="center"/>
                    <w:rPr>
                      <w:b/>
                      <w:bCs/>
                      <w:sz w:val="21"/>
                      <w:szCs w:val="21"/>
                    </w:rPr>
                  </w:pPr>
                  <w:r>
                    <w:rPr>
                      <w:b/>
                      <w:bCs/>
                      <w:sz w:val="21"/>
                      <w:szCs w:val="21"/>
                    </w:rPr>
                    <w:t>措施</w:t>
                  </w:r>
                </w:p>
              </w:tc>
              <w:tc>
                <w:tcPr>
                  <w:tcW w:w="444" w:type="pct"/>
                  <w:vMerge w:val="restart"/>
                  <w:tcBorders>
                    <w:tl2br w:val="nil"/>
                    <w:tr2bl w:val="nil"/>
                  </w:tcBorders>
                  <w:shd w:val="clear" w:color="auto" w:fill="FFFFFF" w:themeFill="background1"/>
                  <w:vAlign w:val="center"/>
                </w:tcPr>
                <w:p w14:paraId="693A1B9E">
                  <w:pPr>
                    <w:adjustRightInd w:val="0"/>
                    <w:snapToGrid w:val="0"/>
                    <w:spacing w:line="240" w:lineRule="auto"/>
                    <w:ind w:firstLine="0" w:firstLineChars="0"/>
                    <w:jc w:val="center"/>
                    <w:rPr>
                      <w:b/>
                      <w:bCs/>
                      <w:sz w:val="21"/>
                      <w:szCs w:val="21"/>
                    </w:rPr>
                  </w:pPr>
                  <w:r>
                    <w:rPr>
                      <w:b/>
                      <w:bCs/>
                      <w:sz w:val="21"/>
                      <w:szCs w:val="21"/>
                    </w:rPr>
                    <w:t>是否为可行技术</w:t>
                  </w:r>
                </w:p>
              </w:tc>
              <w:tc>
                <w:tcPr>
                  <w:tcW w:w="1505" w:type="pct"/>
                  <w:gridSpan w:val="3"/>
                  <w:tcBorders>
                    <w:tl2br w:val="nil"/>
                    <w:tr2bl w:val="nil"/>
                  </w:tcBorders>
                  <w:shd w:val="clear" w:color="auto" w:fill="FFFFFF" w:themeFill="background1"/>
                  <w:vAlign w:val="center"/>
                </w:tcPr>
                <w:p w14:paraId="75427003">
                  <w:pPr>
                    <w:adjustRightInd w:val="0"/>
                    <w:snapToGrid w:val="0"/>
                    <w:spacing w:line="240" w:lineRule="auto"/>
                    <w:ind w:firstLine="0" w:firstLineChars="0"/>
                    <w:jc w:val="center"/>
                    <w:rPr>
                      <w:b/>
                      <w:bCs/>
                      <w:sz w:val="21"/>
                      <w:szCs w:val="21"/>
                    </w:rPr>
                  </w:pPr>
                  <w:r>
                    <w:rPr>
                      <w:b/>
                      <w:bCs/>
                      <w:sz w:val="21"/>
                      <w:szCs w:val="21"/>
                    </w:rPr>
                    <w:t>排放情况</w:t>
                  </w:r>
                </w:p>
              </w:tc>
            </w:tr>
            <w:tr w14:paraId="79CE3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490" w:type="pct"/>
                  <w:vMerge w:val="continue"/>
                  <w:tcBorders>
                    <w:tl2br w:val="nil"/>
                    <w:tr2bl w:val="nil"/>
                  </w:tcBorders>
                  <w:shd w:val="clear" w:color="auto" w:fill="FFFFFF" w:themeFill="background1"/>
                </w:tcPr>
                <w:p w14:paraId="17B6964F">
                  <w:pPr>
                    <w:adjustRightInd w:val="0"/>
                    <w:snapToGrid w:val="0"/>
                    <w:spacing w:line="240" w:lineRule="auto"/>
                    <w:ind w:firstLine="0" w:firstLineChars="0"/>
                    <w:jc w:val="center"/>
                    <w:rPr>
                      <w:b/>
                      <w:bCs/>
                      <w:sz w:val="21"/>
                      <w:szCs w:val="21"/>
                    </w:rPr>
                  </w:pPr>
                </w:p>
              </w:tc>
              <w:tc>
                <w:tcPr>
                  <w:tcW w:w="399" w:type="pct"/>
                  <w:vMerge w:val="continue"/>
                  <w:tcBorders>
                    <w:tl2br w:val="nil"/>
                    <w:tr2bl w:val="nil"/>
                  </w:tcBorders>
                  <w:shd w:val="clear" w:color="auto" w:fill="FFFFFF" w:themeFill="background1"/>
                  <w:vAlign w:val="center"/>
                </w:tcPr>
                <w:p w14:paraId="52B11849">
                  <w:pPr>
                    <w:adjustRightInd w:val="0"/>
                    <w:snapToGrid w:val="0"/>
                    <w:spacing w:line="240" w:lineRule="auto"/>
                    <w:ind w:firstLine="0" w:firstLineChars="0"/>
                    <w:jc w:val="center"/>
                    <w:rPr>
                      <w:b/>
                      <w:bCs/>
                      <w:sz w:val="21"/>
                      <w:szCs w:val="21"/>
                    </w:rPr>
                  </w:pPr>
                </w:p>
              </w:tc>
              <w:tc>
                <w:tcPr>
                  <w:tcW w:w="389" w:type="pct"/>
                  <w:vMerge w:val="continue"/>
                  <w:tcBorders>
                    <w:tl2br w:val="nil"/>
                    <w:tr2bl w:val="nil"/>
                  </w:tcBorders>
                  <w:shd w:val="clear" w:color="auto" w:fill="FFFFFF" w:themeFill="background1"/>
                  <w:vAlign w:val="center"/>
                </w:tcPr>
                <w:p w14:paraId="6EFD7C36">
                  <w:pPr>
                    <w:adjustRightInd w:val="0"/>
                    <w:snapToGrid w:val="0"/>
                    <w:spacing w:line="240" w:lineRule="auto"/>
                    <w:ind w:firstLine="0" w:firstLineChars="0"/>
                    <w:jc w:val="center"/>
                    <w:rPr>
                      <w:b/>
                      <w:bCs/>
                      <w:sz w:val="21"/>
                      <w:szCs w:val="21"/>
                    </w:rPr>
                  </w:pPr>
                </w:p>
              </w:tc>
              <w:tc>
                <w:tcPr>
                  <w:tcW w:w="471" w:type="pct"/>
                  <w:tcBorders>
                    <w:tl2br w:val="nil"/>
                    <w:tr2bl w:val="nil"/>
                  </w:tcBorders>
                  <w:shd w:val="clear" w:color="auto" w:fill="FFFFFF" w:themeFill="background1"/>
                  <w:vAlign w:val="center"/>
                </w:tcPr>
                <w:p w14:paraId="0D931FB4">
                  <w:pPr>
                    <w:adjustRightInd w:val="0"/>
                    <w:snapToGrid w:val="0"/>
                    <w:spacing w:line="240" w:lineRule="auto"/>
                    <w:ind w:firstLine="0" w:firstLineChars="0"/>
                    <w:rPr>
                      <w:b/>
                      <w:bCs/>
                      <w:sz w:val="21"/>
                      <w:szCs w:val="21"/>
                      <w:lang w:eastAsia="zh-TW"/>
                    </w:rPr>
                  </w:pPr>
                  <w:r>
                    <w:rPr>
                      <w:b/>
                      <w:bCs/>
                      <w:sz w:val="21"/>
                      <w:szCs w:val="21"/>
                      <w:lang w:eastAsia="zh-TW"/>
                    </w:rPr>
                    <w:t>产生量t/a</w:t>
                  </w:r>
                </w:p>
              </w:tc>
              <w:tc>
                <w:tcPr>
                  <w:tcW w:w="401" w:type="pct"/>
                  <w:tcBorders>
                    <w:tl2br w:val="nil"/>
                    <w:tr2bl w:val="nil"/>
                  </w:tcBorders>
                  <w:shd w:val="clear" w:color="auto" w:fill="FFFFFF" w:themeFill="background1"/>
                  <w:vAlign w:val="center"/>
                </w:tcPr>
                <w:p w14:paraId="6033E812">
                  <w:pPr>
                    <w:adjustRightInd w:val="0"/>
                    <w:snapToGrid w:val="0"/>
                    <w:spacing w:line="240" w:lineRule="auto"/>
                    <w:ind w:firstLine="0" w:firstLineChars="0"/>
                    <w:jc w:val="center"/>
                    <w:rPr>
                      <w:b/>
                      <w:bCs/>
                      <w:sz w:val="21"/>
                      <w:szCs w:val="21"/>
                    </w:rPr>
                  </w:pPr>
                  <w:r>
                    <w:rPr>
                      <w:b/>
                      <w:bCs/>
                      <w:sz w:val="21"/>
                      <w:szCs w:val="21"/>
                    </w:rPr>
                    <w:t>产生速率</w:t>
                  </w:r>
                </w:p>
                <w:p w14:paraId="425AF6C5">
                  <w:pPr>
                    <w:adjustRightInd w:val="0"/>
                    <w:snapToGrid w:val="0"/>
                    <w:spacing w:line="240" w:lineRule="auto"/>
                    <w:ind w:firstLine="0" w:firstLineChars="0"/>
                    <w:jc w:val="center"/>
                    <w:rPr>
                      <w:b/>
                      <w:bCs/>
                      <w:sz w:val="21"/>
                      <w:szCs w:val="21"/>
                    </w:rPr>
                  </w:pPr>
                  <w:r>
                    <w:rPr>
                      <w:b/>
                      <w:bCs/>
                      <w:sz w:val="21"/>
                      <w:szCs w:val="21"/>
                    </w:rPr>
                    <w:t>kg/h</w:t>
                  </w:r>
                </w:p>
              </w:tc>
              <w:tc>
                <w:tcPr>
                  <w:tcW w:w="474" w:type="pct"/>
                  <w:tcBorders>
                    <w:tl2br w:val="nil"/>
                    <w:tr2bl w:val="nil"/>
                  </w:tcBorders>
                  <w:shd w:val="clear" w:color="auto" w:fill="FFFFFF" w:themeFill="background1"/>
                  <w:vAlign w:val="center"/>
                </w:tcPr>
                <w:p w14:paraId="36B9C38D">
                  <w:pPr>
                    <w:adjustRightInd w:val="0"/>
                    <w:snapToGrid w:val="0"/>
                    <w:spacing w:line="240" w:lineRule="auto"/>
                    <w:ind w:firstLine="0" w:firstLineChars="0"/>
                    <w:jc w:val="center"/>
                    <w:rPr>
                      <w:b/>
                      <w:bCs/>
                      <w:sz w:val="21"/>
                      <w:szCs w:val="21"/>
                    </w:rPr>
                  </w:pPr>
                  <w:r>
                    <w:rPr>
                      <w:b/>
                      <w:bCs/>
                      <w:sz w:val="21"/>
                      <w:szCs w:val="21"/>
                    </w:rPr>
                    <w:t>产生浓度</w:t>
                  </w:r>
                </w:p>
                <w:p w14:paraId="0F8FC5DA">
                  <w:pPr>
                    <w:adjustRightInd w:val="0"/>
                    <w:snapToGrid w:val="0"/>
                    <w:spacing w:line="240" w:lineRule="auto"/>
                    <w:ind w:firstLine="0" w:firstLineChars="0"/>
                    <w:jc w:val="center"/>
                    <w:rPr>
                      <w:b/>
                      <w:bCs/>
                      <w:sz w:val="21"/>
                      <w:szCs w:val="21"/>
                      <w:vertAlign w:val="superscript"/>
                    </w:rPr>
                  </w:pPr>
                  <w:r>
                    <w:rPr>
                      <w:b/>
                      <w:bCs/>
                      <w:sz w:val="21"/>
                      <w:szCs w:val="21"/>
                    </w:rPr>
                    <w:t>mg/m</w:t>
                  </w:r>
                  <w:r>
                    <w:rPr>
                      <w:b/>
                      <w:bCs/>
                      <w:sz w:val="21"/>
                      <w:szCs w:val="21"/>
                      <w:vertAlign w:val="superscript"/>
                    </w:rPr>
                    <w:t>3</w:t>
                  </w:r>
                </w:p>
              </w:tc>
              <w:tc>
                <w:tcPr>
                  <w:tcW w:w="421" w:type="pct"/>
                  <w:vMerge w:val="continue"/>
                  <w:tcBorders>
                    <w:tl2br w:val="nil"/>
                    <w:tr2bl w:val="nil"/>
                  </w:tcBorders>
                  <w:shd w:val="clear" w:color="auto" w:fill="FFFFFF" w:themeFill="background1"/>
                  <w:vAlign w:val="center"/>
                </w:tcPr>
                <w:p w14:paraId="19A5F691">
                  <w:pPr>
                    <w:adjustRightInd w:val="0"/>
                    <w:snapToGrid w:val="0"/>
                    <w:spacing w:line="240" w:lineRule="auto"/>
                    <w:ind w:firstLine="0" w:firstLineChars="0"/>
                    <w:jc w:val="center"/>
                    <w:rPr>
                      <w:b/>
                      <w:bCs/>
                      <w:sz w:val="21"/>
                      <w:szCs w:val="21"/>
                      <w:lang w:eastAsia="zh-TW"/>
                    </w:rPr>
                  </w:pPr>
                </w:p>
              </w:tc>
              <w:tc>
                <w:tcPr>
                  <w:tcW w:w="444" w:type="pct"/>
                  <w:vMerge w:val="continue"/>
                  <w:tcBorders>
                    <w:tl2br w:val="nil"/>
                    <w:tr2bl w:val="nil"/>
                  </w:tcBorders>
                  <w:shd w:val="clear" w:color="auto" w:fill="FFFFFF" w:themeFill="background1"/>
                </w:tcPr>
                <w:p w14:paraId="0EF0DF43">
                  <w:pPr>
                    <w:adjustRightInd w:val="0"/>
                    <w:snapToGrid w:val="0"/>
                    <w:spacing w:line="240" w:lineRule="auto"/>
                    <w:ind w:firstLine="0" w:firstLineChars="0"/>
                    <w:jc w:val="center"/>
                    <w:rPr>
                      <w:b/>
                      <w:bCs/>
                      <w:sz w:val="21"/>
                      <w:szCs w:val="21"/>
                      <w:lang w:eastAsia="zh-TW"/>
                    </w:rPr>
                  </w:pPr>
                </w:p>
              </w:tc>
              <w:tc>
                <w:tcPr>
                  <w:tcW w:w="471" w:type="pct"/>
                  <w:tcBorders>
                    <w:tl2br w:val="nil"/>
                    <w:tr2bl w:val="nil"/>
                  </w:tcBorders>
                  <w:shd w:val="clear" w:color="auto" w:fill="FFFFFF" w:themeFill="background1"/>
                  <w:vAlign w:val="center"/>
                </w:tcPr>
                <w:p w14:paraId="49B1C4DD">
                  <w:pPr>
                    <w:adjustRightInd w:val="0"/>
                    <w:snapToGrid w:val="0"/>
                    <w:spacing w:line="240" w:lineRule="auto"/>
                    <w:ind w:firstLine="0" w:firstLineChars="0"/>
                    <w:jc w:val="center"/>
                    <w:rPr>
                      <w:b/>
                      <w:bCs/>
                      <w:sz w:val="21"/>
                      <w:szCs w:val="21"/>
                      <w:lang w:eastAsia="zh-TW"/>
                    </w:rPr>
                  </w:pPr>
                  <w:r>
                    <w:rPr>
                      <w:b/>
                      <w:bCs/>
                      <w:sz w:val="21"/>
                      <w:szCs w:val="21"/>
                      <w:lang w:eastAsia="zh-TW"/>
                    </w:rPr>
                    <w:t>排放量</w:t>
                  </w:r>
                </w:p>
                <w:p w14:paraId="43DA1C9D">
                  <w:pPr>
                    <w:adjustRightInd w:val="0"/>
                    <w:snapToGrid w:val="0"/>
                    <w:spacing w:line="240" w:lineRule="auto"/>
                    <w:ind w:firstLine="0" w:firstLineChars="0"/>
                    <w:jc w:val="center"/>
                    <w:rPr>
                      <w:b/>
                      <w:bCs/>
                      <w:sz w:val="21"/>
                      <w:szCs w:val="21"/>
                      <w:lang w:eastAsia="zh-TW"/>
                    </w:rPr>
                  </w:pPr>
                  <w:r>
                    <w:rPr>
                      <w:b/>
                      <w:bCs/>
                      <w:sz w:val="21"/>
                      <w:szCs w:val="21"/>
                      <w:lang w:eastAsia="zh-TW"/>
                    </w:rPr>
                    <w:t>t/a</w:t>
                  </w:r>
                </w:p>
              </w:tc>
              <w:tc>
                <w:tcPr>
                  <w:tcW w:w="499" w:type="pct"/>
                  <w:tcBorders>
                    <w:tl2br w:val="nil"/>
                    <w:tr2bl w:val="nil"/>
                  </w:tcBorders>
                  <w:shd w:val="clear" w:color="auto" w:fill="FFFFFF" w:themeFill="background1"/>
                  <w:vAlign w:val="center"/>
                </w:tcPr>
                <w:p w14:paraId="21889412">
                  <w:pPr>
                    <w:adjustRightInd w:val="0"/>
                    <w:snapToGrid w:val="0"/>
                    <w:spacing w:line="240" w:lineRule="auto"/>
                    <w:ind w:firstLine="0" w:firstLineChars="0"/>
                    <w:jc w:val="center"/>
                    <w:rPr>
                      <w:b/>
                      <w:bCs/>
                      <w:sz w:val="21"/>
                      <w:szCs w:val="21"/>
                    </w:rPr>
                  </w:pPr>
                  <w:r>
                    <w:rPr>
                      <w:b/>
                      <w:bCs/>
                      <w:sz w:val="21"/>
                      <w:szCs w:val="21"/>
                    </w:rPr>
                    <w:t>排放速率</w:t>
                  </w:r>
                </w:p>
                <w:p w14:paraId="0FA532A3">
                  <w:pPr>
                    <w:adjustRightInd w:val="0"/>
                    <w:snapToGrid w:val="0"/>
                    <w:spacing w:line="240" w:lineRule="auto"/>
                    <w:ind w:firstLine="0" w:firstLineChars="0"/>
                    <w:jc w:val="center"/>
                    <w:rPr>
                      <w:b/>
                      <w:bCs/>
                      <w:sz w:val="21"/>
                      <w:szCs w:val="21"/>
                    </w:rPr>
                  </w:pPr>
                  <w:r>
                    <w:rPr>
                      <w:b/>
                      <w:bCs/>
                      <w:sz w:val="21"/>
                      <w:szCs w:val="21"/>
                    </w:rPr>
                    <w:t>kg/h</w:t>
                  </w:r>
                </w:p>
              </w:tc>
              <w:tc>
                <w:tcPr>
                  <w:tcW w:w="533" w:type="pct"/>
                  <w:tcBorders>
                    <w:tl2br w:val="nil"/>
                    <w:tr2bl w:val="nil"/>
                  </w:tcBorders>
                  <w:shd w:val="clear" w:color="auto" w:fill="FFFFFF" w:themeFill="background1"/>
                  <w:vAlign w:val="center"/>
                </w:tcPr>
                <w:p w14:paraId="4F943E40">
                  <w:pPr>
                    <w:adjustRightInd w:val="0"/>
                    <w:snapToGrid w:val="0"/>
                    <w:spacing w:line="240" w:lineRule="auto"/>
                    <w:ind w:firstLine="0" w:firstLineChars="0"/>
                    <w:jc w:val="center"/>
                    <w:rPr>
                      <w:b/>
                      <w:bCs/>
                      <w:sz w:val="21"/>
                      <w:szCs w:val="21"/>
                    </w:rPr>
                  </w:pPr>
                  <w:r>
                    <w:rPr>
                      <w:b/>
                      <w:bCs/>
                      <w:sz w:val="21"/>
                      <w:szCs w:val="21"/>
                    </w:rPr>
                    <w:t>排放浓度</w:t>
                  </w:r>
                </w:p>
                <w:p w14:paraId="05250F72">
                  <w:pPr>
                    <w:adjustRightInd w:val="0"/>
                    <w:snapToGrid w:val="0"/>
                    <w:spacing w:line="240" w:lineRule="auto"/>
                    <w:ind w:firstLine="0" w:firstLineChars="0"/>
                    <w:jc w:val="center"/>
                    <w:rPr>
                      <w:b/>
                      <w:bCs/>
                      <w:sz w:val="21"/>
                      <w:szCs w:val="21"/>
                      <w:lang w:eastAsia="zh-TW"/>
                    </w:rPr>
                  </w:pPr>
                  <w:r>
                    <w:rPr>
                      <w:b/>
                      <w:bCs/>
                      <w:sz w:val="21"/>
                      <w:szCs w:val="21"/>
                    </w:rPr>
                    <w:t>mg/m</w:t>
                  </w:r>
                  <w:r>
                    <w:rPr>
                      <w:b/>
                      <w:bCs/>
                      <w:sz w:val="21"/>
                      <w:szCs w:val="21"/>
                      <w:vertAlign w:val="superscript"/>
                    </w:rPr>
                    <w:t>3</w:t>
                  </w:r>
                </w:p>
              </w:tc>
            </w:tr>
            <w:tr w14:paraId="4718A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90" w:type="pct"/>
                  <w:tcBorders>
                    <w:tl2br w:val="nil"/>
                    <w:tr2bl w:val="nil"/>
                  </w:tcBorders>
                  <w:shd w:val="clear" w:color="auto" w:fill="FFFFFF" w:themeFill="background1"/>
                  <w:vAlign w:val="center"/>
                </w:tcPr>
                <w:p w14:paraId="76D3F765">
                  <w:pPr>
                    <w:adjustRightInd w:val="0"/>
                    <w:snapToGrid w:val="0"/>
                    <w:spacing w:line="240" w:lineRule="auto"/>
                    <w:ind w:firstLine="0" w:firstLineChars="0"/>
                    <w:jc w:val="center"/>
                    <w:rPr>
                      <w:sz w:val="21"/>
                      <w:szCs w:val="21"/>
                    </w:rPr>
                  </w:pPr>
                  <w:r>
                    <w:rPr>
                      <w:sz w:val="21"/>
                      <w:szCs w:val="21"/>
                    </w:rPr>
                    <w:t>钻孔粉尘</w:t>
                  </w:r>
                </w:p>
              </w:tc>
              <w:tc>
                <w:tcPr>
                  <w:tcW w:w="399" w:type="pct"/>
                  <w:tcBorders>
                    <w:tl2br w:val="nil"/>
                    <w:tr2bl w:val="nil"/>
                  </w:tcBorders>
                  <w:shd w:val="clear" w:color="auto" w:fill="FFFFFF" w:themeFill="background1"/>
                  <w:vAlign w:val="center"/>
                </w:tcPr>
                <w:p w14:paraId="3CC6D919">
                  <w:pPr>
                    <w:adjustRightInd w:val="0"/>
                    <w:snapToGrid w:val="0"/>
                    <w:spacing w:line="240" w:lineRule="auto"/>
                    <w:ind w:firstLine="0" w:firstLineChars="0"/>
                    <w:jc w:val="center"/>
                    <w:rPr>
                      <w:sz w:val="21"/>
                      <w:szCs w:val="21"/>
                    </w:rPr>
                  </w:pPr>
                  <w:r>
                    <w:rPr>
                      <w:sz w:val="21"/>
                      <w:szCs w:val="21"/>
                    </w:rPr>
                    <w:t>无组织</w:t>
                  </w:r>
                </w:p>
              </w:tc>
              <w:tc>
                <w:tcPr>
                  <w:tcW w:w="389" w:type="pct"/>
                  <w:tcBorders>
                    <w:tl2br w:val="nil"/>
                    <w:tr2bl w:val="nil"/>
                  </w:tcBorders>
                  <w:shd w:val="clear" w:color="auto" w:fill="FFFFFF" w:themeFill="background1"/>
                  <w:vAlign w:val="center"/>
                </w:tcPr>
                <w:p w14:paraId="33837437">
                  <w:pPr>
                    <w:pStyle w:val="11"/>
                    <w:adjustRightInd w:val="0"/>
                    <w:snapToGrid w:val="0"/>
                    <w:jc w:val="center"/>
                    <w:rPr>
                      <w:rFonts w:ascii="Times New Roman" w:hAnsi="Times New Roman" w:cs="Times New Roman"/>
                    </w:rPr>
                  </w:pPr>
                  <w:r>
                    <w:rPr>
                      <w:rFonts w:ascii="Times New Roman" w:hAnsi="Times New Roman" w:cs="Times New Roman"/>
                    </w:rPr>
                    <w:t>颗粒物</w:t>
                  </w:r>
                </w:p>
              </w:tc>
              <w:tc>
                <w:tcPr>
                  <w:tcW w:w="471" w:type="pct"/>
                  <w:tcBorders>
                    <w:tl2br w:val="nil"/>
                    <w:tr2bl w:val="nil"/>
                  </w:tcBorders>
                  <w:shd w:val="clear" w:color="auto" w:fill="FFFFFF" w:themeFill="background1"/>
                  <w:vAlign w:val="center"/>
                </w:tcPr>
                <w:p w14:paraId="550E3D8B">
                  <w:pPr>
                    <w:adjustRightInd w:val="0"/>
                    <w:snapToGrid w:val="0"/>
                    <w:spacing w:line="240" w:lineRule="auto"/>
                    <w:ind w:firstLine="0" w:firstLineChars="0"/>
                    <w:jc w:val="center"/>
                    <w:rPr>
                      <w:sz w:val="21"/>
                      <w:szCs w:val="21"/>
                    </w:rPr>
                  </w:pPr>
                  <w:r>
                    <w:rPr>
                      <w:rFonts w:hint="eastAsia"/>
                      <w:sz w:val="21"/>
                      <w:szCs w:val="21"/>
                    </w:rPr>
                    <w:t>1.6</w:t>
                  </w:r>
                </w:p>
              </w:tc>
              <w:tc>
                <w:tcPr>
                  <w:tcW w:w="401" w:type="pct"/>
                  <w:tcBorders>
                    <w:tl2br w:val="nil"/>
                    <w:tr2bl w:val="nil"/>
                  </w:tcBorders>
                  <w:shd w:val="clear" w:color="auto" w:fill="FFFFFF" w:themeFill="background1"/>
                  <w:vAlign w:val="center"/>
                </w:tcPr>
                <w:p w14:paraId="1E5BD5FD">
                  <w:pPr>
                    <w:adjustRightInd w:val="0"/>
                    <w:snapToGrid w:val="0"/>
                    <w:spacing w:line="240" w:lineRule="auto"/>
                    <w:ind w:firstLine="0" w:firstLineChars="0"/>
                    <w:jc w:val="center"/>
                    <w:rPr>
                      <w:sz w:val="21"/>
                      <w:szCs w:val="21"/>
                    </w:rPr>
                  </w:pPr>
                  <w:r>
                    <w:rPr>
                      <w:sz w:val="21"/>
                      <w:szCs w:val="21"/>
                    </w:rPr>
                    <w:t>0.</w:t>
                  </w:r>
                  <w:r>
                    <w:rPr>
                      <w:rFonts w:hint="eastAsia"/>
                      <w:sz w:val="21"/>
                      <w:szCs w:val="21"/>
                    </w:rPr>
                    <w:t>66</w:t>
                  </w:r>
                </w:p>
              </w:tc>
              <w:tc>
                <w:tcPr>
                  <w:tcW w:w="474" w:type="pct"/>
                  <w:tcBorders>
                    <w:tl2br w:val="nil"/>
                    <w:tr2bl w:val="nil"/>
                  </w:tcBorders>
                  <w:shd w:val="clear" w:color="auto" w:fill="FFFFFF" w:themeFill="background1"/>
                  <w:vAlign w:val="center"/>
                </w:tcPr>
                <w:p w14:paraId="442D123E">
                  <w:pPr>
                    <w:adjustRightInd w:val="0"/>
                    <w:snapToGrid w:val="0"/>
                    <w:spacing w:line="240" w:lineRule="auto"/>
                    <w:ind w:firstLine="0" w:firstLineChars="0"/>
                    <w:jc w:val="center"/>
                    <w:rPr>
                      <w:sz w:val="21"/>
                      <w:szCs w:val="21"/>
                    </w:rPr>
                  </w:pPr>
                  <w:r>
                    <w:rPr>
                      <w:sz w:val="21"/>
                      <w:szCs w:val="21"/>
                    </w:rPr>
                    <w:t>/</w:t>
                  </w:r>
                </w:p>
              </w:tc>
              <w:tc>
                <w:tcPr>
                  <w:tcW w:w="421" w:type="pct"/>
                  <w:tcBorders>
                    <w:tl2br w:val="nil"/>
                    <w:tr2bl w:val="nil"/>
                  </w:tcBorders>
                  <w:shd w:val="clear" w:color="auto" w:fill="FFFFFF" w:themeFill="background1"/>
                  <w:vAlign w:val="center"/>
                </w:tcPr>
                <w:p w14:paraId="1021AB5E">
                  <w:pPr>
                    <w:adjustRightInd w:val="0"/>
                    <w:snapToGrid w:val="0"/>
                    <w:spacing w:line="240" w:lineRule="auto"/>
                    <w:ind w:firstLine="0" w:firstLineChars="0"/>
                    <w:jc w:val="center"/>
                    <w:rPr>
                      <w:sz w:val="21"/>
                      <w:szCs w:val="21"/>
                    </w:rPr>
                  </w:pPr>
                  <w:r>
                    <w:rPr>
                      <w:sz w:val="21"/>
                      <w:szCs w:val="21"/>
                    </w:rPr>
                    <w:t>喷淋降尘</w:t>
                  </w:r>
                </w:p>
              </w:tc>
              <w:tc>
                <w:tcPr>
                  <w:tcW w:w="444" w:type="pct"/>
                  <w:tcBorders>
                    <w:tl2br w:val="nil"/>
                    <w:tr2bl w:val="nil"/>
                  </w:tcBorders>
                  <w:shd w:val="clear" w:color="auto" w:fill="FFFFFF" w:themeFill="background1"/>
                  <w:vAlign w:val="center"/>
                </w:tcPr>
                <w:p w14:paraId="76B7FCA1">
                  <w:pPr>
                    <w:adjustRightInd w:val="0"/>
                    <w:snapToGrid w:val="0"/>
                    <w:spacing w:line="240" w:lineRule="auto"/>
                    <w:ind w:firstLine="0" w:firstLineChars="0"/>
                    <w:jc w:val="center"/>
                    <w:rPr>
                      <w:sz w:val="21"/>
                      <w:szCs w:val="21"/>
                    </w:rPr>
                  </w:pPr>
                  <w:r>
                    <w:rPr>
                      <w:sz w:val="21"/>
                      <w:szCs w:val="21"/>
                    </w:rPr>
                    <w:t>是</w:t>
                  </w:r>
                </w:p>
              </w:tc>
              <w:tc>
                <w:tcPr>
                  <w:tcW w:w="471" w:type="pct"/>
                  <w:tcBorders>
                    <w:tl2br w:val="nil"/>
                    <w:tr2bl w:val="nil"/>
                  </w:tcBorders>
                  <w:shd w:val="clear" w:color="auto" w:fill="FFFFFF" w:themeFill="background1"/>
                  <w:vAlign w:val="center"/>
                </w:tcPr>
                <w:p w14:paraId="0B639145">
                  <w:pPr>
                    <w:adjustRightInd w:val="0"/>
                    <w:snapToGrid w:val="0"/>
                    <w:spacing w:line="240" w:lineRule="auto"/>
                    <w:ind w:firstLine="0" w:firstLineChars="0"/>
                    <w:jc w:val="center"/>
                    <w:rPr>
                      <w:sz w:val="21"/>
                      <w:szCs w:val="21"/>
                    </w:rPr>
                  </w:pPr>
                  <w:r>
                    <w:rPr>
                      <w:sz w:val="21"/>
                      <w:szCs w:val="21"/>
                    </w:rPr>
                    <w:t>0.</w:t>
                  </w:r>
                  <w:r>
                    <w:rPr>
                      <w:rFonts w:hint="eastAsia"/>
                      <w:sz w:val="21"/>
                      <w:szCs w:val="21"/>
                    </w:rPr>
                    <w:t>16</w:t>
                  </w:r>
                </w:p>
              </w:tc>
              <w:tc>
                <w:tcPr>
                  <w:tcW w:w="499" w:type="pct"/>
                  <w:tcBorders>
                    <w:tl2br w:val="nil"/>
                    <w:tr2bl w:val="nil"/>
                  </w:tcBorders>
                  <w:shd w:val="clear" w:color="auto" w:fill="FFFFFF" w:themeFill="background1"/>
                  <w:vAlign w:val="center"/>
                </w:tcPr>
                <w:p w14:paraId="05C8C362">
                  <w:pPr>
                    <w:adjustRightInd w:val="0"/>
                    <w:snapToGrid w:val="0"/>
                    <w:spacing w:line="240" w:lineRule="auto"/>
                    <w:ind w:firstLine="0" w:firstLineChars="0"/>
                    <w:jc w:val="center"/>
                    <w:rPr>
                      <w:sz w:val="21"/>
                      <w:szCs w:val="21"/>
                    </w:rPr>
                  </w:pPr>
                  <w:r>
                    <w:rPr>
                      <w:sz w:val="21"/>
                      <w:szCs w:val="21"/>
                    </w:rPr>
                    <w:t>0.0</w:t>
                  </w:r>
                  <w:r>
                    <w:rPr>
                      <w:rFonts w:hint="eastAsia"/>
                      <w:sz w:val="21"/>
                      <w:szCs w:val="21"/>
                    </w:rPr>
                    <w:t>66</w:t>
                  </w:r>
                </w:p>
              </w:tc>
              <w:tc>
                <w:tcPr>
                  <w:tcW w:w="533" w:type="pct"/>
                  <w:tcBorders>
                    <w:tl2br w:val="nil"/>
                    <w:tr2bl w:val="nil"/>
                  </w:tcBorders>
                  <w:shd w:val="clear" w:color="auto" w:fill="FFFFFF" w:themeFill="background1"/>
                  <w:vAlign w:val="center"/>
                </w:tcPr>
                <w:p w14:paraId="01FC4CBD">
                  <w:pPr>
                    <w:adjustRightInd w:val="0"/>
                    <w:snapToGrid w:val="0"/>
                    <w:spacing w:line="240" w:lineRule="auto"/>
                    <w:ind w:firstLine="0" w:firstLineChars="0"/>
                    <w:jc w:val="center"/>
                    <w:rPr>
                      <w:sz w:val="21"/>
                      <w:szCs w:val="21"/>
                    </w:rPr>
                  </w:pPr>
                  <w:r>
                    <w:rPr>
                      <w:sz w:val="21"/>
                      <w:szCs w:val="21"/>
                    </w:rPr>
                    <w:t>/</w:t>
                  </w:r>
                </w:p>
              </w:tc>
            </w:tr>
            <w:tr w14:paraId="3026E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90" w:type="pct"/>
                  <w:tcBorders>
                    <w:tl2br w:val="nil"/>
                    <w:tr2bl w:val="nil"/>
                  </w:tcBorders>
                  <w:shd w:val="clear" w:color="auto" w:fill="FFFFFF" w:themeFill="background1"/>
                  <w:vAlign w:val="center"/>
                </w:tcPr>
                <w:p w14:paraId="1727E95B">
                  <w:pPr>
                    <w:adjustRightInd w:val="0"/>
                    <w:snapToGrid w:val="0"/>
                    <w:spacing w:line="240" w:lineRule="auto"/>
                    <w:ind w:firstLine="0" w:firstLineChars="0"/>
                    <w:jc w:val="center"/>
                    <w:rPr>
                      <w:sz w:val="21"/>
                      <w:szCs w:val="21"/>
                    </w:rPr>
                  </w:pPr>
                  <w:r>
                    <w:rPr>
                      <w:sz w:val="21"/>
                      <w:szCs w:val="21"/>
                    </w:rPr>
                    <w:t>爆破粉尘</w:t>
                  </w:r>
                </w:p>
              </w:tc>
              <w:tc>
                <w:tcPr>
                  <w:tcW w:w="399" w:type="pct"/>
                  <w:tcBorders>
                    <w:tl2br w:val="nil"/>
                    <w:tr2bl w:val="nil"/>
                  </w:tcBorders>
                  <w:shd w:val="clear" w:color="auto" w:fill="FFFFFF" w:themeFill="background1"/>
                  <w:vAlign w:val="center"/>
                </w:tcPr>
                <w:p w14:paraId="7130177B">
                  <w:pPr>
                    <w:adjustRightInd w:val="0"/>
                    <w:snapToGrid w:val="0"/>
                    <w:spacing w:line="240" w:lineRule="auto"/>
                    <w:ind w:firstLine="0" w:firstLineChars="0"/>
                    <w:jc w:val="center"/>
                    <w:rPr>
                      <w:sz w:val="21"/>
                      <w:szCs w:val="21"/>
                    </w:rPr>
                  </w:pPr>
                  <w:r>
                    <w:rPr>
                      <w:sz w:val="21"/>
                      <w:szCs w:val="21"/>
                    </w:rPr>
                    <w:t>无组织</w:t>
                  </w:r>
                </w:p>
              </w:tc>
              <w:tc>
                <w:tcPr>
                  <w:tcW w:w="389" w:type="pct"/>
                  <w:tcBorders>
                    <w:tl2br w:val="nil"/>
                    <w:tr2bl w:val="nil"/>
                  </w:tcBorders>
                  <w:shd w:val="clear" w:color="auto" w:fill="FFFFFF" w:themeFill="background1"/>
                  <w:vAlign w:val="center"/>
                </w:tcPr>
                <w:p w14:paraId="5D01B834">
                  <w:pPr>
                    <w:pStyle w:val="11"/>
                    <w:adjustRightInd w:val="0"/>
                    <w:snapToGrid w:val="0"/>
                    <w:jc w:val="center"/>
                    <w:rPr>
                      <w:rFonts w:ascii="Times New Roman" w:hAnsi="Times New Roman" w:cs="Times New Roman"/>
                    </w:rPr>
                  </w:pPr>
                  <w:r>
                    <w:rPr>
                      <w:rFonts w:ascii="Times New Roman" w:hAnsi="Times New Roman" w:cs="Times New Roman"/>
                    </w:rPr>
                    <w:t>颗粒物</w:t>
                  </w:r>
                </w:p>
              </w:tc>
              <w:tc>
                <w:tcPr>
                  <w:tcW w:w="471" w:type="pct"/>
                  <w:tcBorders>
                    <w:tl2br w:val="nil"/>
                    <w:tr2bl w:val="nil"/>
                  </w:tcBorders>
                  <w:shd w:val="clear" w:color="auto" w:fill="FFFFFF" w:themeFill="background1"/>
                  <w:vAlign w:val="center"/>
                </w:tcPr>
                <w:p w14:paraId="260479BC">
                  <w:pPr>
                    <w:adjustRightInd w:val="0"/>
                    <w:snapToGrid w:val="0"/>
                    <w:spacing w:line="240" w:lineRule="auto"/>
                    <w:ind w:firstLine="0" w:firstLineChars="0"/>
                    <w:jc w:val="center"/>
                    <w:rPr>
                      <w:sz w:val="21"/>
                      <w:szCs w:val="21"/>
                    </w:rPr>
                  </w:pPr>
                  <w:r>
                    <w:rPr>
                      <w:sz w:val="21"/>
                      <w:szCs w:val="21"/>
                    </w:rPr>
                    <w:t>0.</w:t>
                  </w:r>
                  <w:r>
                    <w:rPr>
                      <w:rFonts w:hint="eastAsia"/>
                      <w:sz w:val="21"/>
                      <w:szCs w:val="21"/>
                    </w:rPr>
                    <w:t>195</w:t>
                  </w:r>
                </w:p>
              </w:tc>
              <w:tc>
                <w:tcPr>
                  <w:tcW w:w="401" w:type="pct"/>
                  <w:tcBorders>
                    <w:tl2br w:val="nil"/>
                    <w:tr2bl w:val="nil"/>
                  </w:tcBorders>
                  <w:shd w:val="clear" w:color="auto" w:fill="FFFFFF" w:themeFill="background1"/>
                  <w:vAlign w:val="center"/>
                </w:tcPr>
                <w:p w14:paraId="14BEE8C8">
                  <w:pPr>
                    <w:adjustRightInd w:val="0"/>
                    <w:snapToGrid w:val="0"/>
                    <w:spacing w:line="240" w:lineRule="auto"/>
                    <w:ind w:firstLine="0" w:firstLineChars="0"/>
                    <w:jc w:val="center"/>
                    <w:rPr>
                      <w:sz w:val="21"/>
                      <w:szCs w:val="21"/>
                    </w:rPr>
                  </w:pPr>
                  <w:r>
                    <w:rPr>
                      <w:sz w:val="21"/>
                      <w:szCs w:val="21"/>
                    </w:rPr>
                    <w:t>0.</w:t>
                  </w:r>
                  <w:r>
                    <w:rPr>
                      <w:rFonts w:hint="eastAsia"/>
                      <w:sz w:val="21"/>
                      <w:szCs w:val="21"/>
                    </w:rPr>
                    <w:t>081</w:t>
                  </w:r>
                </w:p>
              </w:tc>
              <w:tc>
                <w:tcPr>
                  <w:tcW w:w="474" w:type="pct"/>
                  <w:tcBorders>
                    <w:tl2br w:val="nil"/>
                    <w:tr2bl w:val="nil"/>
                  </w:tcBorders>
                  <w:shd w:val="clear" w:color="auto" w:fill="FFFFFF" w:themeFill="background1"/>
                  <w:vAlign w:val="center"/>
                </w:tcPr>
                <w:p w14:paraId="7AF4FF11">
                  <w:pPr>
                    <w:adjustRightInd w:val="0"/>
                    <w:snapToGrid w:val="0"/>
                    <w:spacing w:line="240" w:lineRule="auto"/>
                    <w:ind w:firstLine="0" w:firstLineChars="0"/>
                    <w:jc w:val="center"/>
                    <w:rPr>
                      <w:sz w:val="21"/>
                      <w:szCs w:val="21"/>
                    </w:rPr>
                  </w:pPr>
                  <w:r>
                    <w:rPr>
                      <w:sz w:val="21"/>
                      <w:szCs w:val="21"/>
                    </w:rPr>
                    <w:t>/</w:t>
                  </w:r>
                </w:p>
              </w:tc>
              <w:tc>
                <w:tcPr>
                  <w:tcW w:w="421" w:type="pct"/>
                  <w:tcBorders>
                    <w:tl2br w:val="nil"/>
                    <w:tr2bl w:val="nil"/>
                  </w:tcBorders>
                  <w:shd w:val="clear" w:color="auto" w:fill="FFFFFF" w:themeFill="background1"/>
                  <w:vAlign w:val="center"/>
                </w:tcPr>
                <w:p w14:paraId="23EA3B25">
                  <w:pPr>
                    <w:adjustRightInd w:val="0"/>
                    <w:snapToGrid w:val="0"/>
                    <w:spacing w:line="240" w:lineRule="auto"/>
                    <w:ind w:firstLine="0" w:firstLineChars="0"/>
                    <w:jc w:val="center"/>
                    <w:rPr>
                      <w:sz w:val="21"/>
                      <w:szCs w:val="21"/>
                    </w:rPr>
                  </w:pPr>
                  <w:r>
                    <w:rPr>
                      <w:sz w:val="21"/>
                      <w:szCs w:val="21"/>
                    </w:rPr>
                    <w:t>喷淋降尘</w:t>
                  </w:r>
                </w:p>
              </w:tc>
              <w:tc>
                <w:tcPr>
                  <w:tcW w:w="444" w:type="pct"/>
                  <w:tcBorders>
                    <w:tl2br w:val="nil"/>
                    <w:tr2bl w:val="nil"/>
                  </w:tcBorders>
                  <w:shd w:val="clear" w:color="auto" w:fill="FFFFFF" w:themeFill="background1"/>
                  <w:vAlign w:val="center"/>
                </w:tcPr>
                <w:p w14:paraId="6BEBB99B">
                  <w:pPr>
                    <w:adjustRightInd w:val="0"/>
                    <w:snapToGrid w:val="0"/>
                    <w:spacing w:line="240" w:lineRule="auto"/>
                    <w:ind w:firstLine="0" w:firstLineChars="0"/>
                    <w:jc w:val="center"/>
                    <w:rPr>
                      <w:sz w:val="21"/>
                      <w:szCs w:val="21"/>
                    </w:rPr>
                  </w:pPr>
                  <w:r>
                    <w:rPr>
                      <w:sz w:val="21"/>
                      <w:szCs w:val="21"/>
                    </w:rPr>
                    <w:t>是</w:t>
                  </w:r>
                </w:p>
              </w:tc>
              <w:tc>
                <w:tcPr>
                  <w:tcW w:w="471" w:type="pct"/>
                  <w:tcBorders>
                    <w:tl2br w:val="nil"/>
                    <w:tr2bl w:val="nil"/>
                  </w:tcBorders>
                  <w:shd w:val="clear" w:color="auto" w:fill="FFFFFF" w:themeFill="background1"/>
                  <w:vAlign w:val="center"/>
                </w:tcPr>
                <w:p w14:paraId="4D3C4DDE">
                  <w:pPr>
                    <w:adjustRightInd w:val="0"/>
                    <w:snapToGrid w:val="0"/>
                    <w:spacing w:line="240" w:lineRule="auto"/>
                    <w:ind w:firstLine="0" w:firstLineChars="0"/>
                    <w:jc w:val="center"/>
                    <w:rPr>
                      <w:sz w:val="21"/>
                      <w:szCs w:val="21"/>
                    </w:rPr>
                  </w:pPr>
                  <w:r>
                    <w:rPr>
                      <w:sz w:val="21"/>
                      <w:szCs w:val="21"/>
                    </w:rPr>
                    <w:t>0.029</w:t>
                  </w:r>
                </w:p>
              </w:tc>
              <w:tc>
                <w:tcPr>
                  <w:tcW w:w="499" w:type="pct"/>
                  <w:tcBorders>
                    <w:tl2br w:val="nil"/>
                    <w:tr2bl w:val="nil"/>
                  </w:tcBorders>
                  <w:shd w:val="clear" w:color="auto" w:fill="FFFFFF" w:themeFill="background1"/>
                  <w:vAlign w:val="center"/>
                </w:tcPr>
                <w:p w14:paraId="1D84207B">
                  <w:pPr>
                    <w:adjustRightInd w:val="0"/>
                    <w:snapToGrid w:val="0"/>
                    <w:spacing w:line="240" w:lineRule="auto"/>
                    <w:ind w:firstLine="0" w:firstLineChars="0"/>
                    <w:jc w:val="center"/>
                    <w:rPr>
                      <w:sz w:val="21"/>
                      <w:szCs w:val="21"/>
                    </w:rPr>
                  </w:pPr>
                  <w:r>
                    <w:rPr>
                      <w:sz w:val="21"/>
                      <w:szCs w:val="21"/>
                    </w:rPr>
                    <w:t>0.012</w:t>
                  </w:r>
                </w:p>
              </w:tc>
              <w:tc>
                <w:tcPr>
                  <w:tcW w:w="533" w:type="pct"/>
                  <w:tcBorders>
                    <w:tl2br w:val="nil"/>
                    <w:tr2bl w:val="nil"/>
                  </w:tcBorders>
                  <w:shd w:val="clear" w:color="auto" w:fill="FFFFFF" w:themeFill="background1"/>
                  <w:vAlign w:val="center"/>
                </w:tcPr>
                <w:p w14:paraId="70DED88F">
                  <w:pPr>
                    <w:adjustRightInd w:val="0"/>
                    <w:snapToGrid w:val="0"/>
                    <w:spacing w:line="240" w:lineRule="auto"/>
                    <w:ind w:firstLine="0" w:firstLineChars="0"/>
                    <w:jc w:val="center"/>
                    <w:rPr>
                      <w:sz w:val="21"/>
                      <w:szCs w:val="21"/>
                    </w:rPr>
                  </w:pPr>
                  <w:r>
                    <w:rPr>
                      <w:sz w:val="21"/>
                      <w:szCs w:val="21"/>
                    </w:rPr>
                    <w:t>/</w:t>
                  </w:r>
                </w:p>
              </w:tc>
            </w:tr>
            <w:tr w14:paraId="25E1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90" w:type="pct"/>
                  <w:tcBorders>
                    <w:tl2br w:val="nil"/>
                    <w:tr2bl w:val="nil"/>
                  </w:tcBorders>
                  <w:shd w:val="clear" w:color="auto" w:fill="FFFFFF" w:themeFill="background1"/>
                  <w:vAlign w:val="center"/>
                </w:tcPr>
                <w:p w14:paraId="5FE7F172">
                  <w:pPr>
                    <w:adjustRightInd w:val="0"/>
                    <w:snapToGrid w:val="0"/>
                    <w:spacing w:line="240" w:lineRule="auto"/>
                    <w:ind w:firstLine="0" w:firstLineChars="0"/>
                    <w:jc w:val="center"/>
                    <w:rPr>
                      <w:sz w:val="21"/>
                      <w:szCs w:val="21"/>
                    </w:rPr>
                  </w:pPr>
                  <w:r>
                    <w:rPr>
                      <w:sz w:val="21"/>
                      <w:szCs w:val="21"/>
                    </w:rPr>
                    <w:t>铲装粉尘</w:t>
                  </w:r>
                </w:p>
              </w:tc>
              <w:tc>
                <w:tcPr>
                  <w:tcW w:w="399" w:type="pct"/>
                  <w:tcBorders>
                    <w:tl2br w:val="nil"/>
                    <w:tr2bl w:val="nil"/>
                  </w:tcBorders>
                  <w:shd w:val="clear" w:color="auto" w:fill="FFFFFF" w:themeFill="background1"/>
                  <w:vAlign w:val="center"/>
                </w:tcPr>
                <w:p w14:paraId="60269AE6">
                  <w:pPr>
                    <w:adjustRightInd w:val="0"/>
                    <w:snapToGrid w:val="0"/>
                    <w:spacing w:line="240" w:lineRule="auto"/>
                    <w:ind w:firstLine="0" w:firstLineChars="0"/>
                    <w:jc w:val="center"/>
                    <w:rPr>
                      <w:sz w:val="21"/>
                      <w:szCs w:val="21"/>
                    </w:rPr>
                  </w:pPr>
                  <w:r>
                    <w:rPr>
                      <w:sz w:val="21"/>
                      <w:szCs w:val="21"/>
                    </w:rPr>
                    <w:t>无组织</w:t>
                  </w:r>
                </w:p>
              </w:tc>
              <w:tc>
                <w:tcPr>
                  <w:tcW w:w="389" w:type="pct"/>
                  <w:tcBorders>
                    <w:tl2br w:val="nil"/>
                    <w:tr2bl w:val="nil"/>
                  </w:tcBorders>
                  <w:shd w:val="clear" w:color="auto" w:fill="FFFFFF" w:themeFill="background1"/>
                  <w:vAlign w:val="center"/>
                </w:tcPr>
                <w:p w14:paraId="44114664">
                  <w:pPr>
                    <w:pStyle w:val="11"/>
                    <w:adjustRightInd w:val="0"/>
                    <w:snapToGrid w:val="0"/>
                    <w:jc w:val="center"/>
                    <w:rPr>
                      <w:rFonts w:ascii="Times New Roman" w:hAnsi="Times New Roman" w:cs="Times New Roman"/>
                    </w:rPr>
                  </w:pPr>
                  <w:r>
                    <w:rPr>
                      <w:rFonts w:ascii="Times New Roman" w:hAnsi="Times New Roman" w:cs="Times New Roman"/>
                    </w:rPr>
                    <w:t>颗粒物</w:t>
                  </w:r>
                </w:p>
              </w:tc>
              <w:tc>
                <w:tcPr>
                  <w:tcW w:w="471" w:type="pct"/>
                  <w:tcBorders>
                    <w:tl2br w:val="nil"/>
                    <w:tr2bl w:val="nil"/>
                  </w:tcBorders>
                  <w:shd w:val="clear" w:color="auto" w:fill="FFFFFF" w:themeFill="background1"/>
                  <w:vAlign w:val="center"/>
                </w:tcPr>
                <w:p w14:paraId="65C64630">
                  <w:pPr>
                    <w:adjustRightInd w:val="0"/>
                    <w:snapToGrid w:val="0"/>
                    <w:spacing w:line="240" w:lineRule="auto"/>
                    <w:ind w:firstLine="0" w:firstLineChars="0"/>
                    <w:jc w:val="center"/>
                    <w:rPr>
                      <w:sz w:val="21"/>
                      <w:szCs w:val="21"/>
                    </w:rPr>
                  </w:pPr>
                  <w:r>
                    <w:rPr>
                      <w:rFonts w:hint="eastAsia"/>
                      <w:sz w:val="21"/>
                      <w:szCs w:val="21"/>
                    </w:rPr>
                    <w:t>1.28</w:t>
                  </w:r>
                </w:p>
              </w:tc>
              <w:tc>
                <w:tcPr>
                  <w:tcW w:w="401" w:type="pct"/>
                  <w:tcBorders>
                    <w:tl2br w:val="nil"/>
                    <w:tr2bl w:val="nil"/>
                  </w:tcBorders>
                  <w:shd w:val="clear" w:color="auto" w:fill="FFFFFF" w:themeFill="background1"/>
                  <w:vAlign w:val="center"/>
                </w:tcPr>
                <w:p w14:paraId="027F93CE">
                  <w:pPr>
                    <w:adjustRightInd w:val="0"/>
                    <w:snapToGrid w:val="0"/>
                    <w:spacing w:line="240" w:lineRule="auto"/>
                    <w:ind w:firstLine="0" w:firstLineChars="0"/>
                    <w:jc w:val="center"/>
                    <w:rPr>
                      <w:sz w:val="21"/>
                      <w:szCs w:val="21"/>
                    </w:rPr>
                  </w:pPr>
                  <w:r>
                    <w:rPr>
                      <w:sz w:val="21"/>
                      <w:szCs w:val="21"/>
                    </w:rPr>
                    <w:t>0.</w:t>
                  </w:r>
                  <w:r>
                    <w:rPr>
                      <w:rFonts w:hint="eastAsia"/>
                      <w:sz w:val="21"/>
                      <w:szCs w:val="21"/>
                    </w:rPr>
                    <w:t>533</w:t>
                  </w:r>
                </w:p>
              </w:tc>
              <w:tc>
                <w:tcPr>
                  <w:tcW w:w="474" w:type="pct"/>
                  <w:tcBorders>
                    <w:tl2br w:val="nil"/>
                    <w:tr2bl w:val="nil"/>
                  </w:tcBorders>
                  <w:shd w:val="clear" w:color="auto" w:fill="FFFFFF" w:themeFill="background1"/>
                  <w:vAlign w:val="center"/>
                </w:tcPr>
                <w:p w14:paraId="7355FCAE">
                  <w:pPr>
                    <w:adjustRightInd w:val="0"/>
                    <w:snapToGrid w:val="0"/>
                    <w:spacing w:line="240" w:lineRule="auto"/>
                    <w:ind w:firstLine="0" w:firstLineChars="0"/>
                    <w:jc w:val="center"/>
                    <w:rPr>
                      <w:sz w:val="21"/>
                      <w:szCs w:val="21"/>
                    </w:rPr>
                  </w:pPr>
                  <w:r>
                    <w:rPr>
                      <w:sz w:val="21"/>
                      <w:szCs w:val="21"/>
                    </w:rPr>
                    <w:t>/</w:t>
                  </w:r>
                </w:p>
              </w:tc>
              <w:tc>
                <w:tcPr>
                  <w:tcW w:w="421" w:type="pct"/>
                  <w:tcBorders>
                    <w:tl2br w:val="nil"/>
                    <w:tr2bl w:val="nil"/>
                  </w:tcBorders>
                  <w:shd w:val="clear" w:color="auto" w:fill="FFFFFF" w:themeFill="background1"/>
                  <w:vAlign w:val="center"/>
                </w:tcPr>
                <w:p w14:paraId="44CB9DEB">
                  <w:pPr>
                    <w:adjustRightInd w:val="0"/>
                    <w:snapToGrid w:val="0"/>
                    <w:spacing w:line="240" w:lineRule="auto"/>
                    <w:ind w:firstLine="0" w:firstLineChars="0"/>
                    <w:jc w:val="center"/>
                    <w:rPr>
                      <w:sz w:val="21"/>
                      <w:szCs w:val="21"/>
                    </w:rPr>
                  </w:pPr>
                  <w:r>
                    <w:rPr>
                      <w:sz w:val="21"/>
                      <w:szCs w:val="21"/>
                    </w:rPr>
                    <w:t>洒水抑尘</w:t>
                  </w:r>
                </w:p>
              </w:tc>
              <w:tc>
                <w:tcPr>
                  <w:tcW w:w="444" w:type="pct"/>
                  <w:tcBorders>
                    <w:tl2br w:val="nil"/>
                    <w:tr2bl w:val="nil"/>
                  </w:tcBorders>
                  <w:shd w:val="clear" w:color="auto" w:fill="FFFFFF" w:themeFill="background1"/>
                  <w:vAlign w:val="center"/>
                </w:tcPr>
                <w:p w14:paraId="527610C5">
                  <w:pPr>
                    <w:adjustRightInd w:val="0"/>
                    <w:snapToGrid w:val="0"/>
                    <w:spacing w:line="240" w:lineRule="auto"/>
                    <w:ind w:firstLine="0" w:firstLineChars="0"/>
                    <w:jc w:val="center"/>
                    <w:rPr>
                      <w:sz w:val="21"/>
                      <w:szCs w:val="21"/>
                    </w:rPr>
                  </w:pPr>
                  <w:r>
                    <w:rPr>
                      <w:sz w:val="21"/>
                      <w:szCs w:val="21"/>
                    </w:rPr>
                    <w:t>是</w:t>
                  </w:r>
                </w:p>
              </w:tc>
              <w:tc>
                <w:tcPr>
                  <w:tcW w:w="471" w:type="pct"/>
                  <w:tcBorders>
                    <w:tl2br w:val="nil"/>
                    <w:tr2bl w:val="nil"/>
                  </w:tcBorders>
                  <w:shd w:val="clear" w:color="auto" w:fill="FFFFFF" w:themeFill="background1"/>
                  <w:vAlign w:val="center"/>
                </w:tcPr>
                <w:p w14:paraId="166E2B96">
                  <w:pPr>
                    <w:adjustRightInd w:val="0"/>
                    <w:snapToGrid w:val="0"/>
                    <w:spacing w:line="240" w:lineRule="auto"/>
                    <w:ind w:firstLine="0" w:firstLineChars="0"/>
                    <w:jc w:val="center"/>
                    <w:rPr>
                      <w:rFonts w:hint="eastAsia" w:eastAsia="宋体"/>
                      <w:sz w:val="21"/>
                      <w:szCs w:val="21"/>
                      <w:lang w:eastAsia="zh-CN"/>
                    </w:rPr>
                  </w:pPr>
                  <w:r>
                    <w:rPr>
                      <w:rFonts w:hint="eastAsia"/>
                      <w:sz w:val="21"/>
                      <w:szCs w:val="21"/>
                      <w:lang w:eastAsia="zh-CN"/>
                    </w:rPr>
                    <w:t>0.008</w:t>
                  </w:r>
                </w:p>
              </w:tc>
              <w:tc>
                <w:tcPr>
                  <w:tcW w:w="499" w:type="pct"/>
                  <w:tcBorders>
                    <w:tl2br w:val="nil"/>
                    <w:tr2bl w:val="nil"/>
                  </w:tcBorders>
                  <w:shd w:val="clear" w:color="auto" w:fill="FFFFFF" w:themeFill="background1"/>
                  <w:vAlign w:val="center"/>
                </w:tcPr>
                <w:p w14:paraId="1B8AE10D">
                  <w:pPr>
                    <w:adjustRightInd w:val="0"/>
                    <w:snapToGrid w:val="0"/>
                    <w:spacing w:line="240" w:lineRule="auto"/>
                    <w:ind w:firstLine="0" w:firstLineChars="0"/>
                    <w:jc w:val="center"/>
                    <w:rPr>
                      <w:rFonts w:hint="default" w:eastAsia="宋体"/>
                      <w:sz w:val="21"/>
                      <w:szCs w:val="21"/>
                      <w:lang w:val="en-US" w:eastAsia="zh-CN"/>
                    </w:rPr>
                  </w:pPr>
                  <w:r>
                    <w:rPr>
                      <w:sz w:val="21"/>
                      <w:szCs w:val="21"/>
                    </w:rPr>
                    <w:t>0.</w:t>
                  </w:r>
                  <w:r>
                    <w:rPr>
                      <w:rFonts w:hint="eastAsia"/>
                      <w:sz w:val="21"/>
                      <w:szCs w:val="21"/>
                    </w:rPr>
                    <w:t>0</w:t>
                  </w:r>
                  <w:r>
                    <w:rPr>
                      <w:rFonts w:hint="eastAsia"/>
                      <w:sz w:val="21"/>
                      <w:szCs w:val="21"/>
                      <w:lang w:val="en-US" w:eastAsia="zh-CN"/>
                    </w:rPr>
                    <w:t>033</w:t>
                  </w:r>
                </w:p>
              </w:tc>
              <w:tc>
                <w:tcPr>
                  <w:tcW w:w="533" w:type="pct"/>
                  <w:tcBorders>
                    <w:tl2br w:val="nil"/>
                    <w:tr2bl w:val="nil"/>
                  </w:tcBorders>
                  <w:shd w:val="clear" w:color="auto" w:fill="FFFFFF" w:themeFill="background1"/>
                  <w:vAlign w:val="center"/>
                </w:tcPr>
                <w:p w14:paraId="39E8751B">
                  <w:pPr>
                    <w:adjustRightInd w:val="0"/>
                    <w:snapToGrid w:val="0"/>
                    <w:spacing w:line="240" w:lineRule="auto"/>
                    <w:ind w:firstLine="0" w:firstLineChars="0"/>
                    <w:jc w:val="center"/>
                    <w:rPr>
                      <w:sz w:val="21"/>
                      <w:szCs w:val="21"/>
                    </w:rPr>
                  </w:pPr>
                  <w:r>
                    <w:rPr>
                      <w:sz w:val="21"/>
                      <w:szCs w:val="21"/>
                    </w:rPr>
                    <w:t>/</w:t>
                  </w:r>
                </w:p>
              </w:tc>
            </w:tr>
            <w:tr w14:paraId="2BDAB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490" w:type="pct"/>
                  <w:tcBorders>
                    <w:tl2br w:val="nil"/>
                    <w:tr2bl w:val="nil"/>
                  </w:tcBorders>
                  <w:shd w:val="clear" w:color="auto" w:fill="FFFFFF" w:themeFill="background1"/>
                  <w:vAlign w:val="center"/>
                </w:tcPr>
                <w:p w14:paraId="5450F2C9">
                  <w:pPr>
                    <w:adjustRightInd w:val="0"/>
                    <w:snapToGrid w:val="0"/>
                    <w:spacing w:line="240" w:lineRule="auto"/>
                    <w:ind w:firstLine="0" w:firstLineChars="0"/>
                    <w:jc w:val="center"/>
                    <w:rPr>
                      <w:sz w:val="21"/>
                      <w:szCs w:val="21"/>
                    </w:rPr>
                  </w:pPr>
                  <w:r>
                    <w:rPr>
                      <w:sz w:val="21"/>
                      <w:szCs w:val="21"/>
                    </w:rPr>
                    <w:t>自卸汽车卸料扬尘</w:t>
                  </w:r>
                </w:p>
              </w:tc>
              <w:tc>
                <w:tcPr>
                  <w:tcW w:w="399" w:type="pct"/>
                  <w:tcBorders>
                    <w:tl2br w:val="nil"/>
                    <w:tr2bl w:val="nil"/>
                  </w:tcBorders>
                  <w:shd w:val="clear" w:color="auto" w:fill="FFFFFF" w:themeFill="background1"/>
                  <w:vAlign w:val="center"/>
                </w:tcPr>
                <w:p w14:paraId="407EE40F">
                  <w:pPr>
                    <w:adjustRightInd w:val="0"/>
                    <w:snapToGrid w:val="0"/>
                    <w:spacing w:line="240" w:lineRule="auto"/>
                    <w:ind w:firstLine="0" w:firstLineChars="0"/>
                    <w:jc w:val="center"/>
                    <w:rPr>
                      <w:sz w:val="21"/>
                      <w:szCs w:val="21"/>
                    </w:rPr>
                  </w:pPr>
                  <w:r>
                    <w:rPr>
                      <w:sz w:val="21"/>
                      <w:szCs w:val="21"/>
                    </w:rPr>
                    <w:t>无组织</w:t>
                  </w:r>
                </w:p>
              </w:tc>
              <w:tc>
                <w:tcPr>
                  <w:tcW w:w="389" w:type="pct"/>
                  <w:tcBorders>
                    <w:tl2br w:val="nil"/>
                    <w:tr2bl w:val="nil"/>
                  </w:tcBorders>
                  <w:shd w:val="clear" w:color="auto" w:fill="FFFFFF" w:themeFill="background1"/>
                  <w:vAlign w:val="center"/>
                </w:tcPr>
                <w:p w14:paraId="5EFFE186">
                  <w:pPr>
                    <w:pStyle w:val="11"/>
                    <w:adjustRightInd w:val="0"/>
                    <w:snapToGrid w:val="0"/>
                    <w:jc w:val="center"/>
                    <w:rPr>
                      <w:rFonts w:ascii="Times New Roman" w:hAnsi="Times New Roman" w:cs="Times New Roman"/>
                    </w:rPr>
                  </w:pPr>
                  <w:r>
                    <w:rPr>
                      <w:rFonts w:ascii="Times New Roman" w:hAnsi="Times New Roman" w:cs="Times New Roman"/>
                    </w:rPr>
                    <w:t>颗粒物</w:t>
                  </w:r>
                </w:p>
              </w:tc>
              <w:tc>
                <w:tcPr>
                  <w:tcW w:w="471" w:type="pct"/>
                  <w:tcBorders>
                    <w:tl2br w:val="nil"/>
                    <w:tr2bl w:val="nil"/>
                  </w:tcBorders>
                  <w:shd w:val="clear" w:color="auto" w:fill="FFFFFF" w:themeFill="background1"/>
                  <w:vAlign w:val="center"/>
                </w:tcPr>
                <w:p w14:paraId="197BB5DD">
                  <w:pPr>
                    <w:pStyle w:val="23"/>
                    <w:adjustRightInd w:val="0"/>
                    <w:snapToGrid w:val="0"/>
                    <w:spacing w:after="0" w:line="240" w:lineRule="auto"/>
                    <w:ind w:left="0" w:leftChars="0" w:firstLine="0" w:firstLineChars="0"/>
                    <w:jc w:val="center"/>
                    <w:rPr>
                      <w:sz w:val="21"/>
                      <w:szCs w:val="21"/>
                    </w:rPr>
                  </w:pPr>
                  <w:r>
                    <w:rPr>
                      <w:rFonts w:hint="eastAsia"/>
                      <w:sz w:val="21"/>
                      <w:szCs w:val="21"/>
                    </w:rPr>
                    <w:t>1.09</w:t>
                  </w:r>
                </w:p>
              </w:tc>
              <w:tc>
                <w:tcPr>
                  <w:tcW w:w="401" w:type="pct"/>
                  <w:tcBorders>
                    <w:tl2br w:val="nil"/>
                    <w:tr2bl w:val="nil"/>
                  </w:tcBorders>
                  <w:shd w:val="clear" w:color="auto" w:fill="FFFFFF" w:themeFill="background1"/>
                  <w:vAlign w:val="center"/>
                </w:tcPr>
                <w:p w14:paraId="39FC8D24">
                  <w:pPr>
                    <w:pStyle w:val="23"/>
                    <w:adjustRightInd w:val="0"/>
                    <w:snapToGrid w:val="0"/>
                    <w:spacing w:after="0" w:line="240" w:lineRule="auto"/>
                    <w:ind w:left="0" w:leftChars="0" w:firstLine="0" w:firstLineChars="0"/>
                    <w:jc w:val="center"/>
                    <w:rPr>
                      <w:sz w:val="21"/>
                      <w:szCs w:val="21"/>
                    </w:rPr>
                  </w:pPr>
                  <w:r>
                    <w:rPr>
                      <w:sz w:val="21"/>
                      <w:szCs w:val="21"/>
                    </w:rPr>
                    <w:t>0.0</w:t>
                  </w:r>
                  <w:r>
                    <w:rPr>
                      <w:rFonts w:hint="eastAsia"/>
                      <w:sz w:val="21"/>
                      <w:szCs w:val="21"/>
                    </w:rPr>
                    <w:t>97</w:t>
                  </w:r>
                </w:p>
              </w:tc>
              <w:tc>
                <w:tcPr>
                  <w:tcW w:w="474" w:type="pct"/>
                  <w:tcBorders>
                    <w:tl2br w:val="nil"/>
                    <w:tr2bl w:val="nil"/>
                  </w:tcBorders>
                  <w:shd w:val="clear" w:color="auto" w:fill="FFFFFF" w:themeFill="background1"/>
                  <w:vAlign w:val="center"/>
                </w:tcPr>
                <w:p w14:paraId="28BF7E36">
                  <w:pPr>
                    <w:pStyle w:val="23"/>
                    <w:adjustRightInd w:val="0"/>
                    <w:snapToGrid w:val="0"/>
                    <w:spacing w:after="0" w:line="240" w:lineRule="auto"/>
                    <w:ind w:left="0" w:leftChars="0" w:firstLine="0" w:firstLineChars="0"/>
                    <w:jc w:val="center"/>
                    <w:rPr>
                      <w:sz w:val="21"/>
                      <w:szCs w:val="21"/>
                    </w:rPr>
                  </w:pPr>
                  <w:r>
                    <w:rPr>
                      <w:sz w:val="21"/>
                      <w:szCs w:val="21"/>
                    </w:rPr>
                    <w:t>/</w:t>
                  </w:r>
                </w:p>
              </w:tc>
              <w:tc>
                <w:tcPr>
                  <w:tcW w:w="421" w:type="pct"/>
                  <w:tcBorders>
                    <w:tl2br w:val="nil"/>
                    <w:tr2bl w:val="nil"/>
                  </w:tcBorders>
                  <w:shd w:val="clear" w:color="auto" w:fill="FFFFFF" w:themeFill="background1"/>
                  <w:vAlign w:val="center"/>
                </w:tcPr>
                <w:p w14:paraId="5559B92E">
                  <w:pPr>
                    <w:adjustRightInd w:val="0"/>
                    <w:snapToGrid w:val="0"/>
                    <w:spacing w:line="240" w:lineRule="auto"/>
                    <w:ind w:firstLine="0" w:firstLineChars="0"/>
                    <w:jc w:val="center"/>
                    <w:rPr>
                      <w:sz w:val="21"/>
                      <w:szCs w:val="21"/>
                    </w:rPr>
                  </w:pPr>
                  <w:r>
                    <w:rPr>
                      <w:sz w:val="21"/>
                      <w:szCs w:val="21"/>
                    </w:rPr>
                    <w:t>喷淋降尘</w:t>
                  </w:r>
                </w:p>
              </w:tc>
              <w:tc>
                <w:tcPr>
                  <w:tcW w:w="444" w:type="pct"/>
                  <w:tcBorders>
                    <w:tl2br w:val="nil"/>
                    <w:tr2bl w:val="nil"/>
                  </w:tcBorders>
                  <w:shd w:val="clear" w:color="auto" w:fill="FFFFFF" w:themeFill="background1"/>
                  <w:vAlign w:val="center"/>
                </w:tcPr>
                <w:p w14:paraId="6E21F233">
                  <w:pPr>
                    <w:adjustRightInd w:val="0"/>
                    <w:snapToGrid w:val="0"/>
                    <w:spacing w:line="240" w:lineRule="auto"/>
                    <w:ind w:firstLine="0" w:firstLineChars="0"/>
                    <w:jc w:val="center"/>
                    <w:rPr>
                      <w:sz w:val="21"/>
                      <w:szCs w:val="21"/>
                    </w:rPr>
                  </w:pPr>
                  <w:r>
                    <w:rPr>
                      <w:sz w:val="21"/>
                      <w:szCs w:val="21"/>
                    </w:rPr>
                    <w:t>是</w:t>
                  </w:r>
                </w:p>
              </w:tc>
              <w:tc>
                <w:tcPr>
                  <w:tcW w:w="471" w:type="pct"/>
                  <w:tcBorders>
                    <w:tl2br w:val="nil"/>
                    <w:tr2bl w:val="nil"/>
                  </w:tcBorders>
                  <w:shd w:val="clear" w:color="auto" w:fill="FFFFFF" w:themeFill="background1"/>
                  <w:vAlign w:val="center"/>
                </w:tcPr>
                <w:p w14:paraId="27557C39">
                  <w:pPr>
                    <w:pStyle w:val="23"/>
                    <w:adjustRightInd w:val="0"/>
                    <w:snapToGrid w:val="0"/>
                    <w:spacing w:after="0" w:line="240" w:lineRule="auto"/>
                    <w:ind w:left="0" w:leftChars="0" w:firstLine="0" w:firstLineChars="0"/>
                    <w:jc w:val="center"/>
                    <w:rPr>
                      <w:sz w:val="21"/>
                      <w:szCs w:val="21"/>
                    </w:rPr>
                  </w:pPr>
                  <w:r>
                    <w:rPr>
                      <w:rFonts w:hint="eastAsia"/>
                      <w:sz w:val="21"/>
                      <w:szCs w:val="21"/>
                    </w:rPr>
                    <w:t>0.17</w:t>
                  </w:r>
                </w:p>
              </w:tc>
              <w:tc>
                <w:tcPr>
                  <w:tcW w:w="499" w:type="pct"/>
                  <w:tcBorders>
                    <w:tl2br w:val="nil"/>
                    <w:tr2bl w:val="nil"/>
                  </w:tcBorders>
                  <w:shd w:val="clear" w:color="auto" w:fill="FFFFFF" w:themeFill="background1"/>
                  <w:vAlign w:val="center"/>
                </w:tcPr>
                <w:p w14:paraId="158B6D8D">
                  <w:pPr>
                    <w:pStyle w:val="23"/>
                    <w:adjustRightInd w:val="0"/>
                    <w:snapToGrid w:val="0"/>
                    <w:spacing w:after="0" w:line="240" w:lineRule="auto"/>
                    <w:ind w:left="0" w:leftChars="0" w:firstLine="0" w:firstLineChars="0"/>
                    <w:jc w:val="center"/>
                    <w:rPr>
                      <w:sz w:val="21"/>
                      <w:szCs w:val="21"/>
                    </w:rPr>
                  </w:pPr>
                  <w:r>
                    <w:rPr>
                      <w:sz w:val="21"/>
                      <w:szCs w:val="21"/>
                    </w:rPr>
                    <w:t>0.0</w:t>
                  </w:r>
                  <w:r>
                    <w:rPr>
                      <w:rFonts w:hint="eastAsia"/>
                      <w:sz w:val="21"/>
                      <w:szCs w:val="21"/>
                    </w:rPr>
                    <w:t>71</w:t>
                  </w:r>
                </w:p>
              </w:tc>
              <w:tc>
                <w:tcPr>
                  <w:tcW w:w="533" w:type="pct"/>
                  <w:tcBorders>
                    <w:tl2br w:val="nil"/>
                    <w:tr2bl w:val="nil"/>
                  </w:tcBorders>
                  <w:shd w:val="clear" w:color="auto" w:fill="FFFFFF" w:themeFill="background1"/>
                  <w:vAlign w:val="center"/>
                </w:tcPr>
                <w:p w14:paraId="20F681B5">
                  <w:pPr>
                    <w:pStyle w:val="23"/>
                    <w:adjustRightInd w:val="0"/>
                    <w:snapToGrid w:val="0"/>
                    <w:spacing w:after="0" w:line="240" w:lineRule="auto"/>
                    <w:ind w:left="0" w:leftChars="0" w:firstLine="0" w:firstLineChars="0"/>
                    <w:jc w:val="center"/>
                    <w:rPr>
                      <w:sz w:val="21"/>
                      <w:szCs w:val="21"/>
                    </w:rPr>
                  </w:pPr>
                  <w:r>
                    <w:rPr>
                      <w:sz w:val="21"/>
                      <w:szCs w:val="21"/>
                    </w:rPr>
                    <w:t>/</w:t>
                  </w:r>
                </w:p>
              </w:tc>
            </w:tr>
          </w:tbl>
          <w:p w14:paraId="014B463A">
            <w:pPr>
              <w:ind w:firstLine="0" w:firstLineChars="0"/>
            </w:pPr>
          </w:p>
        </w:tc>
      </w:tr>
    </w:tbl>
    <w:p w14:paraId="100F9623">
      <w:pPr>
        <w:pStyle w:val="20"/>
        <w:sectPr>
          <w:pgSz w:w="11906" w:h="16838"/>
          <w:pgMar w:top="1440" w:right="1800" w:bottom="1440" w:left="1800" w:header="851" w:footer="1077" w:gutter="0"/>
          <w:cols w:space="720" w:num="1"/>
          <w:docGrid w:linePitch="312" w:charSpace="0"/>
        </w:sect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7604"/>
      </w:tblGrid>
      <w:tr w14:paraId="11731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5" w:type="dxa"/>
            <w:vAlign w:val="center"/>
          </w:tcPr>
          <w:p w14:paraId="5F60CB34">
            <w:pPr>
              <w:pStyle w:val="20"/>
            </w:pPr>
          </w:p>
        </w:tc>
        <w:tc>
          <w:tcPr>
            <w:tcW w:w="7604" w:type="dxa"/>
            <w:vAlign w:val="center"/>
          </w:tcPr>
          <w:p w14:paraId="1F606455">
            <w:pPr>
              <w:pStyle w:val="23"/>
              <w:spacing w:after="0"/>
              <w:ind w:left="0" w:leftChars="0" w:firstLine="482"/>
              <w:rPr>
                <w:b/>
                <w:bCs/>
              </w:rPr>
            </w:pPr>
            <w:r>
              <w:rPr>
                <w:rFonts w:hint="eastAsia"/>
                <w:b/>
                <w:bCs/>
              </w:rPr>
              <w:t>（5）废气监测计划</w:t>
            </w:r>
          </w:p>
          <w:p w14:paraId="4FF5CD92">
            <w:pPr>
              <w:ind w:firstLine="480"/>
            </w:pPr>
            <w:r>
              <w:rPr>
                <w:rFonts w:hint="eastAsia"/>
              </w:rPr>
              <w:t>参考《排污单位自行监测技术指南 总则》5.2.2.2监测频次中采矿业等无组织废气排放较重的污染源，无组织废气每季度至少开展一次监测。项目监测计划见下表：</w:t>
            </w:r>
          </w:p>
          <w:p w14:paraId="23DC38D3">
            <w:pPr>
              <w:pStyle w:val="23"/>
              <w:spacing w:after="0" w:line="240" w:lineRule="auto"/>
              <w:ind w:left="0" w:leftChars="0" w:firstLine="0" w:firstLineChars="0"/>
              <w:jc w:val="center"/>
              <w:rPr>
                <w:b/>
                <w:bCs/>
              </w:rPr>
            </w:pPr>
            <w:r>
              <w:rPr>
                <w:b/>
                <w:bCs/>
              </w:rPr>
              <w:t>表4-</w:t>
            </w:r>
            <w:r>
              <w:rPr>
                <w:rFonts w:hint="eastAsia"/>
                <w:b/>
                <w:bCs/>
              </w:rPr>
              <w:t>4</w:t>
            </w:r>
            <w:r>
              <w:rPr>
                <w:b/>
                <w:bCs/>
              </w:rPr>
              <w:t xml:space="preserve">  废气监测计划一览表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973"/>
              <w:gridCol w:w="1119"/>
              <w:gridCol w:w="1231"/>
              <w:gridCol w:w="1631"/>
              <w:gridCol w:w="2420"/>
            </w:tblGrid>
            <w:tr w14:paraId="11B97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PrEx>
              <w:trPr>
                <w:trHeight w:val="334" w:hRule="atLeast"/>
                <w:jc w:val="center"/>
              </w:trPr>
              <w:tc>
                <w:tcPr>
                  <w:tcW w:w="659" w:type="pct"/>
                  <w:tcBorders>
                    <w:tl2br w:val="nil"/>
                    <w:tr2bl w:val="nil"/>
                  </w:tcBorders>
                  <w:shd w:val="clear" w:color="auto" w:fill="FFFFFF" w:themeFill="background1"/>
                  <w:vAlign w:val="center"/>
                </w:tcPr>
                <w:p w14:paraId="527CC7E0">
                  <w:pPr>
                    <w:pStyle w:val="60"/>
                    <w:adjustRightInd w:val="0"/>
                    <w:snapToGrid w:val="0"/>
                    <w:rPr>
                      <w:b/>
                      <w:bCs/>
                      <w:szCs w:val="21"/>
                    </w:rPr>
                  </w:pPr>
                  <w:r>
                    <w:rPr>
                      <w:b/>
                      <w:bCs/>
                      <w:szCs w:val="21"/>
                    </w:rPr>
                    <w:t>污染源</w:t>
                  </w:r>
                </w:p>
              </w:tc>
              <w:tc>
                <w:tcPr>
                  <w:tcW w:w="758" w:type="pct"/>
                  <w:tcBorders>
                    <w:tl2br w:val="nil"/>
                    <w:tr2bl w:val="nil"/>
                  </w:tcBorders>
                  <w:shd w:val="clear" w:color="auto" w:fill="FFFFFF" w:themeFill="background1"/>
                  <w:vAlign w:val="center"/>
                </w:tcPr>
                <w:p w14:paraId="180CB252">
                  <w:pPr>
                    <w:pStyle w:val="60"/>
                    <w:adjustRightInd w:val="0"/>
                    <w:snapToGrid w:val="0"/>
                    <w:rPr>
                      <w:b/>
                      <w:bCs/>
                      <w:szCs w:val="21"/>
                    </w:rPr>
                  </w:pPr>
                  <w:r>
                    <w:rPr>
                      <w:b/>
                      <w:bCs/>
                      <w:szCs w:val="21"/>
                    </w:rPr>
                    <w:t>监测点位</w:t>
                  </w:r>
                </w:p>
              </w:tc>
              <w:tc>
                <w:tcPr>
                  <w:tcW w:w="835" w:type="pct"/>
                  <w:tcBorders>
                    <w:tl2br w:val="nil"/>
                    <w:tr2bl w:val="nil"/>
                  </w:tcBorders>
                  <w:shd w:val="clear" w:color="auto" w:fill="FFFFFF" w:themeFill="background1"/>
                  <w:vAlign w:val="center"/>
                </w:tcPr>
                <w:p w14:paraId="3A21B461">
                  <w:pPr>
                    <w:pStyle w:val="60"/>
                    <w:adjustRightInd w:val="0"/>
                    <w:snapToGrid w:val="0"/>
                    <w:rPr>
                      <w:b/>
                      <w:bCs/>
                      <w:szCs w:val="21"/>
                    </w:rPr>
                  </w:pPr>
                  <w:r>
                    <w:rPr>
                      <w:b/>
                      <w:bCs/>
                      <w:szCs w:val="21"/>
                    </w:rPr>
                    <w:t>监测项目</w:t>
                  </w:r>
                </w:p>
              </w:tc>
              <w:tc>
                <w:tcPr>
                  <w:tcW w:w="1106" w:type="pct"/>
                  <w:tcBorders>
                    <w:tl2br w:val="nil"/>
                    <w:tr2bl w:val="nil"/>
                  </w:tcBorders>
                  <w:shd w:val="clear" w:color="auto" w:fill="FFFFFF" w:themeFill="background1"/>
                  <w:vAlign w:val="center"/>
                </w:tcPr>
                <w:p w14:paraId="3A11B6BE">
                  <w:pPr>
                    <w:pStyle w:val="60"/>
                    <w:adjustRightInd w:val="0"/>
                    <w:snapToGrid w:val="0"/>
                    <w:rPr>
                      <w:b/>
                      <w:bCs/>
                      <w:szCs w:val="21"/>
                    </w:rPr>
                  </w:pPr>
                  <w:r>
                    <w:rPr>
                      <w:b/>
                      <w:bCs/>
                      <w:szCs w:val="21"/>
                    </w:rPr>
                    <w:t>监测频率</w:t>
                  </w:r>
                </w:p>
              </w:tc>
              <w:tc>
                <w:tcPr>
                  <w:tcW w:w="1640" w:type="pct"/>
                  <w:tcBorders>
                    <w:tl2br w:val="nil"/>
                    <w:tr2bl w:val="nil"/>
                  </w:tcBorders>
                  <w:shd w:val="clear" w:color="auto" w:fill="FFFFFF" w:themeFill="background1"/>
                  <w:vAlign w:val="center"/>
                </w:tcPr>
                <w:p w14:paraId="549C7821">
                  <w:pPr>
                    <w:pStyle w:val="60"/>
                    <w:wordWrap w:val="0"/>
                    <w:adjustRightInd w:val="0"/>
                    <w:snapToGrid w:val="0"/>
                    <w:rPr>
                      <w:b/>
                      <w:bCs/>
                      <w:szCs w:val="21"/>
                    </w:rPr>
                  </w:pPr>
                  <w:r>
                    <w:rPr>
                      <w:b/>
                      <w:bCs/>
                      <w:szCs w:val="21"/>
                    </w:rPr>
                    <w:t>控制标准</w:t>
                  </w:r>
                </w:p>
              </w:tc>
            </w:tr>
            <w:tr w14:paraId="560A2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59" w:type="pct"/>
                  <w:tcBorders>
                    <w:tl2br w:val="nil"/>
                    <w:tr2bl w:val="nil"/>
                  </w:tcBorders>
                  <w:shd w:val="clear" w:color="auto" w:fill="FFFFFF" w:themeFill="background1"/>
                  <w:vAlign w:val="center"/>
                </w:tcPr>
                <w:p w14:paraId="128D72CA">
                  <w:pPr>
                    <w:pStyle w:val="60"/>
                    <w:adjustRightInd w:val="0"/>
                    <w:snapToGrid w:val="0"/>
                    <w:rPr>
                      <w:szCs w:val="21"/>
                    </w:rPr>
                  </w:pPr>
                  <w:r>
                    <w:rPr>
                      <w:szCs w:val="21"/>
                    </w:rPr>
                    <w:t>废气</w:t>
                  </w:r>
                </w:p>
              </w:tc>
              <w:tc>
                <w:tcPr>
                  <w:tcW w:w="758" w:type="pct"/>
                  <w:tcBorders>
                    <w:tl2br w:val="nil"/>
                    <w:tr2bl w:val="nil"/>
                  </w:tcBorders>
                  <w:shd w:val="clear" w:color="auto" w:fill="FFFFFF" w:themeFill="background1"/>
                  <w:vAlign w:val="center"/>
                </w:tcPr>
                <w:p w14:paraId="57797B95">
                  <w:pPr>
                    <w:pStyle w:val="60"/>
                    <w:adjustRightInd w:val="0"/>
                    <w:snapToGrid w:val="0"/>
                    <w:rPr>
                      <w:szCs w:val="21"/>
                    </w:rPr>
                  </w:pPr>
                  <w:r>
                    <w:rPr>
                      <w:rFonts w:hint="eastAsia"/>
                      <w:szCs w:val="21"/>
                    </w:rPr>
                    <w:t>露天采场</w:t>
                  </w:r>
                  <w:r>
                    <w:rPr>
                      <w:szCs w:val="21"/>
                    </w:rPr>
                    <w:t>厂界</w:t>
                  </w:r>
                </w:p>
              </w:tc>
              <w:tc>
                <w:tcPr>
                  <w:tcW w:w="835" w:type="pct"/>
                  <w:tcBorders>
                    <w:tl2br w:val="nil"/>
                    <w:tr2bl w:val="nil"/>
                  </w:tcBorders>
                  <w:shd w:val="clear" w:color="auto" w:fill="FFFFFF" w:themeFill="background1"/>
                  <w:vAlign w:val="center"/>
                </w:tcPr>
                <w:p w14:paraId="6A86F8EA">
                  <w:pPr>
                    <w:pStyle w:val="60"/>
                    <w:adjustRightInd w:val="0"/>
                    <w:snapToGrid w:val="0"/>
                    <w:rPr>
                      <w:szCs w:val="21"/>
                    </w:rPr>
                  </w:pPr>
                  <w:r>
                    <w:rPr>
                      <w:szCs w:val="21"/>
                    </w:rPr>
                    <w:t>颗粒物</w:t>
                  </w:r>
                </w:p>
              </w:tc>
              <w:tc>
                <w:tcPr>
                  <w:tcW w:w="1106" w:type="pct"/>
                  <w:tcBorders>
                    <w:tl2br w:val="nil"/>
                    <w:tr2bl w:val="nil"/>
                  </w:tcBorders>
                  <w:shd w:val="clear" w:color="auto" w:fill="FFFFFF" w:themeFill="background1"/>
                  <w:vAlign w:val="center"/>
                </w:tcPr>
                <w:p w14:paraId="57081787">
                  <w:pPr>
                    <w:adjustRightInd w:val="0"/>
                    <w:snapToGrid w:val="0"/>
                    <w:spacing w:line="240" w:lineRule="auto"/>
                    <w:ind w:firstLine="0" w:firstLineChars="0"/>
                    <w:jc w:val="center"/>
                    <w:rPr>
                      <w:sz w:val="21"/>
                      <w:szCs w:val="21"/>
                    </w:rPr>
                  </w:pPr>
                  <w:r>
                    <w:rPr>
                      <w:sz w:val="21"/>
                      <w:szCs w:val="21"/>
                    </w:rPr>
                    <w:t>1次/</w:t>
                  </w:r>
                  <w:r>
                    <w:rPr>
                      <w:rFonts w:hint="eastAsia"/>
                      <w:sz w:val="21"/>
                      <w:szCs w:val="21"/>
                    </w:rPr>
                    <w:t>季度</w:t>
                  </w:r>
                </w:p>
              </w:tc>
              <w:tc>
                <w:tcPr>
                  <w:tcW w:w="1640" w:type="pct"/>
                  <w:tcBorders>
                    <w:tl2br w:val="nil"/>
                    <w:tr2bl w:val="nil"/>
                  </w:tcBorders>
                  <w:shd w:val="clear" w:color="auto" w:fill="FFFFFF" w:themeFill="background1"/>
                  <w:vAlign w:val="center"/>
                </w:tcPr>
                <w:p w14:paraId="6C7B6CCF">
                  <w:pPr>
                    <w:pStyle w:val="60"/>
                    <w:wordWrap w:val="0"/>
                    <w:adjustRightInd w:val="0"/>
                    <w:snapToGrid w:val="0"/>
                    <w:rPr>
                      <w:szCs w:val="21"/>
                    </w:rPr>
                  </w:pPr>
                  <w:r>
                    <w:rPr>
                      <w:szCs w:val="21"/>
                    </w:rPr>
                    <w:t>《大气污染物综合排放标准》（GB16297-1996）</w:t>
                  </w:r>
                </w:p>
              </w:tc>
            </w:tr>
          </w:tbl>
          <w:p w14:paraId="5EB049E0">
            <w:pPr>
              <w:ind w:firstLine="482"/>
              <w:rPr>
                <w:b/>
                <w:bCs/>
              </w:rPr>
            </w:pPr>
            <w:r>
              <w:rPr>
                <w:b/>
                <w:bCs/>
              </w:rPr>
              <w:fldChar w:fldCharType="begin"/>
            </w:r>
            <w:r>
              <w:rPr>
                <w:b/>
                <w:bCs/>
              </w:rPr>
              <w:instrText xml:space="preserve"> = 6 \* GB2 \* MERGEFORMAT </w:instrText>
            </w:r>
            <w:r>
              <w:rPr>
                <w:b/>
                <w:bCs/>
              </w:rPr>
              <w:fldChar w:fldCharType="separate"/>
            </w:r>
            <w:r>
              <w:rPr>
                <w:b/>
                <w:bCs/>
              </w:rPr>
              <w:t>⑹</w:t>
            </w:r>
            <w:r>
              <w:rPr>
                <w:b/>
                <w:bCs/>
              </w:rPr>
              <w:fldChar w:fldCharType="end"/>
            </w:r>
            <w:r>
              <w:rPr>
                <w:b/>
                <w:bCs/>
              </w:rPr>
              <w:t>污染物排放量核算表见表4-</w:t>
            </w:r>
            <w:r>
              <w:rPr>
                <w:rFonts w:hint="eastAsia"/>
                <w:b/>
                <w:bCs/>
              </w:rPr>
              <w:t>5</w:t>
            </w:r>
          </w:p>
          <w:p w14:paraId="2C0F0293">
            <w:pPr>
              <w:pStyle w:val="20"/>
              <w:keepNext w:val="0"/>
              <w:keepLines w:val="0"/>
              <w:pageBreakBefore w:val="0"/>
              <w:widowControl/>
              <w:kinsoku/>
              <w:wordWrap/>
              <w:overflowPunct/>
              <w:topLinePunct w:val="0"/>
              <w:autoSpaceDE/>
              <w:autoSpaceDN/>
              <w:bidi w:val="0"/>
              <w:adjustRightInd/>
              <w:snapToGrid/>
              <w:spacing w:line="240" w:lineRule="auto"/>
              <w:textAlignment w:val="auto"/>
            </w:pPr>
            <w:r>
              <w:rPr>
                <w:bCs/>
                <w:snapToGrid/>
                <w:kern w:val="2"/>
                <w:sz w:val="24"/>
                <w:szCs w:val="24"/>
              </w:rPr>
              <w:t>表4-</w:t>
            </w:r>
            <w:r>
              <w:rPr>
                <w:rFonts w:hint="eastAsia"/>
                <w:bCs/>
                <w:snapToGrid/>
                <w:kern w:val="2"/>
                <w:sz w:val="24"/>
                <w:szCs w:val="24"/>
              </w:rPr>
              <w:t>5</w:t>
            </w:r>
            <w:r>
              <w:rPr>
                <w:bCs/>
                <w:snapToGrid/>
                <w:kern w:val="2"/>
                <w:sz w:val="24"/>
                <w:szCs w:val="24"/>
              </w:rPr>
              <w:t xml:space="preserve">  大气污染物无组织排放量核算表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081"/>
              <w:gridCol w:w="826"/>
              <w:gridCol w:w="1251"/>
              <w:gridCol w:w="1301"/>
              <w:gridCol w:w="1318"/>
              <w:gridCol w:w="966"/>
            </w:tblGrid>
            <w:tr w14:paraId="53CB5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restart"/>
                  <w:tcBorders>
                    <w:tl2br w:val="nil"/>
                    <w:tr2bl w:val="nil"/>
                  </w:tcBorders>
                  <w:shd w:val="clear" w:color="auto" w:fill="auto"/>
                  <w:vAlign w:val="center"/>
                </w:tcPr>
                <w:p w14:paraId="56E27FF7">
                  <w:pPr>
                    <w:adjustRightInd w:val="0"/>
                    <w:snapToGrid w:val="0"/>
                    <w:spacing w:line="240" w:lineRule="auto"/>
                    <w:ind w:left="85" w:right="80" w:firstLine="0" w:firstLineChars="0"/>
                    <w:jc w:val="center"/>
                    <w:rPr>
                      <w:b/>
                      <w:bCs/>
                      <w:kern w:val="0"/>
                      <w:sz w:val="21"/>
                      <w:szCs w:val="21"/>
                    </w:rPr>
                  </w:pPr>
                  <w:r>
                    <w:rPr>
                      <w:b/>
                      <w:bCs/>
                      <w:kern w:val="0"/>
                      <w:sz w:val="21"/>
                      <w:szCs w:val="21"/>
                    </w:rPr>
                    <w:t>编号</w:t>
                  </w:r>
                </w:p>
              </w:tc>
              <w:tc>
                <w:tcPr>
                  <w:tcW w:w="732" w:type="pct"/>
                  <w:vMerge w:val="restart"/>
                  <w:tcBorders>
                    <w:tl2br w:val="nil"/>
                    <w:tr2bl w:val="nil"/>
                  </w:tcBorders>
                  <w:shd w:val="clear" w:color="auto" w:fill="auto"/>
                  <w:vAlign w:val="center"/>
                </w:tcPr>
                <w:p w14:paraId="4A541A45">
                  <w:pPr>
                    <w:adjustRightInd w:val="0"/>
                    <w:snapToGrid w:val="0"/>
                    <w:spacing w:line="240" w:lineRule="auto"/>
                    <w:ind w:left="85" w:right="80" w:firstLine="0" w:firstLineChars="0"/>
                    <w:jc w:val="center"/>
                    <w:rPr>
                      <w:b/>
                      <w:bCs/>
                      <w:kern w:val="0"/>
                      <w:sz w:val="21"/>
                      <w:szCs w:val="21"/>
                    </w:rPr>
                  </w:pPr>
                  <w:r>
                    <w:rPr>
                      <w:b/>
                      <w:bCs/>
                      <w:kern w:val="0"/>
                      <w:sz w:val="21"/>
                      <w:szCs w:val="21"/>
                    </w:rPr>
                    <w:t>产污环节</w:t>
                  </w:r>
                </w:p>
              </w:tc>
              <w:tc>
                <w:tcPr>
                  <w:tcW w:w="560" w:type="pct"/>
                  <w:vMerge w:val="restart"/>
                  <w:tcBorders>
                    <w:tl2br w:val="nil"/>
                    <w:tr2bl w:val="nil"/>
                  </w:tcBorders>
                  <w:shd w:val="clear" w:color="auto" w:fill="auto"/>
                  <w:vAlign w:val="center"/>
                </w:tcPr>
                <w:p w14:paraId="1780A65B">
                  <w:pPr>
                    <w:adjustRightInd w:val="0"/>
                    <w:snapToGrid w:val="0"/>
                    <w:spacing w:line="240" w:lineRule="auto"/>
                    <w:ind w:left="85" w:right="80" w:firstLine="0" w:firstLineChars="0"/>
                    <w:jc w:val="center"/>
                    <w:rPr>
                      <w:b/>
                      <w:bCs/>
                      <w:kern w:val="0"/>
                      <w:sz w:val="21"/>
                      <w:szCs w:val="21"/>
                    </w:rPr>
                  </w:pPr>
                  <w:r>
                    <w:rPr>
                      <w:b/>
                      <w:bCs/>
                      <w:kern w:val="0"/>
                      <w:sz w:val="21"/>
                      <w:szCs w:val="21"/>
                    </w:rPr>
                    <w:t>污染物</w:t>
                  </w:r>
                </w:p>
              </w:tc>
              <w:tc>
                <w:tcPr>
                  <w:tcW w:w="848" w:type="pct"/>
                  <w:vMerge w:val="restart"/>
                  <w:tcBorders>
                    <w:tl2br w:val="nil"/>
                    <w:tr2bl w:val="nil"/>
                  </w:tcBorders>
                  <w:shd w:val="clear" w:color="auto" w:fill="auto"/>
                  <w:vAlign w:val="center"/>
                </w:tcPr>
                <w:p w14:paraId="3D7AAA01">
                  <w:pPr>
                    <w:adjustRightInd w:val="0"/>
                    <w:snapToGrid w:val="0"/>
                    <w:spacing w:line="240" w:lineRule="auto"/>
                    <w:ind w:left="85" w:right="80" w:firstLine="0" w:firstLineChars="0"/>
                    <w:jc w:val="center"/>
                    <w:rPr>
                      <w:b/>
                      <w:bCs/>
                      <w:kern w:val="0"/>
                      <w:sz w:val="21"/>
                      <w:szCs w:val="21"/>
                    </w:rPr>
                  </w:pPr>
                  <w:r>
                    <w:rPr>
                      <w:b/>
                      <w:bCs/>
                      <w:kern w:val="0"/>
                      <w:sz w:val="21"/>
                      <w:szCs w:val="21"/>
                    </w:rPr>
                    <w:t>主要污染防治措施</w:t>
                  </w:r>
                </w:p>
              </w:tc>
              <w:tc>
                <w:tcPr>
                  <w:tcW w:w="1775" w:type="pct"/>
                  <w:gridSpan w:val="2"/>
                  <w:tcBorders>
                    <w:tl2br w:val="nil"/>
                    <w:tr2bl w:val="nil"/>
                  </w:tcBorders>
                  <w:shd w:val="clear" w:color="auto" w:fill="auto"/>
                  <w:vAlign w:val="center"/>
                </w:tcPr>
                <w:p w14:paraId="25D8C401">
                  <w:pPr>
                    <w:adjustRightInd w:val="0"/>
                    <w:snapToGrid w:val="0"/>
                    <w:spacing w:line="240" w:lineRule="auto"/>
                    <w:ind w:left="85" w:right="80" w:firstLine="0" w:firstLineChars="0"/>
                    <w:jc w:val="center"/>
                    <w:rPr>
                      <w:b/>
                      <w:bCs/>
                      <w:kern w:val="0"/>
                      <w:sz w:val="21"/>
                      <w:szCs w:val="21"/>
                    </w:rPr>
                  </w:pPr>
                  <w:r>
                    <w:rPr>
                      <w:b/>
                      <w:bCs/>
                      <w:kern w:val="0"/>
                      <w:sz w:val="21"/>
                      <w:szCs w:val="21"/>
                    </w:rPr>
                    <w:t>污染物排放标准</w:t>
                  </w:r>
                </w:p>
              </w:tc>
              <w:tc>
                <w:tcPr>
                  <w:tcW w:w="655" w:type="pct"/>
                  <w:vMerge w:val="restart"/>
                  <w:tcBorders>
                    <w:tl2br w:val="nil"/>
                    <w:tr2bl w:val="nil"/>
                  </w:tcBorders>
                  <w:shd w:val="clear" w:color="auto" w:fill="auto"/>
                  <w:vAlign w:val="center"/>
                </w:tcPr>
                <w:p w14:paraId="07E41376">
                  <w:pPr>
                    <w:adjustRightInd w:val="0"/>
                    <w:snapToGrid w:val="0"/>
                    <w:spacing w:line="240" w:lineRule="auto"/>
                    <w:ind w:left="85" w:right="80" w:firstLine="0" w:firstLineChars="0"/>
                    <w:jc w:val="center"/>
                    <w:rPr>
                      <w:kern w:val="0"/>
                      <w:sz w:val="21"/>
                      <w:szCs w:val="21"/>
                    </w:rPr>
                  </w:pPr>
                  <w:r>
                    <w:rPr>
                      <w:b/>
                      <w:bCs/>
                      <w:kern w:val="0"/>
                      <w:sz w:val="21"/>
                      <w:szCs w:val="21"/>
                    </w:rPr>
                    <w:t>年排放量</w:t>
                  </w:r>
                  <w:r>
                    <w:rPr>
                      <w:b/>
                      <w:bCs/>
                      <w:sz w:val="21"/>
                      <w:szCs w:val="21"/>
                    </w:rPr>
                    <w:t>t/a</w:t>
                  </w:r>
                </w:p>
              </w:tc>
            </w:tr>
            <w:tr w14:paraId="4A92A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continue"/>
                  <w:tcBorders>
                    <w:tl2br w:val="nil"/>
                    <w:tr2bl w:val="nil"/>
                  </w:tcBorders>
                  <w:shd w:val="clear" w:color="auto" w:fill="auto"/>
                  <w:vAlign w:val="center"/>
                </w:tcPr>
                <w:p w14:paraId="3B252B7C">
                  <w:pPr>
                    <w:adjustRightInd w:val="0"/>
                    <w:snapToGrid w:val="0"/>
                    <w:spacing w:line="240" w:lineRule="auto"/>
                    <w:ind w:left="85" w:right="80" w:firstLine="0" w:firstLineChars="0"/>
                    <w:jc w:val="center"/>
                    <w:rPr>
                      <w:b/>
                      <w:bCs/>
                      <w:sz w:val="21"/>
                      <w:szCs w:val="21"/>
                    </w:rPr>
                  </w:pPr>
                </w:p>
              </w:tc>
              <w:tc>
                <w:tcPr>
                  <w:tcW w:w="732" w:type="pct"/>
                  <w:vMerge w:val="continue"/>
                  <w:tcBorders>
                    <w:tl2br w:val="nil"/>
                    <w:tr2bl w:val="nil"/>
                  </w:tcBorders>
                  <w:shd w:val="clear" w:color="auto" w:fill="auto"/>
                  <w:vAlign w:val="center"/>
                </w:tcPr>
                <w:p w14:paraId="1C01F802">
                  <w:pPr>
                    <w:adjustRightInd w:val="0"/>
                    <w:snapToGrid w:val="0"/>
                    <w:spacing w:line="240" w:lineRule="auto"/>
                    <w:ind w:left="85" w:right="80" w:firstLine="0" w:firstLineChars="0"/>
                    <w:jc w:val="center"/>
                    <w:rPr>
                      <w:b/>
                      <w:bCs/>
                      <w:sz w:val="21"/>
                      <w:szCs w:val="21"/>
                    </w:rPr>
                  </w:pPr>
                </w:p>
              </w:tc>
              <w:tc>
                <w:tcPr>
                  <w:tcW w:w="560" w:type="pct"/>
                  <w:vMerge w:val="continue"/>
                  <w:tcBorders>
                    <w:tl2br w:val="nil"/>
                    <w:tr2bl w:val="nil"/>
                  </w:tcBorders>
                  <w:shd w:val="clear" w:color="auto" w:fill="auto"/>
                  <w:vAlign w:val="center"/>
                </w:tcPr>
                <w:p w14:paraId="129434E7">
                  <w:pPr>
                    <w:adjustRightInd w:val="0"/>
                    <w:snapToGrid w:val="0"/>
                    <w:spacing w:line="240" w:lineRule="auto"/>
                    <w:ind w:left="85" w:right="80" w:firstLine="0" w:firstLineChars="0"/>
                    <w:jc w:val="center"/>
                    <w:rPr>
                      <w:b/>
                      <w:bCs/>
                      <w:sz w:val="21"/>
                      <w:szCs w:val="21"/>
                    </w:rPr>
                  </w:pPr>
                </w:p>
              </w:tc>
              <w:tc>
                <w:tcPr>
                  <w:tcW w:w="848" w:type="pct"/>
                  <w:vMerge w:val="continue"/>
                  <w:tcBorders>
                    <w:tl2br w:val="nil"/>
                    <w:tr2bl w:val="nil"/>
                  </w:tcBorders>
                  <w:shd w:val="clear" w:color="auto" w:fill="auto"/>
                  <w:vAlign w:val="center"/>
                </w:tcPr>
                <w:p w14:paraId="5ABE4308">
                  <w:pPr>
                    <w:adjustRightInd w:val="0"/>
                    <w:snapToGrid w:val="0"/>
                    <w:spacing w:line="240" w:lineRule="auto"/>
                    <w:ind w:left="85" w:right="80" w:firstLine="0" w:firstLineChars="0"/>
                    <w:jc w:val="center"/>
                    <w:rPr>
                      <w:b/>
                      <w:bCs/>
                      <w:sz w:val="21"/>
                      <w:szCs w:val="21"/>
                    </w:rPr>
                  </w:pPr>
                </w:p>
              </w:tc>
              <w:tc>
                <w:tcPr>
                  <w:tcW w:w="882" w:type="pct"/>
                  <w:tcBorders>
                    <w:tl2br w:val="nil"/>
                    <w:tr2bl w:val="nil"/>
                  </w:tcBorders>
                  <w:shd w:val="clear" w:color="auto" w:fill="auto"/>
                  <w:vAlign w:val="center"/>
                </w:tcPr>
                <w:p w14:paraId="501E5DD3">
                  <w:pPr>
                    <w:adjustRightInd w:val="0"/>
                    <w:snapToGrid w:val="0"/>
                    <w:spacing w:line="240" w:lineRule="auto"/>
                    <w:ind w:left="85" w:right="80" w:firstLine="0" w:firstLineChars="0"/>
                    <w:jc w:val="center"/>
                    <w:rPr>
                      <w:b/>
                      <w:bCs/>
                      <w:sz w:val="21"/>
                      <w:szCs w:val="21"/>
                    </w:rPr>
                  </w:pPr>
                  <w:r>
                    <w:rPr>
                      <w:b/>
                      <w:bCs/>
                      <w:sz w:val="21"/>
                      <w:szCs w:val="21"/>
                    </w:rPr>
                    <w:t>标准名称</w:t>
                  </w:r>
                </w:p>
              </w:tc>
              <w:tc>
                <w:tcPr>
                  <w:tcW w:w="893" w:type="pct"/>
                  <w:tcBorders>
                    <w:tl2br w:val="nil"/>
                    <w:tr2bl w:val="nil"/>
                  </w:tcBorders>
                  <w:shd w:val="clear" w:color="auto" w:fill="auto"/>
                  <w:vAlign w:val="center"/>
                </w:tcPr>
                <w:p w14:paraId="38025247">
                  <w:pPr>
                    <w:adjustRightInd w:val="0"/>
                    <w:snapToGrid w:val="0"/>
                    <w:spacing w:line="240" w:lineRule="auto"/>
                    <w:ind w:left="85" w:right="80" w:firstLine="0" w:firstLineChars="0"/>
                    <w:jc w:val="center"/>
                    <w:rPr>
                      <w:b/>
                      <w:bCs/>
                      <w:sz w:val="21"/>
                      <w:szCs w:val="21"/>
                    </w:rPr>
                  </w:pPr>
                  <w:r>
                    <w:rPr>
                      <w:b/>
                      <w:bCs/>
                      <w:sz w:val="21"/>
                      <w:szCs w:val="21"/>
                    </w:rPr>
                    <w:t>浓度限值</w:t>
                  </w:r>
                  <w:r>
                    <w:rPr>
                      <w:b/>
                      <w:bCs/>
                      <w:kern w:val="0"/>
                      <w:sz w:val="21"/>
                      <w:szCs w:val="21"/>
                    </w:rPr>
                    <w:t>mg/m</w:t>
                  </w:r>
                  <w:r>
                    <w:rPr>
                      <w:b/>
                      <w:bCs/>
                      <w:sz w:val="21"/>
                      <w:szCs w:val="21"/>
                      <w:vertAlign w:val="superscript"/>
                    </w:rPr>
                    <w:t>3</w:t>
                  </w:r>
                </w:p>
              </w:tc>
              <w:tc>
                <w:tcPr>
                  <w:tcW w:w="655" w:type="pct"/>
                  <w:vMerge w:val="continue"/>
                  <w:tcBorders>
                    <w:tl2br w:val="nil"/>
                    <w:tr2bl w:val="nil"/>
                  </w:tcBorders>
                  <w:shd w:val="clear" w:color="auto" w:fill="auto"/>
                  <w:vAlign w:val="center"/>
                </w:tcPr>
                <w:p w14:paraId="4C1B337A">
                  <w:pPr>
                    <w:adjustRightInd w:val="0"/>
                    <w:snapToGrid w:val="0"/>
                    <w:spacing w:line="240" w:lineRule="auto"/>
                    <w:ind w:left="85" w:right="80" w:firstLine="0" w:firstLineChars="0"/>
                    <w:jc w:val="center"/>
                    <w:rPr>
                      <w:sz w:val="21"/>
                      <w:szCs w:val="21"/>
                    </w:rPr>
                  </w:pPr>
                </w:p>
              </w:tc>
            </w:tr>
            <w:tr w14:paraId="03DEE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tcBorders>
                    <w:tl2br w:val="nil"/>
                    <w:tr2bl w:val="nil"/>
                  </w:tcBorders>
                  <w:vAlign w:val="center"/>
                </w:tcPr>
                <w:p w14:paraId="7703207A">
                  <w:pPr>
                    <w:adjustRightInd w:val="0"/>
                    <w:snapToGrid w:val="0"/>
                    <w:spacing w:line="240" w:lineRule="auto"/>
                    <w:ind w:right="80" w:firstLine="0" w:firstLineChars="0"/>
                    <w:jc w:val="center"/>
                    <w:rPr>
                      <w:sz w:val="21"/>
                      <w:szCs w:val="21"/>
                    </w:rPr>
                  </w:pPr>
                  <w:r>
                    <w:rPr>
                      <w:sz w:val="21"/>
                      <w:szCs w:val="21"/>
                    </w:rPr>
                    <w:t>1</w:t>
                  </w:r>
                </w:p>
              </w:tc>
              <w:tc>
                <w:tcPr>
                  <w:tcW w:w="732" w:type="pct"/>
                  <w:tcBorders>
                    <w:tl2br w:val="nil"/>
                    <w:tr2bl w:val="nil"/>
                  </w:tcBorders>
                  <w:vAlign w:val="center"/>
                </w:tcPr>
                <w:p w14:paraId="4E01EB38">
                  <w:pPr>
                    <w:adjustRightInd w:val="0"/>
                    <w:snapToGrid w:val="0"/>
                    <w:spacing w:line="240" w:lineRule="auto"/>
                    <w:ind w:firstLine="0" w:firstLineChars="0"/>
                    <w:jc w:val="center"/>
                    <w:rPr>
                      <w:sz w:val="21"/>
                      <w:szCs w:val="21"/>
                    </w:rPr>
                  </w:pPr>
                  <w:r>
                    <w:rPr>
                      <w:sz w:val="21"/>
                      <w:szCs w:val="21"/>
                    </w:rPr>
                    <w:t>钻孔粉尘</w:t>
                  </w:r>
                </w:p>
              </w:tc>
              <w:tc>
                <w:tcPr>
                  <w:tcW w:w="560" w:type="pct"/>
                  <w:tcBorders>
                    <w:tl2br w:val="nil"/>
                    <w:tr2bl w:val="nil"/>
                  </w:tcBorders>
                  <w:vAlign w:val="center"/>
                </w:tcPr>
                <w:p w14:paraId="3AA9A9C5">
                  <w:pPr>
                    <w:adjustRightInd w:val="0"/>
                    <w:snapToGrid w:val="0"/>
                    <w:spacing w:line="240" w:lineRule="auto"/>
                    <w:ind w:firstLine="0" w:firstLineChars="0"/>
                    <w:jc w:val="center"/>
                    <w:rPr>
                      <w:kern w:val="0"/>
                      <w:sz w:val="21"/>
                      <w:szCs w:val="21"/>
                    </w:rPr>
                  </w:pPr>
                  <w:r>
                    <w:rPr>
                      <w:kern w:val="0"/>
                      <w:sz w:val="21"/>
                      <w:szCs w:val="21"/>
                    </w:rPr>
                    <w:t>颗粒物</w:t>
                  </w:r>
                </w:p>
              </w:tc>
              <w:tc>
                <w:tcPr>
                  <w:tcW w:w="848" w:type="pct"/>
                  <w:tcBorders>
                    <w:tl2br w:val="nil"/>
                    <w:tr2bl w:val="nil"/>
                  </w:tcBorders>
                  <w:vAlign w:val="center"/>
                </w:tcPr>
                <w:p w14:paraId="19E2D006">
                  <w:pPr>
                    <w:adjustRightInd w:val="0"/>
                    <w:snapToGrid w:val="0"/>
                    <w:spacing w:line="240" w:lineRule="auto"/>
                    <w:ind w:left="85" w:right="80" w:firstLine="0" w:firstLineChars="0"/>
                    <w:jc w:val="center"/>
                    <w:rPr>
                      <w:kern w:val="0"/>
                      <w:sz w:val="21"/>
                      <w:szCs w:val="21"/>
                    </w:rPr>
                  </w:pPr>
                  <w:r>
                    <w:rPr>
                      <w:sz w:val="21"/>
                      <w:szCs w:val="21"/>
                    </w:rPr>
                    <w:t>喷淋抑尘</w:t>
                  </w:r>
                </w:p>
              </w:tc>
              <w:tc>
                <w:tcPr>
                  <w:tcW w:w="882" w:type="pct"/>
                  <w:vMerge w:val="restart"/>
                  <w:tcBorders>
                    <w:tl2br w:val="nil"/>
                    <w:tr2bl w:val="nil"/>
                  </w:tcBorders>
                  <w:vAlign w:val="center"/>
                </w:tcPr>
                <w:p w14:paraId="2D532769">
                  <w:pPr>
                    <w:adjustRightInd w:val="0"/>
                    <w:snapToGrid w:val="0"/>
                    <w:spacing w:line="240" w:lineRule="auto"/>
                    <w:ind w:left="85" w:right="80" w:firstLine="0" w:firstLineChars="0"/>
                    <w:jc w:val="center"/>
                    <w:rPr>
                      <w:kern w:val="0"/>
                      <w:sz w:val="21"/>
                      <w:szCs w:val="21"/>
                    </w:rPr>
                  </w:pPr>
                  <w:r>
                    <w:rPr>
                      <w:sz w:val="21"/>
                      <w:szCs w:val="21"/>
                    </w:rPr>
                    <w:t>《大气污染物综合排放标准》（GB16297-1996）</w:t>
                  </w:r>
                </w:p>
              </w:tc>
              <w:tc>
                <w:tcPr>
                  <w:tcW w:w="893" w:type="pct"/>
                  <w:vMerge w:val="restart"/>
                  <w:tcBorders>
                    <w:tl2br w:val="nil"/>
                    <w:tr2bl w:val="nil"/>
                  </w:tcBorders>
                  <w:vAlign w:val="center"/>
                </w:tcPr>
                <w:p w14:paraId="6A1BA795">
                  <w:pPr>
                    <w:adjustRightInd w:val="0"/>
                    <w:snapToGrid w:val="0"/>
                    <w:spacing w:line="240" w:lineRule="auto"/>
                    <w:ind w:left="85" w:right="80" w:firstLine="0" w:firstLineChars="0"/>
                    <w:jc w:val="center"/>
                    <w:rPr>
                      <w:kern w:val="0"/>
                      <w:sz w:val="21"/>
                      <w:szCs w:val="21"/>
                    </w:rPr>
                  </w:pPr>
                  <w:r>
                    <w:rPr>
                      <w:kern w:val="0"/>
                      <w:sz w:val="21"/>
                      <w:szCs w:val="21"/>
                    </w:rPr>
                    <w:t>1.0</w:t>
                  </w:r>
                </w:p>
              </w:tc>
              <w:tc>
                <w:tcPr>
                  <w:tcW w:w="967" w:type="dxa"/>
                  <w:tcBorders>
                    <w:tl2br w:val="nil"/>
                    <w:tr2bl w:val="nil"/>
                  </w:tcBorders>
                  <w:vAlign w:val="center"/>
                </w:tcPr>
                <w:p w14:paraId="41F8E10F">
                  <w:pPr>
                    <w:adjustRightInd w:val="0"/>
                    <w:snapToGrid w:val="0"/>
                    <w:spacing w:line="240" w:lineRule="auto"/>
                    <w:ind w:firstLine="0" w:firstLineChars="0"/>
                    <w:jc w:val="center"/>
                    <w:rPr>
                      <w:sz w:val="21"/>
                      <w:szCs w:val="21"/>
                    </w:rPr>
                  </w:pPr>
                  <w:r>
                    <w:rPr>
                      <w:sz w:val="21"/>
                      <w:szCs w:val="21"/>
                    </w:rPr>
                    <w:t>0.</w:t>
                  </w:r>
                  <w:r>
                    <w:rPr>
                      <w:rFonts w:hint="eastAsia"/>
                      <w:sz w:val="21"/>
                      <w:szCs w:val="21"/>
                    </w:rPr>
                    <w:t>16</w:t>
                  </w:r>
                </w:p>
              </w:tc>
            </w:tr>
            <w:tr w14:paraId="0AD5C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tcBorders>
                    <w:tl2br w:val="nil"/>
                    <w:tr2bl w:val="nil"/>
                  </w:tcBorders>
                  <w:vAlign w:val="center"/>
                </w:tcPr>
                <w:p w14:paraId="1922ABC9">
                  <w:pPr>
                    <w:adjustRightInd w:val="0"/>
                    <w:snapToGrid w:val="0"/>
                    <w:spacing w:line="240" w:lineRule="auto"/>
                    <w:ind w:firstLine="0" w:firstLineChars="0"/>
                    <w:jc w:val="center"/>
                    <w:rPr>
                      <w:sz w:val="21"/>
                      <w:szCs w:val="21"/>
                    </w:rPr>
                  </w:pPr>
                  <w:r>
                    <w:rPr>
                      <w:sz w:val="21"/>
                      <w:szCs w:val="21"/>
                    </w:rPr>
                    <w:t>2</w:t>
                  </w:r>
                </w:p>
              </w:tc>
              <w:tc>
                <w:tcPr>
                  <w:tcW w:w="732" w:type="pct"/>
                  <w:tcBorders>
                    <w:tl2br w:val="nil"/>
                    <w:tr2bl w:val="nil"/>
                  </w:tcBorders>
                  <w:vAlign w:val="center"/>
                </w:tcPr>
                <w:p w14:paraId="62250E57">
                  <w:pPr>
                    <w:adjustRightInd w:val="0"/>
                    <w:snapToGrid w:val="0"/>
                    <w:spacing w:line="240" w:lineRule="auto"/>
                    <w:ind w:firstLine="0" w:firstLineChars="0"/>
                    <w:jc w:val="center"/>
                    <w:rPr>
                      <w:sz w:val="21"/>
                      <w:szCs w:val="21"/>
                    </w:rPr>
                  </w:pPr>
                  <w:r>
                    <w:rPr>
                      <w:sz w:val="21"/>
                      <w:szCs w:val="21"/>
                    </w:rPr>
                    <w:t>爆破粉尘</w:t>
                  </w:r>
                </w:p>
              </w:tc>
              <w:tc>
                <w:tcPr>
                  <w:tcW w:w="560" w:type="pct"/>
                  <w:tcBorders>
                    <w:tl2br w:val="nil"/>
                    <w:tr2bl w:val="nil"/>
                  </w:tcBorders>
                  <w:vAlign w:val="center"/>
                </w:tcPr>
                <w:p w14:paraId="42A41505">
                  <w:pPr>
                    <w:adjustRightInd w:val="0"/>
                    <w:snapToGrid w:val="0"/>
                    <w:spacing w:line="240" w:lineRule="auto"/>
                    <w:ind w:firstLine="0" w:firstLineChars="0"/>
                    <w:jc w:val="center"/>
                    <w:rPr>
                      <w:kern w:val="0"/>
                      <w:sz w:val="21"/>
                      <w:szCs w:val="21"/>
                    </w:rPr>
                  </w:pPr>
                  <w:r>
                    <w:rPr>
                      <w:kern w:val="0"/>
                      <w:sz w:val="21"/>
                      <w:szCs w:val="21"/>
                    </w:rPr>
                    <w:t>颗粒物</w:t>
                  </w:r>
                </w:p>
              </w:tc>
              <w:tc>
                <w:tcPr>
                  <w:tcW w:w="848" w:type="pct"/>
                  <w:tcBorders>
                    <w:tl2br w:val="nil"/>
                    <w:tr2bl w:val="nil"/>
                  </w:tcBorders>
                  <w:vAlign w:val="center"/>
                </w:tcPr>
                <w:p w14:paraId="2BC72C7F">
                  <w:pPr>
                    <w:adjustRightInd w:val="0"/>
                    <w:snapToGrid w:val="0"/>
                    <w:spacing w:line="240" w:lineRule="auto"/>
                    <w:ind w:firstLine="0" w:firstLineChars="0"/>
                    <w:jc w:val="center"/>
                    <w:rPr>
                      <w:sz w:val="21"/>
                      <w:szCs w:val="21"/>
                    </w:rPr>
                  </w:pPr>
                  <w:r>
                    <w:rPr>
                      <w:sz w:val="21"/>
                      <w:szCs w:val="21"/>
                    </w:rPr>
                    <w:t>喷淋抑尘</w:t>
                  </w:r>
                </w:p>
              </w:tc>
              <w:tc>
                <w:tcPr>
                  <w:tcW w:w="882" w:type="pct"/>
                  <w:vMerge w:val="continue"/>
                  <w:tcBorders>
                    <w:tl2br w:val="nil"/>
                    <w:tr2bl w:val="nil"/>
                  </w:tcBorders>
                  <w:vAlign w:val="center"/>
                </w:tcPr>
                <w:p w14:paraId="1302C926">
                  <w:pPr>
                    <w:adjustRightInd w:val="0"/>
                    <w:snapToGrid w:val="0"/>
                    <w:spacing w:line="240" w:lineRule="auto"/>
                    <w:ind w:left="85" w:right="80" w:firstLine="0" w:firstLineChars="0"/>
                    <w:jc w:val="center"/>
                    <w:rPr>
                      <w:kern w:val="0"/>
                      <w:sz w:val="21"/>
                      <w:szCs w:val="21"/>
                    </w:rPr>
                  </w:pPr>
                </w:p>
              </w:tc>
              <w:tc>
                <w:tcPr>
                  <w:tcW w:w="893" w:type="pct"/>
                  <w:vMerge w:val="continue"/>
                  <w:tcBorders>
                    <w:tl2br w:val="nil"/>
                    <w:tr2bl w:val="nil"/>
                  </w:tcBorders>
                  <w:vAlign w:val="center"/>
                </w:tcPr>
                <w:p w14:paraId="6CEB7571">
                  <w:pPr>
                    <w:adjustRightInd w:val="0"/>
                    <w:snapToGrid w:val="0"/>
                    <w:spacing w:line="240" w:lineRule="auto"/>
                    <w:ind w:left="85" w:right="80" w:firstLine="0" w:firstLineChars="0"/>
                    <w:jc w:val="center"/>
                    <w:rPr>
                      <w:kern w:val="0"/>
                      <w:sz w:val="21"/>
                      <w:szCs w:val="21"/>
                    </w:rPr>
                  </w:pPr>
                </w:p>
              </w:tc>
              <w:tc>
                <w:tcPr>
                  <w:tcW w:w="967" w:type="dxa"/>
                  <w:tcBorders>
                    <w:tl2br w:val="nil"/>
                    <w:tr2bl w:val="nil"/>
                  </w:tcBorders>
                  <w:vAlign w:val="center"/>
                </w:tcPr>
                <w:p w14:paraId="20056A90">
                  <w:pPr>
                    <w:adjustRightInd w:val="0"/>
                    <w:snapToGrid w:val="0"/>
                    <w:spacing w:line="240" w:lineRule="auto"/>
                    <w:ind w:firstLine="0" w:firstLineChars="0"/>
                    <w:jc w:val="center"/>
                    <w:rPr>
                      <w:sz w:val="21"/>
                      <w:szCs w:val="21"/>
                    </w:rPr>
                  </w:pPr>
                  <w:r>
                    <w:rPr>
                      <w:sz w:val="21"/>
                      <w:szCs w:val="21"/>
                    </w:rPr>
                    <w:t>0.029</w:t>
                  </w:r>
                </w:p>
              </w:tc>
            </w:tr>
            <w:tr w14:paraId="7B13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tcBorders>
                    <w:tl2br w:val="nil"/>
                    <w:tr2bl w:val="nil"/>
                  </w:tcBorders>
                  <w:vAlign w:val="center"/>
                </w:tcPr>
                <w:p w14:paraId="46941D17">
                  <w:pPr>
                    <w:adjustRightInd w:val="0"/>
                    <w:snapToGrid w:val="0"/>
                    <w:spacing w:line="240" w:lineRule="auto"/>
                    <w:ind w:firstLine="0" w:firstLineChars="0"/>
                    <w:jc w:val="center"/>
                    <w:rPr>
                      <w:sz w:val="21"/>
                      <w:szCs w:val="21"/>
                    </w:rPr>
                  </w:pPr>
                  <w:r>
                    <w:rPr>
                      <w:sz w:val="21"/>
                      <w:szCs w:val="21"/>
                    </w:rPr>
                    <w:t>3</w:t>
                  </w:r>
                </w:p>
              </w:tc>
              <w:tc>
                <w:tcPr>
                  <w:tcW w:w="732" w:type="pct"/>
                  <w:tcBorders>
                    <w:tl2br w:val="nil"/>
                    <w:tr2bl w:val="nil"/>
                  </w:tcBorders>
                  <w:vAlign w:val="center"/>
                </w:tcPr>
                <w:p w14:paraId="3B2CCF5A">
                  <w:pPr>
                    <w:adjustRightInd w:val="0"/>
                    <w:snapToGrid w:val="0"/>
                    <w:spacing w:line="240" w:lineRule="auto"/>
                    <w:ind w:firstLine="0" w:firstLineChars="0"/>
                    <w:jc w:val="center"/>
                    <w:rPr>
                      <w:sz w:val="21"/>
                      <w:szCs w:val="21"/>
                    </w:rPr>
                  </w:pPr>
                  <w:r>
                    <w:rPr>
                      <w:sz w:val="21"/>
                      <w:szCs w:val="21"/>
                    </w:rPr>
                    <w:t>铲装粉尘</w:t>
                  </w:r>
                </w:p>
              </w:tc>
              <w:tc>
                <w:tcPr>
                  <w:tcW w:w="560" w:type="pct"/>
                  <w:tcBorders>
                    <w:tl2br w:val="nil"/>
                    <w:tr2bl w:val="nil"/>
                  </w:tcBorders>
                  <w:vAlign w:val="center"/>
                </w:tcPr>
                <w:p w14:paraId="411B7AEC">
                  <w:pPr>
                    <w:adjustRightInd w:val="0"/>
                    <w:snapToGrid w:val="0"/>
                    <w:spacing w:line="240" w:lineRule="auto"/>
                    <w:ind w:firstLine="0" w:firstLineChars="0"/>
                    <w:jc w:val="center"/>
                    <w:rPr>
                      <w:kern w:val="0"/>
                      <w:sz w:val="21"/>
                      <w:szCs w:val="21"/>
                    </w:rPr>
                  </w:pPr>
                  <w:r>
                    <w:rPr>
                      <w:kern w:val="0"/>
                      <w:sz w:val="21"/>
                      <w:szCs w:val="21"/>
                    </w:rPr>
                    <w:t>颗粒物</w:t>
                  </w:r>
                </w:p>
              </w:tc>
              <w:tc>
                <w:tcPr>
                  <w:tcW w:w="848" w:type="pct"/>
                  <w:tcBorders>
                    <w:tl2br w:val="nil"/>
                    <w:tr2bl w:val="nil"/>
                  </w:tcBorders>
                  <w:vAlign w:val="center"/>
                </w:tcPr>
                <w:p w14:paraId="564797A9">
                  <w:pPr>
                    <w:adjustRightInd w:val="0"/>
                    <w:snapToGrid w:val="0"/>
                    <w:spacing w:line="240" w:lineRule="auto"/>
                    <w:ind w:firstLine="0" w:firstLineChars="0"/>
                    <w:jc w:val="center"/>
                    <w:rPr>
                      <w:sz w:val="21"/>
                      <w:szCs w:val="21"/>
                    </w:rPr>
                  </w:pPr>
                  <w:r>
                    <w:rPr>
                      <w:sz w:val="21"/>
                      <w:szCs w:val="21"/>
                    </w:rPr>
                    <w:t>洒水抑尘</w:t>
                  </w:r>
                </w:p>
              </w:tc>
              <w:tc>
                <w:tcPr>
                  <w:tcW w:w="882" w:type="pct"/>
                  <w:vMerge w:val="continue"/>
                  <w:tcBorders>
                    <w:tl2br w:val="nil"/>
                    <w:tr2bl w:val="nil"/>
                  </w:tcBorders>
                  <w:vAlign w:val="center"/>
                </w:tcPr>
                <w:p w14:paraId="139205C4">
                  <w:pPr>
                    <w:adjustRightInd w:val="0"/>
                    <w:snapToGrid w:val="0"/>
                    <w:spacing w:line="240" w:lineRule="auto"/>
                    <w:ind w:left="85" w:right="80" w:firstLine="0" w:firstLineChars="0"/>
                    <w:jc w:val="center"/>
                    <w:rPr>
                      <w:kern w:val="0"/>
                      <w:sz w:val="21"/>
                      <w:szCs w:val="21"/>
                    </w:rPr>
                  </w:pPr>
                </w:p>
              </w:tc>
              <w:tc>
                <w:tcPr>
                  <w:tcW w:w="893" w:type="pct"/>
                  <w:vMerge w:val="continue"/>
                  <w:tcBorders>
                    <w:tl2br w:val="nil"/>
                    <w:tr2bl w:val="nil"/>
                  </w:tcBorders>
                  <w:vAlign w:val="center"/>
                </w:tcPr>
                <w:p w14:paraId="63F3DBBC">
                  <w:pPr>
                    <w:adjustRightInd w:val="0"/>
                    <w:snapToGrid w:val="0"/>
                    <w:spacing w:line="240" w:lineRule="auto"/>
                    <w:ind w:left="85" w:right="80" w:firstLine="0" w:firstLineChars="0"/>
                    <w:jc w:val="center"/>
                    <w:rPr>
                      <w:kern w:val="0"/>
                      <w:sz w:val="21"/>
                      <w:szCs w:val="21"/>
                    </w:rPr>
                  </w:pPr>
                </w:p>
              </w:tc>
              <w:tc>
                <w:tcPr>
                  <w:tcW w:w="967" w:type="dxa"/>
                  <w:tcBorders>
                    <w:tl2br w:val="nil"/>
                    <w:tr2bl w:val="nil"/>
                  </w:tcBorders>
                  <w:vAlign w:val="center"/>
                </w:tcPr>
                <w:p w14:paraId="1D41A998">
                  <w:pPr>
                    <w:adjustRightInd w:val="0"/>
                    <w:snapToGrid w:val="0"/>
                    <w:spacing w:line="240" w:lineRule="auto"/>
                    <w:ind w:firstLine="0" w:firstLineChars="0"/>
                    <w:jc w:val="center"/>
                    <w:rPr>
                      <w:rFonts w:hint="eastAsia" w:eastAsia="宋体"/>
                      <w:sz w:val="21"/>
                      <w:szCs w:val="21"/>
                      <w:lang w:eastAsia="zh-CN"/>
                    </w:rPr>
                  </w:pPr>
                  <w:r>
                    <w:rPr>
                      <w:rFonts w:hint="eastAsia"/>
                      <w:sz w:val="21"/>
                      <w:szCs w:val="21"/>
                      <w:lang w:eastAsia="zh-CN"/>
                    </w:rPr>
                    <w:t>0.008</w:t>
                  </w:r>
                </w:p>
              </w:tc>
            </w:tr>
            <w:tr w14:paraId="1A961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427" w:type="pct"/>
                  <w:tcBorders>
                    <w:tl2br w:val="nil"/>
                    <w:tr2bl w:val="nil"/>
                  </w:tcBorders>
                  <w:vAlign w:val="center"/>
                </w:tcPr>
                <w:p w14:paraId="46A16881">
                  <w:pPr>
                    <w:adjustRightInd w:val="0"/>
                    <w:snapToGrid w:val="0"/>
                    <w:spacing w:line="240" w:lineRule="auto"/>
                    <w:ind w:firstLine="0" w:firstLineChars="0"/>
                    <w:jc w:val="center"/>
                    <w:rPr>
                      <w:sz w:val="21"/>
                      <w:szCs w:val="21"/>
                    </w:rPr>
                  </w:pPr>
                  <w:r>
                    <w:rPr>
                      <w:sz w:val="21"/>
                      <w:szCs w:val="21"/>
                    </w:rPr>
                    <w:t>4</w:t>
                  </w:r>
                </w:p>
              </w:tc>
              <w:tc>
                <w:tcPr>
                  <w:tcW w:w="732" w:type="pct"/>
                  <w:tcBorders>
                    <w:tl2br w:val="nil"/>
                    <w:tr2bl w:val="nil"/>
                  </w:tcBorders>
                  <w:vAlign w:val="center"/>
                </w:tcPr>
                <w:p w14:paraId="393304CA">
                  <w:pPr>
                    <w:adjustRightInd w:val="0"/>
                    <w:snapToGrid w:val="0"/>
                    <w:spacing w:line="240" w:lineRule="auto"/>
                    <w:ind w:firstLine="0" w:firstLineChars="0"/>
                    <w:jc w:val="center"/>
                    <w:rPr>
                      <w:sz w:val="21"/>
                      <w:szCs w:val="21"/>
                    </w:rPr>
                  </w:pPr>
                  <w:r>
                    <w:rPr>
                      <w:sz w:val="21"/>
                      <w:szCs w:val="21"/>
                    </w:rPr>
                    <w:t>自卸汽车卸料扬尘</w:t>
                  </w:r>
                </w:p>
              </w:tc>
              <w:tc>
                <w:tcPr>
                  <w:tcW w:w="560" w:type="pct"/>
                  <w:tcBorders>
                    <w:tl2br w:val="nil"/>
                    <w:tr2bl w:val="nil"/>
                  </w:tcBorders>
                  <w:vAlign w:val="center"/>
                </w:tcPr>
                <w:p w14:paraId="754B90BF">
                  <w:pPr>
                    <w:adjustRightInd w:val="0"/>
                    <w:snapToGrid w:val="0"/>
                    <w:spacing w:line="240" w:lineRule="auto"/>
                    <w:ind w:firstLine="0" w:firstLineChars="0"/>
                    <w:jc w:val="center"/>
                    <w:rPr>
                      <w:kern w:val="0"/>
                      <w:sz w:val="21"/>
                      <w:szCs w:val="21"/>
                    </w:rPr>
                  </w:pPr>
                  <w:r>
                    <w:rPr>
                      <w:kern w:val="0"/>
                      <w:sz w:val="21"/>
                      <w:szCs w:val="21"/>
                    </w:rPr>
                    <w:t>颗粒物</w:t>
                  </w:r>
                </w:p>
              </w:tc>
              <w:tc>
                <w:tcPr>
                  <w:tcW w:w="848" w:type="pct"/>
                  <w:tcBorders>
                    <w:tl2br w:val="nil"/>
                    <w:tr2bl w:val="nil"/>
                  </w:tcBorders>
                  <w:vAlign w:val="center"/>
                </w:tcPr>
                <w:p w14:paraId="6EFCE7A5">
                  <w:pPr>
                    <w:adjustRightInd w:val="0"/>
                    <w:snapToGrid w:val="0"/>
                    <w:spacing w:line="240" w:lineRule="auto"/>
                    <w:ind w:left="85" w:right="80" w:firstLine="0" w:firstLineChars="0"/>
                    <w:jc w:val="center"/>
                    <w:rPr>
                      <w:sz w:val="21"/>
                      <w:szCs w:val="21"/>
                    </w:rPr>
                  </w:pPr>
                  <w:r>
                    <w:rPr>
                      <w:sz w:val="21"/>
                      <w:szCs w:val="21"/>
                    </w:rPr>
                    <w:t>洒水抑尘</w:t>
                  </w:r>
                </w:p>
              </w:tc>
              <w:tc>
                <w:tcPr>
                  <w:tcW w:w="882" w:type="pct"/>
                  <w:vMerge w:val="continue"/>
                  <w:tcBorders>
                    <w:tl2br w:val="nil"/>
                    <w:tr2bl w:val="nil"/>
                  </w:tcBorders>
                  <w:vAlign w:val="center"/>
                </w:tcPr>
                <w:p w14:paraId="774F934F">
                  <w:pPr>
                    <w:adjustRightInd w:val="0"/>
                    <w:snapToGrid w:val="0"/>
                    <w:spacing w:line="240" w:lineRule="auto"/>
                    <w:ind w:left="85" w:right="80" w:firstLine="0" w:firstLineChars="0"/>
                    <w:jc w:val="center"/>
                    <w:rPr>
                      <w:kern w:val="0"/>
                      <w:sz w:val="21"/>
                      <w:szCs w:val="21"/>
                    </w:rPr>
                  </w:pPr>
                </w:p>
              </w:tc>
              <w:tc>
                <w:tcPr>
                  <w:tcW w:w="893" w:type="pct"/>
                  <w:vMerge w:val="continue"/>
                  <w:tcBorders>
                    <w:tl2br w:val="nil"/>
                    <w:tr2bl w:val="nil"/>
                  </w:tcBorders>
                  <w:vAlign w:val="center"/>
                </w:tcPr>
                <w:p w14:paraId="42D32CF8">
                  <w:pPr>
                    <w:adjustRightInd w:val="0"/>
                    <w:snapToGrid w:val="0"/>
                    <w:spacing w:line="240" w:lineRule="auto"/>
                    <w:ind w:left="85" w:right="80" w:firstLine="0" w:firstLineChars="0"/>
                    <w:jc w:val="center"/>
                    <w:rPr>
                      <w:kern w:val="0"/>
                      <w:sz w:val="21"/>
                      <w:szCs w:val="21"/>
                    </w:rPr>
                  </w:pPr>
                </w:p>
              </w:tc>
              <w:tc>
                <w:tcPr>
                  <w:tcW w:w="967" w:type="dxa"/>
                  <w:tcBorders>
                    <w:tl2br w:val="nil"/>
                    <w:tr2bl w:val="nil"/>
                  </w:tcBorders>
                  <w:vAlign w:val="center"/>
                </w:tcPr>
                <w:p w14:paraId="3A70F5E5">
                  <w:pPr>
                    <w:pStyle w:val="23"/>
                    <w:adjustRightInd w:val="0"/>
                    <w:snapToGrid w:val="0"/>
                    <w:spacing w:after="0" w:line="240" w:lineRule="auto"/>
                    <w:ind w:left="0" w:leftChars="0" w:firstLine="0" w:firstLineChars="0"/>
                    <w:jc w:val="center"/>
                    <w:rPr>
                      <w:sz w:val="21"/>
                      <w:szCs w:val="21"/>
                    </w:rPr>
                  </w:pPr>
                  <w:r>
                    <w:rPr>
                      <w:rFonts w:hint="eastAsia"/>
                      <w:sz w:val="21"/>
                      <w:szCs w:val="21"/>
                    </w:rPr>
                    <w:t>0.17</w:t>
                  </w:r>
                </w:p>
              </w:tc>
            </w:tr>
            <w:tr w14:paraId="31D7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60" w:type="pct"/>
                  <w:gridSpan w:val="2"/>
                  <w:tcBorders>
                    <w:tl2br w:val="nil"/>
                    <w:tr2bl w:val="nil"/>
                  </w:tcBorders>
                  <w:vAlign w:val="center"/>
                </w:tcPr>
                <w:p w14:paraId="0AF6852E">
                  <w:pPr>
                    <w:adjustRightInd w:val="0"/>
                    <w:snapToGrid w:val="0"/>
                    <w:spacing w:line="240" w:lineRule="auto"/>
                    <w:ind w:firstLine="0" w:firstLineChars="0"/>
                    <w:jc w:val="center"/>
                    <w:rPr>
                      <w:kern w:val="0"/>
                      <w:sz w:val="21"/>
                      <w:szCs w:val="21"/>
                    </w:rPr>
                  </w:pPr>
                  <w:r>
                    <w:rPr>
                      <w:kern w:val="0"/>
                      <w:sz w:val="21"/>
                      <w:szCs w:val="21"/>
                    </w:rPr>
                    <w:t>无组织排放合计</w:t>
                  </w:r>
                </w:p>
              </w:tc>
              <w:tc>
                <w:tcPr>
                  <w:tcW w:w="3184" w:type="pct"/>
                  <w:gridSpan w:val="4"/>
                  <w:tcBorders>
                    <w:tl2br w:val="nil"/>
                    <w:tr2bl w:val="nil"/>
                  </w:tcBorders>
                  <w:vAlign w:val="center"/>
                </w:tcPr>
                <w:p w14:paraId="2E5FF819">
                  <w:pPr>
                    <w:adjustRightInd w:val="0"/>
                    <w:snapToGrid w:val="0"/>
                    <w:spacing w:line="240" w:lineRule="auto"/>
                    <w:ind w:left="85" w:right="80" w:firstLine="0" w:firstLineChars="0"/>
                    <w:jc w:val="center"/>
                    <w:rPr>
                      <w:kern w:val="0"/>
                      <w:sz w:val="21"/>
                      <w:szCs w:val="21"/>
                    </w:rPr>
                  </w:pPr>
                  <w:r>
                    <w:rPr>
                      <w:kern w:val="0"/>
                      <w:sz w:val="21"/>
                      <w:szCs w:val="21"/>
                    </w:rPr>
                    <w:t>颗粒物</w:t>
                  </w:r>
                </w:p>
              </w:tc>
              <w:tc>
                <w:tcPr>
                  <w:tcW w:w="655" w:type="pct"/>
                  <w:tcBorders>
                    <w:tl2br w:val="nil"/>
                    <w:tr2bl w:val="nil"/>
                  </w:tcBorders>
                  <w:vAlign w:val="center"/>
                </w:tcPr>
                <w:p w14:paraId="32BDAE60">
                  <w:pPr>
                    <w:adjustRightInd w:val="0"/>
                    <w:snapToGrid w:val="0"/>
                    <w:spacing w:line="240" w:lineRule="auto"/>
                    <w:ind w:left="85" w:right="80" w:firstLine="0" w:firstLineChars="0"/>
                    <w:jc w:val="center"/>
                    <w:rPr>
                      <w:rFonts w:hint="eastAsia" w:eastAsia="宋体"/>
                      <w:kern w:val="0"/>
                      <w:sz w:val="21"/>
                      <w:szCs w:val="21"/>
                      <w:lang w:eastAsia="zh-CN"/>
                    </w:rPr>
                  </w:pPr>
                  <w:r>
                    <w:rPr>
                      <w:rFonts w:hint="eastAsia"/>
                      <w:kern w:val="0"/>
                      <w:sz w:val="21"/>
                      <w:szCs w:val="21"/>
                      <w:lang w:eastAsia="zh-CN"/>
                    </w:rPr>
                    <w:t>0.367</w:t>
                  </w:r>
                </w:p>
              </w:tc>
            </w:tr>
          </w:tbl>
          <w:p w14:paraId="2F1CA1E4">
            <w:pPr>
              <w:tabs>
                <w:tab w:val="left" w:pos="5520"/>
                <w:tab w:val="left" w:pos="6060"/>
              </w:tabs>
              <w:spacing w:line="240" w:lineRule="auto"/>
              <w:ind w:firstLine="482"/>
              <w:jc w:val="center"/>
              <w:rPr>
                <w:b/>
                <w:bCs/>
              </w:rPr>
            </w:pPr>
            <w:r>
              <w:rPr>
                <w:b/>
                <w:bCs/>
              </w:rPr>
              <w:t>表4-</w:t>
            </w:r>
            <w:r>
              <w:rPr>
                <w:rFonts w:hint="eastAsia"/>
                <w:b/>
                <w:bCs/>
              </w:rPr>
              <w:t>6</w:t>
            </w:r>
            <w:r>
              <w:rPr>
                <w:b/>
                <w:bCs/>
              </w:rPr>
              <w:t xml:space="preserve">  大气污染物年排放量核算表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2892"/>
              <w:gridCol w:w="2787"/>
            </w:tblGrid>
            <w:tr w14:paraId="61F66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151" w:type="pct"/>
                  <w:tcBorders>
                    <w:tl2br w:val="nil"/>
                    <w:tr2bl w:val="nil"/>
                  </w:tcBorders>
                  <w:shd w:val="clear" w:color="auto" w:fill="auto"/>
                  <w:vAlign w:val="center"/>
                </w:tcPr>
                <w:p w14:paraId="787B6950">
                  <w:pPr>
                    <w:adjustRightInd w:val="0"/>
                    <w:snapToGrid w:val="0"/>
                    <w:spacing w:line="240" w:lineRule="auto"/>
                    <w:ind w:firstLine="0" w:firstLineChars="0"/>
                    <w:jc w:val="center"/>
                    <w:rPr>
                      <w:b/>
                      <w:bCs/>
                      <w:kern w:val="0"/>
                      <w:sz w:val="21"/>
                      <w:szCs w:val="21"/>
                    </w:rPr>
                  </w:pPr>
                  <w:r>
                    <w:rPr>
                      <w:b/>
                      <w:bCs/>
                      <w:kern w:val="0"/>
                      <w:sz w:val="21"/>
                      <w:szCs w:val="21"/>
                    </w:rPr>
                    <w:t>序号</w:t>
                  </w:r>
                </w:p>
              </w:tc>
              <w:tc>
                <w:tcPr>
                  <w:tcW w:w="1959" w:type="pct"/>
                  <w:tcBorders>
                    <w:tl2br w:val="nil"/>
                    <w:tr2bl w:val="nil"/>
                  </w:tcBorders>
                  <w:shd w:val="clear" w:color="auto" w:fill="auto"/>
                  <w:vAlign w:val="center"/>
                </w:tcPr>
                <w:p w14:paraId="318418D3">
                  <w:pPr>
                    <w:adjustRightInd w:val="0"/>
                    <w:snapToGrid w:val="0"/>
                    <w:spacing w:line="240" w:lineRule="auto"/>
                    <w:ind w:firstLine="0" w:firstLineChars="0"/>
                    <w:jc w:val="center"/>
                    <w:rPr>
                      <w:b/>
                      <w:bCs/>
                      <w:sz w:val="21"/>
                      <w:szCs w:val="21"/>
                    </w:rPr>
                  </w:pPr>
                  <w:r>
                    <w:rPr>
                      <w:b/>
                      <w:bCs/>
                      <w:sz w:val="21"/>
                      <w:szCs w:val="21"/>
                    </w:rPr>
                    <w:t>污染物</w:t>
                  </w:r>
                </w:p>
              </w:tc>
              <w:tc>
                <w:tcPr>
                  <w:tcW w:w="1889" w:type="pct"/>
                  <w:tcBorders>
                    <w:tl2br w:val="nil"/>
                    <w:tr2bl w:val="nil"/>
                  </w:tcBorders>
                  <w:shd w:val="clear" w:color="auto" w:fill="auto"/>
                  <w:vAlign w:val="center"/>
                </w:tcPr>
                <w:p w14:paraId="33B92CBF">
                  <w:pPr>
                    <w:adjustRightInd w:val="0"/>
                    <w:snapToGrid w:val="0"/>
                    <w:spacing w:line="240" w:lineRule="auto"/>
                    <w:ind w:firstLine="0" w:firstLineChars="0"/>
                    <w:jc w:val="center"/>
                    <w:rPr>
                      <w:sz w:val="21"/>
                      <w:szCs w:val="21"/>
                    </w:rPr>
                  </w:pPr>
                  <w:r>
                    <w:rPr>
                      <w:b/>
                      <w:bCs/>
                      <w:kern w:val="0"/>
                      <w:sz w:val="21"/>
                      <w:szCs w:val="21"/>
                    </w:rPr>
                    <w:t>核算排放量</w:t>
                  </w:r>
                  <w:r>
                    <w:rPr>
                      <w:b/>
                      <w:bCs/>
                      <w:sz w:val="21"/>
                      <w:szCs w:val="21"/>
                    </w:rPr>
                    <w:t>t/a</w:t>
                  </w:r>
                </w:p>
              </w:tc>
            </w:tr>
            <w:tr w14:paraId="0F155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51" w:type="pct"/>
                  <w:tcBorders>
                    <w:tl2br w:val="nil"/>
                    <w:tr2bl w:val="nil"/>
                  </w:tcBorders>
                  <w:vAlign w:val="center"/>
                </w:tcPr>
                <w:p w14:paraId="4549F745">
                  <w:pPr>
                    <w:adjustRightInd w:val="0"/>
                    <w:snapToGrid w:val="0"/>
                    <w:spacing w:line="240" w:lineRule="auto"/>
                    <w:ind w:firstLine="0" w:firstLineChars="0"/>
                    <w:jc w:val="center"/>
                    <w:rPr>
                      <w:kern w:val="0"/>
                      <w:sz w:val="21"/>
                      <w:szCs w:val="21"/>
                    </w:rPr>
                  </w:pPr>
                  <w:r>
                    <w:rPr>
                      <w:sz w:val="21"/>
                      <w:szCs w:val="21"/>
                    </w:rPr>
                    <w:t>1</w:t>
                  </w:r>
                </w:p>
              </w:tc>
              <w:tc>
                <w:tcPr>
                  <w:tcW w:w="1959" w:type="pct"/>
                  <w:tcBorders>
                    <w:tl2br w:val="nil"/>
                    <w:tr2bl w:val="nil"/>
                  </w:tcBorders>
                  <w:vAlign w:val="center"/>
                </w:tcPr>
                <w:p w14:paraId="419FF3EC">
                  <w:pPr>
                    <w:adjustRightInd w:val="0"/>
                    <w:snapToGrid w:val="0"/>
                    <w:spacing w:line="240" w:lineRule="auto"/>
                    <w:ind w:firstLine="0" w:firstLineChars="0"/>
                    <w:jc w:val="center"/>
                    <w:rPr>
                      <w:sz w:val="21"/>
                      <w:szCs w:val="21"/>
                    </w:rPr>
                  </w:pPr>
                  <w:r>
                    <w:rPr>
                      <w:sz w:val="21"/>
                      <w:szCs w:val="21"/>
                    </w:rPr>
                    <w:t>颗粒物</w:t>
                  </w:r>
                </w:p>
              </w:tc>
              <w:tc>
                <w:tcPr>
                  <w:tcW w:w="1889" w:type="pct"/>
                  <w:tcBorders>
                    <w:tl2br w:val="nil"/>
                    <w:tr2bl w:val="nil"/>
                  </w:tcBorders>
                  <w:vAlign w:val="center"/>
                </w:tcPr>
                <w:p w14:paraId="305D871E">
                  <w:pPr>
                    <w:adjustRightInd w:val="0"/>
                    <w:snapToGrid w:val="0"/>
                    <w:spacing w:line="240" w:lineRule="auto"/>
                    <w:ind w:firstLine="0" w:firstLineChars="0"/>
                    <w:jc w:val="center"/>
                    <w:rPr>
                      <w:rFonts w:hint="eastAsia" w:eastAsia="宋体"/>
                      <w:sz w:val="21"/>
                      <w:szCs w:val="21"/>
                      <w:lang w:eastAsia="zh-CN"/>
                    </w:rPr>
                  </w:pPr>
                  <w:r>
                    <w:rPr>
                      <w:rFonts w:hint="eastAsia"/>
                      <w:sz w:val="21"/>
                      <w:szCs w:val="21"/>
                      <w:lang w:eastAsia="zh-CN"/>
                    </w:rPr>
                    <w:t>0.367</w:t>
                  </w:r>
                </w:p>
              </w:tc>
            </w:tr>
          </w:tbl>
          <w:p w14:paraId="3FB79CD4">
            <w:pPr>
              <w:ind w:firstLine="482"/>
              <w:rPr>
                <w:b/>
                <w:bCs/>
              </w:rPr>
            </w:pPr>
            <w:r>
              <w:rPr>
                <w:rFonts w:hint="eastAsia"/>
                <w:b/>
                <w:bCs/>
              </w:rPr>
              <w:t>2、</w:t>
            </w:r>
            <w:r>
              <w:rPr>
                <w:b/>
                <w:bCs/>
              </w:rPr>
              <w:t>运营期废水</w:t>
            </w:r>
          </w:p>
          <w:p w14:paraId="02084397">
            <w:pPr>
              <w:pStyle w:val="51"/>
              <w:ind w:firstLine="482"/>
              <w:rPr>
                <w:b/>
                <w:bCs/>
                <w:color w:val="000000" w:themeColor="text1"/>
                <w:kern w:val="2"/>
                <w:szCs w:val="24"/>
                <w14:textFill>
                  <w14:solidFill>
                    <w14:schemeClr w14:val="tx1"/>
                  </w14:solidFill>
                </w14:textFill>
              </w:rPr>
            </w:pPr>
            <w:r>
              <w:rPr>
                <w:b/>
                <w:bCs/>
                <w:szCs w:val="24"/>
              </w:rPr>
              <w:t>①</w:t>
            </w:r>
            <w:r>
              <w:rPr>
                <w:b/>
                <w:bCs/>
                <w:color w:val="000000" w:themeColor="text1"/>
                <w:kern w:val="2"/>
                <w:szCs w:val="24"/>
                <w14:textFill>
                  <w14:solidFill>
                    <w14:schemeClr w14:val="tx1"/>
                  </w14:solidFill>
                </w14:textFill>
              </w:rPr>
              <w:t>生活用水</w:t>
            </w:r>
          </w:p>
          <w:p w14:paraId="1215B1C7">
            <w:pPr>
              <w:pStyle w:val="51"/>
              <w:ind w:firstLine="480"/>
              <w:rPr>
                <w:color w:val="000000" w:themeColor="text1"/>
                <w:szCs w:val="24"/>
                <w14:textFill>
                  <w14:solidFill>
                    <w14:schemeClr w14:val="tx1"/>
                  </w14:solidFill>
                </w14:textFill>
              </w:rPr>
            </w:pPr>
            <w:r>
              <w:rPr>
                <w:color w:val="000000" w:themeColor="text1"/>
                <w:kern w:val="2"/>
                <w:szCs w:val="24"/>
                <w14:textFill>
                  <w14:solidFill>
                    <w14:schemeClr w14:val="tx1"/>
                  </w14:solidFill>
                </w14:textFill>
              </w:rPr>
              <w:t>项目劳动定员</w:t>
            </w:r>
            <w:r>
              <w:rPr>
                <w:rFonts w:hint="eastAsia"/>
                <w:color w:val="000000" w:themeColor="text1"/>
                <w:kern w:val="2"/>
                <w:szCs w:val="24"/>
                <w14:textFill>
                  <w14:solidFill>
                    <w14:schemeClr w14:val="tx1"/>
                  </w14:solidFill>
                </w14:textFill>
              </w:rPr>
              <w:t>34人，</w:t>
            </w:r>
            <w:r>
              <w:rPr>
                <w:rFonts w:hint="eastAsia"/>
                <w:color w:val="000000" w:themeColor="text1"/>
                <w:szCs w:val="24"/>
                <w14:textFill>
                  <w14:solidFill>
                    <w14:schemeClr w14:val="tx1"/>
                  </w14:solidFill>
                </w14:textFill>
              </w:rPr>
              <w:t>根据《陕西省行业用水定额（DB61/T943-2020）》，生活用水量按50L/人·d计算</w:t>
            </w:r>
            <w:r>
              <w:rPr>
                <w:color w:val="000000" w:themeColor="text1"/>
                <w:szCs w:val="24"/>
                <w14:textFill>
                  <w14:solidFill>
                    <w14:schemeClr w14:val="tx1"/>
                  </w14:solidFill>
                </w14:textFill>
              </w:rPr>
              <w:t>。年工作时间300天，</w:t>
            </w:r>
            <w:r>
              <w:rPr>
                <w:color w:val="000000" w:themeColor="text1"/>
                <w:kern w:val="2"/>
                <w:szCs w:val="24"/>
                <w14:textFill>
                  <w14:solidFill>
                    <w14:schemeClr w14:val="tx1"/>
                  </w14:solidFill>
                </w14:textFill>
              </w:rPr>
              <w:t>则生活用水量为</w:t>
            </w:r>
            <w:r>
              <w:rPr>
                <w:rFonts w:hint="eastAsia"/>
                <w:color w:val="000000" w:themeColor="text1"/>
                <w:kern w:val="2"/>
                <w:szCs w:val="24"/>
                <w14:textFill>
                  <w14:solidFill>
                    <w14:schemeClr w14:val="tx1"/>
                  </w14:solidFill>
                </w14:textFill>
              </w:rPr>
              <w:t>510</w:t>
            </w:r>
            <w:r>
              <w:rPr>
                <w:color w:val="000000" w:themeColor="text1"/>
                <w:kern w:val="2"/>
                <w:szCs w:val="24"/>
                <w14:textFill>
                  <w14:solidFill>
                    <w14:schemeClr w14:val="tx1"/>
                  </w14:solidFill>
                </w14:textFill>
              </w:rPr>
              <w:t>t/a</w:t>
            </w:r>
            <w:r>
              <w:rPr>
                <w:rFonts w:hint="eastAsia"/>
                <w:color w:val="000000" w:themeColor="text1"/>
                <w:kern w:val="2"/>
                <w:szCs w:val="24"/>
                <w14:textFill>
                  <w14:solidFill>
                    <w14:schemeClr w14:val="tx1"/>
                  </w14:solidFill>
                </w14:textFill>
              </w:rPr>
              <w:t>（1.7m</w:t>
            </w:r>
            <w:r>
              <w:rPr>
                <w:rFonts w:hint="eastAsia"/>
                <w:color w:val="000000" w:themeColor="text1"/>
                <w:kern w:val="2"/>
                <w:szCs w:val="24"/>
                <w:vertAlign w:val="superscript"/>
                <w14:textFill>
                  <w14:solidFill>
                    <w14:schemeClr w14:val="tx1"/>
                  </w14:solidFill>
                </w14:textFill>
              </w:rPr>
              <w:t>3</w:t>
            </w:r>
            <w:r>
              <w:rPr>
                <w:rFonts w:hint="eastAsia"/>
                <w:color w:val="000000" w:themeColor="text1"/>
                <w:kern w:val="2"/>
                <w:szCs w:val="24"/>
                <w14:textFill>
                  <w14:solidFill>
                    <w14:schemeClr w14:val="tx1"/>
                  </w14:solidFill>
                </w14:textFill>
              </w:rPr>
              <w:t>/d）</w:t>
            </w:r>
            <w:r>
              <w:rPr>
                <w:color w:val="000000" w:themeColor="text1"/>
                <w:kern w:val="2"/>
                <w:szCs w:val="24"/>
                <w14:textFill>
                  <w14:solidFill>
                    <w14:schemeClr w14:val="tx1"/>
                  </w14:solidFill>
                </w14:textFill>
              </w:rPr>
              <w:t>。生活污水量按用水量的80%计，则生活污水的产生量为</w:t>
            </w:r>
            <w:r>
              <w:rPr>
                <w:rFonts w:hint="eastAsia"/>
                <w:color w:val="000000" w:themeColor="text1"/>
                <w:kern w:val="2"/>
                <w:szCs w:val="24"/>
                <w14:textFill>
                  <w14:solidFill>
                    <w14:schemeClr w14:val="tx1"/>
                  </w14:solidFill>
                </w14:textFill>
              </w:rPr>
              <w:t>408</w:t>
            </w:r>
            <w:r>
              <w:rPr>
                <w:color w:val="000000" w:themeColor="text1"/>
                <w:kern w:val="2"/>
                <w:szCs w:val="24"/>
                <w14:textFill>
                  <w14:solidFill>
                    <w14:schemeClr w14:val="tx1"/>
                  </w14:solidFill>
                </w14:textFill>
              </w:rPr>
              <w:t>t/a</w:t>
            </w:r>
            <w:r>
              <w:rPr>
                <w:rFonts w:hint="eastAsia"/>
                <w:color w:val="000000" w:themeColor="text1"/>
                <w:kern w:val="2"/>
                <w:szCs w:val="24"/>
                <w14:textFill>
                  <w14:solidFill>
                    <w14:schemeClr w14:val="tx1"/>
                  </w14:solidFill>
                </w14:textFill>
              </w:rPr>
              <w:t>（1.36m</w:t>
            </w:r>
            <w:r>
              <w:rPr>
                <w:rFonts w:hint="eastAsia"/>
                <w:color w:val="000000" w:themeColor="text1"/>
                <w:kern w:val="2"/>
                <w:szCs w:val="24"/>
                <w:vertAlign w:val="superscript"/>
                <w14:textFill>
                  <w14:solidFill>
                    <w14:schemeClr w14:val="tx1"/>
                  </w14:solidFill>
                </w14:textFill>
              </w:rPr>
              <w:t>3</w:t>
            </w:r>
            <w:r>
              <w:rPr>
                <w:rFonts w:hint="eastAsia"/>
                <w:color w:val="000000" w:themeColor="text1"/>
                <w:kern w:val="2"/>
                <w:szCs w:val="24"/>
                <w14:textFill>
                  <w14:solidFill>
                    <w14:schemeClr w14:val="tx1"/>
                  </w14:solidFill>
                </w14:textFill>
              </w:rPr>
              <w:t>/d）</w:t>
            </w:r>
            <w:r>
              <w:rPr>
                <w:color w:val="000000" w:themeColor="text1"/>
                <w:kern w:val="2"/>
                <w:szCs w:val="24"/>
                <w14:textFill>
                  <w14:solidFill>
                    <w14:schemeClr w14:val="tx1"/>
                  </w14:solidFill>
                </w14:textFill>
              </w:rPr>
              <w:t>，主要污染物为COD、BOD</w:t>
            </w:r>
            <w:r>
              <w:rPr>
                <w:color w:val="000000" w:themeColor="text1"/>
                <w:kern w:val="2"/>
                <w:szCs w:val="24"/>
                <w:vertAlign w:val="subscript"/>
                <w14:textFill>
                  <w14:solidFill>
                    <w14:schemeClr w14:val="tx1"/>
                  </w14:solidFill>
                </w14:textFill>
              </w:rPr>
              <w:t>5</w:t>
            </w:r>
            <w:r>
              <w:rPr>
                <w:color w:val="000000" w:themeColor="text1"/>
                <w:kern w:val="2"/>
                <w:szCs w:val="24"/>
                <w14:textFill>
                  <w14:solidFill>
                    <w14:schemeClr w14:val="tx1"/>
                  </w14:solidFill>
                </w14:textFill>
              </w:rPr>
              <w:t>、NH</w:t>
            </w:r>
            <w:r>
              <w:rPr>
                <w:color w:val="000000" w:themeColor="text1"/>
                <w:kern w:val="2"/>
                <w:szCs w:val="24"/>
                <w:vertAlign w:val="subscript"/>
                <w14:textFill>
                  <w14:solidFill>
                    <w14:schemeClr w14:val="tx1"/>
                  </w14:solidFill>
                </w14:textFill>
              </w:rPr>
              <w:t>3</w:t>
            </w:r>
            <w:r>
              <w:rPr>
                <w:color w:val="000000" w:themeColor="text1"/>
                <w:kern w:val="2"/>
                <w:szCs w:val="24"/>
                <w14:textFill>
                  <w14:solidFill>
                    <w14:schemeClr w14:val="tx1"/>
                  </w14:solidFill>
                </w14:textFill>
              </w:rPr>
              <w:t>-N、SS等。生活污水利用</w:t>
            </w:r>
            <w:r>
              <w:rPr>
                <w:rFonts w:hint="eastAsia"/>
                <w:color w:val="000000" w:themeColor="text1"/>
                <w:kern w:val="2"/>
                <w:szCs w:val="24"/>
                <w14:textFill>
                  <w14:solidFill>
                    <w14:schemeClr w14:val="tx1"/>
                  </w14:solidFill>
                </w14:textFill>
              </w:rPr>
              <w:t>租赁生活区的</w:t>
            </w:r>
            <w:r>
              <w:rPr>
                <w:color w:val="000000" w:themeColor="text1"/>
                <w:kern w:val="2"/>
                <w:szCs w:val="24"/>
                <w14:textFill>
                  <w14:solidFill>
                    <w14:schemeClr w14:val="tx1"/>
                  </w14:solidFill>
                </w14:textFill>
              </w:rPr>
              <w:t>旱厕处理后清掏用作农肥。</w:t>
            </w:r>
          </w:p>
          <w:p w14:paraId="6551E26E">
            <w:pPr>
              <w:ind w:firstLine="482"/>
              <w:rPr>
                <w:b/>
                <w:bCs/>
              </w:rPr>
            </w:pPr>
            <w:r>
              <w:rPr>
                <w:b/>
                <w:bCs/>
              </w:rPr>
              <w:t>②喷雾抑尘用水、洒水车用水</w:t>
            </w:r>
          </w:p>
          <w:p w14:paraId="11687D37">
            <w:pPr>
              <w:ind w:firstLine="480"/>
              <w:rPr>
                <w:b/>
                <w:bCs/>
              </w:rPr>
            </w:pPr>
            <w:r>
              <w:t>喷雾</w:t>
            </w:r>
            <w:r>
              <w:rPr>
                <w:lang w:val="zh-CN"/>
              </w:rPr>
              <w:t>抑尘</w:t>
            </w:r>
            <w:r>
              <w:t>用水、运输道路洒水抑尘</w:t>
            </w:r>
            <w:r>
              <w:rPr>
                <w:lang w:val="zh-CN"/>
              </w:rPr>
              <w:t>：</w:t>
            </w:r>
            <w:r>
              <w:t>全部蒸发损失，不外排。</w:t>
            </w:r>
          </w:p>
          <w:p w14:paraId="54E2A6E6">
            <w:pPr>
              <w:adjustRightInd w:val="0"/>
              <w:snapToGrid w:val="0"/>
              <w:ind w:firstLine="480"/>
            </w:pPr>
            <w:r>
              <w:t>综上所述，本项目产生的废水对周围地表水环境影响较小。</w:t>
            </w:r>
          </w:p>
          <w:p w14:paraId="1629A71D">
            <w:pPr>
              <w:ind w:left="480" w:leftChars="200" w:firstLine="0" w:firstLineChars="0"/>
              <w:rPr>
                <w:b/>
                <w:bCs/>
              </w:rPr>
            </w:pPr>
            <w:r>
              <w:rPr>
                <w:rFonts w:hint="eastAsia"/>
                <w:b/>
                <w:bCs/>
              </w:rPr>
              <w:t>3、</w:t>
            </w:r>
            <w:r>
              <w:rPr>
                <w:b/>
                <w:bCs/>
              </w:rPr>
              <w:t>运营期噪声</w:t>
            </w:r>
          </w:p>
          <w:p w14:paraId="56FCCA0B">
            <w:pPr>
              <w:ind w:left="480" w:leftChars="200" w:firstLine="0" w:firstLineChars="0"/>
              <w:rPr>
                <w:b/>
                <w:bCs/>
              </w:rPr>
            </w:pPr>
            <w:r>
              <w:rPr>
                <w:b/>
                <w:bCs/>
              </w:rPr>
              <w:fldChar w:fldCharType="begin"/>
            </w:r>
            <w:r>
              <w:rPr>
                <w:b/>
                <w:bCs/>
              </w:rPr>
              <w:instrText xml:space="preserve"> = 1 \* GB2 \* MERGEFORMAT </w:instrText>
            </w:r>
            <w:r>
              <w:rPr>
                <w:b/>
                <w:bCs/>
              </w:rPr>
              <w:fldChar w:fldCharType="separate"/>
            </w:r>
            <w:r>
              <w:rPr>
                <w:b/>
                <w:bCs/>
              </w:rPr>
              <w:t>⑴</w:t>
            </w:r>
            <w:r>
              <w:rPr>
                <w:b/>
                <w:bCs/>
              </w:rPr>
              <w:fldChar w:fldCharType="end"/>
            </w:r>
            <w:r>
              <w:rPr>
                <w:b/>
                <w:bCs/>
              </w:rPr>
              <w:t>采矿区噪声</w:t>
            </w:r>
          </w:p>
          <w:p w14:paraId="3ADFDEEA">
            <w:pPr>
              <w:ind w:firstLine="480"/>
            </w:pPr>
            <w:r>
              <w:rPr>
                <w:rFonts w:hint="eastAsia"/>
              </w:rPr>
              <w:t>噪声源</w:t>
            </w:r>
            <w:r>
              <w:t>主要为采矿区钻机、爆破、挖掘机、空压机、运矿汽车等，</w:t>
            </w:r>
            <w:r>
              <w:rPr>
                <w:bCs/>
              </w:rPr>
              <w:t>其中凿岩机和车辆噪声源强约80~85dB（A），爆破瞬时噪声值约120dB（A）。</w:t>
            </w:r>
            <w:r>
              <w:t>采矿区主要噪声源见表4-</w:t>
            </w:r>
            <w:r>
              <w:rPr>
                <w:rFonts w:hint="eastAsia"/>
              </w:rPr>
              <w:t>7</w:t>
            </w:r>
            <w:r>
              <w:t>。</w:t>
            </w:r>
          </w:p>
          <w:p w14:paraId="39778575">
            <w:pPr>
              <w:autoSpaceDE w:val="0"/>
              <w:autoSpaceDN w:val="0"/>
              <w:adjustRightInd w:val="0"/>
              <w:snapToGrid w:val="0"/>
              <w:spacing w:line="240" w:lineRule="auto"/>
              <w:ind w:firstLine="0" w:firstLineChars="0"/>
              <w:jc w:val="center"/>
              <w:rPr>
                <w:b/>
                <w:sz w:val="21"/>
                <w:szCs w:val="21"/>
              </w:rPr>
            </w:pPr>
            <w:r>
              <w:rPr>
                <w:b/>
              </w:rPr>
              <w:t>表4-</w:t>
            </w:r>
            <w:r>
              <w:rPr>
                <w:rFonts w:hint="eastAsia"/>
                <w:b/>
              </w:rPr>
              <w:t>7</w:t>
            </w:r>
            <w:r>
              <w:rPr>
                <w:b/>
              </w:rPr>
              <w:t xml:space="preserve">  主要噪声源源强一览表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
            <w:tblGrid>
              <w:gridCol w:w="647"/>
              <w:gridCol w:w="865"/>
              <w:gridCol w:w="1721"/>
              <w:gridCol w:w="1638"/>
              <w:gridCol w:w="1400"/>
              <w:gridCol w:w="1107"/>
            </w:tblGrid>
            <w:tr w14:paraId="00E9C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289" w:hRule="atLeast"/>
                <w:tblHeader/>
                <w:jc w:val="center"/>
              </w:trPr>
              <w:tc>
                <w:tcPr>
                  <w:tcW w:w="439" w:type="pct"/>
                  <w:tcBorders>
                    <w:tl2br w:val="nil"/>
                    <w:tr2bl w:val="nil"/>
                  </w:tcBorders>
                  <w:shd w:val="clear" w:color="auto" w:fill="FFFFFF" w:themeFill="background1"/>
                  <w:vAlign w:val="center"/>
                </w:tcPr>
                <w:p w14:paraId="3947BA2A">
                  <w:pPr>
                    <w:adjustRightInd w:val="0"/>
                    <w:snapToGrid w:val="0"/>
                    <w:spacing w:line="240" w:lineRule="auto"/>
                    <w:ind w:firstLine="0" w:firstLineChars="0"/>
                    <w:jc w:val="center"/>
                    <w:rPr>
                      <w:b/>
                      <w:bCs/>
                      <w:sz w:val="21"/>
                      <w:szCs w:val="21"/>
                    </w:rPr>
                  </w:pPr>
                  <w:r>
                    <w:rPr>
                      <w:b/>
                      <w:bCs/>
                      <w:sz w:val="21"/>
                      <w:szCs w:val="21"/>
                    </w:rPr>
                    <w:t>序号</w:t>
                  </w:r>
                </w:p>
              </w:tc>
              <w:tc>
                <w:tcPr>
                  <w:tcW w:w="586" w:type="pct"/>
                  <w:tcBorders>
                    <w:tl2br w:val="nil"/>
                    <w:tr2bl w:val="nil"/>
                  </w:tcBorders>
                  <w:shd w:val="clear" w:color="auto" w:fill="FFFFFF" w:themeFill="background1"/>
                  <w:vAlign w:val="center"/>
                </w:tcPr>
                <w:p w14:paraId="0FBD9CE0">
                  <w:pPr>
                    <w:adjustRightInd w:val="0"/>
                    <w:snapToGrid w:val="0"/>
                    <w:spacing w:line="240" w:lineRule="auto"/>
                    <w:ind w:firstLine="0" w:firstLineChars="0"/>
                    <w:jc w:val="center"/>
                    <w:rPr>
                      <w:b/>
                      <w:bCs/>
                      <w:sz w:val="21"/>
                      <w:szCs w:val="21"/>
                    </w:rPr>
                  </w:pPr>
                  <w:r>
                    <w:rPr>
                      <w:b/>
                      <w:bCs/>
                      <w:sz w:val="21"/>
                      <w:szCs w:val="21"/>
                    </w:rPr>
                    <w:t>项目</w:t>
                  </w:r>
                </w:p>
              </w:tc>
              <w:tc>
                <w:tcPr>
                  <w:tcW w:w="1165" w:type="pct"/>
                  <w:tcBorders>
                    <w:tl2br w:val="nil"/>
                    <w:tr2bl w:val="nil"/>
                  </w:tcBorders>
                  <w:shd w:val="clear" w:color="auto" w:fill="FFFFFF" w:themeFill="background1"/>
                  <w:vAlign w:val="center"/>
                </w:tcPr>
                <w:p w14:paraId="7837F904">
                  <w:pPr>
                    <w:adjustRightInd w:val="0"/>
                    <w:snapToGrid w:val="0"/>
                    <w:spacing w:line="240" w:lineRule="auto"/>
                    <w:ind w:firstLine="0" w:firstLineChars="0"/>
                    <w:jc w:val="center"/>
                    <w:rPr>
                      <w:b/>
                      <w:bCs/>
                      <w:sz w:val="21"/>
                      <w:szCs w:val="21"/>
                    </w:rPr>
                  </w:pPr>
                  <w:r>
                    <w:rPr>
                      <w:b/>
                      <w:bCs/>
                      <w:sz w:val="21"/>
                      <w:szCs w:val="21"/>
                    </w:rPr>
                    <w:t>噪声源</w:t>
                  </w:r>
                </w:p>
              </w:tc>
              <w:tc>
                <w:tcPr>
                  <w:tcW w:w="1109" w:type="pct"/>
                  <w:tcBorders>
                    <w:tl2br w:val="nil"/>
                    <w:tr2bl w:val="nil"/>
                  </w:tcBorders>
                  <w:shd w:val="clear" w:color="auto" w:fill="FFFFFF" w:themeFill="background1"/>
                  <w:vAlign w:val="center"/>
                </w:tcPr>
                <w:p w14:paraId="1658FEC6">
                  <w:pPr>
                    <w:adjustRightInd w:val="0"/>
                    <w:snapToGrid w:val="0"/>
                    <w:spacing w:line="240" w:lineRule="auto"/>
                    <w:ind w:firstLine="0" w:firstLineChars="0"/>
                    <w:jc w:val="center"/>
                    <w:rPr>
                      <w:b/>
                      <w:bCs/>
                      <w:sz w:val="21"/>
                      <w:szCs w:val="21"/>
                    </w:rPr>
                  </w:pPr>
                  <w:r>
                    <w:rPr>
                      <w:b/>
                      <w:bCs/>
                      <w:sz w:val="21"/>
                      <w:szCs w:val="21"/>
                    </w:rPr>
                    <w:t>距声源距离（m）</w:t>
                  </w:r>
                </w:p>
              </w:tc>
              <w:tc>
                <w:tcPr>
                  <w:tcW w:w="948" w:type="pct"/>
                  <w:tcBorders>
                    <w:tl2br w:val="nil"/>
                    <w:tr2bl w:val="nil"/>
                  </w:tcBorders>
                  <w:shd w:val="clear" w:color="auto" w:fill="FFFFFF" w:themeFill="background1"/>
                  <w:vAlign w:val="center"/>
                </w:tcPr>
                <w:p w14:paraId="6F32B031">
                  <w:pPr>
                    <w:adjustRightInd w:val="0"/>
                    <w:snapToGrid w:val="0"/>
                    <w:spacing w:line="240" w:lineRule="auto"/>
                    <w:ind w:firstLine="0" w:firstLineChars="0"/>
                    <w:jc w:val="center"/>
                    <w:rPr>
                      <w:b/>
                      <w:bCs/>
                      <w:sz w:val="21"/>
                      <w:szCs w:val="21"/>
                    </w:rPr>
                  </w:pPr>
                  <w:r>
                    <w:rPr>
                      <w:b/>
                      <w:bCs/>
                      <w:sz w:val="21"/>
                      <w:szCs w:val="21"/>
                    </w:rPr>
                    <w:t>声压级dB（A）</w:t>
                  </w:r>
                </w:p>
              </w:tc>
              <w:tc>
                <w:tcPr>
                  <w:tcW w:w="750" w:type="pct"/>
                  <w:tcBorders>
                    <w:tl2br w:val="nil"/>
                    <w:tr2bl w:val="nil"/>
                  </w:tcBorders>
                  <w:shd w:val="clear" w:color="auto" w:fill="FFFFFF" w:themeFill="background1"/>
                  <w:vAlign w:val="center"/>
                </w:tcPr>
                <w:p w14:paraId="069E45D6">
                  <w:pPr>
                    <w:adjustRightInd w:val="0"/>
                    <w:snapToGrid w:val="0"/>
                    <w:spacing w:line="240" w:lineRule="auto"/>
                    <w:ind w:firstLine="0" w:firstLineChars="0"/>
                    <w:jc w:val="center"/>
                    <w:rPr>
                      <w:b/>
                      <w:bCs/>
                      <w:sz w:val="21"/>
                      <w:szCs w:val="21"/>
                    </w:rPr>
                  </w:pPr>
                  <w:r>
                    <w:rPr>
                      <w:b/>
                      <w:bCs/>
                      <w:sz w:val="21"/>
                      <w:szCs w:val="21"/>
                    </w:rPr>
                    <w:t>台数</w:t>
                  </w:r>
                </w:p>
              </w:tc>
            </w:tr>
            <w:tr w14:paraId="37F2D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439" w:type="pct"/>
                  <w:tcBorders>
                    <w:tl2br w:val="nil"/>
                    <w:tr2bl w:val="nil"/>
                  </w:tcBorders>
                  <w:shd w:val="clear" w:color="auto" w:fill="FFFFFF" w:themeFill="background1"/>
                  <w:vAlign w:val="center"/>
                </w:tcPr>
                <w:p w14:paraId="230E9393">
                  <w:pPr>
                    <w:adjustRightInd w:val="0"/>
                    <w:snapToGrid w:val="0"/>
                    <w:spacing w:line="240" w:lineRule="auto"/>
                    <w:ind w:firstLine="0" w:firstLineChars="0"/>
                    <w:jc w:val="center"/>
                    <w:rPr>
                      <w:sz w:val="21"/>
                      <w:szCs w:val="21"/>
                    </w:rPr>
                  </w:pPr>
                  <w:r>
                    <w:rPr>
                      <w:sz w:val="21"/>
                      <w:szCs w:val="21"/>
                    </w:rPr>
                    <w:t>1</w:t>
                  </w:r>
                </w:p>
              </w:tc>
              <w:tc>
                <w:tcPr>
                  <w:tcW w:w="586" w:type="pct"/>
                  <w:vMerge w:val="restart"/>
                  <w:tcBorders>
                    <w:tl2br w:val="nil"/>
                    <w:tr2bl w:val="nil"/>
                  </w:tcBorders>
                  <w:shd w:val="clear" w:color="auto" w:fill="FFFFFF" w:themeFill="background1"/>
                  <w:vAlign w:val="center"/>
                </w:tcPr>
                <w:p w14:paraId="01402987">
                  <w:pPr>
                    <w:adjustRightInd w:val="0"/>
                    <w:snapToGrid w:val="0"/>
                    <w:spacing w:line="240" w:lineRule="auto"/>
                    <w:ind w:firstLine="0" w:firstLineChars="0"/>
                    <w:jc w:val="center"/>
                    <w:rPr>
                      <w:sz w:val="21"/>
                      <w:szCs w:val="21"/>
                    </w:rPr>
                  </w:pPr>
                  <w:r>
                    <w:rPr>
                      <w:sz w:val="21"/>
                      <w:szCs w:val="21"/>
                    </w:rPr>
                    <w:t>采矿区</w:t>
                  </w:r>
                </w:p>
              </w:tc>
              <w:tc>
                <w:tcPr>
                  <w:tcW w:w="1165" w:type="pct"/>
                  <w:tcBorders>
                    <w:tl2br w:val="nil"/>
                    <w:tr2bl w:val="nil"/>
                  </w:tcBorders>
                  <w:shd w:val="clear" w:color="auto" w:fill="FFFFFF" w:themeFill="background1"/>
                  <w:vAlign w:val="center"/>
                </w:tcPr>
                <w:p w14:paraId="1585C4B9">
                  <w:pPr>
                    <w:adjustRightInd w:val="0"/>
                    <w:snapToGrid w:val="0"/>
                    <w:spacing w:line="240" w:lineRule="auto"/>
                    <w:ind w:firstLine="0" w:firstLineChars="0"/>
                    <w:jc w:val="center"/>
                    <w:rPr>
                      <w:sz w:val="21"/>
                      <w:szCs w:val="21"/>
                    </w:rPr>
                  </w:pPr>
                  <w:r>
                    <w:rPr>
                      <w:sz w:val="21"/>
                      <w:szCs w:val="21"/>
                    </w:rPr>
                    <w:t>潜孔钻机</w:t>
                  </w:r>
                </w:p>
              </w:tc>
              <w:tc>
                <w:tcPr>
                  <w:tcW w:w="1109" w:type="pct"/>
                  <w:tcBorders>
                    <w:tl2br w:val="nil"/>
                    <w:tr2bl w:val="nil"/>
                  </w:tcBorders>
                  <w:shd w:val="clear" w:color="auto" w:fill="FFFFFF" w:themeFill="background1"/>
                  <w:vAlign w:val="center"/>
                </w:tcPr>
                <w:p w14:paraId="47D8B088">
                  <w:pPr>
                    <w:adjustRightInd w:val="0"/>
                    <w:snapToGrid w:val="0"/>
                    <w:spacing w:line="240" w:lineRule="auto"/>
                    <w:ind w:firstLine="0" w:firstLineChars="0"/>
                    <w:jc w:val="center"/>
                    <w:rPr>
                      <w:sz w:val="21"/>
                      <w:szCs w:val="21"/>
                    </w:rPr>
                  </w:pPr>
                  <w:r>
                    <w:rPr>
                      <w:sz w:val="21"/>
                      <w:szCs w:val="21"/>
                    </w:rPr>
                    <w:t>5</w:t>
                  </w:r>
                </w:p>
              </w:tc>
              <w:tc>
                <w:tcPr>
                  <w:tcW w:w="948" w:type="pct"/>
                  <w:tcBorders>
                    <w:tl2br w:val="nil"/>
                    <w:tr2bl w:val="nil"/>
                  </w:tcBorders>
                  <w:shd w:val="clear" w:color="auto" w:fill="FFFFFF" w:themeFill="background1"/>
                  <w:vAlign w:val="center"/>
                </w:tcPr>
                <w:p w14:paraId="5EF92B65">
                  <w:pPr>
                    <w:adjustRightInd w:val="0"/>
                    <w:snapToGrid w:val="0"/>
                    <w:spacing w:line="240" w:lineRule="auto"/>
                    <w:ind w:firstLine="0" w:firstLineChars="0"/>
                    <w:jc w:val="center"/>
                    <w:rPr>
                      <w:sz w:val="21"/>
                      <w:szCs w:val="21"/>
                    </w:rPr>
                  </w:pPr>
                  <w:r>
                    <w:rPr>
                      <w:sz w:val="21"/>
                      <w:szCs w:val="21"/>
                    </w:rPr>
                    <w:t>85</w:t>
                  </w:r>
                </w:p>
              </w:tc>
              <w:tc>
                <w:tcPr>
                  <w:tcW w:w="750" w:type="pct"/>
                  <w:tcBorders>
                    <w:tl2br w:val="nil"/>
                    <w:tr2bl w:val="nil"/>
                  </w:tcBorders>
                  <w:shd w:val="clear" w:color="auto" w:fill="FFFFFF" w:themeFill="background1"/>
                  <w:vAlign w:val="center"/>
                </w:tcPr>
                <w:p w14:paraId="1802A14D">
                  <w:pPr>
                    <w:adjustRightInd w:val="0"/>
                    <w:snapToGrid w:val="0"/>
                    <w:spacing w:line="240" w:lineRule="auto"/>
                    <w:ind w:firstLine="0" w:firstLineChars="0"/>
                    <w:jc w:val="center"/>
                    <w:rPr>
                      <w:sz w:val="21"/>
                      <w:szCs w:val="21"/>
                    </w:rPr>
                  </w:pPr>
                  <w:r>
                    <w:rPr>
                      <w:sz w:val="21"/>
                      <w:szCs w:val="21"/>
                    </w:rPr>
                    <w:t>1台</w:t>
                  </w:r>
                </w:p>
              </w:tc>
            </w:tr>
            <w:tr w14:paraId="1FC34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439" w:type="pct"/>
                  <w:tcBorders>
                    <w:tl2br w:val="nil"/>
                    <w:tr2bl w:val="nil"/>
                  </w:tcBorders>
                  <w:shd w:val="clear" w:color="auto" w:fill="FFFFFF" w:themeFill="background1"/>
                  <w:vAlign w:val="center"/>
                </w:tcPr>
                <w:p w14:paraId="7A59EC3C">
                  <w:pPr>
                    <w:adjustRightInd w:val="0"/>
                    <w:snapToGrid w:val="0"/>
                    <w:spacing w:line="240" w:lineRule="auto"/>
                    <w:ind w:firstLine="0" w:firstLineChars="0"/>
                    <w:jc w:val="center"/>
                    <w:rPr>
                      <w:sz w:val="21"/>
                      <w:szCs w:val="21"/>
                    </w:rPr>
                  </w:pPr>
                  <w:r>
                    <w:rPr>
                      <w:sz w:val="21"/>
                      <w:szCs w:val="21"/>
                    </w:rPr>
                    <w:t>2</w:t>
                  </w:r>
                </w:p>
              </w:tc>
              <w:tc>
                <w:tcPr>
                  <w:tcW w:w="586" w:type="pct"/>
                  <w:vMerge w:val="continue"/>
                  <w:tcBorders>
                    <w:tl2br w:val="nil"/>
                    <w:tr2bl w:val="nil"/>
                  </w:tcBorders>
                  <w:shd w:val="clear" w:color="auto" w:fill="FFFFFF" w:themeFill="background1"/>
                  <w:vAlign w:val="center"/>
                </w:tcPr>
                <w:p w14:paraId="66C8A4DE">
                  <w:pPr>
                    <w:adjustRightInd w:val="0"/>
                    <w:snapToGrid w:val="0"/>
                    <w:spacing w:line="240" w:lineRule="auto"/>
                    <w:ind w:firstLine="0" w:firstLineChars="0"/>
                    <w:jc w:val="center"/>
                    <w:rPr>
                      <w:sz w:val="21"/>
                      <w:szCs w:val="21"/>
                    </w:rPr>
                  </w:pPr>
                </w:p>
              </w:tc>
              <w:tc>
                <w:tcPr>
                  <w:tcW w:w="1165" w:type="pct"/>
                  <w:tcBorders>
                    <w:tl2br w:val="nil"/>
                    <w:tr2bl w:val="nil"/>
                  </w:tcBorders>
                  <w:shd w:val="clear" w:color="auto" w:fill="FFFFFF" w:themeFill="background1"/>
                  <w:vAlign w:val="center"/>
                </w:tcPr>
                <w:p w14:paraId="3A69C838">
                  <w:pPr>
                    <w:adjustRightInd w:val="0"/>
                    <w:snapToGrid w:val="0"/>
                    <w:spacing w:line="240" w:lineRule="auto"/>
                    <w:ind w:firstLine="0" w:firstLineChars="0"/>
                    <w:jc w:val="center"/>
                    <w:rPr>
                      <w:sz w:val="21"/>
                      <w:szCs w:val="21"/>
                    </w:rPr>
                  </w:pPr>
                  <w:r>
                    <w:rPr>
                      <w:sz w:val="21"/>
                      <w:szCs w:val="21"/>
                    </w:rPr>
                    <w:t>凿岩机</w:t>
                  </w:r>
                </w:p>
              </w:tc>
              <w:tc>
                <w:tcPr>
                  <w:tcW w:w="1109" w:type="pct"/>
                  <w:tcBorders>
                    <w:tl2br w:val="nil"/>
                    <w:tr2bl w:val="nil"/>
                  </w:tcBorders>
                  <w:shd w:val="clear" w:color="auto" w:fill="FFFFFF" w:themeFill="background1"/>
                  <w:vAlign w:val="center"/>
                </w:tcPr>
                <w:p w14:paraId="0732D195">
                  <w:pPr>
                    <w:adjustRightInd w:val="0"/>
                    <w:snapToGrid w:val="0"/>
                    <w:spacing w:line="240" w:lineRule="auto"/>
                    <w:ind w:firstLine="0" w:firstLineChars="0"/>
                    <w:jc w:val="center"/>
                    <w:rPr>
                      <w:sz w:val="21"/>
                      <w:szCs w:val="21"/>
                    </w:rPr>
                  </w:pPr>
                  <w:r>
                    <w:rPr>
                      <w:sz w:val="21"/>
                      <w:szCs w:val="21"/>
                    </w:rPr>
                    <w:t>5</w:t>
                  </w:r>
                </w:p>
              </w:tc>
              <w:tc>
                <w:tcPr>
                  <w:tcW w:w="948" w:type="pct"/>
                  <w:tcBorders>
                    <w:tl2br w:val="nil"/>
                    <w:tr2bl w:val="nil"/>
                  </w:tcBorders>
                  <w:shd w:val="clear" w:color="auto" w:fill="FFFFFF" w:themeFill="background1"/>
                  <w:vAlign w:val="center"/>
                </w:tcPr>
                <w:p w14:paraId="439EEE50">
                  <w:pPr>
                    <w:adjustRightInd w:val="0"/>
                    <w:snapToGrid w:val="0"/>
                    <w:spacing w:line="240" w:lineRule="auto"/>
                    <w:ind w:firstLine="0" w:firstLineChars="0"/>
                    <w:jc w:val="center"/>
                    <w:rPr>
                      <w:sz w:val="21"/>
                      <w:szCs w:val="21"/>
                    </w:rPr>
                  </w:pPr>
                  <w:r>
                    <w:rPr>
                      <w:sz w:val="21"/>
                      <w:szCs w:val="21"/>
                    </w:rPr>
                    <w:t>85</w:t>
                  </w:r>
                </w:p>
              </w:tc>
              <w:tc>
                <w:tcPr>
                  <w:tcW w:w="750" w:type="pct"/>
                  <w:tcBorders>
                    <w:tl2br w:val="nil"/>
                    <w:tr2bl w:val="nil"/>
                  </w:tcBorders>
                  <w:shd w:val="clear" w:color="auto" w:fill="FFFFFF" w:themeFill="background1"/>
                  <w:vAlign w:val="center"/>
                </w:tcPr>
                <w:p w14:paraId="43293AD8">
                  <w:pPr>
                    <w:adjustRightInd w:val="0"/>
                    <w:snapToGrid w:val="0"/>
                    <w:spacing w:line="240" w:lineRule="auto"/>
                    <w:ind w:firstLine="0" w:firstLineChars="0"/>
                    <w:jc w:val="center"/>
                    <w:rPr>
                      <w:sz w:val="21"/>
                      <w:szCs w:val="21"/>
                    </w:rPr>
                  </w:pPr>
                  <w:r>
                    <w:rPr>
                      <w:sz w:val="21"/>
                      <w:szCs w:val="21"/>
                    </w:rPr>
                    <w:t>2台</w:t>
                  </w:r>
                </w:p>
              </w:tc>
            </w:tr>
            <w:tr w14:paraId="49C1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439" w:type="pct"/>
                  <w:tcBorders>
                    <w:tl2br w:val="nil"/>
                    <w:tr2bl w:val="nil"/>
                  </w:tcBorders>
                  <w:shd w:val="clear" w:color="auto" w:fill="FFFFFF" w:themeFill="background1"/>
                  <w:vAlign w:val="center"/>
                </w:tcPr>
                <w:p w14:paraId="2217C999">
                  <w:pPr>
                    <w:adjustRightInd w:val="0"/>
                    <w:snapToGrid w:val="0"/>
                    <w:spacing w:line="240" w:lineRule="auto"/>
                    <w:ind w:firstLine="0" w:firstLineChars="0"/>
                    <w:jc w:val="center"/>
                    <w:rPr>
                      <w:sz w:val="21"/>
                      <w:szCs w:val="21"/>
                    </w:rPr>
                  </w:pPr>
                  <w:r>
                    <w:rPr>
                      <w:sz w:val="21"/>
                      <w:szCs w:val="21"/>
                    </w:rPr>
                    <w:t>3</w:t>
                  </w:r>
                </w:p>
              </w:tc>
              <w:tc>
                <w:tcPr>
                  <w:tcW w:w="586" w:type="pct"/>
                  <w:vMerge w:val="continue"/>
                  <w:tcBorders>
                    <w:tl2br w:val="nil"/>
                    <w:tr2bl w:val="nil"/>
                  </w:tcBorders>
                  <w:shd w:val="clear" w:color="auto" w:fill="FFFFFF" w:themeFill="background1"/>
                  <w:vAlign w:val="center"/>
                </w:tcPr>
                <w:p w14:paraId="059DB340">
                  <w:pPr>
                    <w:adjustRightInd w:val="0"/>
                    <w:snapToGrid w:val="0"/>
                    <w:spacing w:line="240" w:lineRule="auto"/>
                    <w:ind w:firstLine="0" w:firstLineChars="0"/>
                    <w:jc w:val="center"/>
                    <w:rPr>
                      <w:sz w:val="21"/>
                      <w:szCs w:val="21"/>
                    </w:rPr>
                  </w:pPr>
                </w:p>
              </w:tc>
              <w:tc>
                <w:tcPr>
                  <w:tcW w:w="1165" w:type="pct"/>
                  <w:tcBorders>
                    <w:tl2br w:val="nil"/>
                    <w:tr2bl w:val="nil"/>
                  </w:tcBorders>
                  <w:shd w:val="clear" w:color="auto" w:fill="FFFFFF" w:themeFill="background1"/>
                  <w:vAlign w:val="center"/>
                </w:tcPr>
                <w:p w14:paraId="0DF2485D">
                  <w:pPr>
                    <w:adjustRightInd w:val="0"/>
                    <w:snapToGrid w:val="0"/>
                    <w:spacing w:line="240" w:lineRule="auto"/>
                    <w:ind w:firstLine="0" w:firstLineChars="0"/>
                    <w:jc w:val="center"/>
                    <w:rPr>
                      <w:sz w:val="21"/>
                      <w:szCs w:val="21"/>
                    </w:rPr>
                  </w:pPr>
                  <w:r>
                    <w:rPr>
                      <w:sz w:val="21"/>
                      <w:szCs w:val="21"/>
                    </w:rPr>
                    <w:t>挖掘机</w:t>
                  </w:r>
                </w:p>
              </w:tc>
              <w:tc>
                <w:tcPr>
                  <w:tcW w:w="1109" w:type="pct"/>
                  <w:tcBorders>
                    <w:tl2br w:val="nil"/>
                    <w:tr2bl w:val="nil"/>
                  </w:tcBorders>
                  <w:shd w:val="clear" w:color="auto" w:fill="FFFFFF" w:themeFill="background1"/>
                  <w:vAlign w:val="center"/>
                </w:tcPr>
                <w:p w14:paraId="22CECE69">
                  <w:pPr>
                    <w:adjustRightInd w:val="0"/>
                    <w:snapToGrid w:val="0"/>
                    <w:spacing w:line="240" w:lineRule="auto"/>
                    <w:ind w:firstLine="0" w:firstLineChars="0"/>
                    <w:jc w:val="center"/>
                    <w:rPr>
                      <w:sz w:val="21"/>
                      <w:szCs w:val="21"/>
                    </w:rPr>
                  </w:pPr>
                  <w:r>
                    <w:rPr>
                      <w:sz w:val="21"/>
                      <w:szCs w:val="21"/>
                    </w:rPr>
                    <w:t>5</w:t>
                  </w:r>
                </w:p>
              </w:tc>
              <w:tc>
                <w:tcPr>
                  <w:tcW w:w="948" w:type="pct"/>
                  <w:tcBorders>
                    <w:tl2br w:val="nil"/>
                    <w:tr2bl w:val="nil"/>
                  </w:tcBorders>
                  <w:shd w:val="clear" w:color="auto" w:fill="FFFFFF" w:themeFill="background1"/>
                  <w:vAlign w:val="center"/>
                </w:tcPr>
                <w:p w14:paraId="72D15594">
                  <w:pPr>
                    <w:adjustRightInd w:val="0"/>
                    <w:snapToGrid w:val="0"/>
                    <w:spacing w:line="240" w:lineRule="auto"/>
                    <w:ind w:firstLine="0" w:firstLineChars="0"/>
                    <w:jc w:val="center"/>
                    <w:rPr>
                      <w:sz w:val="21"/>
                      <w:szCs w:val="21"/>
                    </w:rPr>
                  </w:pPr>
                  <w:r>
                    <w:rPr>
                      <w:sz w:val="21"/>
                      <w:szCs w:val="21"/>
                    </w:rPr>
                    <w:t>85</w:t>
                  </w:r>
                </w:p>
              </w:tc>
              <w:tc>
                <w:tcPr>
                  <w:tcW w:w="750" w:type="pct"/>
                  <w:tcBorders>
                    <w:tl2br w:val="nil"/>
                    <w:tr2bl w:val="nil"/>
                  </w:tcBorders>
                  <w:shd w:val="clear" w:color="auto" w:fill="FFFFFF" w:themeFill="background1"/>
                  <w:vAlign w:val="center"/>
                </w:tcPr>
                <w:p w14:paraId="63CCFAE3">
                  <w:pPr>
                    <w:adjustRightInd w:val="0"/>
                    <w:snapToGrid w:val="0"/>
                    <w:spacing w:line="240" w:lineRule="auto"/>
                    <w:ind w:firstLine="0" w:firstLineChars="0"/>
                    <w:jc w:val="center"/>
                    <w:rPr>
                      <w:sz w:val="21"/>
                      <w:szCs w:val="21"/>
                    </w:rPr>
                  </w:pPr>
                  <w:r>
                    <w:rPr>
                      <w:rFonts w:hint="eastAsia"/>
                      <w:sz w:val="21"/>
                      <w:szCs w:val="21"/>
                    </w:rPr>
                    <w:t>4</w:t>
                  </w:r>
                  <w:r>
                    <w:rPr>
                      <w:sz w:val="21"/>
                      <w:szCs w:val="21"/>
                    </w:rPr>
                    <w:t>辆</w:t>
                  </w:r>
                </w:p>
              </w:tc>
            </w:tr>
            <w:tr w14:paraId="3CA98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439" w:type="pct"/>
                  <w:tcBorders>
                    <w:tl2br w:val="nil"/>
                    <w:tr2bl w:val="nil"/>
                  </w:tcBorders>
                  <w:shd w:val="clear" w:color="auto" w:fill="FFFFFF" w:themeFill="background1"/>
                  <w:vAlign w:val="center"/>
                </w:tcPr>
                <w:p w14:paraId="27366AC4">
                  <w:pPr>
                    <w:adjustRightInd w:val="0"/>
                    <w:snapToGrid w:val="0"/>
                    <w:spacing w:line="240" w:lineRule="auto"/>
                    <w:ind w:firstLine="0" w:firstLineChars="0"/>
                    <w:jc w:val="center"/>
                    <w:rPr>
                      <w:sz w:val="21"/>
                      <w:szCs w:val="21"/>
                    </w:rPr>
                  </w:pPr>
                  <w:r>
                    <w:rPr>
                      <w:sz w:val="21"/>
                      <w:szCs w:val="21"/>
                    </w:rPr>
                    <w:t>4</w:t>
                  </w:r>
                </w:p>
              </w:tc>
              <w:tc>
                <w:tcPr>
                  <w:tcW w:w="586" w:type="pct"/>
                  <w:vMerge w:val="continue"/>
                  <w:tcBorders>
                    <w:tl2br w:val="nil"/>
                    <w:tr2bl w:val="nil"/>
                  </w:tcBorders>
                  <w:shd w:val="clear" w:color="auto" w:fill="FFFFFF" w:themeFill="background1"/>
                  <w:vAlign w:val="center"/>
                </w:tcPr>
                <w:p w14:paraId="6DAAB9FE">
                  <w:pPr>
                    <w:adjustRightInd w:val="0"/>
                    <w:snapToGrid w:val="0"/>
                    <w:spacing w:line="240" w:lineRule="auto"/>
                    <w:ind w:firstLine="0" w:firstLineChars="0"/>
                    <w:jc w:val="center"/>
                    <w:rPr>
                      <w:sz w:val="21"/>
                      <w:szCs w:val="21"/>
                    </w:rPr>
                  </w:pPr>
                </w:p>
              </w:tc>
              <w:tc>
                <w:tcPr>
                  <w:tcW w:w="1165" w:type="pct"/>
                  <w:tcBorders>
                    <w:tl2br w:val="nil"/>
                    <w:tr2bl w:val="nil"/>
                  </w:tcBorders>
                  <w:shd w:val="clear" w:color="auto" w:fill="FFFFFF" w:themeFill="background1"/>
                  <w:vAlign w:val="center"/>
                </w:tcPr>
                <w:p w14:paraId="49AE287A">
                  <w:pPr>
                    <w:pStyle w:val="54"/>
                    <w:spacing w:line="240" w:lineRule="auto"/>
                    <w:rPr>
                      <w:kern w:val="2"/>
                    </w:rPr>
                  </w:pPr>
                  <w:r>
                    <w:t>自卸汽车</w:t>
                  </w:r>
                </w:p>
              </w:tc>
              <w:tc>
                <w:tcPr>
                  <w:tcW w:w="1109" w:type="pct"/>
                  <w:tcBorders>
                    <w:tl2br w:val="nil"/>
                    <w:tr2bl w:val="nil"/>
                  </w:tcBorders>
                  <w:shd w:val="clear" w:color="auto" w:fill="FFFFFF" w:themeFill="background1"/>
                  <w:vAlign w:val="center"/>
                </w:tcPr>
                <w:p w14:paraId="3953BD0B">
                  <w:pPr>
                    <w:adjustRightInd w:val="0"/>
                    <w:snapToGrid w:val="0"/>
                    <w:spacing w:line="240" w:lineRule="auto"/>
                    <w:ind w:firstLine="0" w:firstLineChars="0"/>
                    <w:jc w:val="center"/>
                    <w:rPr>
                      <w:sz w:val="21"/>
                      <w:szCs w:val="21"/>
                    </w:rPr>
                  </w:pPr>
                  <w:r>
                    <w:rPr>
                      <w:sz w:val="21"/>
                      <w:szCs w:val="21"/>
                    </w:rPr>
                    <w:t>5</w:t>
                  </w:r>
                </w:p>
              </w:tc>
              <w:tc>
                <w:tcPr>
                  <w:tcW w:w="948" w:type="pct"/>
                  <w:tcBorders>
                    <w:tl2br w:val="nil"/>
                    <w:tr2bl w:val="nil"/>
                  </w:tcBorders>
                  <w:shd w:val="clear" w:color="auto" w:fill="FFFFFF" w:themeFill="background1"/>
                  <w:vAlign w:val="center"/>
                </w:tcPr>
                <w:p w14:paraId="5C8817FA">
                  <w:pPr>
                    <w:adjustRightInd w:val="0"/>
                    <w:snapToGrid w:val="0"/>
                    <w:spacing w:line="240" w:lineRule="auto"/>
                    <w:ind w:firstLine="0" w:firstLineChars="0"/>
                    <w:jc w:val="center"/>
                    <w:rPr>
                      <w:sz w:val="21"/>
                      <w:szCs w:val="21"/>
                    </w:rPr>
                  </w:pPr>
                  <w:r>
                    <w:rPr>
                      <w:sz w:val="21"/>
                      <w:szCs w:val="21"/>
                    </w:rPr>
                    <w:t>85</w:t>
                  </w:r>
                </w:p>
              </w:tc>
              <w:tc>
                <w:tcPr>
                  <w:tcW w:w="750" w:type="pct"/>
                  <w:tcBorders>
                    <w:tl2br w:val="nil"/>
                    <w:tr2bl w:val="nil"/>
                  </w:tcBorders>
                  <w:shd w:val="clear" w:color="auto" w:fill="FFFFFF" w:themeFill="background1"/>
                  <w:vAlign w:val="center"/>
                </w:tcPr>
                <w:p w14:paraId="6C0CA883">
                  <w:pPr>
                    <w:adjustRightInd w:val="0"/>
                    <w:snapToGrid w:val="0"/>
                    <w:spacing w:line="240" w:lineRule="auto"/>
                    <w:ind w:firstLine="0" w:firstLineChars="0"/>
                    <w:jc w:val="center"/>
                    <w:rPr>
                      <w:sz w:val="21"/>
                      <w:szCs w:val="21"/>
                    </w:rPr>
                  </w:pPr>
                  <w:r>
                    <w:rPr>
                      <w:rFonts w:hint="eastAsia"/>
                      <w:sz w:val="21"/>
                      <w:szCs w:val="21"/>
                    </w:rPr>
                    <w:t>11</w:t>
                  </w:r>
                  <w:r>
                    <w:rPr>
                      <w:sz w:val="21"/>
                      <w:szCs w:val="21"/>
                    </w:rPr>
                    <w:t>辆</w:t>
                  </w:r>
                </w:p>
              </w:tc>
            </w:tr>
            <w:tr w14:paraId="385C9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439" w:type="pct"/>
                  <w:tcBorders>
                    <w:tl2br w:val="nil"/>
                    <w:tr2bl w:val="nil"/>
                  </w:tcBorders>
                  <w:shd w:val="clear" w:color="auto" w:fill="FFFFFF" w:themeFill="background1"/>
                  <w:vAlign w:val="center"/>
                </w:tcPr>
                <w:p w14:paraId="4F0CBA28">
                  <w:pPr>
                    <w:adjustRightInd w:val="0"/>
                    <w:snapToGrid w:val="0"/>
                    <w:spacing w:line="240" w:lineRule="auto"/>
                    <w:ind w:firstLine="0" w:firstLineChars="0"/>
                    <w:jc w:val="center"/>
                    <w:rPr>
                      <w:sz w:val="21"/>
                      <w:szCs w:val="21"/>
                    </w:rPr>
                  </w:pPr>
                  <w:r>
                    <w:rPr>
                      <w:sz w:val="21"/>
                      <w:szCs w:val="21"/>
                    </w:rPr>
                    <w:t>5</w:t>
                  </w:r>
                </w:p>
              </w:tc>
              <w:tc>
                <w:tcPr>
                  <w:tcW w:w="586" w:type="pct"/>
                  <w:vMerge w:val="continue"/>
                  <w:tcBorders>
                    <w:tl2br w:val="nil"/>
                    <w:tr2bl w:val="nil"/>
                  </w:tcBorders>
                  <w:shd w:val="clear" w:color="auto" w:fill="FFFFFF" w:themeFill="background1"/>
                  <w:vAlign w:val="center"/>
                </w:tcPr>
                <w:p w14:paraId="364E7563">
                  <w:pPr>
                    <w:adjustRightInd w:val="0"/>
                    <w:snapToGrid w:val="0"/>
                    <w:spacing w:line="240" w:lineRule="auto"/>
                    <w:ind w:firstLine="0" w:firstLineChars="0"/>
                    <w:jc w:val="center"/>
                    <w:rPr>
                      <w:sz w:val="21"/>
                      <w:szCs w:val="21"/>
                    </w:rPr>
                  </w:pPr>
                </w:p>
              </w:tc>
              <w:tc>
                <w:tcPr>
                  <w:tcW w:w="1165" w:type="pct"/>
                  <w:tcBorders>
                    <w:tl2br w:val="nil"/>
                    <w:tr2bl w:val="nil"/>
                  </w:tcBorders>
                  <w:shd w:val="clear" w:color="auto" w:fill="FFFFFF" w:themeFill="background1"/>
                  <w:vAlign w:val="center"/>
                </w:tcPr>
                <w:p w14:paraId="7AFA1D2B">
                  <w:pPr>
                    <w:pStyle w:val="54"/>
                    <w:spacing w:line="240" w:lineRule="auto"/>
                  </w:pPr>
                  <w:r>
                    <w:t>空压机</w:t>
                  </w:r>
                </w:p>
              </w:tc>
              <w:tc>
                <w:tcPr>
                  <w:tcW w:w="1109" w:type="pct"/>
                  <w:tcBorders>
                    <w:tl2br w:val="nil"/>
                    <w:tr2bl w:val="nil"/>
                  </w:tcBorders>
                  <w:shd w:val="clear" w:color="auto" w:fill="FFFFFF" w:themeFill="background1"/>
                  <w:vAlign w:val="center"/>
                </w:tcPr>
                <w:p w14:paraId="683E0264">
                  <w:pPr>
                    <w:adjustRightInd w:val="0"/>
                    <w:snapToGrid w:val="0"/>
                    <w:spacing w:line="240" w:lineRule="auto"/>
                    <w:ind w:firstLine="0" w:firstLineChars="0"/>
                    <w:jc w:val="center"/>
                    <w:rPr>
                      <w:sz w:val="21"/>
                      <w:szCs w:val="21"/>
                    </w:rPr>
                  </w:pPr>
                  <w:r>
                    <w:rPr>
                      <w:sz w:val="21"/>
                      <w:szCs w:val="21"/>
                    </w:rPr>
                    <w:t>5</w:t>
                  </w:r>
                </w:p>
              </w:tc>
              <w:tc>
                <w:tcPr>
                  <w:tcW w:w="948" w:type="pct"/>
                  <w:tcBorders>
                    <w:tl2br w:val="nil"/>
                    <w:tr2bl w:val="nil"/>
                  </w:tcBorders>
                  <w:shd w:val="clear" w:color="auto" w:fill="FFFFFF" w:themeFill="background1"/>
                  <w:vAlign w:val="center"/>
                </w:tcPr>
                <w:p w14:paraId="2DEE9544">
                  <w:pPr>
                    <w:adjustRightInd w:val="0"/>
                    <w:snapToGrid w:val="0"/>
                    <w:spacing w:line="240" w:lineRule="auto"/>
                    <w:ind w:firstLine="0" w:firstLineChars="0"/>
                    <w:jc w:val="center"/>
                    <w:rPr>
                      <w:sz w:val="21"/>
                      <w:szCs w:val="21"/>
                    </w:rPr>
                  </w:pPr>
                  <w:r>
                    <w:rPr>
                      <w:sz w:val="21"/>
                      <w:szCs w:val="21"/>
                    </w:rPr>
                    <w:t>80</w:t>
                  </w:r>
                </w:p>
              </w:tc>
              <w:tc>
                <w:tcPr>
                  <w:tcW w:w="750" w:type="pct"/>
                  <w:tcBorders>
                    <w:tl2br w:val="nil"/>
                    <w:tr2bl w:val="nil"/>
                  </w:tcBorders>
                  <w:shd w:val="clear" w:color="auto" w:fill="FFFFFF" w:themeFill="background1"/>
                  <w:vAlign w:val="center"/>
                </w:tcPr>
                <w:p w14:paraId="34E10A80">
                  <w:pPr>
                    <w:adjustRightInd w:val="0"/>
                    <w:snapToGrid w:val="0"/>
                    <w:spacing w:line="240" w:lineRule="auto"/>
                    <w:ind w:firstLine="0" w:firstLineChars="0"/>
                    <w:jc w:val="center"/>
                    <w:rPr>
                      <w:sz w:val="21"/>
                      <w:szCs w:val="21"/>
                    </w:rPr>
                  </w:pPr>
                  <w:r>
                    <w:rPr>
                      <w:rFonts w:hint="eastAsia"/>
                      <w:sz w:val="21"/>
                      <w:szCs w:val="21"/>
                    </w:rPr>
                    <w:t>1</w:t>
                  </w:r>
                  <w:r>
                    <w:rPr>
                      <w:sz w:val="21"/>
                      <w:szCs w:val="21"/>
                    </w:rPr>
                    <w:t>台</w:t>
                  </w:r>
                </w:p>
              </w:tc>
            </w:tr>
          </w:tbl>
          <w:p w14:paraId="542DF23A">
            <w:pPr>
              <w:adjustRightInd w:val="0"/>
              <w:snapToGrid w:val="0"/>
              <w:ind w:firstLine="480"/>
              <w:rPr>
                <w:bCs/>
              </w:rPr>
            </w:pPr>
            <w:r>
              <w:rPr>
                <w:bCs/>
              </w:rPr>
              <w:t>主要设备噪声随距离的衰减情况如下表。</w:t>
            </w:r>
          </w:p>
          <w:p w14:paraId="01B283E6">
            <w:pPr>
              <w:autoSpaceDE w:val="0"/>
              <w:autoSpaceDN w:val="0"/>
              <w:adjustRightInd w:val="0"/>
              <w:snapToGrid w:val="0"/>
              <w:spacing w:line="240" w:lineRule="auto"/>
              <w:ind w:firstLine="0" w:firstLineChars="0"/>
              <w:jc w:val="center"/>
              <w:rPr>
                <w:b/>
              </w:rPr>
            </w:pPr>
            <w:r>
              <w:rPr>
                <w:b/>
              </w:rPr>
              <w:t>表4-</w:t>
            </w:r>
            <w:r>
              <w:rPr>
                <w:rFonts w:hint="eastAsia"/>
                <w:b/>
              </w:rPr>
              <w:t>8</w:t>
            </w:r>
            <w:r>
              <w:rPr>
                <w:b/>
              </w:rPr>
              <w:t xml:space="preserve">  主要设备噪声至不同距离的预测值   单位：dB（A）</w:t>
            </w:r>
          </w:p>
          <w:tbl>
            <w:tblPr>
              <w:tblStyle w:val="24"/>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Layout w:type="fixed"/>
              <w:tblCellMar>
                <w:top w:w="0" w:type="dxa"/>
                <w:left w:w="108" w:type="dxa"/>
                <w:bottom w:w="0" w:type="dxa"/>
                <w:right w:w="108" w:type="dxa"/>
              </w:tblCellMar>
            </w:tblPr>
            <w:tblGrid>
              <w:gridCol w:w="1122"/>
              <w:gridCol w:w="1038"/>
              <w:gridCol w:w="1039"/>
              <w:gridCol w:w="1039"/>
              <w:gridCol w:w="1039"/>
              <w:gridCol w:w="1039"/>
              <w:gridCol w:w="1056"/>
            </w:tblGrid>
            <w:tr w14:paraId="25A94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84" w:hRule="atLeast"/>
                <w:jc w:val="center"/>
              </w:trPr>
              <w:tc>
                <w:tcPr>
                  <w:tcW w:w="760" w:type="pct"/>
                  <w:vMerge w:val="restart"/>
                  <w:shd w:val="clear" w:color="auto" w:fill="FFFFFF" w:themeFill="background1"/>
                  <w:vAlign w:val="center"/>
                </w:tcPr>
                <w:p w14:paraId="387AC674">
                  <w:pPr>
                    <w:pStyle w:val="46"/>
                    <w:spacing w:before="24" w:after="24" w:line="240" w:lineRule="auto"/>
                    <w:ind w:firstLine="0" w:firstLineChars="0"/>
                    <w:rPr>
                      <w:rFonts w:ascii="Times New Roman"/>
                      <w:b/>
                      <w:bCs/>
                      <w:sz w:val="21"/>
                    </w:rPr>
                  </w:pPr>
                  <w:r>
                    <w:rPr>
                      <w:rFonts w:ascii="Times New Roman"/>
                      <w:b/>
                      <w:bCs/>
                      <w:sz w:val="21"/>
                    </w:rPr>
                    <w:t>噪声源</w:t>
                  </w:r>
                </w:p>
              </w:tc>
              <w:tc>
                <w:tcPr>
                  <w:tcW w:w="4239" w:type="pct"/>
                  <w:gridSpan w:val="6"/>
                  <w:shd w:val="clear" w:color="auto" w:fill="FFFFFF" w:themeFill="background1"/>
                  <w:vAlign w:val="center"/>
                </w:tcPr>
                <w:p w14:paraId="591C16F3">
                  <w:pPr>
                    <w:pStyle w:val="46"/>
                    <w:spacing w:before="24" w:after="24" w:line="240" w:lineRule="auto"/>
                    <w:ind w:firstLine="0" w:firstLineChars="0"/>
                    <w:rPr>
                      <w:rFonts w:ascii="Times New Roman"/>
                      <w:b/>
                      <w:bCs/>
                      <w:sz w:val="21"/>
                    </w:rPr>
                  </w:pPr>
                  <w:r>
                    <w:rPr>
                      <w:rFonts w:ascii="Times New Roman"/>
                      <w:b/>
                      <w:bCs/>
                      <w:sz w:val="21"/>
                    </w:rPr>
                    <w:t>不同距离的预测值</w:t>
                  </w:r>
                </w:p>
              </w:tc>
            </w:tr>
            <w:tr w14:paraId="092EA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60" w:type="pct"/>
                  <w:vMerge w:val="continue"/>
                  <w:shd w:val="clear" w:color="auto" w:fill="FFFFFF" w:themeFill="background1"/>
                  <w:vAlign w:val="center"/>
                </w:tcPr>
                <w:p w14:paraId="6ACA3A04">
                  <w:pPr>
                    <w:pStyle w:val="46"/>
                    <w:spacing w:before="24" w:after="24" w:line="240" w:lineRule="auto"/>
                    <w:ind w:firstLine="0" w:firstLineChars="0"/>
                    <w:rPr>
                      <w:rFonts w:ascii="Times New Roman"/>
                      <w:b/>
                      <w:bCs/>
                      <w:sz w:val="21"/>
                    </w:rPr>
                  </w:pPr>
                </w:p>
              </w:tc>
              <w:tc>
                <w:tcPr>
                  <w:tcW w:w="703" w:type="pct"/>
                  <w:shd w:val="clear" w:color="auto" w:fill="FFFFFF" w:themeFill="background1"/>
                  <w:vAlign w:val="center"/>
                </w:tcPr>
                <w:p w14:paraId="6B208E6E">
                  <w:pPr>
                    <w:pStyle w:val="46"/>
                    <w:spacing w:before="24" w:after="24" w:line="240" w:lineRule="auto"/>
                    <w:ind w:firstLine="0" w:firstLineChars="0"/>
                    <w:rPr>
                      <w:rFonts w:ascii="Times New Roman"/>
                      <w:b/>
                      <w:bCs/>
                      <w:sz w:val="21"/>
                    </w:rPr>
                  </w:pPr>
                  <w:r>
                    <w:rPr>
                      <w:rFonts w:ascii="Times New Roman"/>
                      <w:b/>
                      <w:bCs/>
                      <w:sz w:val="21"/>
                    </w:rPr>
                    <w:t>30m</w:t>
                  </w:r>
                </w:p>
              </w:tc>
              <w:tc>
                <w:tcPr>
                  <w:tcW w:w="705" w:type="pct"/>
                  <w:shd w:val="clear" w:color="auto" w:fill="FFFFFF" w:themeFill="background1"/>
                  <w:vAlign w:val="center"/>
                </w:tcPr>
                <w:p w14:paraId="5B051037">
                  <w:pPr>
                    <w:pStyle w:val="46"/>
                    <w:spacing w:before="24" w:after="24" w:line="240" w:lineRule="auto"/>
                    <w:ind w:firstLine="0" w:firstLineChars="0"/>
                    <w:rPr>
                      <w:rFonts w:ascii="Times New Roman"/>
                      <w:b/>
                      <w:bCs/>
                      <w:sz w:val="21"/>
                    </w:rPr>
                  </w:pPr>
                  <w:r>
                    <w:rPr>
                      <w:rFonts w:ascii="Times New Roman"/>
                      <w:b/>
                      <w:bCs/>
                      <w:sz w:val="21"/>
                    </w:rPr>
                    <w:t>50m</w:t>
                  </w:r>
                </w:p>
              </w:tc>
              <w:tc>
                <w:tcPr>
                  <w:tcW w:w="705" w:type="pct"/>
                  <w:shd w:val="clear" w:color="auto" w:fill="FFFFFF" w:themeFill="background1"/>
                  <w:vAlign w:val="center"/>
                </w:tcPr>
                <w:p w14:paraId="6C4BEA5D">
                  <w:pPr>
                    <w:pStyle w:val="46"/>
                    <w:spacing w:before="24" w:after="24" w:line="240" w:lineRule="auto"/>
                    <w:ind w:firstLine="0" w:firstLineChars="0"/>
                    <w:rPr>
                      <w:rFonts w:ascii="Times New Roman"/>
                      <w:b/>
                      <w:bCs/>
                      <w:sz w:val="21"/>
                    </w:rPr>
                  </w:pPr>
                  <w:r>
                    <w:rPr>
                      <w:rFonts w:ascii="Times New Roman"/>
                      <w:b/>
                      <w:bCs/>
                      <w:sz w:val="21"/>
                    </w:rPr>
                    <w:t>80m</w:t>
                  </w:r>
                </w:p>
              </w:tc>
              <w:tc>
                <w:tcPr>
                  <w:tcW w:w="705" w:type="pct"/>
                  <w:shd w:val="clear" w:color="auto" w:fill="FFFFFF" w:themeFill="background1"/>
                  <w:vAlign w:val="center"/>
                </w:tcPr>
                <w:p w14:paraId="376AF091">
                  <w:pPr>
                    <w:pStyle w:val="46"/>
                    <w:spacing w:before="24" w:after="24" w:line="240" w:lineRule="auto"/>
                    <w:ind w:firstLine="0" w:firstLineChars="0"/>
                    <w:rPr>
                      <w:rFonts w:ascii="Times New Roman"/>
                      <w:b/>
                      <w:bCs/>
                      <w:sz w:val="21"/>
                    </w:rPr>
                  </w:pPr>
                  <w:r>
                    <w:rPr>
                      <w:rFonts w:ascii="Times New Roman"/>
                      <w:b/>
                      <w:bCs/>
                      <w:sz w:val="21"/>
                    </w:rPr>
                    <w:t>100m</w:t>
                  </w:r>
                </w:p>
              </w:tc>
              <w:tc>
                <w:tcPr>
                  <w:tcW w:w="705" w:type="pct"/>
                  <w:shd w:val="clear" w:color="auto" w:fill="FFFFFF" w:themeFill="background1"/>
                  <w:vAlign w:val="center"/>
                </w:tcPr>
                <w:p w14:paraId="1C9BAB0B">
                  <w:pPr>
                    <w:pStyle w:val="46"/>
                    <w:spacing w:before="24" w:after="24" w:line="240" w:lineRule="auto"/>
                    <w:ind w:firstLine="0" w:firstLineChars="0"/>
                    <w:rPr>
                      <w:rFonts w:ascii="Times New Roman"/>
                      <w:b/>
                      <w:bCs/>
                      <w:sz w:val="21"/>
                    </w:rPr>
                  </w:pPr>
                  <w:r>
                    <w:rPr>
                      <w:rFonts w:ascii="Times New Roman"/>
                      <w:b/>
                      <w:bCs/>
                      <w:sz w:val="21"/>
                    </w:rPr>
                    <w:t>150m</w:t>
                  </w:r>
                </w:p>
              </w:tc>
              <w:tc>
                <w:tcPr>
                  <w:tcW w:w="714" w:type="pct"/>
                  <w:shd w:val="clear" w:color="auto" w:fill="FFFFFF" w:themeFill="background1"/>
                  <w:vAlign w:val="center"/>
                </w:tcPr>
                <w:p w14:paraId="1AFD7999">
                  <w:pPr>
                    <w:pStyle w:val="46"/>
                    <w:spacing w:before="24" w:after="24" w:line="240" w:lineRule="auto"/>
                    <w:ind w:firstLine="0" w:firstLineChars="0"/>
                    <w:rPr>
                      <w:rFonts w:ascii="Times New Roman"/>
                      <w:b/>
                      <w:bCs/>
                      <w:sz w:val="21"/>
                    </w:rPr>
                  </w:pPr>
                  <w:r>
                    <w:rPr>
                      <w:rFonts w:ascii="Times New Roman"/>
                      <w:b/>
                      <w:bCs/>
                      <w:sz w:val="21"/>
                    </w:rPr>
                    <w:t>200m</w:t>
                  </w:r>
                </w:p>
              </w:tc>
            </w:tr>
            <w:tr w14:paraId="6E40D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60" w:type="pct"/>
                  <w:shd w:val="clear" w:color="auto" w:fill="FFFFFF" w:themeFill="background1"/>
                  <w:vAlign w:val="center"/>
                </w:tcPr>
                <w:p w14:paraId="5E30AD3C">
                  <w:pPr>
                    <w:adjustRightInd w:val="0"/>
                    <w:snapToGrid w:val="0"/>
                    <w:spacing w:line="240" w:lineRule="auto"/>
                    <w:ind w:firstLine="0" w:firstLineChars="0"/>
                    <w:jc w:val="center"/>
                    <w:rPr>
                      <w:sz w:val="21"/>
                      <w:szCs w:val="21"/>
                    </w:rPr>
                  </w:pPr>
                  <w:r>
                    <w:rPr>
                      <w:sz w:val="21"/>
                      <w:szCs w:val="21"/>
                    </w:rPr>
                    <w:t>潜孔钻机</w:t>
                  </w:r>
                </w:p>
              </w:tc>
              <w:tc>
                <w:tcPr>
                  <w:tcW w:w="703" w:type="pct"/>
                  <w:shd w:val="clear" w:color="auto" w:fill="FFFFFF" w:themeFill="background1"/>
                  <w:vAlign w:val="center"/>
                </w:tcPr>
                <w:p w14:paraId="0C72D102">
                  <w:pPr>
                    <w:pStyle w:val="46"/>
                    <w:spacing w:before="24" w:after="24" w:line="240" w:lineRule="auto"/>
                    <w:ind w:firstLine="0" w:firstLineChars="0"/>
                    <w:rPr>
                      <w:rFonts w:ascii="Times New Roman"/>
                      <w:sz w:val="21"/>
                    </w:rPr>
                  </w:pPr>
                  <w:r>
                    <w:rPr>
                      <w:rFonts w:ascii="Times New Roman"/>
                      <w:sz w:val="21"/>
                    </w:rPr>
                    <w:t>69.4</w:t>
                  </w:r>
                </w:p>
              </w:tc>
              <w:tc>
                <w:tcPr>
                  <w:tcW w:w="705" w:type="pct"/>
                  <w:shd w:val="clear" w:color="auto" w:fill="FFFFFF" w:themeFill="background1"/>
                  <w:vAlign w:val="center"/>
                </w:tcPr>
                <w:p w14:paraId="2BC8F705">
                  <w:pPr>
                    <w:pStyle w:val="46"/>
                    <w:spacing w:before="24" w:after="24" w:line="240" w:lineRule="auto"/>
                    <w:ind w:firstLine="0" w:firstLineChars="0"/>
                    <w:rPr>
                      <w:rFonts w:ascii="Times New Roman"/>
                      <w:sz w:val="21"/>
                    </w:rPr>
                  </w:pPr>
                  <w:r>
                    <w:rPr>
                      <w:rFonts w:ascii="Times New Roman"/>
                      <w:sz w:val="21"/>
                    </w:rPr>
                    <w:t>65.0</w:t>
                  </w:r>
                </w:p>
              </w:tc>
              <w:tc>
                <w:tcPr>
                  <w:tcW w:w="705" w:type="pct"/>
                  <w:shd w:val="clear" w:color="auto" w:fill="FFFFFF" w:themeFill="background1"/>
                  <w:vAlign w:val="center"/>
                </w:tcPr>
                <w:p w14:paraId="57B9449F">
                  <w:pPr>
                    <w:pStyle w:val="46"/>
                    <w:spacing w:before="24" w:after="24" w:line="240" w:lineRule="auto"/>
                    <w:ind w:firstLine="0" w:firstLineChars="0"/>
                    <w:rPr>
                      <w:rFonts w:ascii="Times New Roman"/>
                      <w:sz w:val="21"/>
                    </w:rPr>
                  </w:pPr>
                  <w:r>
                    <w:rPr>
                      <w:rFonts w:ascii="Times New Roman"/>
                      <w:sz w:val="21"/>
                    </w:rPr>
                    <w:t>60.9</w:t>
                  </w:r>
                </w:p>
              </w:tc>
              <w:tc>
                <w:tcPr>
                  <w:tcW w:w="705" w:type="pct"/>
                  <w:shd w:val="clear" w:color="auto" w:fill="FFFFFF" w:themeFill="background1"/>
                  <w:vAlign w:val="center"/>
                </w:tcPr>
                <w:p w14:paraId="798A5E60">
                  <w:pPr>
                    <w:pStyle w:val="46"/>
                    <w:spacing w:before="24" w:after="24" w:line="240" w:lineRule="auto"/>
                    <w:ind w:firstLine="0" w:firstLineChars="0"/>
                    <w:rPr>
                      <w:rFonts w:ascii="Times New Roman"/>
                      <w:sz w:val="21"/>
                    </w:rPr>
                  </w:pPr>
                  <w:r>
                    <w:rPr>
                      <w:rFonts w:ascii="Times New Roman"/>
                      <w:sz w:val="21"/>
                    </w:rPr>
                    <w:t>59.0</w:t>
                  </w:r>
                </w:p>
              </w:tc>
              <w:tc>
                <w:tcPr>
                  <w:tcW w:w="705" w:type="pct"/>
                  <w:shd w:val="clear" w:color="auto" w:fill="FFFFFF" w:themeFill="background1"/>
                  <w:vAlign w:val="center"/>
                </w:tcPr>
                <w:p w14:paraId="4C53882E">
                  <w:pPr>
                    <w:pStyle w:val="46"/>
                    <w:spacing w:before="24" w:after="24" w:line="240" w:lineRule="auto"/>
                    <w:ind w:firstLine="0" w:firstLineChars="0"/>
                    <w:rPr>
                      <w:rFonts w:ascii="Times New Roman"/>
                      <w:sz w:val="21"/>
                    </w:rPr>
                  </w:pPr>
                  <w:r>
                    <w:rPr>
                      <w:rFonts w:ascii="Times New Roman"/>
                      <w:sz w:val="21"/>
                    </w:rPr>
                    <w:t>55.5</w:t>
                  </w:r>
                </w:p>
              </w:tc>
              <w:tc>
                <w:tcPr>
                  <w:tcW w:w="714" w:type="pct"/>
                  <w:shd w:val="clear" w:color="auto" w:fill="FFFFFF" w:themeFill="background1"/>
                  <w:vAlign w:val="center"/>
                </w:tcPr>
                <w:p w14:paraId="3B9C1791">
                  <w:pPr>
                    <w:pStyle w:val="46"/>
                    <w:spacing w:before="24" w:after="24" w:line="240" w:lineRule="auto"/>
                    <w:ind w:firstLine="0" w:firstLineChars="0"/>
                    <w:rPr>
                      <w:rFonts w:ascii="Times New Roman"/>
                      <w:sz w:val="21"/>
                    </w:rPr>
                  </w:pPr>
                  <w:r>
                    <w:rPr>
                      <w:rFonts w:ascii="Times New Roman"/>
                      <w:sz w:val="21"/>
                    </w:rPr>
                    <w:t>53.0</w:t>
                  </w:r>
                </w:p>
              </w:tc>
            </w:tr>
            <w:tr w14:paraId="6E6CE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60" w:type="pct"/>
                  <w:shd w:val="clear" w:color="auto" w:fill="FFFFFF" w:themeFill="background1"/>
                  <w:vAlign w:val="center"/>
                </w:tcPr>
                <w:p w14:paraId="49153073">
                  <w:pPr>
                    <w:adjustRightInd w:val="0"/>
                    <w:snapToGrid w:val="0"/>
                    <w:spacing w:line="240" w:lineRule="auto"/>
                    <w:ind w:firstLine="0" w:firstLineChars="0"/>
                    <w:jc w:val="center"/>
                    <w:rPr>
                      <w:sz w:val="21"/>
                      <w:szCs w:val="21"/>
                    </w:rPr>
                  </w:pPr>
                  <w:r>
                    <w:rPr>
                      <w:sz w:val="21"/>
                      <w:szCs w:val="21"/>
                    </w:rPr>
                    <w:t>凿岩机</w:t>
                  </w:r>
                </w:p>
              </w:tc>
              <w:tc>
                <w:tcPr>
                  <w:tcW w:w="703" w:type="pct"/>
                  <w:shd w:val="clear" w:color="auto" w:fill="FFFFFF" w:themeFill="background1"/>
                  <w:vAlign w:val="center"/>
                </w:tcPr>
                <w:p w14:paraId="4CF07BE0">
                  <w:pPr>
                    <w:pStyle w:val="46"/>
                    <w:spacing w:before="24" w:after="24" w:line="240" w:lineRule="auto"/>
                    <w:ind w:firstLine="0" w:firstLineChars="0"/>
                    <w:rPr>
                      <w:rFonts w:ascii="Times New Roman"/>
                      <w:sz w:val="21"/>
                    </w:rPr>
                  </w:pPr>
                  <w:r>
                    <w:rPr>
                      <w:rFonts w:ascii="Times New Roman"/>
                      <w:sz w:val="21"/>
                    </w:rPr>
                    <w:t>69.4</w:t>
                  </w:r>
                </w:p>
              </w:tc>
              <w:tc>
                <w:tcPr>
                  <w:tcW w:w="705" w:type="pct"/>
                  <w:shd w:val="clear" w:color="auto" w:fill="FFFFFF" w:themeFill="background1"/>
                  <w:vAlign w:val="center"/>
                </w:tcPr>
                <w:p w14:paraId="40CD20E2">
                  <w:pPr>
                    <w:pStyle w:val="46"/>
                    <w:spacing w:before="24" w:after="24" w:line="240" w:lineRule="auto"/>
                    <w:ind w:firstLine="0" w:firstLineChars="0"/>
                    <w:rPr>
                      <w:rFonts w:ascii="Times New Roman"/>
                      <w:sz w:val="21"/>
                    </w:rPr>
                  </w:pPr>
                  <w:r>
                    <w:rPr>
                      <w:rFonts w:ascii="Times New Roman"/>
                      <w:sz w:val="21"/>
                    </w:rPr>
                    <w:t>65.0</w:t>
                  </w:r>
                </w:p>
              </w:tc>
              <w:tc>
                <w:tcPr>
                  <w:tcW w:w="705" w:type="pct"/>
                  <w:shd w:val="clear" w:color="auto" w:fill="FFFFFF" w:themeFill="background1"/>
                  <w:vAlign w:val="center"/>
                </w:tcPr>
                <w:p w14:paraId="18735625">
                  <w:pPr>
                    <w:pStyle w:val="46"/>
                    <w:spacing w:before="24" w:after="24" w:line="240" w:lineRule="auto"/>
                    <w:ind w:firstLine="0" w:firstLineChars="0"/>
                    <w:rPr>
                      <w:rFonts w:ascii="Times New Roman"/>
                      <w:sz w:val="21"/>
                    </w:rPr>
                  </w:pPr>
                  <w:r>
                    <w:rPr>
                      <w:rFonts w:ascii="Times New Roman"/>
                      <w:sz w:val="21"/>
                    </w:rPr>
                    <w:t>60.9</w:t>
                  </w:r>
                </w:p>
              </w:tc>
              <w:tc>
                <w:tcPr>
                  <w:tcW w:w="705" w:type="pct"/>
                  <w:shd w:val="clear" w:color="auto" w:fill="FFFFFF" w:themeFill="background1"/>
                  <w:vAlign w:val="center"/>
                </w:tcPr>
                <w:p w14:paraId="1BBC8D54">
                  <w:pPr>
                    <w:pStyle w:val="46"/>
                    <w:spacing w:before="24" w:after="24" w:line="240" w:lineRule="auto"/>
                    <w:ind w:firstLine="0" w:firstLineChars="0"/>
                    <w:rPr>
                      <w:rFonts w:ascii="Times New Roman"/>
                      <w:sz w:val="21"/>
                    </w:rPr>
                  </w:pPr>
                  <w:r>
                    <w:rPr>
                      <w:rFonts w:ascii="Times New Roman"/>
                      <w:sz w:val="21"/>
                    </w:rPr>
                    <w:t>59.0</w:t>
                  </w:r>
                </w:p>
              </w:tc>
              <w:tc>
                <w:tcPr>
                  <w:tcW w:w="705" w:type="pct"/>
                  <w:shd w:val="clear" w:color="auto" w:fill="FFFFFF" w:themeFill="background1"/>
                  <w:vAlign w:val="center"/>
                </w:tcPr>
                <w:p w14:paraId="2B8698B9">
                  <w:pPr>
                    <w:pStyle w:val="46"/>
                    <w:spacing w:before="24" w:after="24" w:line="240" w:lineRule="auto"/>
                    <w:ind w:firstLine="0" w:firstLineChars="0"/>
                    <w:rPr>
                      <w:rFonts w:ascii="Times New Roman"/>
                      <w:sz w:val="21"/>
                    </w:rPr>
                  </w:pPr>
                  <w:r>
                    <w:rPr>
                      <w:rFonts w:ascii="Times New Roman"/>
                      <w:sz w:val="21"/>
                    </w:rPr>
                    <w:t>55.5</w:t>
                  </w:r>
                </w:p>
              </w:tc>
              <w:tc>
                <w:tcPr>
                  <w:tcW w:w="714" w:type="pct"/>
                  <w:shd w:val="clear" w:color="auto" w:fill="FFFFFF" w:themeFill="background1"/>
                  <w:vAlign w:val="center"/>
                </w:tcPr>
                <w:p w14:paraId="659DB670">
                  <w:pPr>
                    <w:pStyle w:val="46"/>
                    <w:spacing w:before="24" w:after="24" w:line="240" w:lineRule="auto"/>
                    <w:ind w:firstLine="0" w:firstLineChars="0"/>
                    <w:rPr>
                      <w:rFonts w:ascii="Times New Roman"/>
                      <w:sz w:val="21"/>
                    </w:rPr>
                  </w:pPr>
                  <w:r>
                    <w:rPr>
                      <w:rFonts w:ascii="Times New Roman"/>
                      <w:sz w:val="21"/>
                    </w:rPr>
                    <w:t>53.0</w:t>
                  </w:r>
                </w:p>
              </w:tc>
            </w:tr>
            <w:tr w14:paraId="1B1ED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60" w:type="pct"/>
                  <w:shd w:val="clear" w:color="auto" w:fill="FFFFFF" w:themeFill="background1"/>
                  <w:vAlign w:val="center"/>
                </w:tcPr>
                <w:p w14:paraId="61F1155D">
                  <w:pPr>
                    <w:adjustRightInd w:val="0"/>
                    <w:snapToGrid w:val="0"/>
                    <w:spacing w:line="240" w:lineRule="auto"/>
                    <w:ind w:firstLine="0" w:firstLineChars="0"/>
                    <w:jc w:val="center"/>
                    <w:rPr>
                      <w:sz w:val="21"/>
                      <w:szCs w:val="21"/>
                    </w:rPr>
                  </w:pPr>
                  <w:r>
                    <w:rPr>
                      <w:sz w:val="21"/>
                      <w:szCs w:val="21"/>
                    </w:rPr>
                    <w:t>挖掘机</w:t>
                  </w:r>
                </w:p>
              </w:tc>
              <w:tc>
                <w:tcPr>
                  <w:tcW w:w="703" w:type="pct"/>
                  <w:shd w:val="clear" w:color="auto" w:fill="FFFFFF" w:themeFill="background1"/>
                  <w:vAlign w:val="center"/>
                </w:tcPr>
                <w:p w14:paraId="78CD6B38">
                  <w:pPr>
                    <w:pStyle w:val="46"/>
                    <w:spacing w:before="24" w:after="24" w:line="240" w:lineRule="auto"/>
                    <w:ind w:firstLine="0" w:firstLineChars="0"/>
                    <w:rPr>
                      <w:rFonts w:ascii="Times New Roman"/>
                      <w:sz w:val="21"/>
                    </w:rPr>
                  </w:pPr>
                  <w:r>
                    <w:rPr>
                      <w:rFonts w:ascii="Times New Roman"/>
                      <w:sz w:val="21"/>
                    </w:rPr>
                    <w:t>69.4</w:t>
                  </w:r>
                </w:p>
              </w:tc>
              <w:tc>
                <w:tcPr>
                  <w:tcW w:w="705" w:type="pct"/>
                  <w:shd w:val="clear" w:color="auto" w:fill="FFFFFF" w:themeFill="background1"/>
                  <w:vAlign w:val="center"/>
                </w:tcPr>
                <w:p w14:paraId="7B974CC2">
                  <w:pPr>
                    <w:pStyle w:val="46"/>
                    <w:spacing w:before="24" w:after="24" w:line="240" w:lineRule="auto"/>
                    <w:ind w:firstLine="0" w:firstLineChars="0"/>
                    <w:rPr>
                      <w:rFonts w:ascii="Times New Roman"/>
                      <w:sz w:val="21"/>
                    </w:rPr>
                  </w:pPr>
                  <w:r>
                    <w:rPr>
                      <w:rFonts w:ascii="Times New Roman"/>
                      <w:sz w:val="21"/>
                    </w:rPr>
                    <w:t>65.0</w:t>
                  </w:r>
                </w:p>
              </w:tc>
              <w:tc>
                <w:tcPr>
                  <w:tcW w:w="705" w:type="pct"/>
                  <w:shd w:val="clear" w:color="auto" w:fill="FFFFFF" w:themeFill="background1"/>
                  <w:vAlign w:val="center"/>
                </w:tcPr>
                <w:p w14:paraId="7668B3C5">
                  <w:pPr>
                    <w:pStyle w:val="46"/>
                    <w:spacing w:before="24" w:after="24" w:line="240" w:lineRule="auto"/>
                    <w:ind w:firstLine="0" w:firstLineChars="0"/>
                    <w:rPr>
                      <w:rFonts w:ascii="Times New Roman"/>
                      <w:sz w:val="21"/>
                    </w:rPr>
                  </w:pPr>
                  <w:r>
                    <w:rPr>
                      <w:rFonts w:ascii="Times New Roman"/>
                      <w:sz w:val="21"/>
                    </w:rPr>
                    <w:t>60.9</w:t>
                  </w:r>
                </w:p>
              </w:tc>
              <w:tc>
                <w:tcPr>
                  <w:tcW w:w="705" w:type="pct"/>
                  <w:shd w:val="clear" w:color="auto" w:fill="FFFFFF" w:themeFill="background1"/>
                  <w:vAlign w:val="center"/>
                </w:tcPr>
                <w:p w14:paraId="29C5922A">
                  <w:pPr>
                    <w:pStyle w:val="46"/>
                    <w:spacing w:before="24" w:after="24" w:line="240" w:lineRule="auto"/>
                    <w:ind w:firstLine="0" w:firstLineChars="0"/>
                    <w:rPr>
                      <w:rFonts w:ascii="Times New Roman"/>
                      <w:sz w:val="21"/>
                    </w:rPr>
                  </w:pPr>
                  <w:r>
                    <w:rPr>
                      <w:rFonts w:ascii="Times New Roman"/>
                      <w:sz w:val="21"/>
                    </w:rPr>
                    <w:t>59.0</w:t>
                  </w:r>
                </w:p>
              </w:tc>
              <w:tc>
                <w:tcPr>
                  <w:tcW w:w="705" w:type="pct"/>
                  <w:shd w:val="clear" w:color="auto" w:fill="FFFFFF" w:themeFill="background1"/>
                  <w:vAlign w:val="center"/>
                </w:tcPr>
                <w:p w14:paraId="1B852A01">
                  <w:pPr>
                    <w:pStyle w:val="46"/>
                    <w:spacing w:before="24" w:after="24" w:line="240" w:lineRule="auto"/>
                    <w:ind w:firstLine="0" w:firstLineChars="0"/>
                    <w:rPr>
                      <w:rFonts w:ascii="Times New Roman"/>
                      <w:sz w:val="21"/>
                    </w:rPr>
                  </w:pPr>
                  <w:r>
                    <w:rPr>
                      <w:rFonts w:ascii="Times New Roman"/>
                      <w:sz w:val="21"/>
                    </w:rPr>
                    <w:t>55.5</w:t>
                  </w:r>
                </w:p>
              </w:tc>
              <w:tc>
                <w:tcPr>
                  <w:tcW w:w="714" w:type="pct"/>
                  <w:shd w:val="clear" w:color="auto" w:fill="FFFFFF" w:themeFill="background1"/>
                  <w:vAlign w:val="center"/>
                </w:tcPr>
                <w:p w14:paraId="5EA92C8C">
                  <w:pPr>
                    <w:pStyle w:val="46"/>
                    <w:spacing w:before="24" w:after="24" w:line="240" w:lineRule="auto"/>
                    <w:ind w:firstLine="0" w:firstLineChars="0"/>
                    <w:rPr>
                      <w:rFonts w:ascii="Times New Roman"/>
                      <w:sz w:val="21"/>
                    </w:rPr>
                  </w:pPr>
                  <w:r>
                    <w:rPr>
                      <w:rFonts w:ascii="Times New Roman"/>
                      <w:sz w:val="21"/>
                    </w:rPr>
                    <w:t>53.0</w:t>
                  </w:r>
                </w:p>
              </w:tc>
            </w:tr>
            <w:tr w14:paraId="7E2CB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60" w:type="pct"/>
                  <w:shd w:val="clear" w:color="auto" w:fill="FFFFFF" w:themeFill="background1"/>
                  <w:vAlign w:val="center"/>
                </w:tcPr>
                <w:p w14:paraId="09E8614E">
                  <w:pPr>
                    <w:pStyle w:val="54"/>
                    <w:spacing w:line="240" w:lineRule="auto"/>
                    <w:rPr>
                      <w:kern w:val="2"/>
                    </w:rPr>
                  </w:pPr>
                  <w:r>
                    <w:t>自卸汽车</w:t>
                  </w:r>
                </w:p>
              </w:tc>
              <w:tc>
                <w:tcPr>
                  <w:tcW w:w="703" w:type="pct"/>
                  <w:shd w:val="clear" w:color="auto" w:fill="FFFFFF" w:themeFill="background1"/>
                  <w:vAlign w:val="center"/>
                </w:tcPr>
                <w:p w14:paraId="32E99C04">
                  <w:pPr>
                    <w:pStyle w:val="46"/>
                    <w:spacing w:before="24" w:after="24" w:line="240" w:lineRule="auto"/>
                    <w:ind w:firstLine="0" w:firstLineChars="0"/>
                    <w:rPr>
                      <w:rFonts w:ascii="Times New Roman"/>
                      <w:sz w:val="21"/>
                    </w:rPr>
                  </w:pPr>
                  <w:r>
                    <w:rPr>
                      <w:rFonts w:ascii="Times New Roman"/>
                      <w:sz w:val="21"/>
                    </w:rPr>
                    <w:t>69.4</w:t>
                  </w:r>
                </w:p>
              </w:tc>
              <w:tc>
                <w:tcPr>
                  <w:tcW w:w="705" w:type="pct"/>
                  <w:shd w:val="clear" w:color="auto" w:fill="FFFFFF" w:themeFill="background1"/>
                  <w:vAlign w:val="center"/>
                </w:tcPr>
                <w:p w14:paraId="47132583">
                  <w:pPr>
                    <w:pStyle w:val="46"/>
                    <w:spacing w:before="24" w:after="24" w:line="240" w:lineRule="auto"/>
                    <w:ind w:firstLine="0" w:firstLineChars="0"/>
                    <w:rPr>
                      <w:rFonts w:ascii="Times New Roman"/>
                      <w:sz w:val="21"/>
                    </w:rPr>
                  </w:pPr>
                  <w:r>
                    <w:rPr>
                      <w:rFonts w:ascii="Times New Roman"/>
                      <w:sz w:val="21"/>
                    </w:rPr>
                    <w:t>65.0</w:t>
                  </w:r>
                </w:p>
              </w:tc>
              <w:tc>
                <w:tcPr>
                  <w:tcW w:w="705" w:type="pct"/>
                  <w:shd w:val="clear" w:color="auto" w:fill="FFFFFF" w:themeFill="background1"/>
                  <w:vAlign w:val="center"/>
                </w:tcPr>
                <w:p w14:paraId="4492E72F">
                  <w:pPr>
                    <w:pStyle w:val="46"/>
                    <w:spacing w:before="24" w:after="24" w:line="240" w:lineRule="auto"/>
                    <w:ind w:firstLine="0" w:firstLineChars="0"/>
                    <w:rPr>
                      <w:rFonts w:ascii="Times New Roman"/>
                      <w:sz w:val="21"/>
                    </w:rPr>
                  </w:pPr>
                  <w:r>
                    <w:rPr>
                      <w:rFonts w:ascii="Times New Roman"/>
                      <w:sz w:val="21"/>
                    </w:rPr>
                    <w:t>60.9</w:t>
                  </w:r>
                </w:p>
              </w:tc>
              <w:tc>
                <w:tcPr>
                  <w:tcW w:w="705" w:type="pct"/>
                  <w:shd w:val="clear" w:color="auto" w:fill="FFFFFF" w:themeFill="background1"/>
                  <w:vAlign w:val="center"/>
                </w:tcPr>
                <w:p w14:paraId="52BBD2AF">
                  <w:pPr>
                    <w:pStyle w:val="46"/>
                    <w:spacing w:before="24" w:after="24" w:line="240" w:lineRule="auto"/>
                    <w:ind w:firstLine="0" w:firstLineChars="0"/>
                    <w:rPr>
                      <w:rFonts w:ascii="Times New Roman"/>
                      <w:sz w:val="21"/>
                    </w:rPr>
                  </w:pPr>
                  <w:r>
                    <w:rPr>
                      <w:rFonts w:ascii="Times New Roman"/>
                      <w:sz w:val="21"/>
                    </w:rPr>
                    <w:t>59.0</w:t>
                  </w:r>
                </w:p>
              </w:tc>
              <w:tc>
                <w:tcPr>
                  <w:tcW w:w="705" w:type="pct"/>
                  <w:shd w:val="clear" w:color="auto" w:fill="FFFFFF" w:themeFill="background1"/>
                  <w:vAlign w:val="center"/>
                </w:tcPr>
                <w:p w14:paraId="0A8E70E6">
                  <w:pPr>
                    <w:pStyle w:val="46"/>
                    <w:spacing w:before="24" w:after="24" w:line="240" w:lineRule="auto"/>
                    <w:ind w:firstLine="0" w:firstLineChars="0"/>
                    <w:rPr>
                      <w:rFonts w:ascii="Times New Roman"/>
                      <w:sz w:val="21"/>
                    </w:rPr>
                  </w:pPr>
                  <w:r>
                    <w:rPr>
                      <w:rFonts w:ascii="Times New Roman"/>
                      <w:sz w:val="21"/>
                    </w:rPr>
                    <w:t>55.5</w:t>
                  </w:r>
                </w:p>
              </w:tc>
              <w:tc>
                <w:tcPr>
                  <w:tcW w:w="714" w:type="pct"/>
                  <w:shd w:val="clear" w:color="auto" w:fill="FFFFFF" w:themeFill="background1"/>
                  <w:vAlign w:val="center"/>
                </w:tcPr>
                <w:p w14:paraId="158DDB8F">
                  <w:pPr>
                    <w:pStyle w:val="46"/>
                    <w:spacing w:before="24" w:after="24" w:line="240" w:lineRule="auto"/>
                    <w:ind w:firstLine="0" w:firstLineChars="0"/>
                    <w:rPr>
                      <w:rFonts w:ascii="Times New Roman"/>
                      <w:sz w:val="21"/>
                    </w:rPr>
                  </w:pPr>
                  <w:r>
                    <w:rPr>
                      <w:rFonts w:ascii="Times New Roman"/>
                      <w:sz w:val="21"/>
                    </w:rPr>
                    <w:t>53.0</w:t>
                  </w:r>
                </w:p>
              </w:tc>
            </w:tr>
            <w:tr w14:paraId="60C99E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60" w:type="pct"/>
                  <w:shd w:val="clear" w:color="auto" w:fill="FFFFFF" w:themeFill="background1"/>
                  <w:vAlign w:val="center"/>
                </w:tcPr>
                <w:p w14:paraId="13CF5365">
                  <w:pPr>
                    <w:pStyle w:val="54"/>
                    <w:spacing w:line="240" w:lineRule="auto"/>
                  </w:pPr>
                  <w:r>
                    <w:t>空压机</w:t>
                  </w:r>
                </w:p>
              </w:tc>
              <w:tc>
                <w:tcPr>
                  <w:tcW w:w="703" w:type="pct"/>
                  <w:shd w:val="clear" w:color="auto" w:fill="FFFFFF" w:themeFill="background1"/>
                  <w:vAlign w:val="center"/>
                </w:tcPr>
                <w:p w14:paraId="13BEF42E">
                  <w:pPr>
                    <w:pStyle w:val="46"/>
                    <w:spacing w:before="24" w:after="24" w:line="240" w:lineRule="auto"/>
                    <w:ind w:firstLine="0" w:firstLineChars="0"/>
                    <w:rPr>
                      <w:rFonts w:ascii="Times New Roman"/>
                      <w:sz w:val="21"/>
                    </w:rPr>
                  </w:pPr>
                  <w:r>
                    <w:rPr>
                      <w:rFonts w:ascii="Times New Roman"/>
                      <w:sz w:val="21"/>
                    </w:rPr>
                    <w:t>64.4</w:t>
                  </w:r>
                </w:p>
              </w:tc>
              <w:tc>
                <w:tcPr>
                  <w:tcW w:w="705" w:type="pct"/>
                  <w:shd w:val="clear" w:color="auto" w:fill="FFFFFF" w:themeFill="background1"/>
                  <w:vAlign w:val="center"/>
                </w:tcPr>
                <w:p w14:paraId="1FAA3BD0">
                  <w:pPr>
                    <w:pStyle w:val="46"/>
                    <w:spacing w:before="24" w:after="24" w:line="240" w:lineRule="auto"/>
                    <w:ind w:firstLine="0" w:firstLineChars="0"/>
                    <w:rPr>
                      <w:rFonts w:ascii="Times New Roman"/>
                      <w:sz w:val="21"/>
                    </w:rPr>
                  </w:pPr>
                  <w:r>
                    <w:rPr>
                      <w:rFonts w:ascii="Times New Roman"/>
                      <w:sz w:val="21"/>
                    </w:rPr>
                    <w:t>60.0</w:t>
                  </w:r>
                </w:p>
              </w:tc>
              <w:tc>
                <w:tcPr>
                  <w:tcW w:w="705" w:type="pct"/>
                  <w:shd w:val="clear" w:color="auto" w:fill="FFFFFF" w:themeFill="background1"/>
                  <w:vAlign w:val="center"/>
                </w:tcPr>
                <w:p w14:paraId="60C56FC1">
                  <w:pPr>
                    <w:pStyle w:val="46"/>
                    <w:spacing w:before="24" w:after="24" w:line="240" w:lineRule="auto"/>
                    <w:ind w:firstLine="0" w:firstLineChars="0"/>
                    <w:rPr>
                      <w:rFonts w:ascii="Times New Roman"/>
                      <w:sz w:val="21"/>
                    </w:rPr>
                  </w:pPr>
                  <w:r>
                    <w:rPr>
                      <w:rFonts w:ascii="Times New Roman"/>
                      <w:sz w:val="21"/>
                    </w:rPr>
                    <w:t>55.9</w:t>
                  </w:r>
                </w:p>
              </w:tc>
              <w:tc>
                <w:tcPr>
                  <w:tcW w:w="705" w:type="pct"/>
                  <w:shd w:val="clear" w:color="auto" w:fill="FFFFFF" w:themeFill="background1"/>
                  <w:vAlign w:val="center"/>
                </w:tcPr>
                <w:p w14:paraId="115D2D1C">
                  <w:pPr>
                    <w:pStyle w:val="46"/>
                    <w:spacing w:before="24" w:after="24" w:line="240" w:lineRule="auto"/>
                    <w:ind w:firstLine="0" w:firstLineChars="0"/>
                    <w:rPr>
                      <w:rFonts w:ascii="Times New Roman"/>
                      <w:sz w:val="21"/>
                    </w:rPr>
                  </w:pPr>
                  <w:r>
                    <w:rPr>
                      <w:rFonts w:ascii="Times New Roman"/>
                      <w:sz w:val="21"/>
                    </w:rPr>
                    <w:t>54.0</w:t>
                  </w:r>
                </w:p>
              </w:tc>
              <w:tc>
                <w:tcPr>
                  <w:tcW w:w="705" w:type="pct"/>
                  <w:shd w:val="clear" w:color="auto" w:fill="FFFFFF" w:themeFill="background1"/>
                  <w:vAlign w:val="center"/>
                </w:tcPr>
                <w:p w14:paraId="3E985786">
                  <w:pPr>
                    <w:pStyle w:val="46"/>
                    <w:spacing w:before="24" w:after="24" w:line="240" w:lineRule="auto"/>
                    <w:ind w:firstLine="0" w:firstLineChars="0"/>
                    <w:rPr>
                      <w:rFonts w:ascii="Times New Roman"/>
                      <w:sz w:val="21"/>
                    </w:rPr>
                  </w:pPr>
                  <w:r>
                    <w:rPr>
                      <w:rFonts w:ascii="Times New Roman"/>
                      <w:sz w:val="21"/>
                    </w:rPr>
                    <w:t>50.5</w:t>
                  </w:r>
                </w:p>
              </w:tc>
              <w:tc>
                <w:tcPr>
                  <w:tcW w:w="714" w:type="pct"/>
                  <w:shd w:val="clear" w:color="auto" w:fill="FFFFFF" w:themeFill="background1"/>
                  <w:vAlign w:val="center"/>
                </w:tcPr>
                <w:p w14:paraId="75628D0A">
                  <w:pPr>
                    <w:pStyle w:val="46"/>
                    <w:spacing w:before="24" w:after="24" w:line="240" w:lineRule="auto"/>
                    <w:ind w:firstLine="0" w:firstLineChars="0"/>
                    <w:rPr>
                      <w:rFonts w:ascii="Times New Roman"/>
                      <w:sz w:val="21"/>
                    </w:rPr>
                  </w:pPr>
                  <w:r>
                    <w:rPr>
                      <w:rFonts w:ascii="Times New Roman"/>
                      <w:sz w:val="21"/>
                    </w:rPr>
                    <w:t>48.0</w:t>
                  </w:r>
                </w:p>
              </w:tc>
            </w:tr>
          </w:tbl>
          <w:p w14:paraId="31E2283D">
            <w:pPr>
              <w:spacing w:before="120" w:beforeLines="50"/>
              <w:ind w:firstLine="480"/>
            </w:pPr>
            <w:r>
              <w:t>根据上述预测，噪声经过距离衰减，在距离施工机械200m处昼间噪声值可以达到《工业企业厂界环境噪声排放标准》（GB21906-2008）中2类标准（昼间60dB（A））要求，根据现场调查，矿区周边200m范围内无噪声敏感点。同时，环评要求尽量采用低噪声设备，降低高噪声设备的作业时间，运输车辆加强维修保养，限速行驶。此外，矿山爆破采用多排微差爆破，每5天爆破一次，爆破作业次数少，且均在白天进行，影响时间短。同时，采矿作业爆破方式选择多排孔微差爆破，可有效降低爆破地震效应。因此，采矿区噪声基本不会对周边声环境产生影响。</w:t>
            </w:r>
          </w:p>
          <w:p w14:paraId="4C2E6C99">
            <w:pPr>
              <w:ind w:firstLine="480"/>
              <w:rPr>
                <w:b/>
                <w:bCs/>
                <w:sz w:val="21"/>
                <w:szCs w:val="21"/>
              </w:rPr>
            </w:pPr>
            <w:r>
              <w:t>综上所述，采取各项有效措施后，本项目对周围声环境影响较小。</w:t>
            </w:r>
          </w:p>
          <w:p w14:paraId="2C090B84">
            <w:pPr>
              <w:pStyle w:val="23"/>
              <w:spacing w:after="0" w:line="240" w:lineRule="auto"/>
              <w:ind w:left="0" w:leftChars="0" w:firstLine="0" w:firstLineChars="0"/>
              <w:jc w:val="center"/>
              <w:rPr>
                <w:b/>
                <w:bCs/>
              </w:rPr>
            </w:pPr>
            <w:r>
              <w:rPr>
                <w:b/>
                <w:bCs/>
              </w:rPr>
              <w:t>表4-</w:t>
            </w:r>
            <w:r>
              <w:rPr>
                <w:rFonts w:hint="eastAsia"/>
                <w:b/>
                <w:bCs/>
              </w:rPr>
              <w:t>9</w:t>
            </w:r>
            <w:r>
              <w:rPr>
                <w:b/>
                <w:bCs/>
              </w:rPr>
              <w:t xml:space="preserve">  监测计划一览表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952"/>
              <w:gridCol w:w="1102"/>
              <w:gridCol w:w="1183"/>
              <w:gridCol w:w="1090"/>
              <w:gridCol w:w="3047"/>
            </w:tblGrid>
            <w:tr w14:paraId="12A5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5" w:hRule="atLeast"/>
                <w:jc w:val="center"/>
              </w:trPr>
              <w:tc>
                <w:tcPr>
                  <w:tcW w:w="645" w:type="pct"/>
                  <w:tcBorders>
                    <w:tl2br w:val="nil"/>
                    <w:tr2bl w:val="nil"/>
                  </w:tcBorders>
                  <w:shd w:val="clear" w:color="auto" w:fill="FFFFFF" w:themeFill="background1"/>
                  <w:vAlign w:val="center"/>
                </w:tcPr>
                <w:p w14:paraId="720B89F0">
                  <w:pPr>
                    <w:pStyle w:val="60"/>
                    <w:adjustRightInd w:val="0"/>
                    <w:snapToGrid w:val="0"/>
                    <w:rPr>
                      <w:b/>
                      <w:bCs/>
                      <w:szCs w:val="21"/>
                    </w:rPr>
                  </w:pPr>
                  <w:r>
                    <w:rPr>
                      <w:b/>
                      <w:bCs/>
                      <w:szCs w:val="21"/>
                    </w:rPr>
                    <w:t>污染源</w:t>
                  </w:r>
                </w:p>
              </w:tc>
              <w:tc>
                <w:tcPr>
                  <w:tcW w:w="747" w:type="pct"/>
                  <w:tcBorders>
                    <w:tl2br w:val="nil"/>
                    <w:tr2bl w:val="nil"/>
                  </w:tcBorders>
                  <w:shd w:val="clear" w:color="auto" w:fill="FFFFFF" w:themeFill="background1"/>
                  <w:vAlign w:val="center"/>
                </w:tcPr>
                <w:p w14:paraId="3FB7A4DD">
                  <w:pPr>
                    <w:pStyle w:val="60"/>
                    <w:adjustRightInd w:val="0"/>
                    <w:snapToGrid w:val="0"/>
                    <w:rPr>
                      <w:b/>
                      <w:bCs/>
                      <w:szCs w:val="21"/>
                    </w:rPr>
                  </w:pPr>
                  <w:r>
                    <w:rPr>
                      <w:b/>
                      <w:bCs/>
                      <w:szCs w:val="21"/>
                    </w:rPr>
                    <w:t>监测点位</w:t>
                  </w:r>
                </w:p>
              </w:tc>
              <w:tc>
                <w:tcPr>
                  <w:tcW w:w="802" w:type="pct"/>
                  <w:tcBorders>
                    <w:tl2br w:val="nil"/>
                    <w:tr2bl w:val="nil"/>
                  </w:tcBorders>
                  <w:shd w:val="clear" w:color="auto" w:fill="FFFFFF" w:themeFill="background1"/>
                  <w:vAlign w:val="center"/>
                </w:tcPr>
                <w:p w14:paraId="033C82B0">
                  <w:pPr>
                    <w:pStyle w:val="60"/>
                    <w:adjustRightInd w:val="0"/>
                    <w:snapToGrid w:val="0"/>
                    <w:rPr>
                      <w:b/>
                      <w:bCs/>
                      <w:szCs w:val="21"/>
                    </w:rPr>
                  </w:pPr>
                  <w:r>
                    <w:rPr>
                      <w:b/>
                      <w:bCs/>
                      <w:szCs w:val="21"/>
                    </w:rPr>
                    <w:t>监测项目</w:t>
                  </w:r>
                </w:p>
              </w:tc>
              <w:tc>
                <w:tcPr>
                  <w:tcW w:w="739" w:type="pct"/>
                  <w:tcBorders>
                    <w:tl2br w:val="nil"/>
                    <w:tr2bl w:val="nil"/>
                  </w:tcBorders>
                  <w:shd w:val="clear" w:color="auto" w:fill="FFFFFF" w:themeFill="background1"/>
                  <w:vAlign w:val="center"/>
                </w:tcPr>
                <w:p w14:paraId="436E4998">
                  <w:pPr>
                    <w:pStyle w:val="60"/>
                    <w:adjustRightInd w:val="0"/>
                    <w:snapToGrid w:val="0"/>
                    <w:rPr>
                      <w:b/>
                      <w:bCs/>
                      <w:szCs w:val="21"/>
                    </w:rPr>
                  </w:pPr>
                  <w:r>
                    <w:rPr>
                      <w:b/>
                      <w:bCs/>
                      <w:szCs w:val="21"/>
                    </w:rPr>
                    <w:t>监测频率</w:t>
                  </w:r>
                </w:p>
              </w:tc>
              <w:tc>
                <w:tcPr>
                  <w:tcW w:w="2065" w:type="pct"/>
                  <w:tcBorders>
                    <w:tl2br w:val="nil"/>
                    <w:tr2bl w:val="nil"/>
                  </w:tcBorders>
                  <w:shd w:val="clear" w:color="auto" w:fill="FFFFFF" w:themeFill="background1"/>
                  <w:vAlign w:val="center"/>
                </w:tcPr>
                <w:p w14:paraId="790A13C6">
                  <w:pPr>
                    <w:pStyle w:val="60"/>
                    <w:wordWrap w:val="0"/>
                    <w:adjustRightInd w:val="0"/>
                    <w:snapToGrid w:val="0"/>
                    <w:rPr>
                      <w:b/>
                      <w:bCs/>
                      <w:szCs w:val="21"/>
                    </w:rPr>
                  </w:pPr>
                  <w:r>
                    <w:rPr>
                      <w:b/>
                      <w:bCs/>
                      <w:szCs w:val="21"/>
                    </w:rPr>
                    <w:t>控制标准</w:t>
                  </w:r>
                </w:p>
              </w:tc>
            </w:tr>
            <w:tr w14:paraId="2F5BC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45" w:type="pct"/>
                  <w:tcBorders>
                    <w:tl2br w:val="nil"/>
                    <w:tr2bl w:val="nil"/>
                  </w:tcBorders>
                  <w:shd w:val="clear" w:color="auto" w:fill="FFFFFF" w:themeFill="background1"/>
                  <w:vAlign w:val="center"/>
                </w:tcPr>
                <w:p w14:paraId="756C0CB3">
                  <w:pPr>
                    <w:pStyle w:val="60"/>
                    <w:adjustRightInd w:val="0"/>
                    <w:snapToGrid w:val="0"/>
                    <w:rPr>
                      <w:szCs w:val="21"/>
                    </w:rPr>
                  </w:pPr>
                  <w:r>
                    <w:rPr>
                      <w:szCs w:val="21"/>
                    </w:rPr>
                    <w:t>噪声</w:t>
                  </w:r>
                </w:p>
              </w:tc>
              <w:tc>
                <w:tcPr>
                  <w:tcW w:w="747" w:type="pct"/>
                  <w:tcBorders>
                    <w:tl2br w:val="nil"/>
                    <w:tr2bl w:val="nil"/>
                  </w:tcBorders>
                  <w:shd w:val="clear" w:color="auto" w:fill="FFFFFF" w:themeFill="background1"/>
                  <w:vAlign w:val="center"/>
                </w:tcPr>
                <w:p w14:paraId="4D301CB9">
                  <w:pPr>
                    <w:pStyle w:val="60"/>
                    <w:adjustRightInd w:val="0"/>
                    <w:snapToGrid w:val="0"/>
                    <w:rPr>
                      <w:szCs w:val="21"/>
                    </w:rPr>
                  </w:pPr>
                  <w:r>
                    <w:rPr>
                      <w:rFonts w:hint="eastAsia"/>
                      <w:szCs w:val="21"/>
                    </w:rPr>
                    <w:t>露天采场</w:t>
                  </w:r>
                  <w:r>
                    <w:rPr>
                      <w:szCs w:val="21"/>
                    </w:rPr>
                    <w:t>厂界四周</w:t>
                  </w:r>
                </w:p>
              </w:tc>
              <w:tc>
                <w:tcPr>
                  <w:tcW w:w="802" w:type="pct"/>
                  <w:tcBorders>
                    <w:tl2br w:val="nil"/>
                    <w:tr2bl w:val="nil"/>
                  </w:tcBorders>
                  <w:shd w:val="clear" w:color="auto" w:fill="FFFFFF" w:themeFill="background1"/>
                  <w:vAlign w:val="center"/>
                </w:tcPr>
                <w:p w14:paraId="49CABC0C">
                  <w:pPr>
                    <w:pStyle w:val="60"/>
                    <w:adjustRightInd w:val="0"/>
                    <w:snapToGrid w:val="0"/>
                    <w:rPr>
                      <w:szCs w:val="21"/>
                    </w:rPr>
                  </w:pPr>
                  <w:r>
                    <w:rPr>
                      <w:szCs w:val="21"/>
                    </w:rPr>
                    <w:t>Leq(A)</w:t>
                  </w:r>
                </w:p>
              </w:tc>
              <w:tc>
                <w:tcPr>
                  <w:tcW w:w="739" w:type="pct"/>
                  <w:tcBorders>
                    <w:tl2br w:val="nil"/>
                    <w:tr2bl w:val="nil"/>
                  </w:tcBorders>
                  <w:shd w:val="clear" w:color="auto" w:fill="FFFFFF" w:themeFill="background1"/>
                  <w:vAlign w:val="center"/>
                </w:tcPr>
                <w:p w14:paraId="019D0635">
                  <w:pPr>
                    <w:pStyle w:val="60"/>
                    <w:adjustRightInd w:val="0"/>
                    <w:snapToGrid w:val="0"/>
                    <w:rPr>
                      <w:szCs w:val="21"/>
                    </w:rPr>
                  </w:pPr>
                  <w:r>
                    <w:rPr>
                      <w:szCs w:val="21"/>
                    </w:rPr>
                    <w:t>1次/季度</w:t>
                  </w:r>
                </w:p>
              </w:tc>
              <w:tc>
                <w:tcPr>
                  <w:tcW w:w="2065" w:type="pct"/>
                  <w:tcBorders>
                    <w:tl2br w:val="nil"/>
                    <w:tr2bl w:val="nil"/>
                  </w:tcBorders>
                  <w:shd w:val="clear" w:color="auto" w:fill="FFFFFF" w:themeFill="background1"/>
                  <w:vAlign w:val="center"/>
                </w:tcPr>
                <w:p w14:paraId="0003DDAC">
                  <w:pPr>
                    <w:pStyle w:val="60"/>
                    <w:wordWrap w:val="0"/>
                    <w:adjustRightInd w:val="0"/>
                    <w:snapToGrid w:val="0"/>
                    <w:rPr>
                      <w:szCs w:val="21"/>
                    </w:rPr>
                  </w:pPr>
                  <w:r>
                    <w:rPr>
                      <w:szCs w:val="21"/>
                    </w:rPr>
                    <w:t>《工业企业厂界环境噪声排放标准》（GB12348-2008）中的2类标准</w:t>
                  </w:r>
                </w:p>
              </w:tc>
            </w:tr>
          </w:tbl>
          <w:p w14:paraId="7016803B">
            <w:pPr>
              <w:ind w:firstLine="482"/>
              <w:rPr>
                <w:b/>
                <w:bCs/>
              </w:rPr>
            </w:pPr>
            <w:r>
              <w:rPr>
                <w:rFonts w:hint="eastAsia"/>
                <w:b/>
                <w:bCs/>
              </w:rPr>
              <w:t>4、</w:t>
            </w:r>
            <w:r>
              <w:rPr>
                <w:b/>
                <w:bCs/>
              </w:rPr>
              <w:t>运营期固体废弃物</w:t>
            </w:r>
          </w:p>
          <w:p w14:paraId="2A42565D">
            <w:pPr>
              <w:ind w:firstLine="480"/>
              <w:rPr>
                <w:color w:val="FF0000"/>
              </w:rPr>
            </w:pPr>
            <w:r>
              <w:t>项目产生的固体废物主要有生活垃圾、废机油、废润滑油等。</w:t>
            </w:r>
          </w:p>
          <w:p w14:paraId="4DF7FC3C">
            <w:pPr>
              <w:ind w:firstLine="482"/>
              <w:rPr>
                <w:b/>
                <w:bCs/>
              </w:rPr>
            </w:pPr>
            <w:r>
              <w:rPr>
                <w:b/>
                <w:bCs/>
              </w:rPr>
              <w:fldChar w:fldCharType="begin"/>
            </w:r>
            <w:r>
              <w:rPr>
                <w:b/>
                <w:bCs/>
              </w:rPr>
              <w:instrText xml:space="preserve"> = 1 \* GB2 \* MERGEFORMAT </w:instrText>
            </w:r>
            <w:r>
              <w:rPr>
                <w:b/>
                <w:bCs/>
              </w:rPr>
              <w:fldChar w:fldCharType="separate"/>
            </w:r>
            <w:r>
              <w:t>⑴</w:t>
            </w:r>
            <w:r>
              <w:rPr>
                <w:b/>
                <w:bCs/>
              </w:rPr>
              <w:fldChar w:fldCharType="end"/>
            </w:r>
            <w:r>
              <w:rPr>
                <w:b/>
                <w:bCs/>
              </w:rPr>
              <w:t>固体废物的产生及处理</w:t>
            </w:r>
          </w:p>
          <w:p w14:paraId="3D946A74">
            <w:pPr>
              <w:ind w:firstLine="480"/>
            </w:pPr>
            <w:r>
              <w:t>①</w:t>
            </w:r>
            <w:r>
              <w:rPr>
                <w:rFonts w:hint="eastAsia"/>
              </w:rPr>
              <w:t>生活垃圾</w:t>
            </w:r>
          </w:p>
          <w:p w14:paraId="01C4CA1F">
            <w:pPr>
              <w:ind w:firstLine="480"/>
              <w:rPr>
                <w:color w:val="0000FF"/>
              </w:rPr>
            </w:pPr>
            <w:r>
              <w:rPr>
                <w:color w:val="0000FF"/>
              </w:rPr>
              <w:t>本项目劳动定员</w:t>
            </w:r>
            <w:r>
              <w:rPr>
                <w:rFonts w:hint="eastAsia"/>
                <w:color w:val="0000FF"/>
              </w:rPr>
              <w:t>34</w:t>
            </w:r>
            <w:r>
              <w:rPr>
                <w:color w:val="0000FF"/>
              </w:rPr>
              <w:t>人，</w:t>
            </w:r>
            <w:r>
              <w:rPr>
                <w:rFonts w:hint="eastAsia"/>
                <w:color w:val="0000FF"/>
              </w:rPr>
              <w:t>参考《第一次全国污染源普查城镇生活源产排污系数手册》，本项目工作人员生活垃圾产生量按0.</w:t>
            </w:r>
            <w:r>
              <w:rPr>
                <w:rFonts w:hint="eastAsia"/>
                <w:color w:val="0000FF"/>
                <w:lang w:val="en-US" w:eastAsia="zh-CN"/>
              </w:rPr>
              <w:t>5</w:t>
            </w:r>
            <w:r>
              <w:rPr>
                <w:rFonts w:hint="eastAsia"/>
                <w:color w:val="0000FF"/>
              </w:rPr>
              <w:t>kg/人·d计</w:t>
            </w:r>
            <w:r>
              <w:rPr>
                <w:color w:val="0000FF"/>
              </w:rPr>
              <w:t>，则生活垃圾产生量为</w:t>
            </w:r>
            <w:r>
              <w:rPr>
                <w:rFonts w:hint="eastAsia"/>
                <w:color w:val="0000FF"/>
                <w:lang w:eastAsia="zh-CN"/>
              </w:rPr>
              <w:t>0.017</w:t>
            </w:r>
            <w:r>
              <w:rPr>
                <w:color w:val="0000FF"/>
              </w:rPr>
              <w:t>t/d（</w:t>
            </w:r>
            <w:r>
              <w:rPr>
                <w:rFonts w:hint="eastAsia"/>
                <w:color w:val="0000FF"/>
                <w:lang w:eastAsia="zh-CN"/>
              </w:rPr>
              <w:t>5.1</w:t>
            </w:r>
            <w:r>
              <w:rPr>
                <w:color w:val="0000FF"/>
              </w:rPr>
              <w:t>t/a）。生活区内设置垃圾桶，</w:t>
            </w:r>
            <w:r>
              <w:rPr>
                <w:rFonts w:hint="eastAsia"/>
                <w:color w:val="0000FF"/>
              </w:rPr>
              <w:t>由香泉镇附近村民</w:t>
            </w:r>
            <w:r>
              <w:rPr>
                <w:color w:val="0000FF"/>
              </w:rPr>
              <w:t>处理</w:t>
            </w:r>
            <w:r>
              <w:rPr>
                <w:rFonts w:hint="eastAsia"/>
                <w:color w:val="0000FF"/>
              </w:rPr>
              <w:t>。</w:t>
            </w:r>
          </w:p>
          <w:p w14:paraId="758AC2E7">
            <w:pPr>
              <w:ind w:firstLine="480"/>
            </w:pPr>
            <w:r>
              <w:t>②废机油</w:t>
            </w:r>
          </w:p>
          <w:p w14:paraId="6764083C">
            <w:pPr>
              <w:widowControl/>
              <w:ind w:firstLine="480"/>
              <w:jc w:val="left"/>
            </w:pPr>
            <w:r>
              <w:t>根据</w:t>
            </w:r>
            <w:r>
              <w:rPr>
                <w:rFonts w:hint="eastAsia"/>
              </w:rPr>
              <w:t>建设单位提供资料</w:t>
            </w:r>
            <w:r>
              <w:t>，项目实施后设备维修过程中产生的废机油</w:t>
            </w:r>
            <w:r>
              <w:rPr>
                <w:rFonts w:hint="eastAsia"/>
                <w:lang w:eastAsia="zh-CN"/>
              </w:rPr>
              <w:t>约</w:t>
            </w:r>
            <w:r>
              <w:t>为</w:t>
            </w:r>
            <w:r>
              <w:rPr>
                <w:rFonts w:hint="eastAsia"/>
              </w:rPr>
              <w:t>0.</w:t>
            </w:r>
            <w:r>
              <w:rPr>
                <w:rFonts w:hint="eastAsia"/>
                <w:lang w:val="en-US" w:eastAsia="zh-CN"/>
              </w:rPr>
              <w:t>1</w:t>
            </w:r>
            <w:r>
              <w:t>t/a，经收集后</w:t>
            </w:r>
            <w:r>
              <w:rPr>
                <w:rFonts w:hint="eastAsia"/>
              </w:rPr>
              <w:t>暂存于危险废物暂存设施中，</w:t>
            </w:r>
            <w:r>
              <w:t>定期交由</w:t>
            </w:r>
            <w:r>
              <w:rPr>
                <w:rFonts w:hint="eastAsia"/>
              </w:rPr>
              <w:t>有资质单位</w:t>
            </w:r>
            <w:r>
              <w:t>进行处置。</w:t>
            </w:r>
          </w:p>
          <w:p w14:paraId="039CE15C">
            <w:pPr>
              <w:ind w:firstLine="480"/>
            </w:pPr>
            <w:r>
              <w:t>③废润滑油</w:t>
            </w:r>
          </w:p>
          <w:p w14:paraId="347E27B1">
            <w:pPr>
              <w:keepNext w:val="0"/>
              <w:keepLines w:val="0"/>
              <w:pageBreakBefore w:val="0"/>
              <w:widowControl/>
              <w:kinsoku/>
              <w:wordWrap/>
              <w:overflowPunct/>
              <w:topLinePunct w:val="0"/>
              <w:autoSpaceDE/>
              <w:autoSpaceDN/>
              <w:bidi w:val="0"/>
              <w:adjustRightInd/>
              <w:snapToGrid/>
              <w:ind w:firstLine="480"/>
              <w:jc w:val="both"/>
              <w:textAlignment w:val="auto"/>
              <w:rPr>
                <w:lang w:val="en-GB"/>
              </w:rPr>
            </w:pPr>
            <w:r>
              <w:t>根据</w:t>
            </w:r>
            <w:r>
              <w:rPr>
                <w:rFonts w:hint="eastAsia"/>
              </w:rPr>
              <w:t>建设单位提供资料</w:t>
            </w:r>
            <w:r>
              <w:t>，设备维修过程中产生的废润滑油</w:t>
            </w:r>
            <w:r>
              <w:rPr>
                <w:rFonts w:hint="eastAsia"/>
                <w:lang w:eastAsia="zh-CN"/>
              </w:rPr>
              <w:t>约</w:t>
            </w:r>
            <w:r>
              <w:t>为</w:t>
            </w:r>
            <w:r>
              <w:rPr>
                <w:rFonts w:hint="eastAsia"/>
              </w:rPr>
              <w:t>0.</w:t>
            </w:r>
            <w:r>
              <w:rPr>
                <w:rFonts w:hint="eastAsia"/>
                <w:lang w:val="en-US" w:eastAsia="zh-CN"/>
              </w:rPr>
              <w:t>1</w:t>
            </w:r>
            <w:r>
              <w:t>t/a，经收集后</w:t>
            </w:r>
            <w:r>
              <w:rPr>
                <w:rFonts w:hint="eastAsia"/>
              </w:rPr>
              <w:t>暂存于危险废物暂存设施中，</w:t>
            </w:r>
            <w:r>
              <w:t>定期交由</w:t>
            </w:r>
            <w:r>
              <w:rPr>
                <w:rFonts w:hint="eastAsia"/>
              </w:rPr>
              <w:t>有资质单位</w:t>
            </w:r>
            <w:r>
              <w:t>进行处置。</w:t>
            </w:r>
          </w:p>
          <w:p w14:paraId="66C57DA7">
            <w:pPr>
              <w:ind w:firstLine="480"/>
              <w:rPr>
                <w:lang w:val="en-GB"/>
              </w:rPr>
            </w:pPr>
            <w:r>
              <w:rPr>
                <w:kern w:val="0"/>
                <w:lang w:val="en-GB"/>
              </w:rPr>
              <w:t>综上所述，</w:t>
            </w:r>
            <w:r>
              <w:rPr>
                <w:lang w:val="en-GB"/>
              </w:rPr>
              <w:t>本项目固体废物产生及处置情况见表</w:t>
            </w:r>
            <w:r>
              <w:t>4-1</w:t>
            </w:r>
            <w:r>
              <w:rPr>
                <w:rFonts w:hint="eastAsia"/>
              </w:rPr>
              <w:t>0</w:t>
            </w:r>
            <w:r>
              <w:rPr>
                <w:lang w:val="en-GB"/>
              </w:rPr>
              <w:t>所示。</w:t>
            </w:r>
          </w:p>
          <w:p w14:paraId="41724D07">
            <w:pPr>
              <w:autoSpaceDE w:val="0"/>
              <w:autoSpaceDN w:val="0"/>
              <w:spacing w:line="240" w:lineRule="auto"/>
              <w:ind w:firstLine="482"/>
              <w:jc w:val="center"/>
              <w:rPr>
                <w:b/>
              </w:rPr>
            </w:pPr>
            <w:r>
              <w:rPr>
                <w:b/>
              </w:rPr>
              <w:t>表4-1</w:t>
            </w:r>
            <w:r>
              <w:rPr>
                <w:rFonts w:hint="eastAsia"/>
                <w:b/>
              </w:rPr>
              <w:t>0</w:t>
            </w:r>
            <w:r>
              <w:rPr>
                <w:b/>
              </w:rPr>
              <w:t xml:space="preserve">  固体废物产生量及处置措施分析</w:t>
            </w:r>
          </w:p>
          <w:tbl>
            <w:tblPr>
              <w:tblStyle w:val="2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590"/>
              <w:gridCol w:w="774"/>
              <w:gridCol w:w="1560"/>
              <w:gridCol w:w="1184"/>
              <w:gridCol w:w="982"/>
              <w:gridCol w:w="2281"/>
            </w:tblGrid>
            <w:tr w14:paraId="57E01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8" w:hRule="atLeast"/>
                <w:jc w:val="center"/>
              </w:trPr>
              <w:tc>
                <w:tcPr>
                  <w:tcW w:w="400" w:type="pct"/>
                  <w:tcBorders>
                    <w:tl2br w:val="nil"/>
                    <w:tr2bl w:val="nil"/>
                  </w:tcBorders>
                  <w:shd w:val="clear" w:color="auto" w:fill="FFFFFF" w:themeFill="background1"/>
                  <w:vAlign w:val="center"/>
                </w:tcPr>
                <w:p w14:paraId="5901EBD2">
                  <w:pPr>
                    <w:adjustRightInd w:val="0"/>
                    <w:snapToGrid w:val="0"/>
                    <w:spacing w:line="240" w:lineRule="auto"/>
                    <w:ind w:firstLine="0" w:firstLineChars="0"/>
                    <w:jc w:val="center"/>
                    <w:rPr>
                      <w:b/>
                      <w:bCs/>
                      <w:sz w:val="21"/>
                      <w:szCs w:val="21"/>
                    </w:rPr>
                  </w:pPr>
                  <w:r>
                    <w:rPr>
                      <w:b/>
                      <w:bCs/>
                      <w:sz w:val="21"/>
                      <w:szCs w:val="21"/>
                    </w:rPr>
                    <w:t>序号</w:t>
                  </w:r>
                </w:p>
              </w:tc>
              <w:tc>
                <w:tcPr>
                  <w:tcW w:w="525" w:type="pct"/>
                  <w:tcBorders>
                    <w:tl2br w:val="nil"/>
                    <w:tr2bl w:val="nil"/>
                  </w:tcBorders>
                  <w:shd w:val="clear" w:color="auto" w:fill="FFFFFF" w:themeFill="background1"/>
                  <w:vAlign w:val="center"/>
                </w:tcPr>
                <w:p w14:paraId="39C0AECE">
                  <w:pPr>
                    <w:adjustRightInd w:val="0"/>
                    <w:snapToGrid w:val="0"/>
                    <w:spacing w:line="240" w:lineRule="auto"/>
                    <w:ind w:firstLine="0" w:firstLineChars="0"/>
                    <w:jc w:val="center"/>
                    <w:rPr>
                      <w:b/>
                      <w:bCs/>
                      <w:sz w:val="21"/>
                      <w:szCs w:val="21"/>
                    </w:rPr>
                  </w:pPr>
                  <w:r>
                    <w:rPr>
                      <w:b/>
                      <w:bCs/>
                      <w:sz w:val="21"/>
                      <w:szCs w:val="21"/>
                    </w:rPr>
                    <w:t>分类</w:t>
                  </w:r>
                </w:p>
              </w:tc>
              <w:tc>
                <w:tcPr>
                  <w:tcW w:w="1058" w:type="pct"/>
                  <w:tcBorders>
                    <w:tl2br w:val="nil"/>
                    <w:tr2bl w:val="nil"/>
                  </w:tcBorders>
                  <w:shd w:val="clear" w:color="auto" w:fill="FFFFFF" w:themeFill="background1"/>
                  <w:vAlign w:val="center"/>
                </w:tcPr>
                <w:p w14:paraId="2FFEF4AC">
                  <w:pPr>
                    <w:adjustRightInd w:val="0"/>
                    <w:snapToGrid w:val="0"/>
                    <w:spacing w:line="240" w:lineRule="auto"/>
                    <w:ind w:firstLine="0" w:firstLineChars="0"/>
                    <w:jc w:val="center"/>
                    <w:rPr>
                      <w:b/>
                      <w:bCs/>
                      <w:sz w:val="21"/>
                      <w:szCs w:val="21"/>
                    </w:rPr>
                  </w:pPr>
                  <w:r>
                    <w:rPr>
                      <w:b/>
                      <w:bCs/>
                      <w:sz w:val="21"/>
                      <w:szCs w:val="21"/>
                    </w:rPr>
                    <w:t>固体废物名称</w:t>
                  </w:r>
                </w:p>
              </w:tc>
              <w:tc>
                <w:tcPr>
                  <w:tcW w:w="803" w:type="pct"/>
                  <w:tcBorders>
                    <w:tl2br w:val="nil"/>
                    <w:tr2bl w:val="nil"/>
                  </w:tcBorders>
                  <w:shd w:val="clear" w:color="auto" w:fill="FFFFFF" w:themeFill="background1"/>
                  <w:vAlign w:val="center"/>
                </w:tcPr>
                <w:p w14:paraId="62FD2A2C">
                  <w:pPr>
                    <w:adjustRightInd w:val="0"/>
                    <w:snapToGrid w:val="0"/>
                    <w:spacing w:line="240" w:lineRule="auto"/>
                    <w:ind w:firstLine="0" w:firstLineChars="0"/>
                    <w:jc w:val="center"/>
                    <w:rPr>
                      <w:b/>
                      <w:bCs/>
                      <w:sz w:val="21"/>
                      <w:szCs w:val="21"/>
                    </w:rPr>
                  </w:pPr>
                  <w:r>
                    <w:rPr>
                      <w:b/>
                      <w:bCs/>
                      <w:sz w:val="21"/>
                      <w:szCs w:val="21"/>
                    </w:rPr>
                    <w:t>产生部位</w:t>
                  </w:r>
                </w:p>
              </w:tc>
              <w:tc>
                <w:tcPr>
                  <w:tcW w:w="666" w:type="pct"/>
                  <w:tcBorders>
                    <w:tl2br w:val="nil"/>
                    <w:tr2bl w:val="nil"/>
                  </w:tcBorders>
                  <w:shd w:val="clear" w:color="auto" w:fill="FFFFFF" w:themeFill="background1"/>
                  <w:vAlign w:val="center"/>
                </w:tcPr>
                <w:p w14:paraId="2547C2F6">
                  <w:pPr>
                    <w:adjustRightInd w:val="0"/>
                    <w:snapToGrid w:val="0"/>
                    <w:spacing w:line="240" w:lineRule="auto"/>
                    <w:ind w:firstLine="0" w:firstLineChars="0"/>
                    <w:jc w:val="center"/>
                    <w:rPr>
                      <w:b/>
                      <w:bCs/>
                      <w:sz w:val="21"/>
                      <w:szCs w:val="21"/>
                    </w:rPr>
                  </w:pPr>
                  <w:r>
                    <w:rPr>
                      <w:b/>
                      <w:bCs/>
                      <w:sz w:val="21"/>
                      <w:szCs w:val="21"/>
                    </w:rPr>
                    <w:t>产生量</w:t>
                  </w:r>
                </w:p>
              </w:tc>
              <w:tc>
                <w:tcPr>
                  <w:tcW w:w="1546" w:type="pct"/>
                  <w:tcBorders>
                    <w:tl2br w:val="nil"/>
                    <w:tr2bl w:val="nil"/>
                  </w:tcBorders>
                  <w:shd w:val="clear" w:color="auto" w:fill="FFFFFF" w:themeFill="background1"/>
                  <w:vAlign w:val="center"/>
                </w:tcPr>
                <w:p w14:paraId="4D0F1D33">
                  <w:pPr>
                    <w:adjustRightInd w:val="0"/>
                    <w:snapToGrid w:val="0"/>
                    <w:spacing w:line="240" w:lineRule="auto"/>
                    <w:ind w:firstLine="0" w:firstLineChars="0"/>
                    <w:jc w:val="center"/>
                    <w:rPr>
                      <w:b/>
                      <w:bCs/>
                      <w:sz w:val="21"/>
                      <w:szCs w:val="21"/>
                    </w:rPr>
                  </w:pPr>
                  <w:r>
                    <w:rPr>
                      <w:b/>
                      <w:bCs/>
                      <w:sz w:val="21"/>
                      <w:szCs w:val="21"/>
                    </w:rPr>
                    <w:t>处置措施</w:t>
                  </w:r>
                </w:p>
              </w:tc>
            </w:tr>
            <w:tr w14:paraId="42DBA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400" w:type="pct"/>
                  <w:tcBorders>
                    <w:tl2br w:val="nil"/>
                    <w:tr2bl w:val="nil"/>
                  </w:tcBorders>
                  <w:shd w:val="clear" w:color="auto" w:fill="FFFFFF" w:themeFill="background1"/>
                  <w:vAlign w:val="center"/>
                </w:tcPr>
                <w:p w14:paraId="4A30DFAE">
                  <w:pPr>
                    <w:adjustRightInd w:val="0"/>
                    <w:snapToGrid w:val="0"/>
                    <w:spacing w:line="240" w:lineRule="auto"/>
                    <w:ind w:firstLine="0" w:firstLineChars="0"/>
                    <w:jc w:val="center"/>
                    <w:rPr>
                      <w:sz w:val="21"/>
                      <w:szCs w:val="21"/>
                    </w:rPr>
                  </w:pPr>
                  <w:r>
                    <w:rPr>
                      <w:sz w:val="21"/>
                      <w:szCs w:val="21"/>
                    </w:rPr>
                    <w:t>1</w:t>
                  </w:r>
                </w:p>
              </w:tc>
              <w:tc>
                <w:tcPr>
                  <w:tcW w:w="525" w:type="pct"/>
                  <w:vMerge w:val="restart"/>
                  <w:tcBorders>
                    <w:tl2br w:val="nil"/>
                    <w:tr2bl w:val="nil"/>
                  </w:tcBorders>
                  <w:shd w:val="clear" w:color="auto" w:fill="FFFFFF" w:themeFill="background1"/>
                  <w:vAlign w:val="center"/>
                </w:tcPr>
                <w:p w14:paraId="5001F37F">
                  <w:pPr>
                    <w:adjustRightInd w:val="0"/>
                    <w:snapToGrid w:val="0"/>
                    <w:spacing w:line="240" w:lineRule="auto"/>
                    <w:ind w:firstLine="0" w:firstLineChars="0"/>
                    <w:jc w:val="center"/>
                    <w:rPr>
                      <w:sz w:val="21"/>
                      <w:szCs w:val="21"/>
                    </w:rPr>
                  </w:pPr>
                  <w:r>
                    <w:rPr>
                      <w:sz w:val="21"/>
                      <w:szCs w:val="21"/>
                    </w:rPr>
                    <w:t>危险废物</w:t>
                  </w:r>
                </w:p>
              </w:tc>
              <w:tc>
                <w:tcPr>
                  <w:tcW w:w="1058" w:type="pct"/>
                  <w:tcBorders>
                    <w:tl2br w:val="nil"/>
                    <w:tr2bl w:val="nil"/>
                  </w:tcBorders>
                  <w:shd w:val="clear" w:color="auto" w:fill="FFFFFF" w:themeFill="background1"/>
                  <w:vAlign w:val="center"/>
                </w:tcPr>
                <w:p w14:paraId="75E72E71">
                  <w:pPr>
                    <w:adjustRightInd w:val="0"/>
                    <w:snapToGrid w:val="0"/>
                    <w:spacing w:line="240" w:lineRule="auto"/>
                    <w:ind w:firstLine="0" w:firstLineChars="0"/>
                    <w:jc w:val="center"/>
                    <w:rPr>
                      <w:sz w:val="21"/>
                      <w:szCs w:val="21"/>
                    </w:rPr>
                  </w:pPr>
                  <w:r>
                    <w:rPr>
                      <w:sz w:val="21"/>
                      <w:szCs w:val="21"/>
                    </w:rPr>
                    <w:t>废机油</w:t>
                  </w:r>
                </w:p>
                <w:p w14:paraId="40EDA70D">
                  <w:pPr>
                    <w:adjustRightInd w:val="0"/>
                    <w:snapToGrid w:val="0"/>
                    <w:spacing w:line="240" w:lineRule="auto"/>
                    <w:ind w:firstLine="0" w:firstLineChars="0"/>
                    <w:jc w:val="center"/>
                    <w:rPr>
                      <w:sz w:val="21"/>
                      <w:szCs w:val="21"/>
                    </w:rPr>
                  </w:pPr>
                  <w:r>
                    <w:rPr>
                      <w:sz w:val="21"/>
                      <w:szCs w:val="21"/>
                    </w:rPr>
                    <w:t>900-249-08</w:t>
                  </w:r>
                </w:p>
              </w:tc>
              <w:tc>
                <w:tcPr>
                  <w:tcW w:w="803" w:type="pct"/>
                  <w:vMerge w:val="restart"/>
                  <w:tcBorders>
                    <w:tl2br w:val="nil"/>
                    <w:tr2bl w:val="nil"/>
                  </w:tcBorders>
                  <w:shd w:val="clear" w:color="auto" w:fill="FFFFFF" w:themeFill="background1"/>
                  <w:vAlign w:val="center"/>
                </w:tcPr>
                <w:p w14:paraId="782E7D41">
                  <w:pPr>
                    <w:adjustRightInd w:val="0"/>
                    <w:snapToGrid w:val="0"/>
                    <w:spacing w:line="240" w:lineRule="auto"/>
                    <w:ind w:firstLine="0" w:firstLineChars="0"/>
                    <w:jc w:val="center"/>
                    <w:rPr>
                      <w:sz w:val="21"/>
                      <w:szCs w:val="21"/>
                    </w:rPr>
                  </w:pPr>
                  <w:r>
                    <w:rPr>
                      <w:sz w:val="21"/>
                      <w:szCs w:val="21"/>
                    </w:rPr>
                    <w:t>设备维修</w:t>
                  </w:r>
                </w:p>
              </w:tc>
              <w:tc>
                <w:tcPr>
                  <w:tcW w:w="666" w:type="pct"/>
                  <w:tcBorders>
                    <w:tl2br w:val="nil"/>
                    <w:tr2bl w:val="nil"/>
                  </w:tcBorders>
                  <w:shd w:val="clear" w:color="auto" w:fill="FFFFFF" w:themeFill="background1"/>
                  <w:vAlign w:val="center"/>
                </w:tcPr>
                <w:p w14:paraId="2A881728">
                  <w:pPr>
                    <w:adjustRightInd w:val="0"/>
                    <w:snapToGrid w:val="0"/>
                    <w:spacing w:line="240" w:lineRule="auto"/>
                    <w:ind w:firstLine="0" w:firstLineChars="0"/>
                    <w:jc w:val="center"/>
                    <w:rPr>
                      <w:sz w:val="21"/>
                      <w:szCs w:val="21"/>
                    </w:rPr>
                  </w:pPr>
                  <w:r>
                    <w:rPr>
                      <w:rFonts w:hint="eastAsia"/>
                      <w:sz w:val="21"/>
                      <w:szCs w:val="21"/>
                    </w:rPr>
                    <w:t>0.</w:t>
                  </w:r>
                  <w:r>
                    <w:rPr>
                      <w:rFonts w:hint="eastAsia"/>
                      <w:sz w:val="21"/>
                      <w:szCs w:val="21"/>
                      <w:lang w:val="en-US" w:eastAsia="zh-CN"/>
                    </w:rPr>
                    <w:t>1</w:t>
                  </w:r>
                  <w:r>
                    <w:rPr>
                      <w:sz w:val="21"/>
                      <w:szCs w:val="21"/>
                    </w:rPr>
                    <w:t>t/a</w:t>
                  </w:r>
                </w:p>
              </w:tc>
              <w:tc>
                <w:tcPr>
                  <w:tcW w:w="1546" w:type="pct"/>
                  <w:vMerge w:val="restart"/>
                  <w:tcBorders>
                    <w:tl2br w:val="nil"/>
                    <w:tr2bl w:val="nil"/>
                  </w:tcBorders>
                  <w:shd w:val="clear" w:color="auto" w:fill="FFFFFF" w:themeFill="background1"/>
                  <w:vAlign w:val="center"/>
                </w:tcPr>
                <w:p w14:paraId="41ED2CC7">
                  <w:pPr>
                    <w:adjustRightInd w:val="0"/>
                    <w:snapToGrid w:val="0"/>
                    <w:spacing w:line="240" w:lineRule="auto"/>
                    <w:ind w:firstLine="0" w:firstLineChars="0"/>
                    <w:rPr>
                      <w:sz w:val="21"/>
                      <w:szCs w:val="21"/>
                    </w:rPr>
                  </w:pPr>
                  <w:r>
                    <w:rPr>
                      <w:sz w:val="21"/>
                      <w:szCs w:val="21"/>
                    </w:rPr>
                    <w:t>经收集后定期交由</w:t>
                  </w:r>
                  <w:r>
                    <w:rPr>
                      <w:rFonts w:hint="eastAsia"/>
                      <w:sz w:val="21"/>
                      <w:szCs w:val="21"/>
                    </w:rPr>
                    <w:t>有资质单位</w:t>
                  </w:r>
                  <w:r>
                    <w:rPr>
                      <w:sz w:val="21"/>
                      <w:szCs w:val="21"/>
                    </w:rPr>
                    <w:t>进行处置</w:t>
                  </w:r>
                </w:p>
              </w:tc>
            </w:tr>
            <w:tr w14:paraId="45378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00" w:type="pct"/>
                  <w:tcBorders>
                    <w:tl2br w:val="nil"/>
                    <w:tr2bl w:val="nil"/>
                  </w:tcBorders>
                  <w:shd w:val="clear" w:color="auto" w:fill="FFFFFF" w:themeFill="background1"/>
                  <w:vAlign w:val="center"/>
                </w:tcPr>
                <w:p w14:paraId="7EAB9F15">
                  <w:pPr>
                    <w:adjustRightInd w:val="0"/>
                    <w:snapToGrid w:val="0"/>
                    <w:spacing w:line="240" w:lineRule="auto"/>
                    <w:ind w:firstLine="0" w:firstLineChars="0"/>
                    <w:jc w:val="center"/>
                    <w:rPr>
                      <w:sz w:val="21"/>
                      <w:szCs w:val="21"/>
                    </w:rPr>
                  </w:pPr>
                  <w:r>
                    <w:rPr>
                      <w:sz w:val="21"/>
                      <w:szCs w:val="21"/>
                    </w:rPr>
                    <w:t>2</w:t>
                  </w:r>
                </w:p>
              </w:tc>
              <w:tc>
                <w:tcPr>
                  <w:tcW w:w="525" w:type="pct"/>
                  <w:vMerge w:val="continue"/>
                  <w:tcBorders>
                    <w:tl2br w:val="nil"/>
                    <w:tr2bl w:val="nil"/>
                  </w:tcBorders>
                  <w:shd w:val="clear" w:color="auto" w:fill="FFFFFF" w:themeFill="background1"/>
                  <w:vAlign w:val="center"/>
                </w:tcPr>
                <w:p w14:paraId="1902E29D">
                  <w:pPr>
                    <w:adjustRightInd w:val="0"/>
                    <w:snapToGrid w:val="0"/>
                    <w:spacing w:line="240" w:lineRule="auto"/>
                    <w:ind w:firstLine="0" w:firstLineChars="0"/>
                    <w:jc w:val="center"/>
                    <w:rPr>
                      <w:sz w:val="21"/>
                      <w:szCs w:val="21"/>
                    </w:rPr>
                  </w:pPr>
                </w:p>
              </w:tc>
              <w:tc>
                <w:tcPr>
                  <w:tcW w:w="1058" w:type="pct"/>
                  <w:tcBorders>
                    <w:tl2br w:val="nil"/>
                    <w:tr2bl w:val="nil"/>
                  </w:tcBorders>
                  <w:shd w:val="clear" w:color="auto" w:fill="FFFFFF" w:themeFill="background1"/>
                  <w:vAlign w:val="center"/>
                </w:tcPr>
                <w:p w14:paraId="1EBC6FCA">
                  <w:pPr>
                    <w:adjustRightInd w:val="0"/>
                    <w:snapToGrid w:val="0"/>
                    <w:spacing w:line="240" w:lineRule="auto"/>
                    <w:ind w:firstLine="0" w:firstLineChars="0"/>
                    <w:jc w:val="center"/>
                    <w:rPr>
                      <w:sz w:val="21"/>
                      <w:szCs w:val="21"/>
                    </w:rPr>
                  </w:pPr>
                  <w:r>
                    <w:rPr>
                      <w:sz w:val="21"/>
                      <w:szCs w:val="21"/>
                    </w:rPr>
                    <w:t>废润滑油</w:t>
                  </w:r>
                </w:p>
                <w:p w14:paraId="3E194830">
                  <w:pPr>
                    <w:adjustRightInd w:val="0"/>
                    <w:snapToGrid w:val="0"/>
                    <w:spacing w:line="240" w:lineRule="auto"/>
                    <w:ind w:firstLine="0" w:firstLineChars="0"/>
                    <w:jc w:val="center"/>
                    <w:rPr>
                      <w:sz w:val="21"/>
                      <w:szCs w:val="21"/>
                    </w:rPr>
                  </w:pPr>
                  <w:r>
                    <w:rPr>
                      <w:sz w:val="21"/>
                      <w:szCs w:val="21"/>
                    </w:rPr>
                    <w:t>900-214-08</w:t>
                  </w:r>
                </w:p>
              </w:tc>
              <w:tc>
                <w:tcPr>
                  <w:tcW w:w="803" w:type="pct"/>
                  <w:vMerge w:val="continue"/>
                  <w:tcBorders>
                    <w:tl2br w:val="nil"/>
                    <w:tr2bl w:val="nil"/>
                  </w:tcBorders>
                  <w:shd w:val="clear" w:color="auto" w:fill="FFFFFF" w:themeFill="background1"/>
                  <w:vAlign w:val="center"/>
                </w:tcPr>
                <w:p w14:paraId="6AF32EEE">
                  <w:pPr>
                    <w:adjustRightInd w:val="0"/>
                    <w:snapToGrid w:val="0"/>
                    <w:spacing w:line="240" w:lineRule="auto"/>
                    <w:ind w:firstLine="0" w:firstLineChars="0"/>
                    <w:jc w:val="center"/>
                    <w:rPr>
                      <w:sz w:val="21"/>
                      <w:szCs w:val="21"/>
                    </w:rPr>
                  </w:pPr>
                </w:p>
              </w:tc>
              <w:tc>
                <w:tcPr>
                  <w:tcW w:w="666" w:type="pct"/>
                  <w:tcBorders>
                    <w:tl2br w:val="nil"/>
                    <w:tr2bl w:val="nil"/>
                  </w:tcBorders>
                  <w:shd w:val="clear" w:color="auto" w:fill="FFFFFF" w:themeFill="background1"/>
                  <w:vAlign w:val="center"/>
                </w:tcPr>
                <w:p w14:paraId="0E5C43F8">
                  <w:pPr>
                    <w:adjustRightInd w:val="0"/>
                    <w:snapToGrid w:val="0"/>
                    <w:spacing w:line="240" w:lineRule="auto"/>
                    <w:ind w:firstLine="0" w:firstLineChars="0"/>
                    <w:jc w:val="center"/>
                    <w:rPr>
                      <w:sz w:val="21"/>
                      <w:szCs w:val="21"/>
                    </w:rPr>
                  </w:pPr>
                  <w:r>
                    <w:rPr>
                      <w:rFonts w:hint="eastAsia"/>
                      <w:sz w:val="21"/>
                      <w:szCs w:val="21"/>
                    </w:rPr>
                    <w:t>0.</w:t>
                  </w:r>
                  <w:r>
                    <w:rPr>
                      <w:rFonts w:hint="eastAsia"/>
                      <w:sz w:val="21"/>
                      <w:szCs w:val="21"/>
                      <w:lang w:val="en-US" w:eastAsia="zh-CN"/>
                    </w:rPr>
                    <w:t>1</w:t>
                  </w:r>
                  <w:r>
                    <w:rPr>
                      <w:sz w:val="21"/>
                      <w:szCs w:val="21"/>
                    </w:rPr>
                    <w:t>t/a</w:t>
                  </w:r>
                </w:p>
              </w:tc>
              <w:tc>
                <w:tcPr>
                  <w:tcW w:w="1546" w:type="pct"/>
                  <w:vMerge w:val="continue"/>
                  <w:tcBorders>
                    <w:tl2br w:val="nil"/>
                    <w:tr2bl w:val="nil"/>
                  </w:tcBorders>
                  <w:shd w:val="clear" w:color="auto" w:fill="FFFFFF" w:themeFill="background1"/>
                  <w:vAlign w:val="center"/>
                </w:tcPr>
                <w:p w14:paraId="04A83CF7">
                  <w:pPr>
                    <w:adjustRightInd w:val="0"/>
                    <w:snapToGrid w:val="0"/>
                    <w:spacing w:line="240" w:lineRule="auto"/>
                    <w:ind w:firstLine="0" w:firstLineChars="0"/>
                    <w:jc w:val="left"/>
                    <w:rPr>
                      <w:sz w:val="21"/>
                      <w:szCs w:val="21"/>
                    </w:rPr>
                  </w:pPr>
                </w:p>
              </w:tc>
            </w:tr>
          </w:tbl>
          <w:p w14:paraId="7E71F142">
            <w:pPr>
              <w:ind w:firstLine="482"/>
              <w:rPr>
                <w:b/>
                <w:bCs/>
              </w:rPr>
            </w:pPr>
            <w:r>
              <w:rPr>
                <w:b/>
                <w:bCs/>
              </w:rPr>
              <w:fldChar w:fldCharType="begin"/>
            </w:r>
            <w:r>
              <w:rPr>
                <w:b/>
                <w:bCs/>
              </w:rPr>
              <w:instrText xml:space="preserve"> = 2 \* GB2 \* MERGEFORMAT </w:instrText>
            </w:r>
            <w:r>
              <w:rPr>
                <w:b/>
                <w:bCs/>
              </w:rPr>
              <w:fldChar w:fldCharType="separate"/>
            </w:r>
            <w:r>
              <w:rPr>
                <w:b/>
                <w:bCs/>
              </w:rPr>
              <w:t>⑵</w:t>
            </w:r>
            <w:r>
              <w:rPr>
                <w:b/>
                <w:bCs/>
              </w:rPr>
              <w:fldChar w:fldCharType="end"/>
            </w:r>
            <w:r>
              <w:rPr>
                <w:b/>
                <w:bCs/>
              </w:rPr>
              <w:t>固体废物管理要求</w:t>
            </w:r>
          </w:p>
          <w:p w14:paraId="74416929">
            <w:pPr>
              <w:pStyle w:val="23"/>
              <w:spacing w:after="0"/>
              <w:ind w:left="0" w:leftChars="0" w:firstLine="482" w:firstLineChars="0"/>
            </w:pPr>
            <w:r>
              <w:rPr>
                <w:rFonts w:hint="eastAsia"/>
              </w:rPr>
              <w:t>危险废物：</w:t>
            </w:r>
          </w:p>
          <w:p w14:paraId="0C6C3139">
            <w:pPr>
              <w:pStyle w:val="23"/>
              <w:spacing w:after="0"/>
              <w:ind w:left="0" w:leftChars="0" w:firstLine="482" w:firstLineChars="0"/>
              <w:rPr>
                <w:lang w:eastAsia="zh-TW"/>
              </w:rPr>
            </w:pPr>
            <w:r>
              <w:rPr>
                <w:lang w:eastAsia="zh-TW"/>
              </w:rPr>
              <w:t>项目产生的危险废物</w:t>
            </w:r>
            <w:r>
              <w:rPr>
                <w:rFonts w:hint="eastAsia"/>
              </w:rPr>
              <w:t>建设危险废物暂存设施</w:t>
            </w:r>
            <w:r>
              <w:rPr>
                <w:lang w:eastAsia="zh-TW"/>
              </w:rPr>
              <w:t>，本次环评要求严格按照《危险废物贮存污染控制标准》（GB18597-20</w:t>
            </w:r>
            <w:r>
              <w:rPr>
                <w:rFonts w:hint="eastAsia"/>
              </w:rPr>
              <w:t>23</w:t>
            </w:r>
            <w:r>
              <w:rPr>
                <w:lang w:eastAsia="zh-TW"/>
              </w:rPr>
              <w:t>）相关要求对其进行收集、贮存、转移及运输。</w:t>
            </w:r>
          </w:p>
          <w:p w14:paraId="2DA91DC4">
            <w:pPr>
              <w:adjustRightInd w:val="0"/>
              <w:snapToGrid w:val="0"/>
              <w:ind w:firstLine="480"/>
              <w:rPr>
                <w:bCs/>
              </w:rPr>
            </w:pPr>
            <w:r>
              <w:rPr>
                <w:bCs/>
                <w:lang w:eastAsia="zh-TW"/>
              </w:rPr>
              <w:t>经采取以上处理处置措施后，</w:t>
            </w:r>
            <w:r>
              <w:rPr>
                <w:rFonts w:hint="eastAsia"/>
                <w:bCs/>
              </w:rPr>
              <w:t>项目产生的</w:t>
            </w:r>
            <w:r>
              <w:rPr>
                <w:bCs/>
                <w:lang w:eastAsia="zh-TW"/>
              </w:rPr>
              <w:t>固体废物不会对周边环境造成污染</w:t>
            </w:r>
            <w:r>
              <w:rPr>
                <w:bCs/>
              </w:rPr>
              <w:t>。</w:t>
            </w:r>
          </w:p>
          <w:p w14:paraId="4BE7BBAC">
            <w:pPr>
              <w:adjustRightInd w:val="0"/>
              <w:snapToGrid w:val="0"/>
              <w:ind w:firstLine="482"/>
              <w:rPr>
                <w:b/>
              </w:rPr>
            </w:pPr>
            <w:r>
              <w:rPr>
                <w:rFonts w:hint="eastAsia"/>
                <w:b/>
              </w:rPr>
              <w:t>5.地下水和土壤环境影响分析</w:t>
            </w:r>
          </w:p>
          <w:p w14:paraId="14179CAA">
            <w:pPr>
              <w:adjustRightInd w:val="0"/>
              <w:snapToGrid w:val="0"/>
              <w:ind w:firstLine="480"/>
              <w:rPr>
                <w:bCs/>
              </w:rPr>
            </w:pPr>
            <w:r>
              <w:rPr>
                <w:rFonts w:hint="eastAsia"/>
                <w:bCs/>
              </w:rPr>
              <w:t>运营期对土壤环境的影响主要是水污染、大气污染以及固体废物堆存与淋溶入渗对项目区地下水和土壤环境的影响。</w:t>
            </w:r>
          </w:p>
          <w:p w14:paraId="68E1DDCD">
            <w:pPr>
              <w:adjustRightInd w:val="0"/>
              <w:snapToGrid w:val="0"/>
              <w:ind w:firstLine="480"/>
              <w:rPr>
                <w:bCs/>
              </w:rPr>
            </w:pPr>
            <w:r>
              <w:rPr>
                <w:rFonts w:hint="eastAsia"/>
                <w:bCs/>
              </w:rPr>
              <w:t>本项目投产后，露天采场、矿区运输道路产生的粉尘将会对周围地区土壤产生一定影响。但由于评价对各工段的粉尘排放都采取严格的污染防治措施，不会对地下水和土壤造成影响。</w:t>
            </w:r>
          </w:p>
          <w:p w14:paraId="3C06FC95">
            <w:pPr>
              <w:adjustRightInd w:val="0"/>
              <w:snapToGrid w:val="0"/>
              <w:ind w:firstLine="480"/>
              <w:rPr>
                <w:bCs/>
              </w:rPr>
            </w:pPr>
            <w:r>
              <w:rPr>
                <w:rFonts w:hint="eastAsia"/>
              </w:rPr>
              <w:t>根据环境影响评价技术导则土壤环境（试行）》（HJ964-2018）中表2生态影响性评价工作等级划分表，本项目土壤评价等级为“-”，可不开展土壤环境影响评价工作</w:t>
            </w:r>
            <w:r>
              <w:rPr>
                <w:rFonts w:hint="eastAsia"/>
                <w:bCs/>
              </w:rPr>
              <w:t>。本项目为矿山开采，开采砂石不含重金属、有机物，且矿石成分稳定，不易发生化学反应，本项目生产工艺和排放污染物不会造成土壤盐化、碱化和酸化，因此本项目对土壤环境的影响较小。</w:t>
            </w:r>
          </w:p>
          <w:p w14:paraId="7314A450">
            <w:pPr>
              <w:adjustRightInd w:val="0"/>
              <w:snapToGrid w:val="0"/>
              <w:ind w:firstLine="480"/>
              <w:rPr>
                <w:bCs/>
              </w:rPr>
            </w:pPr>
            <w:r>
              <w:rPr>
                <w:rFonts w:hint="eastAsia"/>
                <w:bCs/>
              </w:rPr>
              <w:t>本项目对土壤环境的影响主要体现在矿山开采期间形成露天采坑区、矿山工业场地等建筑物的建设将破坏地表植被以及表土层。主要为表土的剥离，矿石的开采使土壤的结构和层次受到破坏，造成土壤生态系统的功能恶化，当遇到雨水时，会产生水土流失，严重时引发泥石流，从而使地表的表层土壤受到扰动，促使土壤结构发生改变，使土壤变得贫瘠，不利于植被的生产和恢复。相对整个评价区域，这种影响较小，待服务期满后对其进行全面的生态恢复后，会得到恢复。</w:t>
            </w:r>
          </w:p>
          <w:p w14:paraId="79F07623">
            <w:pPr>
              <w:adjustRightInd w:val="0"/>
              <w:snapToGrid w:val="0"/>
              <w:ind w:firstLine="482"/>
              <w:rPr>
                <w:b/>
              </w:rPr>
            </w:pPr>
            <w:r>
              <w:rPr>
                <w:rFonts w:hint="eastAsia"/>
                <w:b/>
              </w:rPr>
              <w:t>6、生态环境影响分析</w:t>
            </w:r>
          </w:p>
          <w:p w14:paraId="18F11E45">
            <w:pPr>
              <w:adjustRightInd w:val="0"/>
              <w:snapToGrid w:val="0"/>
              <w:ind w:firstLine="482"/>
              <w:rPr>
                <w:b/>
              </w:rPr>
            </w:pPr>
            <w:r>
              <w:rPr>
                <w:rFonts w:hint="eastAsia"/>
                <w:b/>
              </w:rPr>
              <w:t>（1）对植物的影响</w:t>
            </w:r>
          </w:p>
          <w:p w14:paraId="7522F2C9">
            <w:pPr>
              <w:adjustRightInd w:val="0"/>
              <w:snapToGrid w:val="0"/>
              <w:ind w:firstLine="480"/>
              <w:rPr>
                <w:bCs/>
              </w:rPr>
            </w:pPr>
            <w:r>
              <w:rPr>
                <w:rFonts w:hint="eastAsia"/>
                <w:bCs/>
              </w:rPr>
              <w:t>本项目矿区在开采过程中剥离表土对土壤扰动、地表植被造成破坏，改变原有土地类型，降低土壤的抗侵蚀能力，加剧水土流失。剥离物的堆放占用土地，改变土地使用功能和景观。如生态破坏程度过大或得不到及时修复，可能导致区域生态环境进一步衰退。建设单位需要在开采过程中要注意保护植被，将露天采场、表土堆放场和矿山运输道路的占地范围控制在设计范围之内，严禁外扩范围，减少植被破坏面积。开采运行过程中区域的植被均被破坏，损失一定的生物量、破坏和影响矿区周围环境的植被覆盖率和数量、增加土壤侵蚀，加剧水土流失等。</w:t>
            </w:r>
          </w:p>
          <w:p w14:paraId="58C91249">
            <w:pPr>
              <w:adjustRightInd w:val="0"/>
              <w:snapToGrid w:val="0"/>
              <w:ind w:firstLine="480"/>
              <w:rPr>
                <w:bCs/>
              </w:rPr>
            </w:pPr>
            <w:r>
              <w:rPr>
                <w:rFonts w:hint="eastAsia"/>
                <w:bCs/>
              </w:rPr>
              <w:t>本项目挖损和压占的植被在项目区域周边分布广泛和常见，因此，本项目的建设对区域的植物和植被影响较小，待项目闭矿后完成生态恢复和复垦后，植被的影响将恢复。</w:t>
            </w:r>
          </w:p>
          <w:p w14:paraId="34CF71BB">
            <w:pPr>
              <w:adjustRightInd w:val="0"/>
              <w:snapToGrid w:val="0"/>
              <w:ind w:firstLine="480"/>
              <w:rPr>
                <w:bCs/>
              </w:rPr>
            </w:pPr>
            <w:r>
              <w:rPr>
                <w:rFonts w:hint="eastAsia"/>
                <w:bCs/>
              </w:rPr>
              <w:t>本项目在开采过程中，建设单位需要严格落实边开采边复垦的生态恢复要求。同时，服务期满后立即对采场边坡和台阶等进行复垦绿化，在植被逐渐恢复后其对植被的影响将减缓；进行植被重建及矿区的绿化和生态建设工作，届时矿区将成为自然和人工复合的生态系统，对区域生态环境的影响减缓，区域内植被开始恢复。</w:t>
            </w:r>
          </w:p>
          <w:p w14:paraId="154AEC67">
            <w:pPr>
              <w:adjustRightInd w:val="0"/>
              <w:snapToGrid w:val="0"/>
              <w:ind w:firstLine="480"/>
              <w:rPr>
                <w:bCs/>
              </w:rPr>
            </w:pPr>
            <w:r>
              <w:rPr>
                <w:rFonts w:hint="eastAsia"/>
                <w:bCs/>
              </w:rPr>
              <w:t>本项目采矿工程结束后，及时复垦，利用原表层土回填，种植原生植被，控制水土流失，修复破碎的生态系统，恢复土地斑块完整性，恢复植被分离度、层次，恢复景观多样性、增加优势度、连通性，尽量恢复原有斑块空间布局、形状和丰度，增加空间异质性，恢复植被覆盖度。</w:t>
            </w:r>
          </w:p>
          <w:p w14:paraId="765BDA3F">
            <w:pPr>
              <w:adjustRightInd w:val="0"/>
              <w:snapToGrid w:val="0"/>
              <w:ind w:firstLine="480"/>
              <w:rPr>
                <w:bCs/>
              </w:rPr>
            </w:pPr>
            <w:r>
              <w:rPr>
                <w:rFonts w:hint="eastAsia"/>
                <w:bCs/>
              </w:rPr>
              <w:t>项目采矿期会对生态完整性产生一定影响，闭坑恢复后，对生态完整性影响小，区域生态系统可以接受。</w:t>
            </w:r>
          </w:p>
          <w:p w14:paraId="3CD090E2">
            <w:pPr>
              <w:adjustRightInd w:val="0"/>
              <w:snapToGrid w:val="0"/>
              <w:ind w:firstLine="480"/>
              <w:rPr>
                <w:b/>
              </w:rPr>
            </w:pPr>
            <w:r>
              <w:rPr>
                <w:rFonts w:hint="eastAsia"/>
                <w:bCs/>
              </w:rPr>
              <w:t>由于植物生境的破坏，使得植被覆盖度降低，植物生产能力下降，生物多样性降低，从而导致环境功能的下降，再加上动物的迁移，使矿区范围内的总生物量减少，对局部区域的生物量有一定影响。但矿区所在地现存的植物物种是周边地区常见的物种，调查期间未发现区域范围内有受保护的珍稀植物。只要项目注意及时利用当地植被物种进行复垦绿化，不会对当地及邻近地区植物种类的生存和繁衍造成严重影响。</w:t>
            </w:r>
          </w:p>
          <w:p w14:paraId="2852FA75">
            <w:pPr>
              <w:adjustRightInd w:val="0"/>
              <w:snapToGrid w:val="0"/>
              <w:ind w:firstLine="482"/>
              <w:rPr>
                <w:b/>
              </w:rPr>
            </w:pPr>
            <w:r>
              <w:rPr>
                <w:rFonts w:hint="eastAsia"/>
                <w:b/>
              </w:rPr>
              <w:t>（2）对野生动物的影响</w:t>
            </w:r>
          </w:p>
          <w:p w14:paraId="125F1181">
            <w:pPr>
              <w:adjustRightInd w:val="0"/>
              <w:snapToGrid w:val="0"/>
              <w:ind w:firstLine="480"/>
              <w:rPr>
                <w:bCs/>
              </w:rPr>
            </w:pPr>
            <w:r>
              <w:rPr>
                <w:rFonts w:hint="eastAsia"/>
                <w:bCs/>
              </w:rPr>
              <w:t>矿山项目对动物资源的影响主要为开采过程中掘进等作业会产生噪声，交通运输和施工人员的活动及使用机械也会产生噪声，</w:t>
            </w:r>
            <w:r>
              <w:t>项目区地处浅山地带，野生动物种类比较稀少</w:t>
            </w:r>
            <w:r>
              <w:rPr>
                <w:rFonts w:hint="eastAsia"/>
              </w:rPr>
              <w:t>，也会</w:t>
            </w:r>
            <w:r>
              <w:rPr>
                <w:rFonts w:hint="eastAsia"/>
                <w:bCs/>
              </w:rPr>
              <w:t>产生一定影响，对其正常生活产生干扰，造成其大部分迁离其原栖息地。</w:t>
            </w:r>
          </w:p>
          <w:p w14:paraId="642F41C6">
            <w:pPr>
              <w:adjustRightInd w:val="0"/>
              <w:snapToGrid w:val="0"/>
              <w:ind w:firstLine="480"/>
              <w:rPr>
                <w:bCs/>
              </w:rPr>
            </w:pPr>
            <w:r>
              <w:rPr>
                <w:rFonts w:hint="eastAsia"/>
                <w:bCs/>
              </w:rPr>
              <w:t>由于机械、运输车辆等工作噪声均产生于项目边界内，经距离衰减后矿区边界的噪声排放值将低于60dB(A)（昼间）。</w:t>
            </w:r>
          </w:p>
          <w:p w14:paraId="03FB46D0">
            <w:pPr>
              <w:adjustRightInd w:val="0"/>
              <w:snapToGrid w:val="0"/>
              <w:ind w:firstLine="480"/>
              <w:rPr>
                <w:bCs/>
              </w:rPr>
            </w:pPr>
            <w:r>
              <w:rPr>
                <w:rFonts w:hint="eastAsia"/>
                <w:bCs/>
              </w:rPr>
              <w:t>同时，本项目在一定程度上对占地范围内的自然植被进行剥离，对动物生活的栖息地造成了一定的破坏，且矿区道路和矿区人工建筑将对原有的动物栖息地起到分割和阻隔作用，使生境破碎化，动物活动范围受到限制。由于项目矿区周边地区环境条件与开采区域相同，野生动物可就近迁入周边地区继续生存繁衍，项目矿山开采对其造成的影响较小，在项目服务期满后将逐步得到恢复。综上，产生的噪声以及工程占地，对区域内动物资源有一定影响，但影响范围是局部的，不会威胁到该区域野生动物的物种生存，动物资源在项目服务期满后将逐步得到恢复。而项目矿区周边地区环境条件与开采区域相同，野生动物可就近迁入周边地区继续生存繁衍，对整个地区生态系统的功能和稳定性不会产生大的影响，基本不会引起物种的损失。</w:t>
            </w:r>
          </w:p>
          <w:p w14:paraId="59D85308">
            <w:pPr>
              <w:adjustRightInd w:val="0"/>
              <w:snapToGrid w:val="0"/>
              <w:ind w:firstLine="482"/>
              <w:rPr>
                <w:b/>
              </w:rPr>
            </w:pPr>
            <w:r>
              <w:rPr>
                <w:rFonts w:hint="eastAsia"/>
                <w:b/>
              </w:rPr>
              <w:t>（3）景观影响</w:t>
            </w:r>
          </w:p>
          <w:p w14:paraId="5AF63FF5">
            <w:pPr>
              <w:adjustRightInd w:val="0"/>
              <w:snapToGrid w:val="0"/>
              <w:ind w:firstLine="480"/>
              <w:rPr>
                <w:bCs/>
              </w:rPr>
            </w:pPr>
            <w:r>
              <w:rPr>
                <w:rFonts w:hint="eastAsia"/>
                <w:bCs/>
              </w:rPr>
              <w:t>露天采场的采矿活动等建筑物将彻底改变矿区原有的地形地貌和生态系统的结构功能。原有的景观格局不复存在，尤其是露天采场的建设，景观将由自然景观转变露天采场景观，使矿区景观的总体异质性有所提高。</w:t>
            </w:r>
          </w:p>
          <w:p w14:paraId="340082FB">
            <w:pPr>
              <w:adjustRightInd w:val="0"/>
              <w:snapToGrid w:val="0"/>
              <w:ind w:firstLine="480"/>
              <w:rPr>
                <w:bCs/>
              </w:rPr>
            </w:pPr>
            <w:r>
              <w:rPr>
                <w:rFonts w:hint="eastAsia"/>
                <w:bCs/>
              </w:rPr>
              <w:t>本项目占用林地，取而代之的是裸露矿石的露天采场，虽然部分被毁植被可分期进行植被恢复，但在全面生态修复后的3~5年内生态功能难以恢复到原有的水平。因此，本项目开采活动将使自然生态系统的稳定性受到一定的影响。但从整个评价区域内来分析，这种影响相对较小，待服务期满后进行全面的生态恢复及植被恢复后，将会得到一定程度地恢复和改善。</w:t>
            </w:r>
          </w:p>
          <w:p w14:paraId="12AD9D05">
            <w:pPr>
              <w:adjustRightInd w:val="0"/>
              <w:snapToGrid w:val="0"/>
              <w:ind w:firstLine="482"/>
              <w:rPr>
                <w:b/>
              </w:rPr>
            </w:pPr>
            <w:r>
              <w:rPr>
                <w:rFonts w:hint="eastAsia"/>
                <w:b/>
              </w:rPr>
              <w:t>（4）水土流失影响</w:t>
            </w:r>
          </w:p>
          <w:p w14:paraId="296D8762">
            <w:pPr>
              <w:adjustRightInd w:val="0"/>
              <w:snapToGrid w:val="0"/>
              <w:ind w:firstLine="480"/>
              <w:rPr>
                <w:bCs/>
              </w:rPr>
            </w:pPr>
            <w:r>
              <w:rPr>
                <w:rFonts w:hint="eastAsia"/>
                <w:bCs/>
              </w:rPr>
              <w:t>影响本项目的水土流失的因素主要有两个方面：一是自然因素，如：地形、地貌、水文气象、土壤、植被等因素。降雨是本项目区造成水土流失的最主要原动力，地表径流则搬运和冲刷地面泥沙，特别是高强度暴雨，会形成集中的径流，其冲刷泥沙的能力大大加强，地形地貌作为承载泥沙的主题直接影响水土流失的程度和污染范围。二是人为活动方面，主要表现在工程扰动和损坏植被，矿区内受人为活动影响强烈，表土堆放场也形成高陡人工边坡，植被被毁灭性的破坏，以至于无法恢复；这些边坡在水力的进一步作用下，可能诱发边坡位移、失稳轻者破坏下游植被，重者演变成泥石流。</w:t>
            </w:r>
          </w:p>
          <w:p w14:paraId="69EF87C7">
            <w:pPr>
              <w:adjustRightInd w:val="0"/>
              <w:snapToGrid w:val="0"/>
              <w:ind w:firstLine="480"/>
              <w:rPr>
                <w:bCs/>
              </w:rPr>
            </w:pPr>
            <w:r>
              <w:rPr>
                <w:rFonts w:hint="eastAsia"/>
                <w:bCs/>
              </w:rPr>
              <w:t>运行期在项目建设区合理布设好水土保持措施，才能有效地防治和减少本工程建设带来的新增水土流失，并减少生产运行期间的水土流失危害。露天采场区是水土保持的重点区域，建设期是水土流失的重点时段，同时也是水土保持监测的重点。</w:t>
            </w:r>
          </w:p>
          <w:p w14:paraId="2538BA95">
            <w:pPr>
              <w:adjustRightInd w:val="0"/>
              <w:snapToGrid w:val="0"/>
              <w:ind w:firstLine="482"/>
              <w:rPr>
                <w:b/>
              </w:rPr>
            </w:pPr>
            <w:r>
              <w:rPr>
                <w:rFonts w:hint="eastAsia"/>
                <w:b/>
              </w:rPr>
              <w:t>7、闭矿期生态环境影响分析</w:t>
            </w:r>
          </w:p>
          <w:p w14:paraId="0C5A9F14">
            <w:pPr>
              <w:adjustRightInd w:val="0"/>
              <w:snapToGrid w:val="0"/>
              <w:ind w:firstLine="480"/>
              <w:rPr>
                <w:bCs/>
              </w:rPr>
            </w:pPr>
            <w:r>
              <w:rPr>
                <w:rFonts w:hint="eastAsia"/>
                <w:bCs/>
              </w:rPr>
              <w:t>本矿山设计服务年限为18.1年，其后将退役，不再产生废水、废气、固体废物和噪声，也不会再对环境产生不利影响。但若矿山闭矿期不落实水土保持方案、复垦计划以及生态恢复，则对矿山开发区域带来严重的环境影响。主要的环境问题为破坏植被造成的水土流失、改变土地利用方式对地形地貌景观的破坏等问题。因此闭矿期的环境保护措施和生态恢复是矿山环境保护的重要环节。</w:t>
            </w:r>
          </w:p>
          <w:p w14:paraId="0B95778B">
            <w:pPr>
              <w:adjustRightInd w:val="0"/>
              <w:snapToGrid w:val="0"/>
              <w:ind w:firstLine="480"/>
              <w:rPr>
                <w:bCs/>
              </w:rPr>
            </w:pPr>
            <w:r>
              <w:rPr>
                <w:rFonts w:hint="eastAsia"/>
                <w:bCs/>
              </w:rPr>
              <w:t>根据《矿山生态环境保护与污染防治技术政策》（国家环境保护部、国土资源部、科技部环发〔2005〕09号文）中规定，矿山企业必须依法履行环境保护、土地复垦等义务，大力加强矿山生态环境恢复治理。加快对矿山损毁土地进行复垦，对矿山“三废进行综合治理、综合利用”。矿山服务期满后，应当按照国家有关环境保护规定进行封场，并对矿山进行生态恢复，防止造成环境污染和生态破坏。矿山服务期满的主要生态问题为区域生态环境的恢复治理工作，经过水土保持、土地修复植被恢复等措施的逐步实施，矿区生态环境会得到逐步改善，只是原来的景观格局和土地利用情况发生了变化。</w:t>
            </w:r>
          </w:p>
          <w:p w14:paraId="0017C898">
            <w:pPr>
              <w:adjustRightInd w:val="0"/>
              <w:snapToGrid w:val="0"/>
              <w:ind w:firstLine="480"/>
              <w:rPr>
                <w:bCs/>
              </w:rPr>
            </w:pPr>
            <w:r>
              <w:rPr>
                <w:rFonts w:hint="eastAsia"/>
                <w:bCs/>
              </w:rPr>
              <w:t>矿山在开采后期至闭矿期的时段内，与初采期和盛采期相比对自然环境的影响趋于减缓，主要体现在以下几个方面：</w:t>
            </w:r>
          </w:p>
          <w:p w14:paraId="2B77326E">
            <w:pPr>
              <w:adjustRightInd w:val="0"/>
              <w:snapToGrid w:val="0"/>
              <w:ind w:firstLine="480"/>
              <w:rPr>
                <w:bCs/>
              </w:rPr>
            </w:pPr>
            <w:r>
              <w:rPr>
                <w:rFonts w:hint="eastAsia"/>
                <w:bCs/>
              </w:rPr>
              <w:t>（1）随着矿石资源不断开采，与矿山开发有关的矿产开采的各产污设备也将完成其服务功能，因此这些产污环节也将减弱或消失，如设备噪声、扬尘等，区域环境质量有所好转。</w:t>
            </w:r>
          </w:p>
          <w:p w14:paraId="16D67D2F">
            <w:pPr>
              <w:adjustRightInd w:val="0"/>
              <w:snapToGrid w:val="0"/>
              <w:ind w:firstLine="480"/>
              <w:rPr>
                <w:bCs/>
              </w:rPr>
            </w:pPr>
            <w:r>
              <w:rPr>
                <w:rFonts w:hint="eastAsia"/>
                <w:bCs/>
              </w:rPr>
              <w:t>（2）在矿山退役后，矿山开发景观与自然景观不相协调，应对其进行平整，恢复植被以减轻对自然景观的影响。</w:t>
            </w:r>
          </w:p>
          <w:p w14:paraId="3D8D1F4F">
            <w:pPr>
              <w:adjustRightInd w:val="0"/>
              <w:snapToGrid w:val="0"/>
              <w:ind w:firstLine="480"/>
              <w:rPr>
                <w:bCs/>
              </w:rPr>
            </w:pPr>
            <w:r>
              <w:rPr>
                <w:rFonts w:hint="eastAsia"/>
                <w:bCs/>
              </w:rPr>
              <w:t>矿山闭矿期主要对露天采场、</w:t>
            </w:r>
            <w:r>
              <w:rPr>
                <w:rFonts w:hint="eastAsia"/>
                <w:bCs/>
                <w:lang w:eastAsia="zh-CN"/>
              </w:rPr>
              <w:t>排土场</w:t>
            </w:r>
            <w:r>
              <w:rPr>
                <w:rFonts w:hint="eastAsia"/>
                <w:bCs/>
              </w:rPr>
              <w:t>和矿山运输道路等占地区域采取土地复垦和生态恢复措施。随着地表植被的恢复，水土流失得到有效控制，同时对矿区自然景观和环境生态朝着有利的方向发展。</w:t>
            </w:r>
          </w:p>
          <w:p w14:paraId="69F6EC1E">
            <w:pPr>
              <w:adjustRightInd w:val="0"/>
              <w:snapToGrid w:val="0"/>
              <w:ind w:firstLine="480"/>
              <w:rPr>
                <w:bCs/>
              </w:rPr>
            </w:pPr>
            <w:r>
              <w:rPr>
                <w:rFonts w:hint="eastAsia"/>
                <w:bCs/>
              </w:rPr>
              <w:t>综上所述，本项目在闭矿后将对影响区域等全部进行复垦或绿化，对环境的不利影响将逐步消失，生态环境得到恢复。矿开采破坏了开采境界内的地形、地貌。服务期满后通过对矿区进行复垦治理，及时进行生态恢复，对土地利用结构的影响不断减小。</w:t>
            </w:r>
          </w:p>
          <w:p w14:paraId="40CD339C">
            <w:pPr>
              <w:adjustRightInd w:val="0"/>
              <w:snapToGrid w:val="0"/>
              <w:ind w:firstLine="480"/>
              <w:rPr>
                <w:b/>
              </w:rPr>
            </w:pPr>
            <w:r>
              <w:rPr>
                <w:rFonts w:hint="eastAsia"/>
                <w:bCs/>
              </w:rPr>
              <w:t>同时，在矿山开采过程中建设单位应树立绿色发展理念，规范矿山管理，推进科技创新，落实节约资源、节能减排、保护环境、促进矿区和谐等社会责任，加强企业文化建设，积极建设绿色矿山，做到应建必建。严格按照绿色矿山建设标准要求，重点做好矿区降尘降噪、环境绿化工作，优化矿区生态环境；提高矿山数字化自动化水平；加大矿山资源综合利用，节能减排；加强矿区的环境保护与生态环境建设，实现“边生产，边建设，边复垦，边治理”，有效推进绿色矿山的建设工作。</w:t>
            </w:r>
          </w:p>
          <w:p w14:paraId="1B41B30D">
            <w:pPr>
              <w:adjustRightInd w:val="0"/>
              <w:snapToGrid w:val="0"/>
              <w:ind w:firstLine="482"/>
              <w:rPr>
                <w:b/>
              </w:rPr>
            </w:pPr>
            <w:r>
              <w:rPr>
                <w:rFonts w:hint="eastAsia"/>
                <w:b/>
              </w:rPr>
              <w:t>7、</w:t>
            </w:r>
            <w:r>
              <w:rPr>
                <w:b/>
              </w:rPr>
              <w:t>环境风险影响分析</w:t>
            </w:r>
          </w:p>
          <w:p w14:paraId="427EC939">
            <w:pPr>
              <w:ind w:firstLine="480"/>
              <w:rPr>
                <w:kern w:val="0"/>
              </w:rPr>
            </w:pPr>
            <w:r>
              <w:rPr>
                <w:kern w:val="0"/>
              </w:rPr>
              <w:t>根据《建设项目环境风险评价技术导则》（HJ169-2018）附录B所列风险物质，本项目爆破器材由当地民爆公司统一配送，不设炸药库；运项目主要原辅材料及产品涉及的风险物质为柴油、机油、润滑油，项目使用的开采设备和运输车辆等机械设备加油均由矿区外的加油站供给，项目区内不储存柴油。因此本项目涉及的风险物质为柴油、机油、润滑油。</w:t>
            </w:r>
          </w:p>
          <w:p w14:paraId="14FA5ED6">
            <w:pPr>
              <w:ind w:firstLine="480"/>
            </w:pPr>
            <w:r>
              <w:fldChar w:fldCharType="begin"/>
            </w:r>
            <w:r>
              <w:instrText xml:space="preserve"> = 1 \* GB2 \* MERGEFORMAT </w:instrText>
            </w:r>
            <w:r>
              <w:fldChar w:fldCharType="separate"/>
            </w:r>
            <w:r>
              <w:t>⑴</w:t>
            </w:r>
            <w:r>
              <w:fldChar w:fldCharType="end"/>
            </w:r>
            <w:r>
              <w:t>环境风险源调查</w:t>
            </w:r>
          </w:p>
          <w:p w14:paraId="6414E406">
            <w:pPr>
              <w:adjustRightInd w:val="0"/>
              <w:snapToGrid w:val="0"/>
              <w:ind w:firstLine="480"/>
            </w:pPr>
            <w:r>
              <w:t>根据《建设项目环境风险评价技术导则》（HJ169-2018）附录C，当存在多种危险物质时，则按式（C.1）计算物质总量与其临界量比值（Q），并按下判断是否属于重大危险源。</w:t>
            </w:r>
          </w:p>
          <w:p w14:paraId="107CA16F">
            <w:pPr>
              <w:ind w:firstLine="0" w:firstLineChars="0"/>
              <w:jc w:val="center"/>
            </w:pPr>
            <w:r>
              <w:drawing>
                <wp:inline distT="0" distB="0" distL="114300" distR="114300">
                  <wp:extent cx="1173480" cy="367030"/>
                  <wp:effectExtent l="0" t="0" r="7620" b="146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7"/>
                          <a:stretch>
                            <a:fillRect/>
                          </a:stretch>
                        </pic:blipFill>
                        <pic:spPr>
                          <a:xfrm>
                            <a:off x="0" y="0"/>
                            <a:ext cx="1173480" cy="367030"/>
                          </a:xfrm>
                          <a:prstGeom prst="rect">
                            <a:avLst/>
                          </a:prstGeom>
                          <a:noFill/>
                          <a:ln>
                            <a:noFill/>
                          </a:ln>
                        </pic:spPr>
                      </pic:pic>
                    </a:graphicData>
                  </a:graphic>
                </wp:inline>
              </w:drawing>
            </w:r>
          </w:p>
          <w:p w14:paraId="1849DE57">
            <w:pPr>
              <w:adjustRightInd w:val="0"/>
              <w:snapToGrid w:val="0"/>
              <w:ind w:firstLine="480"/>
            </w:pPr>
            <w:r>
              <w:t xml:space="preserve">式中： </w:t>
            </w:r>
          </w:p>
          <w:p w14:paraId="64E3803A">
            <w:pPr>
              <w:adjustRightInd w:val="0"/>
              <w:snapToGrid w:val="0"/>
              <w:ind w:firstLine="960" w:firstLineChars="400"/>
            </w:pPr>
            <w:r>
              <w:t xml:space="preserve">q1，q2，…，qn—每种危险物质的最大存在总量，t； </w:t>
            </w:r>
          </w:p>
          <w:p w14:paraId="06BB1BFF">
            <w:pPr>
              <w:adjustRightInd w:val="0"/>
              <w:snapToGrid w:val="0"/>
              <w:ind w:firstLine="960" w:firstLineChars="400"/>
            </w:pPr>
            <w:r>
              <w:t xml:space="preserve">Q1，Q2，…，Qn—每种危险物质的临界量，t。 </w:t>
            </w:r>
          </w:p>
          <w:p w14:paraId="532DC0D4">
            <w:pPr>
              <w:ind w:firstLine="480"/>
            </w:pPr>
            <w:r>
              <w:fldChar w:fldCharType="begin"/>
            </w:r>
            <w:r>
              <w:instrText xml:space="preserve"> = 2 \* GB2 \* MERGEFORMAT </w:instrText>
            </w:r>
            <w:r>
              <w:fldChar w:fldCharType="separate"/>
            </w:r>
            <w:r>
              <w:t>⑵</w:t>
            </w:r>
            <w:r>
              <w:fldChar w:fldCharType="end"/>
            </w:r>
            <w:r>
              <w:t>风险物质分布及储存情况</w:t>
            </w:r>
          </w:p>
          <w:p w14:paraId="1D4B71E4">
            <w:pPr>
              <w:spacing w:line="240" w:lineRule="auto"/>
              <w:ind w:firstLine="482"/>
              <w:jc w:val="center"/>
              <w:rPr>
                <w:b/>
                <w:sz w:val="21"/>
                <w:szCs w:val="21"/>
              </w:rPr>
            </w:pPr>
            <w:r>
              <w:rPr>
                <w:b/>
              </w:rPr>
              <w:t>表4-1</w:t>
            </w:r>
            <w:r>
              <w:rPr>
                <w:rFonts w:hint="eastAsia"/>
                <w:b/>
              </w:rPr>
              <w:t>1</w:t>
            </w:r>
            <w:r>
              <w:rPr>
                <w:b/>
              </w:rPr>
              <w:t xml:space="preserve">  本项目风险物质分布及储存情况表</w:t>
            </w:r>
          </w:p>
          <w:tbl>
            <w:tblPr>
              <w:tblStyle w:val="24"/>
              <w:tblW w:w="498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
            <w:tblGrid>
              <w:gridCol w:w="684"/>
              <w:gridCol w:w="1081"/>
              <w:gridCol w:w="982"/>
              <w:gridCol w:w="1350"/>
              <w:gridCol w:w="1118"/>
              <w:gridCol w:w="927"/>
              <w:gridCol w:w="1205"/>
            </w:tblGrid>
            <w:tr w14:paraId="68981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jc w:val="center"/>
              </w:trPr>
              <w:tc>
                <w:tcPr>
                  <w:tcW w:w="465" w:type="pct"/>
                  <w:shd w:val="clear" w:color="auto" w:fill="FFFFFF" w:themeFill="background1"/>
                  <w:vAlign w:val="center"/>
                </w:tcPr>
                <w:p w14:paraId="725CE861">
                  <w:pPr>
                    <w:widowControl/>
                    <w:adjustRightInd w:val="0"/>
                    <w:snapToGrid w:val="0"/>
                    <w:spacing w:line="240" w:lineRule="auto"/>
                    <w:ind w:firstLine="0" w:firstLineChars="0"/>
                    <w:jc w:val="center"/>
                    <w:rPr>
                      <w:b/>
                      <w:bCs/>
                      <w:kern w:val="0"/>
                      <w:sz w:val="21"/>
                      <w:szCs w:val="21"/>
                    </w:rPr>
                  </w:pPr>
                  <w:r>
                    <w:rPr>
                      <w:b/>
                      <w:bCs/>
                      <w:kern w:val="0"/>
                      <w:sz w:val="21"/>
                      <w:szCs w:val="21"/>
                    </w:rPr>
                    <w:t>序号</w:t>
                  </w:r>
                </w:p>
              </w:tc>
              <w:tc>
                <w:tcPr>
                  <w:tcW w:w="735" w:type="pct"/>
                  <w:shd w:val="clear" w:color="auto" w:fill="FFFFFF" w:themeFill="background1"/>
                  <w:vAlign w:val="center"/>
                </w:tcPr>
                <w:p w14:paraId="714BC60C">
                  <w:pPr>
                    <w:widowControl/>
                    <w:adjustRightInd w:val="0"/>
                    <w:snapToGrid w:val="0"/>
                    <w:spacing w:line="240" w:lineRule="auto"/>
                    <w:ind w:firstLine="0" w:firstLineChars="0"/>
                    <w:jc w:val="center"/>
                    <w:rPr>
                      <w:b/>
                      <w:bCs/>
                      <w:kern w:val="0"/>
                      <w:sz w:val="21"/>
                      <w:szCs w:val="21"/>
                    </w:rPr>
                  </w:pPr>
                  <w:r>
                    <w:rPr>
                      <w:b/>
                      <w:bCs/>
                      <w:kern w:val="0"/>
                      <w:sz w:val="21"/>
                      <w:szCs w:val="21"/>
                    </w:rPr>
                    <w:t>位置</w:t>
                  </w:r>
                </w:p>
              </w:tc>
              <w:tc>
                <w:tcPr>
                  <w:tcW w:w="668" w:type="pct"/>
                  <w:shd w:val="clear" w:color="auto" w:fill="FFFFFF" w:themeFill="background1"/>
                  <w:vAlign w:val="center"/>
                </w:tcPr>
                <w:p w14:paraId="02F9C176">
                  <w:pPr>
                    <w:widowControl/>
                    <w:adjustRightInd w:val="0"/>
                    <w:snapToGrid w:val="0"/>
                    <w:spacing w:line="240" w:lineRule="auto"/>
                    <w:ind w:firstLine="0" w:firstLineChars="0"/>
                    <w:jc w:val="center"/>
                    <w:rPr>
                      <w:b/>
                      <w:bCs/>
                      <w:kern w:val="0"/>
                      <w:sz w:val="21"/>
                      <w:szCs w:val="21"/>
                    </w:rPr>
                  </w:pPr>
                  <w:r>
                    <w:rPr>
                      <w:b/>
                      <w:bCs/>
                      <w:kern w:val="0"/>
                      <w:sz w:val="21"/>
                      <w:szCs w:val="21"/>
                    </w:rPr>
                    <w:t>名称</w:t>
                  </w:r>
                </w:p>
              </w:tc>
              <w:tc>
                <w:tcPr>
                  <w:tcW w:w="918" w:type="pct"/>
                  <w:shd w:val="clear" w:color="auto" w:fill="FFFFFF" w:themeFill="background1"/>
                  <w:vAlign w:val="center"/>
                </w:tcPr>
                <w:p w14:paraId="427F6C29">
                  <w:pPr>
                    <w:widowControl/>
                    <w:adjustRightInd w:val="0"/>
                    <w:snapToGrid w:val="0"/>
                    <w:spacing w:line="240" w:lineRule="auto"/>
                    <w:ind w:firstLine="0" w:firstLineChars="0"/>
                    <w:jc w:val="center"/>
                    <w:rPr>
                      <w:b/>
                      <w:bCs/>
                      <w:sz w:val="21"/>
                      <w:szCs w:val="21"/>
                    </w:rPr>
                  </w:pPr>
                  <w:r>
                    <w:rPr>
                      <w:b/>
                      <w:bCs/>
                      <w:kern w:val="0"/>
                      <w:sz w:val="21"/>
                      <w:szCs w:val="21"/>
                    </w:rPr>
                    <w:t>最大贮存量（t）</w:t>
                  </w:r>
                </w:p>
              </w:tc>
              <w:tc>
                <w:tcPr>
                  <w:tcW w:w="760" w:type="pct"/>
                  <w:shd w:val="clear" w:color="auto" w:fill="FFFFFF" w:themeFill="background1"/>
                  <w:vAlign w:val="center"/>
                </w:tcPr>
                <w:p w14:paraId="2D6545C0">
                  <w:pPr>
                    <w:widowControl/>
                    <w:adjustRightInd w:val="0"/>
                    <w:snapToGrid w:val="0"/>
                    <w:spacing w:line="240" w:lineRule="auto"/>
                    <w:ind w:firstLine="0" w:firstLineChars="0"/>
                    <w:jc w:val="center"/>
                    <w:rPr>
                      <w:b/>
                      <w:bCs/>
                      <w:kern w:val="0"/>
                      <w:sz w:val="21"/>
                      <w:szCs w:val="21"/>
                    </w:rPr>
                  </w:pPr>
                  <w:r>
                    <w:rPr>
                      <w:b/>
                      <w:bCs/>
                      <w:kern w:val="0"/>
                      <w:sz w:val="21"/>
                      <w:szCs w:val="21"/>
                    </w:rPr>
                    <w:t>临界量</w:t>
                  </w:r>
                </w:p>
                <w:p w14:paraId="2131B3F7">
                  <w:pPr>
                    <w:widowControl/>
                    <w:adjustRightInd w:val="0"/>
                    <w:snapToGrid w:val="0"/>
                    <w:spacing w:line="240" w:lineRule="auto"/>
                    <w:ind w:firstLine="0" w:firstLineChars="0"/>
                    <w:jc w:val="center"/>
                    <w:rPr>
                      <w:b/>
                      <w:bCs/>
                      <w:kern w:val="0"/>
                      <w:sz w:val="21"/>
                      <w:szCs w:val="21"/>
                    </w:rPr>
                  </w:pPr>
                  <w:r>
                    <w:rPr>
                      <w:b/>
                      <w:bCs/>
                      <w:kern w:val="0"/>
                      <w:sz w:val="21"/>
                      <w:szCs w:val="21"/>
                    </w:rPr>
                    <w:t>（t）</w:t>
                  </w:r>
                </w:p>
              </w:tc>
              <w:tc>
                <w:tcPr>
                  <w:tcW w:w="630" w:type="pct"/>
                  <w:shd w:val="clear" w:color="auto" w:fill="FFFFFF" w:themeFill="background1"/>
                  <w:vAlign w:val="center"/>
                </w:tcPr>
                <w:p w14:paraId="0AD1BCB6">
                  <w:pPr>
                    <w:widowControl/>
                    <w:adjustRightInd w:val="0"/>
                    <w:snapToGrid w:val="0"/>
                    <w:spacing w:line="240" w:lineRule="auto"/>
                    <w:ind w:firstLine="0" w:firstLineChars="0"/>
                    <w:jc w:val="center"/>
                    <w:rPr>
                      <w:b/>
                      <w:bCs/>
                      <w:kern w:val="0"/>
                      <w:sz w:val="21"/>
                      <w:szCs w:val="21"/>
                    </w:rPr>
                  </w:pPr>
                  <w:r>
                    <w:rPr>
                      <w:b/>
                      <w:bCs/>
                      <w:kern w:val="0"/>
                      <w:sz w:val="21"/>
                      <w:szCs w:val="21"/>
                    </w:rPr>
                    <w:t>影响</w:t>
                  </w:r>
                </w:p>
                <w:p w14:paraId="2B414B84">
                  <w:pPr>
                    <w:widowControl/>
                    <w:adjustRightInd w:val="0"/>
                    <w:snapToGrid w:val="0"/>
                    <w:spacing w:line="240" w:lineRule="auto"/>
                    <w:ind w:firstLine="0" w:firstLineChars="0"/>
                    <w:jc w:val="center"/>
                    <w:rPr>
                      <w:b/>
                      <w:bCs/>
                      <w:kern w:val="0"/>
                      <w:sz w:val="21"/>
                      <w:szCs w:val="21"/>
                    </w:rPr>
                  </w:pPr>
                  <w:r>
                    <w:rPr>
                      <w:b/>
                      <w:bCs/>
                      <w:kern w:val="0"/>
                      <w:sz w:val="21"/>
                      <w:szCs w:val="21"/>
                    </w:rPr>
                    <w:t>途径</w:t>
                  </w:r>
                </w:p>
              </w:tc>
              <w:tc>
                <w:tcPr>
                  <w:tcW w:w="820" w:type="pct"/>
                  <w:shd w:val="clear" w:color="auto" w:fill="FFFFFF" w:themeFill="background1"/>
                  <w:vAlign w:val="center"/>
                </w:tcPr>
                <w:p w14:paraId="02FABFAE">
                  <w:pPr>
                    <w:widowControl/>
                    <w:adjustRightInd w:val="0"/>
                    <w:snapToGrid w:val="0"/>
                    <w:spacing w:line="240" w:lineRule="auto"/>
                    <w:ind w:firstLine="0" w:firstLineChars="0"/>
                    <w:jc w:val="center"/>
                    <w:rPr>
                      <w:b/>
                      <w:bCs/>
                      <w:kern w:val="0"/>
                      <w:sz w:val="21"/>
                      <w:szCs w:val="21"/>
                    </w:rPr>
                  </w:pPr>
                  <w:r>
                    <w:rPr>
                      <w:b/>
                      <w:bCs/>
                      <w:kern w:val="0"/>
                      <w:sz w:val="21"/>
                      <w:szCs w:val="21"/>
                    </w:rPr>
                    <w:t>qi/Qi</w:t>
                  </w:r>
                </w:p>
              </w:tc>
            </w:tr>
            <w:tr w14:paraId="06FB97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5" w:type="pct"/>
                  <w:shd w:val="clear" w:color="auto" w:fill="FFFFFF" w:themeFill="background1"/>
                  <w:vAlign w:val="center"/>
                </w:tcPr>
                <w:p w14:paraId="2A2F8242">
                  <w:pPr>
                    <w:widowControl/>
                    <w:adjustRightInd w:val="0"/>
                    <w:snapToGrid w:val="0"/>
                    <w:spacing w:line="240" w:lineRule="auto"/>
                    <w:ind w:firstLine="0" w:firstLineChars="0"/>
                    <w:jc w:val="center"/>
                    <w:rPr>
                      <w:rFonts w:hint="eastAsia" w:eastAsia="宋体"/>
                      <w:kern w:val="0"/>
                      <w:sz w:val="21"/>
                      <w:szCs w:val="21"/>
                      <w:lang w:eastAsia="zh-CN"/>
                    </w:rPr>
                  </w:pPr>
                  <w:r>
                    <w:rPr>
                      <w:rFonts w:hint="eastAsia"/>
                      <w:kern w:val="0"/>
                      <w:sz w:val="21"/>
                      <w:szCs w:val="21"/>
                      <w:lang w:val="en-US" w:eastAsia="zh-CN"/>
                    </w:rPr>
                    <w:t>1</w:t>
                  </w:r>
                </w:p>
              </w:tc>
              <w:tc>
                <w:tcPr>
                  <w:tcW w:w="735" w:type="pct"/>
                  <w:shd w:val="clear" w:color="auto" w:fill="FFFFFF" w:themeFill="background1"/>
                  <w:vAlign w:val="center"/>
                </w:tcPr>
                <w:p w14:paraId="7BA4EDFF">
                  <w:pPr>
                    <w:spacing w:line="240" w:lineRule="auto"/>
                    <w:ind w:firstLine="0" w:firstLineChars="0"/>
                    <w:jc w:val="center"/>
                    <w:rPr>
                      <w:sz w:val="21"/>
                      <w:szCs w:val="21"/>
                    </w:rPr>
                  </w:pPr>
                  <w:r>
                    <w:rPr>
                      <w:sz w:val="21"/>
                      <w:szCs w:val="21"/>
                    </w:rPr>
                    <w:t>库房</w:t>
                  </w:r>
                </w:p>
              </w:tc>
              <w:tc>
                <w:tcPr>
                  <w:tcW w:w="668" w:type="pct"/>
                  <w:shd w:val="clear" w:color="auto" w:fill="FFFFFF" w:themeFill="background1"/>
                  <w:vAlign w:val="center"/>
                </w:tcPr>
                <w:p w14:paraId="014B4F8B">
                  <w:pPr>
                    <w:spacing w:line="240" w:lineRule="auto"/>
                    <w:ind w:firstLine="0" w:firstLineChars="0"/>
                    <w:jc w:val="center"/>
                    <w:rPr>
                      <w:sz w:val="21"/>
                      <w:szCs w:val="21"/>
                    </w:rPr>
                  </w:pPr>
                  <w:r>
                    <w:rPr>
                      <w:sz w:val="21"/>
                      <w:szCs w:val="21"/>
                    </w:rPr>
                    <w:t>机油</w:t>
                  </w:r>
                </w:p>
              </w:tc>
              <w:tc>
                <w:tcPr>
                  <w:tcW w:w="918" w:type="pct"/>
                  <w:shd w:val="clear" w:color="auto" w:fill="FFFFFF" w:themeFill="background1"/>
                  <w:vAlign w:val="center"/>
                </w:tcPr>
                <w:p w14:paraId="41373D5F">
                  <w:pPr>
                    <w:snapToGrid w:val="0"/>
                    <w:spacing w:line="240" w:lineRule="auto"/>
                    <w:ind w:firstLine="0" w:firstLineChars="0"/>
                    <w:jc w:val="center"/>
                    <w:rPr>
                      <w:sz w:val="21"/>
                      <w:szCs w:val="21"/>
                    </w:rPr>
                  </w:pPr>
                  <w:r>
                    <w:rPr>
                      <w:sz w:val="21"/>
                      <w:szCs w:val="21"/>
                    </w:rPr>
                    <w:t>0.26</w:t>
                  </w:r>
                </w:p>
              </w:tc>
              <w:tc>
                <w:tcPr>
                  <w:tcW w:w="760" w:type="pct"/>
                  <w:shd w:val="clear" w:color="auto" w:fill="FFFFFF" w:themeFill="background1"/>
                  <w:vAlign w:val="center"/>
                </w:tcPr>
                <w:p w14:paraId="7F3A2FFD">
                  <w:pPr>
                    <w:spacing w:line="240" w:lineRule="auto"/>
                    <w:ind w:firstLine="0" w:firstLineChars="0"/>
                    <w:jc w:val="center"/>
                    <w:rPr>
                      <w:sz w:val="21"/>
                      <w:szCs w:val="21"/>
                    </w:rPr>
                  </w:pPr>
                  <w:r>
                    <w:rPr>
                      <w:sz w:val="21"/>
                      <w:szCs w:val="21"/>
                    </w:rPr>
                    <w:t>2500</w:t>
                  </w:r>
                </w:p>
              </w:tc>
              <w:tc>
                <w:tcPr>
                  <w:tcW w:w="630" w:type="pct"/>
                  <w:shd w:val="clear" w:color="auto" w:fill="FFFFFF" w:themeFill="background1"/>
                  <w:vAlign w:val="center"/>
                </w:tcPr>
                <w:p w14:paraId="764FF757">
                  <w:pPr>
                    <w:spacing w:line="240" w:lineRule="auto"/>
                    <w:ind w:firstLine="0" w:firstLineChars="0"/>
                    <w:jc w:val="center"/>
                    <w:rPr>
                      <w:sz w:val="21"/>
                      <w:szCs w:val="21"/>
                    </w:rPr>
                  </w:pPr>
                  <w:r>
                    <w:rPr>
                      <w:sz w:val="21"/>
                      <w:szCs w:val="21"/>
                    </w:rPr>
                    <w:t>泄漏</w:t>
                  </w:r>
                </w:p>
              </w:tc>
              <w:tc>
                <w:tcPr>
                  <w:tcW w:w="820" w:type="pct"/>
                  <w:shd w:val="clear" w:color="auto" w:fill="FFFFFF" w:themeFill="background1"/>
                  <w:vAlign w:val="center"/>
                </w:tcPr>
                <w:p w14:paraId="74D0BD50">
                  <w:pPr>
                    <w:spacing w:line="240" w:lineRule="auto"/>
                    <w:ind w:firstLine="0" w:firstLineChars="0"/>
                    <w:jc w:val="center"/>
                    <w:rPr>
                      <w:sz w:val="21"/>
                      <w:szCs w:val="21"/>
                    </w:rPr>
                  </w:pPr>
                  <w:r>
                    <w:rPr>
                      <w:sz w:val="21"/>
                      <w:szCs w:val="21"/>
                    </w:rPr>
                    <w:t>0.000104</w:t>
                  </w:r>
                </w:p>
              </w:tc>
            </w:tr>
            <w:tr w14:paraId="466B8E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5" w:type="pct"/>
                  <w:shd w:val="clear" w:color="auto" w:fill="FFFFFF" w:themeFill="background1"/>
                  <w:vAlign w:val="center"/>
                </w:tcPr>
                <w:p w14:paraId="7CFE6947">
                  <w:pPr>
                    <w:widowControl/>
                    <w:adjustRightInd w:val="0"/>
                    <w:snapToGrid w:val="0"/>
                    <w:spacing w:line="240" w:lineRule="auto"/>
                    <w:ind w:firstLine="0" w:firstLineChars="0"/>
                    <w:jc w:val="center"/>
                    <w:rPr>
                      <w:rFonts w:hint="eastAsia" w:eastAsia="宋体"/>
                      <w:kern w:val="0"/>
                      <w:sz w:val="21"/>
                      <w:szCs w:val="21"/>
                      <w:lang w:eastAsia="zh-CN"/>
                    </w:rPr>
                  </w:pPr>
                  <w:r>
                    <w:rPr>
                      <w:rFonts w:hint="eastAsia"/>
                      <w:kern w:val="0"/>
                      <w:sz w:val="21"/>
                      <w:szCs w:val="21"/>
                      <w:lang w:val="en-US" w:eastAsia="zh-CN"/>
                    </w:rPr>
                    <w:t>2</w:t>
                  </w:r>
                </w:p>
              </w:tc>
              <w:tc>
                <w:tcPr>
                  <w:tcW w:w="735" w:type="pct"/>
                  <w:shd w:val="clear" w:color="auto" w:fill="FFFFFF" w:themeFill="background1"/>
                  <w:vAlign w:val="center"/>
                </w:tcPr>
                <w:p w14:paraId="4719C121">
                  <w:pPr>
                    <w:spacing w:line="240" w:lineRule="auto"/>
                    <w:ind w:firstLine="0" w:firstLineChars="0"/>
                    <w:jc w:val="center"/>
                    <w:rPr>
                      <w:sz w:val="21"/>
                      <w:szCs w:val="21"/>
                    </w:rPr>
                  </w:pPr>
                  <w:r>
                    <w:rPr>
                      <w:sz w:val="21"/>
                      <w:szCs w:val="21"/>
                    </w:rPr>
                    <w:t>库房</w:t>
                  </w:r>
                </w:p>
              </w:tc>
              <w:tc>
                <w:tcPr>
                  <w:tcW w:w="668" w:type="pct"/>
                  <w:shd w:val="clear" w:color="auto" w:fill="FFFFFF" w:themeFill="background1"/>
                  <w:vAlign w:val="center"/>
                </w:tcPr>
                <w:p w14:paraId="4212DE0A">
                  <w:pPr>
                    <w:spacing w:line="240" w:lineRule="auto"/>
                    <w:ind w:firstLine="0" w:firstLineChars="0"/>
                    <w:jc w:val="center"/>
                    <w:rPr>
                      <w:sz w:val="21"/>
                      <w:szCs w:val="21"/>
                    </w:rPr>
                  </w:pPr>
                  <w:r>
                    <w:rPr>
                      <w:sz w:val="21"/>
                      <w:szCs w:val="21"/>
                    </w:rPr>
                    <w:t>润滑油</w:t>
                  </w:r>
                </w:p>
              </w:tc>
              <w:tc>
                <w:tcPr>
                  <w:tcW w:w="918" w:type="pct"/>
                  <w:shd w:val="clear" w:color="auto" w:fill="FFFFFF" w:themeFill="background1"/>
                  <w:vAlign w:val="center"/>
                </w:tcPr>
                <w:p w14:paraId="68DCF14F">
                  <w:pPr>
                    <w:snapToGrid w:val="0"/>
                    <w:spacing w:line="240" w:lineRule="auto"/>
                    <w:ind w:firstLine="0" w:firstLineChars="0"/>
                    <w:jc w:val="center"/>
                    <w:rPr>
                      <w:sz w:val="21"/>
                      <w:szCs w:val="21"/>
                    </w:rPr>
                  </w:pPr>
                  <w:r>
                    <w:rPr>
                      <w:sz w:val="21"/>
                      <w:szCs w:val="21"/>
                    </w:rPr>
                    <w:t>0.26</w:t>
                  </w:r>
                </w:p>
              </w:tc>
              <w:tc>
                <w:tcPr>
                  <w:tcW w:w="760" w:type="pct"/>
                  <w:shd w:val="clear" w:color="auto" w:fill="FFFFFF" w:themeFill="background1"/>
                  <w:vAlign w:val="center"/>
                </w:tcPr>
                <w:p w14:paraId="7F224F11">
                  <w:pPr>
                    <w:spacing w:line="240" w:lineRule="auto"/>
                    <w:ind w:firstLine="0" w:firstLineChars="0"/>
                    <w:jc w:val="center"/>
                    <w:rPr>
                      <w:sz w:val="21"/>
                      <w:szCs w:val="21"/>
                    </w:rPr>
                  </w:pPr>
                  <w:r>
                    <w:rPr>
                      <w:sz w:val="21"/>
                      <w:szCs w:val="21"/>
                    </w:rPr>
                    <w:t>2500</w:t>
                  </w:r>
                </w:p>
              </w:tc>
              <w:tc>
                <w:tcPr>
                  <w:tcW w:w="630" w:type="pct"/>
                  <w:shd w:val="clear" w:color="auto" w:fill="FFFFFF" w:themeFill="background1"/>
                  <w:vAlign w:val="center"/>
                </w:tcPr>
                <w:p w14:paraId="62404A8A">
                  <w:pPr>
                    <w:spacing w:line="240" w:lineRule="auto"/>
                    <w:ind w:firstLine="0" w:firstLineChars="0"/>
                    <w:jc w:val="center"/>
                    <w:rPr>
                      <w:sz w:val="21"/>
                      <w:szCs w:val="21"/>
                    </w:rPr>
                  </w:pPr>
                  <w:r>
                    <w:rPr>
                      <w:sz w:val="21"/>
                      <w:szCs w:val="21"/>
                    </w:rPr>
                    <w:t>泄漏</w:t>
                  </w:r>
                </w:p>
              </w:tc>
              <w:tc>
                <w:tcPr>
                  <w:tcW w:w="820" w:type="pct"/>
                  <w:shd w:val="clear" w:color="auto" w:fill="FFFFFF" w:themeFill="background1"/>
                  <w:vAlign w:val="center"/>
                </w:tcPr>
                <w:p w14:paraId="57788AA4">
                  <w:pPr>
                    <w:spacing w:line="240" w:lineRule="auto"/>
                    <w:ind w:firstLine="0" w:firstLineChars="0"/>
                    <w:jc w:val="center"/>
                    <w:rPr>
                      <w:sz w:val="21"/>
                      <w:szCs w:val="21"/>
                    </w:rPr>
                  </w:pPr>
                  <w:r>
                    <w:rPr>
                      <w:sz w:val="21"/>
                      <w:szCs w:val="21"/>
                    </w:rPr>
                    <w:t>0.000104</w:t>
                  </w:r>
                </w:p>
              </w:tc>
            </w:tr>
            <w:tr w14:paraId="59D4CE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179" w:type="pct"/>
                  <w:gridSpan w:val="6"/>
                  <w:shd w:val="clear" w:color="auto" w:fill="FFFFFF" w:themeFill="background1"/>
                  <w:vAlign w:val="center"/>
                </w:tcPr>
                <w:p w14:paraId="274FEEB5">
                  <w:pPr>
                    <w:spacing w:line="240" w:lineRule="auto"/>
                    <w:ind w:firstLine="0" w:firstLineChars="0"/>
                    <w:jc w:val="center"/>
                    <w:rPr>
                      <w:sz w:val="21"/>
                      <w:szCs w:val="21"/>
                    </w:rPr>
                  </w:pPr>
                  <w:r>
                    <w:rPr>
                      <w:sz w:val="21"/>
                      <w:szCs w:val="21"/>
                    </w:rPr>
                    <w:t>合计</w:t>
                  </w:r>
                </w:p>
              </w:tc>
              <w:tc>
                <w:tcPr>
                  <w:tcW w:w="820" w:type="pct"/>
                  <w:shd w:val="clear" w:color="auto" w:fill="FFFFFF" w:themeFill="background1"/>
                </w:tcPr>
                <w:p w14:paraId="40856DDF">
                  <w:pPr>
                    <w:spacing w:line="240" w:lineRule="auto"/>
                    <w:ind w:firstLine="0" w:firstLineChars="0"/>
                    <w:jc w:val="center"/>
                    <w:rPr>
                      <w:rFonts w:hint="default" w:eastAsia="宋体"/>
                      <w:sz w:val="21"/>
                      <w:szCs w:val="21"/>
                      <w:lang w:val="en-US" w:eastAsia="zh-CN"/>
                    </w:rPr>
                  </w:pPr>
                  <w:r>
                    <w:rPr>
                      <w:sz w:val="21"/>
                      <w:szCs w:val="21"/>
                    </w:rPr>
                    <w:t>0.00</w:t>
                  </w:r>
                  <w:r>
                    <w:rPr>
                      <w:rFonts w:hint="eastAsia"/>
                      <w:sz w:val="21"/>
                      <w:szCs w:val="21"/>
                      <w:lang w:val="en-US" w:eastAsia="zh-CN"/>
                    </w:rPr>
                    <w:t>0208</w:t>
                  </w:r>
                </w:p>
              </w:tc>
            </w:tr>
          </w:tbl>
          <w:p w14:paraId="5410DFBB">
            <w:pPr>
              <w:ind w:firstLine="480"/>
              <w:rPr>
                <w:kern w:val="0"/>
              </w:rPr>
            </w:pPr>
            <w:r>
              <w:t>项目危险物质储存量小于临界量，因此，本项目不开展环境风险专项评价。</w:t>
            </w:r>
            <w:r>
              <w:rPr>
                <w:kern w:val="0"/>
              </w:rPr>
              <w:t>经计算，建设项目涉及的危险物质与临界量的比值（Q）Q=0.00</w:t>
            </w:r>
            <w:r>
              <w:rPr>
                <w:rFonts w:hint="eastAsia"/>
                <w:kern w:val="0"/>
                <w:lang w:val="en-US" w:eastAsia="zh-CN"/>
              </w:rPr>
              <w:t>0208</w:t>
            </w:r>
            <w:r>
              <w:rPr>
                <w:kern w:val="0"/>
              </w:rPr>
              <w:t>，Q＜1，则本项目环境风险潜势为Ⅰ。</w:t>
            </w:r>
          </w:p>
          <w:p w14:paraId="2663F4E8">
            <w:pPr>
              <w:pStyle w:val="61"/>
              <w:tabs>
                <w:tab w:val="left" w:pos="0"/>
                <w:tab w:val="right" w:leader="dot" w:pos="8302"/>
              </w:tabs>
              <w:adjustRightInd w:val="0"/>
              <w:snapToGrid w:val="0"/>
              <w:ind w:firstLine="480"/>
              <w:rPr>
                <w:rFonts w:hAnsi="Times New Roman"/>
                <w:bCs/>
                <w:szCs w:val="24"/>
              </w:rPr>
            </w:pPr>
            <w:r>
              <w:rPr>
                <w:rFonts w:hAnsi="Times New Roman"/>
                <w:bCs/>
                <w:szCs w:val="24"/>
              </w:rPr>
              <w:fldChar w:fldCharType="begin"/>
            </w:r>
            <w:r>
              <w:rPr>
                <w:rFonts w:hAnsi="Times New Roman"/>
                <w:bCs/>
                <w:szCs w:val="24"/>
              </w:rPr>
              <w:instrText xml:space="preserve"> = 3 \* GB2 \* MERGEFORMAT </w:instrText>
            </w:r>
            <w:r>
              <w:rPr>
                <w:rFonts w:hAnsi="Times New Roman"/>
                <w:bCs/>
                <w:szCs w:val="24"/>
              </w:rPr>
              <w:fldChar w:fldCharType="separate"/>
            </w:r>
            <w:r>
              <w:t>⑶</w:t>
            </w:r>
            <w:r>
              <w:rPr>
                <w:rFonts w:hAnsi="Times New Roman"/>
                <w:bCs/>
                <w:szCs w:val="24"/>
              </w:rPr>
              <w:fldChar w:fldCharType="end"/>
            </w:r>
            <w:r>
              <w:rPr>
                <w:rFonts w:hAnsi="Times New Roman"/>
                <w:bCs/>
                <w:szCs w:val="24"/>
              </w:rPr>
              <w:t>环境风险影响分析</w:t>
            </w:r>
          </w:p>
          <w:p w14:paraId="63B7384E">
            <w:pPr>
              <w:pStyle w:val="61"/>
              <w:tabs>
                <w:tab w:val="left" w:pos="0"/>
                <w:tab w:val="right" w:leader="dot" w:pos="8302"/>
              </w:tabs>
              <w:adjustRightInd w:val="0"/>
              <w:snapToGrid w:val="0"/>
              <w:ind w:firstLine="480"/>
              <w:rPr>
                <w:rFonts w:hAnsi="Times New Roman"/>
                <w:kern w:val="0"/>
                <w:szCs w:val="24"/>
              </w:rPr>
            </w:pPr>
            <w:r>
              <w:rPr>
                <w:rFonts w:hAnsi="Times New Roman"/>
                <w:kern w:val="0"/>
                <w:szCs w:val="24"/>
              </w:rPr>
              <w:t>本项目环境风险事件为挖掘机柴油泄漏、机油桶泄漏、润滑油桶泄漏，露天采场和表土堆放场边坡失稳事故。</w:t>
            </w:r>
          </w:p>
          <w:p w14:paraId="06F7E1E1">
            <w:pPr>
              <w:pStyle w:val="61"/>
              <w:tabs>
                <w:tab w:val="left" w:pos="0"/>
                <w:tab w:val="right" w:leader="dot" w:pos="8302"/>
              </w:tabs>
              <w:adjustRightInd w:val="0"/>
              <w:snapToGrid w:val="0"/>
              <w:ind w:firstLine="480"/>
              <w:rPr>
                <w:rFonts w:hAnsi="Times New Roman"/>
                <w:kern w:val="0"/>
                <w:szCs w:val="24"/>
              </w:rPr>
            </w:pPr>
            <w:r>
              <w:rPr>
                <w:rFonts w:hAnsi="Times New Roman"/>
                <w:kern w:val="0"/>
                <w:szCs w:val="24"/>
              </w:rPr>
              <w:fldChar w:fldCharType="begin"/>
            </w:r>
            <w:r>
              <w:rPr>
                <w:rFonts w:hAnsi="Times New Roman"/>
                <w:kern w:val="0"/>
                <w:szCs w:val="24"/>
              </w:rPr>
              <w:instrText xml:space="preserve"> = 4 \* GB2 \* MERGEFORMAT </w:instrText>
            </w:r>
            <w:r>
              <w:rPr>
                <w:rFonts w:hAnsi="Times New Roman"/>
                <w:kern w:val="0"/>
                <w:szCs w:val="24"/>
              </w:rPr>
              <w:fldChar w:fldCharType="separate"/>
            </w:r>
            <w:r>
              <w:t>⑷</w:t>
            </w:r>
            <w:r>
              <w:rPr>
                <w:rFonts w:hAnsi="Times New Roman"/>
                <w:kern w:val="0"/>
                <w:szCs w:val="24"/>
              </w:rPr>
              <w:fldChar w:fldCharType="end"/>
            </w:r>
            <w:r>
              <w:rPr>
                <w:rFonts w:hAnsi="Times New Roman"/>
                <w:kern w:val="0"/>
                <w:szCs w:val="24"/>
              </w:rPr>
              <w:t>环境风险防范措施</w:t>
            </w:r>
          </w:p>
          <w:p w14:paraId="6EA12A89">
            <w:pPr>
              <w:pStyle w:val="61"/>
              <w:tabs>
                <w:tab w:val="left" w:pos="0"/>
                <w:tab w:val="right" w:leader="dot" w:pos="8302"/>
              </w:tabs>
              <w:adjustRightInd w:val="0"/>
              <w:snapToGrid w:val="0"/>
              <w:ind w:firstLine="480"/>
              <w:rPr>
                <w:rFonts w:hAnsi="Times New Roman"/>
                <w:kern w:val="0"/>
                <w:szCs w:val="24"/>
              </w:rPr>
            </w:pPr>
            <w:r>
              <w:rPr>
                <w:rFonts w:hAnsi="Times New Roman"/>
                <w:kern w:val="0"/>
                <w:szCs w:val="24"/>
              </w:rPr>
              <w:t>①强化岗位责任制，严格各项操作规程和奖惩制度，除设置专门环保机构外，各生产部门都要设专人负责本部门的安全和环保问题，对容易发生事故的环节，必须经常检查，杜绝隐患，发现问题及时通知有关部门</w:t>
            </w:r>
            <w:r>
              <w:rPr>
                <w:rFonts w:hint="eastAsia" w:hAnsi="Times New Roman"/>
                <w:kern w:val="0"/>
                <w:szCs w:val="24"/>
              </w:rPr>
              <w:t>。</w:t>
            </w:r>
          </w:p>
          <w:p w14:paraId="37E9B3A5">
            <w:pPr>
              <w:pStyle w:val="61"/>
              <w:tabs>
                <w:tab w:val="left" w:pos="0"/>
                <w:tab w:val="right" w:leader="dot" w:pos="8302"/>
              </w:tabs>
              <w:adjustRightInd w:val="0"/>
              <w:snapToGrid w:val="0"/>
              <w:ind w:firstLine="480"/>
              <w:rPr>
                <w:rFonts w:hAnsi="Times New Roman"/>
                <w:kern w:val="0"/>
                <w:szCs w:val="24"/>
              </w:rPr>
            </w:pPr>
            <w:r>
              <w:rPr>
                <w:rFonts w:hAnsi="Times New Roman"/>
                <w:kern w:val="0"/>
                <w:szCs w:val="24"/>
              </w:rPr>
              <w:t>②开采平台要有一定的安全宽度，按规范设立合理的宽度，保证边坡的强度在雨季也不会出现失稳、裂缝、变形等状况出现，开采平台宽度按照项目开发方案设置，做好边坡的截排水沟工作。表土堆放场设置拦渣坝。</w:t>
            </w:r>
          </w:p>
          <w:p w14:paraId="1B9D8DBF">
            <w:pPr>
              <w:pStyle w:val="61"/>
              <w:tabs>
                <w:tab w:val="left" w:pos="0"/>
                <w:tab w:val="right" w:leader="dot" w:pos="8302"/>
              </w:tabs>
              <w:adjustRightInd w:val="0"/>
              <w:snapToGrid w:val="0"/>
              <w:ind w:firstLine="480"/>
              <w:rPr>
                <w:rFonts w:hAnsi="Times New Roman"/>
                <w:kern w:val="0"/>
                <w:szCs w:val="24"/>
              </w:rPr>
            </w:pPr>
            <w:r>
              <w:rPr>
                <w:rFonts w:hAnsi="Times New Roman"/>
                <w:kern w:val="0"/>
                <w:szCs w:val="24"/>
              </w:rPr>
              <w:t>③坚持从上至下逐层开采的原则。严格禁止一面坡的开采方式，按要求设置台阶高度和台阶坡面角。</w:t>
            </w:r>
          </w:p>
          <w:p w14:paraId="065392D6">
            <w:pPr>
              <w:pStyle w:val="61"/>
              <w:tabs>
                <w:tab w:val="left" w:pos="0"/>
                <w:tab w:val="right" w:leader="dot" w:pos="8302"/>
              </w:tabs>
              <w:adjustRightInd w:val="0"/>
              <w:snapToGrid w:val="0"/>
              <w:ind w:firstLine="480"/>
              <w:rPr>
                <w:rFonts w:hAnsi="Times New Roman"/>
                <w:kern w:val="0"/>
                <w:szCs w:val="24"/>
              </w:rPr>
            </w:pPr>
            <w:r>
              <w:rPr>
                <w:rFonts w:hAnsi="Times New Roman"/>
                <w:kern w:val="0"/>
                <w:szCs w:val="24"/>
              </w:rPr>
              <w:t>④加强对采矿边坡和台阶的检查，及时清除松石，加固不稳定的边坡。边坡高处作业要使用安全防护用具，并且要安全可靠，定期对表土堆放场拦渣坝进行安全检查。</w:t>
            </w:r>
          </w:p>
          <w:p w14:paraId="4F34C2EE">
            <w:pPr>
              <w:pStyle w:val="61"/>
              <w:tabs>
                <w:tab w:val="left" w:pos="0"/>
                <w:tab w:val="right" w:leader="dot" w:pos="8302"/>
              </w:tabs>
              <w:adjustRightInd w:val="0"/>
              <w:snapToGrid w:val="0"/>
              <w:ind w:firstLine="480"/>
              <w:rPr>
                <w:rFonts w:hAnsi="Times New Roman"/>
                <w:kern w:val="0"/>
                <w:szCs w:val="24"/>
              </w:rPr>
            </w:pPr>
            <w:r>
              <w:rPr>
                <w:rFonts w:hAnsi="Times New Roman"/>
                <w:kern w:val="0"/>
                <w:szCs w:val="24"/>
              </w:rPr>
              <w:t>⑤设备在高处作业时，要停在地基平稳和坡度不大的台阶上，操作要符合规程要求。</w:t>
            </w:r>
          </w:p>
          <w:p w14:paraId="3626FE3A">
            <w:pPr>
              <w:pStyle w:val="61"/>
              <w:tabs>
                <w:tab w:val="left" w:pos="0"/>
                <w:tab w:val="right" w:leader="dot" w:pos="8302"/>
              </w:tabs>
              <w:adjustRightInd w:val="0"/>
              <w:snapToGrid w:val="0"/>
              <w:ind w:firstLine="480"/>
              <w:rPr>
                <w:rFonts w:hAnsi="Times New Roman"/>
                <w:kern w:val="0"/>
                <w:szCs w:val="24"/>
              </w:rPr>
            </w:pPr>
            <w:r>
              <w:rPr>
                <w:rFonts w:hAnsi="Times New Roman"/>
                <w:kern w:val="0"/>
                <w:szCs w:val="24"/>
              </w:rPr>
              <w:t>⑥应严格按照开采设计，由上而下按顺序开采，避免无序开采。</w:t>
            </w:r>
          </w:p>
          <w:p w14:paraId="10F3C1C7">
            <w:pPr>
              <w:pStyle w:val="61"/>
              <w:tabs>
                <w:tab w:val="left" w:pos="0"/>
                <w:tab w:val="right" w:leader="dot" w:pos="8302"/>
              </w:tabs>
              <w:adjustRightInd w:val="0"/>
              <w:snapToGrid w:val="0"/>
              <w:ind w:firstLine="480"/>
              <w:rPr>
                <w:rFonts w:hAnsi="Times New Roman"/>
                <w:kern w:val="0"/>
                <w:szCs w:val="24"/>
              </w:rPr>
            </w:pPr>
            <w:r>
              <w:rPr>
                <w:rFonts w:hAnsi="Times New Roman"/>
                <w:kern w:val="0"/>
                <w:szCs w:val="24"/>
              </w:rPr>
              <w:t>⑦本项目现场不储存柴油，为防止供油车辆发生柴油泄漏及润滑油桶、机油桶发生破损泄漏事故，采取以下防范措施。</w:t>
            </w:r>
          </w:p>
          <w:p w14:paraId="725DA670">
            <w:pPr>
              <w:pStyle w:val="61"/>
              <w:tabs>
                <w:tab w:val="left" w:pos="0"/>
                <w:tab w:val="right" w:leader="dot" w:pos="8302"/>
              </w:tabs>
              <w:adjustRightInd w:val="0"/>
              <w:snapToGrid w:val="0"/>
              <w:ind w:firstLine="480"/>
              <w:rPr>
                <w:rFonts w:hAnsi="Times New Roman"/>
                <w:kern w:val="0"/>
                <w:szCs w:val="24"/>
              </w:rPr>
            </w:pPr>
            <w:r>
              <w:rPr>
                <w:rFonts w:hAnsi="Times New Roman"/>
                <w:kern w:val="0"/>
                <w:szCs w:val="24"/>
              </w:rPr>
              <w:t>在项目现场准备好泄漏物清理工具和盛装容器，以便在泄漏事故发生后能及时清理泄漏物，防止污染物渗入地下水；在泄漏物清理后及时用水冲洗地面；准备好土壤挖掘工具和盛装容器，以便能及时处理受泄漏物影响的土壤，防止土壤中污染物进一步下渗影响地下水。</w:t>
            </w:r>
          </w:p>
          <w:p w14:paraId="0DC70AE8">
            <w:pPr>
              <w:pStyle w:val="61"/>
              <w:tabs>
                <w:tab w:val="left" w:pos="0"/>
                <w:tab w:val="right" w:leader="dot" w:pos="8302"/>
              </w:tabs>
              <w:adjustRightInd w:val="0"/>
              <w:snapToGrid w:val="0"/>
              <w:ind w:firstLine="480"/>
              <w:rPr>
                <w:rFonts w:hAnsi="Times New Roman"/>
                <w:szCs w:val="24"/>
              </w:rPr>
            </w:pPr>
            <w:r>
              <w:rPr>
                <w:rFonts w:hAnsi="Times New Roman"/>
                <w:kern w:val="0"/>
                <w:szCs w:val="24"/>
              </w:rPr>
              <w:t>⑧火灾事故风险防范措施：消除和控制明火源，配备灭火器、消防沙等消防物资，以便及时扑灭初期火灾；如发生事故，产生的消防废水需收集到沉淀池，确保消防废水不会直接排入水体</w:t>
            </w:r>
            <w:r>
              <w:rPr>
                <w:rFonts w:hAnsi="Times New Roman"/>
                <w:szCs w:val="24"/>
              </w:rPr>
              <w:t>。</w:t>
            </w:r>
          </w:p>
          <w:p w14:paraId="27FA0F45">
            <w:pPr>
              <w:autoSpaceDE w:val="0"/>
              <w:autoSpaceDN w:val="0"/>
              <w:adjustRightInd w:val="0"/>
              <w:ind w:firstLine="480"/>
              <w:jc w:val="left"/>
              <w:rPr>
                <w:kern w:val="0"/>
              </w:rPr>
            </w:pPr>
            <w:r>
              <w:rPr>
                <w:kern w:val="0"/>
              </w:rPr>
              <w:fldChar w:fldCharType="begin"/>
            </w:r>
            <w:r>
              <w:rPr>
                <w:kern w:val="0"/>
              </w:rPr>
              <w:instrText xml:space="preserve"> = 5 \* GB2 \* MERGEFORMAT </w:instrText>
            </w:r>
            <w:r>
              <w:rPr>
                <w:kern w:val="0"/>
              </w:rPr>
              <w:fldChar w:fldCharType="separate"/>
            </w:r>
            <w:r>
              <w:t>⑸</w:t>
            </w:r>
            <w:r>
              <w:rPr>
                <w:kern w:val="0"/>
              </w:rPr>
              <w:fldChar w:fldCharType="end"/>
            </w:r>
            <w:r>
              <w:rPr>
                <w:kern w:val="0"/>
              </w:rPr>
              <w:t>环境风险结论</w:t>
            </w:r>
          </w:p>
          <w:p w14:paraId="3F288B41">
            <w:pPr>
              <w:adjustRightInd w:val="0"/>
              <w:snapToGrid w:val="0"/>
              <w:ind w:firstLine="480"/>
              <w:rPr>
                <w:snapToGrid w:val="0"/>
                <w:color w:val="FF0000"/>
                <w:sz w:val="30"/>
                <w:szCs w:val="30"/>
              </w:rPr>
            </w:pPr>
            <w:r>
              <w:rPr>
                <w:kern w:val="0"/>
              </w:rPr>
              <w:t>本项目不属于重大危险源，虽然存在事故风险的可能性，但建设单位只要按照设计要求严格施工，认真执行评价所提出的各项综合风险防范措施后，可把事故发生的概率降至最低。采取有效的风险应急措施，对项目风险事故的环境影响控制在可接受范围内。</w:t>
            </w:r>
          </w:p>
        </w:tc>
      </w:tr>
      <w:tr w14:paraId="729E1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9" w:hRule="atLeast"/>
          <w:jc w:val="center"/>
        </w:trPr>
        <w:tc>
          <w:tcPr>
            <w:tcW w:w="925" w:type="dxa"/>
            <w:vAlign w:val="center"/>
          </w:tcPr>
          <w:p w14:paraId="07597001">
            <w:pPr>
              <w:adjustRightInd w:val="0"/>
              <w:snapToGrid w:val="0"/>
              <w:ind w:firstLine="0" w:firstLineChars="0"/>
              <w:jc w:val="center"/>
            </w:pPr>
            <w:r>
              <w:rPr>
                <w:bCs/>
                <w:spacing w:val="10"/>
              </w:rPr>
              <w:t>选址选线环境合理性分析</w:t>
            </w:r>
          </w:p>
        </w:tc>
        <w:tc>
          <w:tcPr>
            <w:tcW w:w="7604" w:type="dxa"/>
          </w:tcPr>
          <w:p w14:paraId="0D2A9C6D">
            <w:pPr>
              <w:adjustRightInd w:val="0"/>
              <w:snapToGrid w:val="0"/>
              <w:ind w:firstLine="480"/>
            </w:pPr>
            <w:r>
              <w:rPr>
                <w:rFonts w:hint="eastAsia"/>
              </w:rPr>
              <w:t>本项目位于</w:t>
            </w:r>
            <w:r>
              <w:t>陕西省宝鸡市陈仓区</w:t>
            </w:r>
            <w:r>
              <w:rPr>
                <w:rFonts w:hint="eastAsia"/>
              </w:rPr>
              <w:t>香泉镇梨树沟，矿区范围涉及宝鸡市陈仓区，建设单位（宝鸡昌锦瑞石英科技有限公司）已取得宝鸡昌锦瑞石英科技有限公司梨树沟冶金用脉石英矿采矿权（见附件3），开采区用地勘测定界已由宝鸡市自然资源和规划局确认。根据《宝鸡昌锦瑞石英科技有限公司梨树沟冶金用脉石英矿项目永久占用林地的报告审查意见》（见附件7），均为国家二级公益林。根据宝鸡市陈仓区人民政府出具《关于陕西省宝鸡市陈仓区-陇县梨树沟-中南沟脉石英矿探矿权（陈仓区部分）出让意见的复函》（见附件6）用地范围不涉及基本农田保护区、生态红线等，符合“三区三线”管控要求。在落实工业场地各项环保措施及生态恢复后，从满足环境质量标准要求角度分析，选址基本合理。</w:t>
            </w:r>
          </w:p>
          <w:p w14:paraId="36BFAEB5">
            <w:pPr>
              <w:ind w:firstLine="0" w:firstLineChars="0"/>
            </w:pPr>
          </w:p>
        </w:tc>
      </w:tr>
    </w:tbl>
    <w:p w14:paraId="14C7A5DC">
      <w:pPr>
        <w:pStyle w:val="20"/>
        <w:sectPr>
          <w:pgSz w:w="11907" w:h="16840"/>
          <w:pgMar w:top="1440" w:right="1797" w:bottom="1440" w:left="1797" w:header="851" w:footer="1077" w:gutter="0"/>
          <w:cols w:space="720" w:num="1"/>
          <w:docGrid w:linePitch="312" w:charSpace="0"/>
        </w:sectPr>
      </w:pPr>
    </w:p>
    <w:p w14:paraId="37B4FBBD">
      <w:pPr>
        <w:pStyle w:val="20"/>
      </w:pPr>
      <w:r>
        <w:t>五、主要生态环境保护措施</w:t>
      </w:r>
    </w:p>
    <w:tbl>
      <w:tblPr>
        <w:tblStyle w:val="24"/>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7758"/>
      </w:tblGrid>
      <w:tr w14:paraId="5EDB6C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408" w:type="pct"/>
            <w:tcMar>
              <w:left w:w="28" w:type="dxa"/>
              <w:right w:w="28" w:type="dxa"/>
            </w:tcMar>
            <w:vAlign w:val="center"/>
          </w:tcPr>
          <w:p w14:paraId="352A45D9">
            <w:pPr>
              <w:adjustRightInd w:val="0"/>
              <w:snapToGrid w:val="0"/>
              <w:ind w:firstLine="0" w:firstLineChars="0"/>
              <w:jc w:val="center"/>
              <w:rPr>
                <w:bCs/>
                <w:color w:val="FF0000"/>
              </w:rPr>
            </w:pPr>
            <w:r>
              <w:rPr>
                <w:bCs/>
                <w:spacing w:val="10"/>
              </w:rPr>
              <w:t>施工期生态环境保护措施</w:t>
            </w:r>
          </w:p>
        </w:tc>
        <w:tc>
          <w:tcPr>
            <w:tcW w:w="4591" w:type="pct"/>
          </w:tcPr>
          <w:p w14:paraId="6982E459">
            <w:pPr>
              <w:pStyle w:val="2"/>
              <w:rPr>
                <w:rFonts w:eastAsia="宋体"/>
                <w:color w:val="auto"/>
                <w:szCs w:val="24"/>
              </w:rPr>
            </w:pPr>
            <w:r>
              <w:rPr>
                <w:rFonts w:hint="eastAsia" w:eastAsia="宋体"/>
                <w:color w:val="auto"/>
                <w:szCs w:val="24"/>
                <w:lang w:val="en-US" w:eastAsia="zh-CN"/>
              </w:rPr>
              <w:t>1</w:t>
            </w:r>
            <w:r>
              <w:rPr>
                <w:rFonts w:eastAsia="宋体"/>
                <w:color w:val="auto"/>
                <w:szCs w:val="24"/>
              </w:rPr>
              <w:t>、施工期污染影响防治措施</w:t>
            </w:r>
          </w:p>
          <w:p w14:paraId="5D7F2CC8">
            <w:pPr>
              <w:pStyle w:val="51"/>
              <w:ind w:firstLine="482"/>
              <w:rPr>
                <w:b/>
                <w:bCs/>
                <w:color w:val="0000FF"/>
                <w:szCs w:val="24"/>
              </w:rPr>
            </w:pPr>
            <w:r>
              <w:rPr>
                <w:b/>
                <w:bCs/>
                <w:color w:val="0000FF"/>
                <w:szCs w:val="24"/>
              </w:rPr>
              <w:fldChar w:fldCharType="begin"/>
            </w:r>
            <w:r>
              <w:rPr>
                <w:b/>
                <w:bCs/>
                <w:color w:val="0000FF"/>
                <w:szCs w:val="24"/>
              </w:rPr>
              <w:instrText xml:space="preserve"> = 1 \* GB2 \* MERGEFORMAT </w:instrText>
            </w:r>
            <w:r>
              <w:rPr>
                <w:b/>
                <w:bCs/>
                <w:color w:val="0000FF"/>
                <w:szCs w:val="24"/>
              </w:rPr>
              <w:fldChar w:fldCharType="separate"/>
            </w:r>
            <w:r>
              <w:rPr>
                <w:color w:val="0000FF"/>
              </w:rPr>
              <w:t>⑴</w:t>
            </w:r>
            <w:r>
              <w:rPr>
                <w:b/>
                <w:bCs/>
                <w:color w:val="0000FF"/>
                <w:szCs w:val="24"/>
              </w:rPr>
              <w:fldChar w:fldCharType="end"/>
            </w:r>
            <w:r>
              <w:rPr>
                <w:b/>
                <w:bCs/>
                <w:color w:val="0000FF"/>
                <w:szCs w:val="24"/>
              </w:rPr>
              <w:t>废气污染防治措施</w:t>
            </w:r>
          </w:p>
          <w:p w14:paraId="72E5D78F">
            <w:pPr>
              <w:pStyle w:val="55"/>
              <w:ind w:firstLine="480"/>
              <w:rPr>
                <w:color w:val="0000FF"/>
              </w:rPr>
            </w:pPr>
            <w:r>
              <w:rPr>
                <w:rFonts w:hint="eastAsia"/>
                <w:color w:val="0000FF"/>
              </w:rPr>
              <w:t>1</w:t>
            </w:r>
            <w:r>
              <w:rPr>
                <w:color w:val="0000FF"/>
              </w:rPr>
              <w:t>）施工扬尘</w:t>
            </w:r>
          </w:p>
          <w:p w14:paraId="768B8028">
            <w:pPr>
              <w:pStyle w:val="55"/>
              <w:ind w:firstLine="480"/>
              <w:rPr>
                <w:color w:val="0000FF"/>
              </w:rPr>
            </w:pPr>
            <w:r>
              <w:rPr>
                <w:color w:val="0000FF"/>
              </w:rPr>
              <w:t>根据《</w:t>
            </w:r>
            <w:r>
              <w:rPr>
                <w:rFonts w:hint="eastAsia"/>
                <w:color w:val="0000FF"/>
              </w:rPr>
              <w:t>宝鸡市</w:t>
            </w:r>
            <w:r>
              <w:rPr>
                <w:color w:val="0000FF"/>
              </w:rPr>
              <w:t>大气污染防治条例》等有关规定，施工期合理安排工期，尽可能加快施工进度，减少施工时间；强化施工扬尘监管。严格落实建设项目“洒水、覆盖、硬化、冲洗、绿化、围挡”六个100%措施。</w:t>
            </w:r>
          </w:p>
          <w:p w14:paraId="60C07E6F">
            <w:pPr>
              <w:pStyle w:val="55"/>
              <w:ind w:firstLine="480"/>
              <w:rPr>
                <w:color w:val="0000FF"/>
              </w:rPr>
            </w:pPr>
            <w:r>
              <w:rPr>
                <w:rFonts w:hint="eastAsia"/>
                <w:color w:val="0000FF"/>
              </w:rPr>
              <w:t>2</w:t>
            </w:r>
            <w:r>
              <w:rPr>
                <w:color w:val="0000FF"/>
              </w:rPr>
              <w:t>）运输车辆扬尘</w:t>
            </w:r>
          </w:p>
          <w:p w14:paraId="6BB612CA">
            <w:pPr>
              <w:pStyle w:val="55"/>
              <w:ind w:firstLine="480"/>
              <w:rPr>
                <w:color w:val="0000FF"/>
              </w:rPr>
            </w:pPr>
            <w:r>
              <w:rPr>
                <w:color w:val="0000FF"/>
              </w:rPr>
              <w:t>本项目施工期扬尘主要来自场地平整、路基开挖、路基开挖及路基填筑等。施工扬尘的产生及影响程度与施工季节、施工管理和风力等气候因素密切相关，如遇干旱大风扬尘影响则较为严重。根据类比资料，在一般气象条件下，平均风速2.6m/s的施工扬尘污染有如下特点：建筑工地内TSP浓度为上风向对照点的1.5-2.3倍；在建筑工地扬尘点下风向150m处，TSP平均浓度可达0.49mg/Nm</w:t>
            </w:r>
            <w:r>
              <w:rPr>
                <w:color w:val="0000FF"/>
                <w:vertAlign w:val="superscript"/>
              </w:rPr>
              <w:t>3</w:t>
            </w:r>
            <w:r>
              <w:rPr>
                <w:color w:val="0000FF"/>
              </w:rPr>
              <w:t>左右，相当大气质量标准1.6倍。根据有关研究，车辆行驶产生的扬尘占总扬尘的60%以上。扬尘的产生量及扬尘污染程度与车辆运输方式、路面状况、天气条件等因素息息相关，影响可达150-300m。如果在施工期间对车辆行驶的路面实施洒水抑尘，每天洒水4-5次，可减少扬尘量70%左右，扬尘造成的TSP污染距离可缩小到20-50m范围。</w:t>
            </w:r>
          </w:p>
          <w:p w14:paraId="42FBBE5A">
            <w:pPr>
              <w:pStyle w:val="55"/>
              <w:ind w:firstLine="480"/>
              <w:rPr>
                <w:color w:val="0000FF"/>
              </w:rPr>
            </w:pPr>
            <w:r>
              <w:rPr>
                <w:color w:val="0000FF"/>
              </w:rPr>
              <w:t>施工扬尘的另一种情况是开挖土方的露天堆放，这类扬尘与受作业时风速的大小有关，因此，避免在大风天气进行土地开挖和回填作业，减少开挖土方的露天堆放时间尽量随挖随填是抑制这类扬尘的有效手段。</w:t>
            </w:r>
          </w:p>
          <w:p w14:paraId="4EC25CFC">
            <w:pPr>
              <w:pStyle w:val="55"/>
              <w:ind w:firstLine="480"/>
              <w:rPr>
                <w:color w:val="0000FF"/>
              </w:rPr>
            </w:pPr>
            <w:r>
              <w:rPr>
                <w:color w:val="0000FF"/>
              </w:rPr>
              <w:t>另外，由于道路的扬尘量与车辆行驶对路面扰动有关与车辆的速度有关，速度愈快对路面的扰动越大，其扬尘量势必愈大。为避免施工扬尘，采取的防治措施如下：</w:t>
            </w:r>
          </w:p>
          <w:p w14:paraId="117604AB">
            <w:pPr>
              <w:pStyle w:val="55"/>
              <w:ind w:firstLine="480"/>
              <w:rPr>
                <w:color w:val="0000FF"/>
              </w:rPr>
            </w:pPr>
            <w:r>
              <w:rPr>
                <w:color w:val="0000FF"/>
              </w:rPr>
              <w:t>（1）施工场地每天适时洒水降尘，大风天气下禁止进行土方开挖作业。</w:t>
            </w:r>
          </w:p>
          <w:p w14:paraId="779DD4C8">
            <w:pPr>
              <w:pStyle w:val="55"/>
              <w:ind w:firstLine="480"/>
              <w:rPr>
                <w:color w:val="0000FF"/>
              </w:rPr>
            </w:pPr>
            <w:r>
              <w:rPr>
                <w:color w:val="0000FF"/>
              </w:rPr>
              <w:t>（2）施工场地内运输道路及时清扫、以减少汽车行驶扬尘。</w:t>
            </w:r>
          </w:p>
          <w:p w14:paraId="7CF8F37D">
            <w:pPr>
              <w:pStyle w:val="55"/>
              <w:ind w:firstLine="480"/>
              <w:rPr>
                <w:color w:val="0000FF"/>
              </w:rPr>
            </w:pPr>
            <w:r>
              <w:rPr>
                <w:color w:val="0000FF"/>
              </w:rPr>
              <w:t>（3）运输车辆进入施工场地应低速行驶，减少产尘量。</w:t>
            </w:r>
          </w:p>
          <w:p w14:paraId="75A205E8">
            <w:pPr>
              <w:pStyle w:val="55"/>
              <w:ind w:firstLine="480"/>
              <w:rPr>
                <w:color w:val="0000FF"/>
              </w:rPr>
            </w:pPr>
            <w:r>
              <w:rPr>
                <w:color w:val="0000FF"/>
              </w:rPr>
              <w:t>（4）施工中使用水泥、石灰等易产生扬尘的建筑材料时，应采取密闭存储、设置围档或围墙、采用防尘布盖等防尘措施；</w:t>
            </w:r>
          </w:p>
          <w:p w14:paraId="63C98D17">
            <w:pPr>
              <w:pStyle w:val="55"/>
              <w:ind w:firstLine="480"/>
              <w:rPr>
                <w:color w:val="0000FF"/>
              </w:rPr>
            </w:pPr>
            <w:r>
              <w:rPr>
                <w:color w:val="0000FF"/>
              </w:rPr>
              <w:t>（5）进出工地的物料运输车辆应采用密闭车斗，并确保物料不遗撒外漏。</w:t>
            </w:r>
          </w:p>
          <w:p w14:paraId="46369647">
            <w:pPr>
              <w:pStyle w:val="55"/>
              <w:ind w:firstLine="480"/>
              <w:rPr>
                <w:color w:val="0000FF"/>
              </w:rPr>
            </w:pPr>
            <w:r>
              <w:rPr>
                <w:rFonts w:hint="eastAsia"/>
                <w:color w:val="0000FF"/>
              </w:rPr>
              <w:t>3</w:t>
            </w:r>
            <w:r>
              <w:rPr>
                <w:color w:val="0000FF"/>
              </w:rPr>
              <w:t>）施工机械及车辆尾气</w:t>
            </w:r>
          </w:p>
          <w:p w14:paraId="3730035A">
            <w:pPr>
              <w:pStyle w:val="55"/>
              <w:ind w:firstLine="480"/>
              <w:rPr>
                <w:color w:val="0000FF"/>
              </w:rPr>
            </w:pPr>
            <w:r>
              <w:rPr>
                <w:color w:val="0000FF"/>
              </w:rPr>
              <w:t>本项目施工机械主要为各种燃油机械的废气排放，运输车辆产生的尾气等。燃油机械和汽车尾气中的污染物为CO、NOx及HC等。施工机械所排放的废气较集中，在局部的范围内污染物的浓度较高。</w:t>
            </w:r>
          </w:p>
          <w:p w14:paraId="47FD5A34">
            <w:pPr>
              <w:pStyle w:val="55"/>
              <w:ind w:firstLine="480"/>
              <w:rPr>
                <w:color w:val="0000FF"/>
              </w:rPr>
            </w:pPr>
            <w:r>
              <w:rPr>
                <w:color w:val="0000FF"/>
              </w:rPr>
              <w:t>根据交通部公路研究所的测算，以载重卡车为例，测得每辆卡车的尾气中含CO37.23g/km·辆，CnHm15.98g/km·辆，NO</w:t>
            </w:r>
            <w:r>
              <w:rPr>
                <w:color w:val="0000FF"/>
                <w:vertAlign w:val="subscript"/>
              </w:rPr>
              <w:t>X</w:t>
            </w:r>
            <w:r>
              <w:rPr>
                <w:color w:val="0000FF"/>
              </w:rPr>
              <w:t>16.83g/km·辆。这些施工机械所排放的废气以无组织面源的形式排放，会对施工区大气环境造成不利影响。据有关单位在市政施工现场的测试结果表明：氮氧化物（NOx）的浓度可达150μg/m</w:t>
            </w:r>
            <w:r>
              <w:rPr>
                <w:color w:val="0000FF"/>
                <w:vertAlign w:val="superscript"/>
              </w:rPr>
              <w:t>3</w:t>
            </w:r>
            <w:r>
              <w:rPr>
                <w:color w:val="0000FF"/>
              </w:rPr>
              <w:t>，其影响范围在下风向200m以内的范围。但施工结束后，废气影响也随之消失，不会造成长期的影响。</w:t>
            </w:r>
          </w:p>
          <w:p w14:paraId="5D7A53CE">
            <w:pPr>
              <w:pStyle w:val="55"/>
              <w:ind w:firstLine="480"/>
              <w:rPr>
                <w:color w:val="0000FF"/>
              </w:rPr>
            </w:pPr>
            <w:r>
              <w:rPr>
                <w:color w:val="0000FF"/>
              </w:rPr>
              <w:t>本项目周边施工期产生的扬尘、燃油机械的废气排放以及运输车辆产生的尾气排放量较小，时间短，对周边环境影响很小。</w:t>
            </w:r>
          </w:p>
          <w:p w14:paraId="38EDFAA6">
            <w:pPr>
              <w:ind w:firstLine="482"/>
              <w:rPr>
                <w:b/>
                <w:bCs/>
                <w:color w:val="0000FF"/>
              </w:rPr>
            </w:pPr>
            <w:r>
              <w:rPr>
                <w:b/>
                <w:bCs/>
                <w:color w:val="0000FF"/>
              </w:rPr>
              <w:fldChar w:fldCharType="begin"/>
            </w:r>
            <w:r>
              <w:rPr>
                <w:b/>
                <w:bCs/>
                <w:color w:val="0000FF"/>
              </w:rPr>
              <w:instrText xml:space="preserve"> = 2 \* GB2 \* MERGEFORMAT </w:instrText>
            </w:r>
            <w:r>
              <w:rPr>
                <w:b/>
                <w:bCs/>
                <w:color w:val="0000FF"/>
              </w:rPr>
              <w:fldChar w:fldCharType="separate"/>
            </w:r>
            <w:r>
              <w:rPr>
                <w:color w:val="0000FF"/>
              </w:rPr>
              <w:t>⑵</w:t>
            </w:r>
            <w:r>
              <w:rPr>
                <w:b/>
                <w:bCs/>
                <w:color w:val="0000FF"/>
              </w:rPr>
              <w:fldChar w:fldCharType="end"/>
            </w:r>
            <w:r>
              <w:rPr>
                <w:b/>
                <w:bCs/>
                <w:color w:val="0000FF"/>
              </w:rPr>
              <w:t>废水污染防治措施</w:t>
            </w:r>
          </w:p>
          <w:p w14:paraId="502C1FA1">
            <w:pPr>
              <w:ind w:firstLine="480"/>
              <w:rPr>
                <w:rFonts w:hint="eastAsia"/>
                <w:color w:val="0000FF"/>
              </w:rPr>
            </w:pPr>
            <w:r>
              <w:rPr>
                <w:rFonts w:hint="eastAsia"/>
                <w:color w:val="0000FF"/>
              </w:rPr>
              <w:t>施工期废水主要为施工生产废水。</w:t>
            </w:r>
          </w:p>
          <w:p w14:paraId="25D562C7">
            <w:pPr>
              <w:ind w:firstLine="480"/>
              <w:rPr>
                <w:color w:val="0000FF"/>
              </w:rPr>
            </w:pPr>
            <w:r>
              <w:rPr>
                <w:rFonts w:hint="eastAsia"/>
                <w:color w:val="0000FF"/>
              </w:rPr>
              <w:t>施工生产废水产生量较少，生产废水中的主要成分是SS，在项目区内设置临时沉淀池，沉淀后用于洒水降尘。</w:t>
            </w:r>
          </w:p>
          <w:p w14:paraId="063B2A7D">
            <w:pPr>
              <w:ind w:firstLine="482"/>
              <w:rPr>
                <w:b/>
                <w:bCs/>
                <w:color w:val="0000FF"/>
              </w:rPr>
            </w:pPr>
            <w:r>
              <w:rPr>
                <w:b/>
                <w:bCs/>
                <w:color w:val="0000FF"/>
              </w:rPr>
              <w:fldChar w:fldCharType="begin"/>
            </w:r>
            <w:r>
              <w:rPr>
                <w:b/>
                <w:bCs/>
                <w:color w:val="0000FF"/>
              </w:rPr>
              <w:instrText xml:space="preserve"> = 3 \* GB2 \* MERGEFORMAT </w:instrText>
            </w:r>
            <w:r>
              <w:rPr>
                <w:b/>
                <w:bCs/>
                <w:color w:val="0000FF"/>
              </w:rPr>
              <w:fldChar w:fldCharType="separate"/>
            </w:r>
            <w:r>
              <w:rPr>
                <w:color w:val="0000FF"/>
              </w:rPr>
              <w:t>⑶</w:t>
            </w:r>
            <w:r>
              <w:rPr>
                <w:b/>
                <w:bCs/>
                <w:color w:val="0000FF"/>
              </w:rPr>
              <w:fldChar w:fldCharType="end"/>
            </w:r>
            <w:r>
              <w:rPr>
                <w:b/>
                <w:bCs/>
                <w:color w:val="0000FF"/>
              </w:rPr>
              <w:t>噪声污染防治措施</w:t>
            </w:r>
          </w:p>
          <w:p w14:paraId="26D9A7BF">
            <w:pPr>
              <w:pStyle w:val="55"/>
              <w:ind w:firstLine="480"/>
              <w:rPr>
                <w:color w:val="0000FF"/>
              </w:rPr>
            </w:pPr>
            <w:r>
              <w:rPr>
                <w:color w:val="0000FF"/>
              </w:rPr>
              <w:t>①制订科学的施工计划，应尽可能避免大量高噪声设备同时使用。合理布局施工现场，避免在同一地点安排大量动力机械设备，以避免局部声压级过高。</w:t>
            </w:r>
          </w:p>
          <w:p w14:paraId="070515EB">
            <w:pPr>
              <w:pStyle w:val="55"/>
              <w:ind w:firstLine="480"/>
              <w:rPr>
                <w:color w:val="0000FF"/>
              </w:rPr>
            </w:pPr>
            <w:r>
              <w:rPr>
                <w:color w:val="0000FF"/>
              </w:rPr>
              <w:t>②禁止夜间22：00至次日6：00进行施工作业，施工单位文明施工，加强有效管理；</w:t>
            </w:r>
          </w:p>
          <w:p w14:paraId="69268F71">
            <w:pPr>
              <w:pStyle w:val="55"/>
              <w:ind w:firstLine="480"/>
              <w:rPr>
                <w:color w:val="0000FF"/>
              </w:rPr>
            </w:pPr>
            <w:r>
              <w:rPr>
                <w:color w:val="0000FF"/>
              </w:rPr>
              <w:t>③尽量采用低噪声机械，选用符合国家噪声标准的设备，施工过程中应经常对设备进行维修保养，避免由于设备性能差而增大机械噪声；</w:t>
            </w:r>
          </w:p>
          <w:p w14:paraId="0759CF4D">
            <w:pPr>
              <w:pStyle w:val="55"/>
              <w:ind w:firstLine="480"/>
              <w:rPr>
                <w:color w:val="0000FF"/>
              </w:rPr>
            </w:pPr>
            <w:r>
              <w:rPr>
                <w:color w:val="0000FF"/>
              </w:rPr>
              <w:t>④应注意合理安排施工物料的运输时间，在途经附近有居民点的路段时，应减速慢行，禁止鸣笛。</w:t>
            </w:r>
          </w:p>
          <w:p w14:paraId="1B726A02">
            <w:pPr>
              <w:ind w:firstLine="482"/>
              <w:rPr>
                <w:b/>
                <w:bCs/>
                <w:color w:val="0000FF"/>
              </w:rPr>
            </w:pPr>
            <w:r>
              <w:rPr>
                <w:b/>
                <w:bCs/>
                <w:color w:val="0000FF"/>
              </w:rPr>
              <w:fldChar w:fldCharType="begin"/>
            </w:r>
            <w:r>
              <w:rPr>
                <w:b/>
                <w:bCs/>
                <w:color w:val="0000FF"/>
              </w:rPr>
              <w:instrText xml:space="preserve"> = 4 \* GB2 \* MERGEFORMAT </w:instrText>
            </w:r>
            <w:r>
              <w:rPr>
                <w:b/>
                <w:bCs/>
                <w:color w:val="0000FF"/>
              </w:rPr>
              <w:fldChar w:fldCharType="separate"/>
            </w:r>
            <w:r>
              <w:rPr>
                <w:color w:val="0000FF"/>
              </w:rPr>
              <w:t>⑷</w:t>
            </w:r>
            <w:r>
              <w:rPr>
                <w:b/>
                <w:bCs/>
                <w:color w:val="0000FF"/>
              </w:rPr>
              <w:fldChar w:fldCharType="end"/>
            </w:r>
            <w:r>
              <w:rPr>
                <w:b/>
                <w:bCs/>
                <w:color w:val="0000FF"/>
              </w:rPr>
              <w:t>固体废物污染防治措施</w:t>
            </w:r>
          </w:p>
          <w:p w14:paraId="0F598893">
            <w:pPr>
              <w:ind w:firstLine="480"/>
              <w:rPr>
                <w:color w:val="0000FF"/>
              </w:rPr>
            </w:pPr>
            <w:r>
              <w:rPr>
                <w:color w:val="0000FF"/>
              </w:rPr>
              <w:t>为控制施工建筑废弃物对环境的污染，减少堆放和运输过程中对环境的影响，建议采取以下措施：</w:t>
            </w:r>
          </w:p>
          <w:p w14:paraId="78D92B91">
            <w:pPr>
              <w:ind w:firstLine="480"/>
              <w:rPr>
                <w:color w:val="0000FF"/>
              </w:rPr>
            </w:pPr>
            <w:r>
              <w:rPr>
                <w:color w:val="0000FF"/>
              </w:rPr>
              <w:t>（1）废弃建材、建筑垃圾由施工单位回收利用，无法回收利用的由施工单位运往指定地点处置。</w:t>
            </w:r>
          </w:p>
          <w:p w14:paraId="3E695469">
            <w:pPr>
              <w:ind w:firstLine="480"/>
              <w:rPr>
                <w:color w:val="0000FF"/>
              </w:rPr>
            </w:pPr>
            <w:r>
              <w:rPr>
                <w:color w:val="0000FF"/>
              </w:rPr>
              <w:t>（2）施工单位应当及时清理运走、处置建筑施工过程中产生的垃圾，并采取措施，防止污染环境。</w:t>
            </w:r>
          </w:p>
          <w:p w14:paraId="69D80800">
            <w:pPr>
              <w:ind w:firstLine="480"/>
              <w:rPr>
                <w:color w:val="0000FF"/>
              </w:rPr>
            </w:pPr>
            <w:r>
              <w:rPr>
                <w:color w:val="0000FF"/>
              </w:rPr>
              <w:t>（3）运输车辆运输散体材料和废弃物时，必须采取苫盖，防止沿途漏撒；运载土方的车辆必须在规定的时间内，按指定路段行驶。</w:t>
            </w:r>
          </w:p>
          <w:p w14:paraId="1FB7C942">
            <w:pPr>
              <w:ind w:firstLine="480"/>
              <w:rPr>
                <w:color w:val="0000FF"/>
              </w:rPr>
            </w:pPr>
            <w:r>
              <w:rPr>
                <w:color w:val="0000FF"/>
              </w:rPr>
              <w:t>（4）收集、贮存、运输、处置固体废物的单位和个人，必须采取防扬散、防流失、防渗漏或者其它防止污染环境的措施。</w:t>
            </w:r>
          </w:p>
          <w:p w14:paraId="67A42F2C">
            <w:pPr>
              <w:ind w:firstLine="480"/>
              <w:rPr>
                <w:bCs/>
                <w:color w:val="0000FF"/>
              </w:rPr>
            </w:pPr>
            <w:r>
              <w:rPr>
                <w:color w:val="0000FF"/>
              </w:rPr>
              <w:t>综上所述，施工期在积极落实固废处置措施基础上，不会对周边环境造成太大的影响，措施可行</w:t>
            </w:r>
            <w:r>
              <w:rPr>
                <w:bCs/>
                <w:color w:val="0000FF"/>
              </w:rPr>
              <w:t>。</w:t>
            </w:r>
          </w:p>
          <w:p w14:paraId="25657A55">
            <w:pPr>
              <w:ind w:left="0" w:leftChars="0" w:firstLine="0" w:firstLineChars="0"/>
              <w:rPr>
                <w:rFonts w:hint="eastAsia"/>
                <w:b/>
                <w:bCs w:val="0"/>
                <w:color w:val="0000FF"/>
              </w:rPr>
            </w:pPr>
            <w:r>
              <w:rPr>
                <w:rFonts w:hint="eastAsia"/>
                <w:b/>
                <w:bCs w:val="0"/>
                <w:color w:val="0000FF"/>
                <w:lang w:val="en-US" w:eastAsia="zh-CN"/>
              </w:rPr>
              <w:t>2</w:t>
            </w:r>
            <w:r>
              <w:rPr>
                <w:rFonts w:hint="eastAsia"/>
                <w:b/>
                <w:bCs w:val="0"/>
                <w:color w:val="0000FF"/>
              </w:rPr>
              <w:t>、施工期生态影响防治措施</w:t>
            </w:r>
          </w:p>
          <w:p w14:paraId="4AC4CC46">
            <w:pPr>
              <w:ind w:firstLine="480"/>
              <w:rPr>
                <w:rFonts w:hint="eastAsia"/>
                <w:bCs/>
                <w:color w:val="0000FF"/>
              </w:rPr>
            </w:pPr>
            <w:r>
              <w:rPr>
                <w:rFonts w:hint="eastAsia"/>
                <w:bCs/>
                <w:color w:val="0000FF"/>
              </w:rPr>
              <w:t>⑴植被保护措施</w:t>
            </w:r>
          </w:p>
          <w:p w14:paraId="30329339">
            <w:pPr>
              <w:ind w:firstLine="480"/>
              <w:rPr>
                <w:rFonts w:hint="eastAsia"/>
                <w:bCs/>
                <w:color w:val="0000FF"/>
              </w:rPr>
            </w:pPr>
            <w:r>
              <w:rPr>
                <w:rFonts w:hint="eastAsia"/>
                <w:bCs/>
                <w:color w:val="0000FF"/>
              </w:rPr>
              <w:t>开拓道路修筑过程中严格控制施工作业带范围；在施工区设置警示牌，进行土壤、植被的保护宣传，严格划定施工活动区，严禁超采。</w:t>
            </w:r>
          </w:p>
          <w:p w14:paraId="7C1BDEE3">
            <w:pPr>
              <w:ind w:firstLine="480"/>
              <w:rPr>
                <w:rFonts w:hint="eastAsia"/>
                <w:bCs/>
                <w:color w:val="0000FF"/>
              </w:rPr>
            </w:pPr>
            <w:r>
              <w:rPr>
                <w:rFonts w:hint="eastAsia"/>
                <w:bCs/>
                <w:color w:val="0000FF"/>
              </w:rPr>
              <w:t>⑵水土流失保护措施</w:t>
            </w:r>
          </w:p>
          <w:p w14:paraId="65FA0968">
            <w:pPr>
              <w:ind w:firstLine="480"/>
              <w:rPr>
                <w:rFonts w:hint="eastAsia"/>
                <w:bCs/>
                <w:color w:val="0000FF"/>
              </w:rPr>
            </w:pPr>
            <w:r>
              <w:rPr>
                <w:rFonts w:hint="eastAsia"/>
                <w:bCs/>
                <w:color w:val="0000FF"/>
              </w:rPr>
              <w:t>①避让渭河流域黄土台塬水土保持生态保护红线区域，不得进行施工及扰动。</w:t>
            </w:r>
          </w:p>
          <w:p w14:paraId="1552DCFB">
            <w:pPr>
              <w:ind w:firstLine="480"/>
              <w:rPr>
                <w:rFonts w:hint="eastAsia"/>
                <w:bCs/>
                <w:color w:val="0000FF"/>
              </w:rPr>
            </w:pPr>
            <w:r>
              <w:rPr>
                <w:rFonts w:hint="eastAsia"/>
                <w:bCs/>
                <w:color w:val="0000FF"/>
              </w:rPr>
              <w:t>②运输道路靠山坡一侧设置排洪沟、截水沟，路堑边坡失稳处修建挡墙或喷浆等其他工程措施，岩石裸露面进行植被护坡。</w:t>
            </w:r>
          </w:p>
          <w:p w14:paraId="68B0B9F9">
            <w:pPr>
              <w:ind w:firstLine="480"/>
              <w:rPr>
                <w:color w:val="FF0000"/>
              </w:rPr>
            </w:pPr>
            <w:r>
              <w:rPr>
                <w:rFonts w:hint="eastAsia"/>
                <w:bCs/>
                <w:color w:val="0000FF"/>
              </w:rPr>
              <w:t>③在露天最终边坡外及主要平台上设置截排水沟；防止雨水沿山坡进入露天采场，冲刷边坡，影响边坡稳定性；及时对露天境界内外的截、排水沟进行清理、疏通，保证境界内外排水设施安全可靠。</w:t>
            </w:r>
          </w:p>
        </w:tc>
      </w:tr>
      <w:tr w14:paraId="7A8071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408" w:type="pct"/>
            <w:tcMar>
              <w:left w:w="28" w:type="dxa"/>
              <w:right w:w="28" w:type="dxa"/>
            </w:tcMar>
            <w:vAlign w:val="center"/>
          </w:tcPr>
          <w:p w14:paraId="22EC00E0">
            <w:pPr>
              <w:adjustRightInd w:val="0"/>
              <w:snapToGrid w:val="0"/>
              <w:ind w:firstLine="0" w:firstLineChars="0"/>
              <w:jc w:val="center"/>
              <w:rPr>
                <w:bCs/>
                <w:color w:val="FF0000"/>
                <w:spacing w:val="10"/>
              </w:rPr>
            </w:pPr>
            <w:r>
              <w:rPr>
                <w:bCs/>
                <w:spacing w:val="10"/>
              </w:rPr>
              <w:t>运营期生态环境保护措施</w:t>
            </w:r>
          </w:p>
        </w:tc>
        <w:tc>
          <w:tcPr>
            <w:tcW w:w="4591" w:type="pct"/>
          </w:tcPr>
          <w:p w14:paraId="52EA59C1">
            <w:pPr>
              <w:spacing w:before="120" w:beforeLines="50"/>
              <w:ind w:firstLine="482"/>
              <w:rPr>
                <w:b/>
                <w:bCs/>
                <w:color w:val="0000FF"/>
              </w:rPr>
            </w:pPr>
            <w:r>
              <w:rPr>
                <w:b/>
                <w:bCs/>
                <w:color w:val="0000FF"/>
              </w:rPr>
              <w:t>1、生态影响保护措施</w:t>
            </w:r>
          </w:p>
          <w:p w14:paraId="03822CCA">
            <w:pPr>
              <w:adjustRightInd w:val="0"/>
              <w:snapToGrid w:val="0"/>
              <w:ind w:firstLine="482"/>
              <w:rPr>
                <w:b/>
                <w:bCs/>
                <w:color w:val="0000FF"/>
              </w:rPr>
            </w:pPr>
            <w:r>
              <w:rPr>
                <w:b/>
                <w:bCs/>
                <w:color w:val="0000FF"/>
              </w:rPr>
              <w:fldChar w:fldCharType="begin"/>
            </w:r>
            <w:r>
              <w:rPr>
                <w:b/>
                <w:bCs/>
                <w:color w:val="0000FF"/>
              </w:rPr>
              <w:instrText xml:space="preserve"> = 1 \* GB2 \* MERGEFORMAT </w:instrText>
            </w:r>
            <w:r>
              <w:rPr>
                <w:b/>
                <w:bCs/>
                <w:color w:val="0000FF"/>
              </w:rPr>
              <w:fldChar w:fldCharType="separate"/>
            </w:r>
            <w:r>
              <w:rPr>
                <w:color w:val="0000FF"/>
              </w:rPr>
              <w:t>⑴</w:t>
            </w:r>
            <w:r>
              <w:rPr>
                <w:b/>
                <w:bCs/>
                <w:color w:val="0000FF"/>
              </w:rPr>
              <w:fldChar w:fldCharType="end"/>
            </w:r>
            <w:r>
              <w:rPr>
                <w:b/>
                <w:bCs/>
                <w:color w:val="0000FF"/>
              </w:rPr>
              <w:t>生态保护措施</w:t>
            </w:r>
          </w:p>
          <w:p w14:paraId="33FCF589">
            <w:pPr>
              <w:adjustRightInd w:val="0"/>
              <w:snapToGrid w:val="0"/>
              <w:ind w:firstLine="480"/>
              <w:rPr>
                <w:color w:val="0000FF"/>
              </w:rPr>
            </w:pPr>
            <w:r>
              <w:rPr>
                <w:color w:val="0000FF"/>
              </w:rPr>
              <w:t>根据本项目工程特点，严格按照绿色矿山的相关要求对矿山实行生态保护措施：</w:t>
            </w:r>
          </w:p>
          <w:p w14:paraId="0A644C6F">
            <w:pPr>
              <w:pStyle w:val="23"/>
              <w:spacing w:after="0"/>
              <w:ind w:left="0" w:leftChars="0" w:firstLine="480"/>
              <w:rPr>
                <w:color w:val="0000FF"/>
              </w:rPr>
            </w:pPr>
            <w:r>
              <w:rPr>
                <w:color w:val="0000FF"/>
              </w:rPr>
              <w:t>（1）将施工活动严格控制在征地范围内、施工区域四周设置彩条带、控制施工范围，减少扰动面积，减少对牧草地的破坏。</w:t>
            </w:r>
          </w:p>
          <w:p w14:paraId="44D4F2A0">
            <w:pPr>
              <w:pStyle w:val="23"/>
              <w:spacing w:after="0"/>
              <w:ind w:left="0" w:leftChars="0" w:firstLine="480"/>
              <w:rPr>
                <w:color w:val="0000FF"/>
              </w:rPr>
            </w:pPr>
            <w:r>
              <w:rPr>
                <w:color w:val="0000FF"/>
              </w:rPr>
              <w:t>（2）加强对施工人员的环境保护宣传、教育和管理，增强施工人员的环境保护意识，减少人为因素对植被的破坏。做好施工组织规划工作，严禁将建设施工材料乱堆乱放，划定适宜的堆料场等临时性场所，以防止植被破坏的范围增大。</w:t>
            </w:r>
          </w:p>
          <w:p w14:paraId="386CB5B9">
            <w:pPr>
              <w:pStyle w:val="23"/>
              <w:spacing w:after="0"/>
              <w:ind w:left="0" w:leftChars="0" w:firstLine="480"/>
              <w:rPr>
                <w:color w:val="0000FF"/>
              </w:rPr>
            </w:pPr>
            <w:r>
              <w:rPr>
                <w:color w:val="0000FF"/>
              </w:rPr>
              <w:t>（3）加强宣传教育，严禁施工人员随意踩踏植被和土壤，避免人为活动对植被和土壤造成的不利影响；禁止捕杀野生动物或随意捣毁动物巢穴。</w:t>
            </w:r>
          </w:p>
          <w:p w14:paraId="3D844CA1">
            <w:pPr>
              <w:pStyle w:val="23"/>
              <w:spacing w:after="0"/>
              <w:ind w:left="0" w:leftChars="0" w:firstLine="480"/>
              <w:rPr>
                <w:color w:val="0000FF"/>
              </w:rPr>
            </w:pPr>
            <w:r>
              <w:rPr>
                <w:color w:val="0000FF"/>
              </w:rPr>
              <w:t>（4）施工机械和运输工具应在规划的道路上行驶，严禁随意行驶碾压植被，严禁破坏占地外的植被，将植被损失降至最低。</w:t>
            </w:r>
          </w:p>
          <w:p w14:paraId="177C8ED6">
            <w:pPr>
              <w:pStyle w:val="23"/>
              <w:spacing w:after="0"/>
              <w:ind w:left="0" w:leftChars="0" w:firstLine="480"/>
              <w:rPr>
                <w:color w:val="0000FF"/>
              </w:rPr>
            </w:pPr>
            <w:r>
              <w:rPr>
                <w:color w:val="0000FF"/>
              </w:rPr>
              <w:t>（5）尽量减少对区域内植被的破坏，对在植被盖度相对较高的区域进行的相关作业时，应预先剥离表层植被层和将草皮集中移植到条件较好的地方，以备矿区进行场地恢复时重新覆盖和移植在表面，尽快恢复其生态原貌。</w:t>
            </w:r>
          </w:p>
          <w:p w14:paraId="2080731F">
            <w:pPr>
              <w:pStyle w:val="23"/>
              <w:spacing w:after="0"/>
              <w:ind w:left="0" w:leftChars="0" w:firstLine="480"/>
              <w:rPr>
                <w:color w:val="0000FF"/>
              </w:rPr>
            </w:pPr>
            <w:r>
              <w:rPr>
                <w:color w:val="0000FF"/>
              </w:rPr>
              <w:t>（6）施工结束后及时恢复施工迹地，对施工迹地和弃方进行合理平整、利用、清运，减少水土流失。</w:t>
            </w:r>
          </w:p>
          <w:p w14:paraId="7ACD3BC2">
            <w:pPr>
              <w:ind w:firstLine="482"/>
              <w:rPr>
                <w:b/>
                <w:bCs/>
                <w:color w:val="0000FF"/>
              </w:rPr>
            </w:pPr>
            <w:r>
              <w:rPr>
                <w:b/>
                <w:bCs/>
                <w:color w:val="0000FF"/>
              </w:rPr>
              <w:fldChar w:fldCharType="begin"/>
            </w:r>
            <w:r>
              <w:rPr>
                <w:b/>
                <w:bCs/>
                <w:color w:val="0000FF"/>
              </w:rPr>
              <w:instrText xml:space="preserve"> = 2 \* GB2 \* MERGEFORMAT </w:instrText>
            </w:r>
            <w:r>
              <w:rPr>
                <w:b/>
                <w:bCs/>
                <w:color w:val="0000FF"/>
              </w:rPr>
              <w:fldChar w:fldCharType="separate"/>
            </w:r>
            <w:r>
              <w:rPr>
                <w:color w:val="0000FF"/>
              </w:rPr>
              <w:t>⑵</w:t>
            </w:r>
            <w:r>
              <w:rPr>
                <w:b/>
                <w:bCs/>
                <w:color w:val="0000FF"/>
              </w:rPr>
              <w:fldChar w:fldCharType="end"/>
            </w:r>
            <w:r>
              <w:rPr>
                <w:b/>
                <w:bCs/>
                <w:color w:val="0000FF"/>
              </w:rPr>
              <w:t>矿山复垦及绿化</w:t>
            </w:r>
          </w:p>
          <w:p w14:paraId="2E7A76F7">
            <w:pPr>
              <w:ind w:firstLine="480"/>
              <w:rPr>
                <w:color w:val="0000FF"/>
              </w:rPr>
            </w:pPr>
            <w:r>
              <w:rPr>
                <w:color w:val="0000FF"/>
              </w:rPr>
              <w:t>企业已完成《矿山地质环境保护与恢复治理方案</w:t>
            </w:r>
            <w:r>
              <w:rPr>
                <w:rFonts w:hint="eastAsia"/>
                <w:color w:val="0000FF"/>
              </w:rPr>
              <w:t>》《</w:t>
            </w:r>
            <w:r>
              <w:rPr>
                <w:color w:val="0000FF"/>
              </w:rPr>
              <w:t>生态环境治理方案</w:t>
            </w:r>
            <w:r>
              <w:rPr>
                <w:rFonts w:hint="eastAsia"/>
                <w:color w:val="0000FF"/>
              </w:rPr>
              <w:t>》《</w:t>
            </w:r>
            <w:r>
              <w:rPr>
                <w:color w:val="0000FF"/>
              </w:rPr>
              <w:t>水土保持方案》等相关工作，生产过程中按照批准的方案指导工作，并将其落实在实际生产活动中，及时完成矿山生态恢复治理。</w:t>
            </w:r>
          </w:p>
          <w:p w14:paraId="2B32B461">
            <w:pPr>
              <w:pStyle w:val="23"/>
              <w:spacing w:after="0"/>
              <w:ind w:left="0" w:leftChars="0" w:firstLine="480"/>
              <w:rPr>
                <w:color w:val="0000FF"/>
              </w:rPr>
            </w:pPr>
            <w:r>
              <w:rPr>
                <w:color w:val="0000FF"/>
              </w:rPr>
              <w:t>植被恢复措施：通过种植植物，</w:t>
            </w:r>
            <w:r>
              <w:rPr>
                <w:rFonts w:hint="eastAsia"/>
                <w:color w:val="0000FF"/>
              </w:rPr>
              <w:t>及时</w:t>
            </w:r>
            <w:r>
              <w:rPr>
                <w:color w:val="0000FF"/>
              </w:rPr>
              <w:t>恢复植被，减少水土流失，改善土壤质量，改善土地利用，改善环境质量。</w:t>
            </w:r>
          </w:p>
          <w:p w14:paraId="533EAE20">
            <w:pPr>
              <w:pStyle w:val="23"/>
              <w:spacing w:after="0"/>
              <w:ind w:left="0" w:leftChars="0" w:firstLine="480"/>
              <w:rPr>
                <w:color w:val="0000FF"/>
              </w:rPr>
            </w:pPr>
            <w:r>
              <w:rPr>
                <w:color w:val="0000FF"/>
              </w:rPr>
              <w:t>工程措施：通过建设护坡、挡土墙、排水沟等工程，减少水土流失，改善土壤质量，改善土地利用，保护水资源，改善环境质量。</w:t>
            </w:r>
          </w:p>
          <w:p w14:paraId="26AAE701">
            <w:pPr>
              <w:ind w:firstLine="480"/>
              <w:rPr>
                <w:color w:val="0000FF"/>
              </w:rPr>
            </w:pPr>
            <w:r>
              <w:rPr>
                <w:color w:val="0000FF"/>
              </w:rPr>
              <w:t>管理措施：通过实施水土保持规划，实施水土保持技术，实施水土保持管理，减少水土流失，改善环境质量</w:t>
            </w:r>
            <w:r>
              <w:rPr>
                <w:rFonts w:hint="eastAsia"/>
                <w:color w:val="0000FF"/>
              </w:rPr>
              <w:t>。</w:t>
            </w:r>
          </w:p>
          <w:p w14:paraId="056CE1FD">
            <w:pPr>
              <w:ind w:firstLine="482"/>
              <w:rPr>
                <w:b/>
                <w:bCs/>
                <w:color w:val="0000FF"/>
              </w:rPr>
            </w:pPr>
            <w:r>
              <w:rPr>
                <w:rFonts w:hint="eastAsia"/>
                <w:b/>
                <w:bCs/>
                <w:color w:val="0000FF"/>
              </w:rPr>
              <w:t>（3）</w:t>
            </w:r>
            <w:r>
              <w:rPr>
                <w:b/>
                <w:bCs/>
                <w:color w:val="0000FF"/>
              </w:rPr>
              <w:t>土壤环境保护措施</w:t>
            </w:r>
          </w:p>
          <w:p w14:paraId="3D266B78">
            <w:pPr>
              <w:ind w:firstLine="480"/>
              <w:rPr>
                <w:color w:val="0000FF"/>
              </w:rPr>
            </w:pPr>
            <w:r>
              <w:rPr>
                <w:color w:val="0000FF"/>
              </w:rPr>
              <w:t>本项目拟采用以下土壤质量控制和修复措施：</w:t>
            </w:r>
          </w:p>
          <w:p w14:paraId="05F5BC27">
            <w:pPr>
              <w:ind w:firstLine="480"/>
              <w:rPr>
                <w:color w:val="0000FF"/>
              </w:rPr>
            </w:pPr>
            <w:r>
              <w:rPr>
                <w:color w:val="0000FF"/>
              </w:rPr>
              <w:t>（1）表土再利用：开采前剥离的表土集中堆放在表土堆放场，在开采结束后，利用表土作为复垦的基质。</w:t>
            </w:r>
          </w:p>
          <w:p w14:paraId="3F3FEAAD">
            <w:pPr>
              <w:ind w:firstLine="480"/>
              <w:rPr>
                <w:color w:val="0000FF"/>
              </w:rPr>
            </w:pPr>
            <w:r>
              <w:rPr>
                <w:color w:val="0000FF"/>
              </w:rPr>
              <w:t>（2）及时复垦。复垦是矿山开采后重要的一环。利用表土作为植土，及时复绿，减少水土流失和雨水淋溶。</w:t>
            </w:r>
          </w:p>
          <w:p w14:paraId="121AC5C5">
            <w:pPr>
              <w:ind w:firstLine="480"/>
              <w:rPr>
                <w:color w:val="0000FF"/>
              </w:rPr>
            </w:pPr>
            <w:r>
              <w:rPr>
                <w:color w:val="0000FF"/>
              </w:rPr>
              <w:t>（3）控制本矿区的采矿表土、沉淀池沉渣等合理处置，不进入外环境，保持土壤成分稳定。</w:t>
            </w:r>
          </w:p>
          <w:p w14:paraId="2821BEA8">
            <w:pPr>
              <w:ind w:firstLine="480"/>
              <w:rPr>
                <w:color w:val="0000FF"/>
              </w:rPr>
            </w:pPr>
            <w:r>
              <w:rPr>
                <w:color w:val="0000FF"/>
              </w:rPr>
              <w:t>采用上述土壤质量控制和修复措施后，项目开采前后土壤成分无较大变动，土壤酸碱度基本不变；复垦期，乡土植物可以顺利生长并繁衍；开采后对区域土壤环境影响很小。采用植物和工程措施后，土壤结构和性质可以短时间内恢复，不会造成土壤贫瘠化问题，对土壤结构和性质的影响较小，是可以接受的</w:t>
            </w:r>
            <w:r>
              <w:rPr>
                <w:rFonts w:hint="eastAsia"/>
                <w:color w:val="0000FF"/>
              </w:rPr>
              <w:t>。</w:t>
            </w:r>
          </w:p>
          <w:p w14:paraId="319BED54">
            <w:pPr>
              <w:ind w:firstLine="482"/>
              <w:rPr>
                <w:b/>
                <w:bCs/>
                <w:color w:val="0000FF"/>
              </w:rPr>
            </w:pPr>
            <w:r>
              <w:rPr>
                <w:b/>
                <w:bCs/>
                <w:color w:val="0000FF"/>
              </w:rPr>
              <w:t>2、污染影响保护措施</w:t>
            </w:r>
          </w:p>
          <w:p w14:paraId="45EC6F21">
            <w:pPr>
              <w:ind w:firstLine="480"/>
              <w:rPr>
                <w:color w:val="0000FF"/>
              </w:rPr>
            </w:pPr>
            <w:r>
              <w:rPr>
                <w:color w:val="0000FF"/>
              </w:rPr>
              <w:fldChar w:fldCharType="begin"/>
            </w:r>
            <w:r>
              <w:rPr>
                <w:color w:val="0000FF"/>
              </w:rPr>
              <w:instrText xml:space="preserve"> = 1 \* GB2 \* MERGEFORMAT </w:instrText>
            </w:r>
            <w:r>
              <w:rPr>
                <w:color w:val="0000FF"/>
              </w:rPr>
              <w:fldChar w:fldCharType="separate"/>
            </w:r>
            <w:r>
              <w:rPr>
                <w:color w:val="0000FF"/>
              </w:rPr>
              <w:t>⑴</w:t>
            </w:r>
            <w:r>
              <w:rPr>
                <w:color w:val="0000FF"/>
              </w:rPr>
              <w:fldChar w:fldCharType="end"/>
            </w:r>
            <w:r>
              <w:rPr>
                <w:color w:val="0000FF"/>
              </w:rPr>
              <w:t>废气环保措施</w:t>
            </w:r>
          </w:p>
          <w:p w14:paraId="1A7026FF">
            <w:pPr>
              <w:ind w:firstLine="480"/>
              <w:rPr>
                <w:color w:val="0000FF"/>
              </w:rPr>
            </w:pPr>
            <w:r>
              <w:rPr>
                <w:color w:val="0000FF"/>
              </w:rPr>
              <w:t>①采矿区钻孔、爆破及铲装粉尘采用洒水抑尘；</w:t>
            </w:r>
          </w:p>
          <w:p w14:paraId="5B94CE97">
            <w:pPr>
              <w:ind w:firstLine="480"/>
              <w:rPr>
                <w:color w:val="0000FF"/>
              </w:rPr>
            </w:pPr>
            <w:r>
              <w:rPr>
                <w:color w:val="0000FF"/>
              </w:rPr>
              <w:t>②场区采用洒水车定期抑尘洒水；</w:t>
            </w:r>
          </w:p>
          <w:p w14:paraId="76C65B68">
            <w:pPr>
              <w:ind w:firstLine="480"/>
              <w:rPr>
                <w:color w:val="0000FF"/>
              </w:rPr>
            </w:pPr>
            <w:r>
              <w:rPr>
                <w:color w:val="0000FF"/>
              </w:rPr>
              <w:t>④运输道路加强道路养护，确保路面平整，防止坑凹处裸露的土壤，引起扬尘；同时定期抑尘洒水，限速行驶；</w:t>
            </w:r>
          </w:p>
          <w:p w14:paraId="32AD9BD8">
            <w:pPr>
              <w:ind w:firstLine="480"/>
              <w:rPr>
                <w:color w:val="0000FF"/>
              </w:rPr>
            </w:pPr>
            <w:r>
              <w:rPr>
                <w:color w:val="0000FF"/>
              </w:rPr>
              <w:t>⑤采取质量合格的机械设备，采用优质柴油，加强设备的维护等，</w:t>
            </w:r>
            <w:r>
              <w:rPr>
                <w:rFonts w:hint="eastAsia"/>
                <w:color w:val="0000FF"/>
              </w:rPr>
              <w:t>减少</w:t>
            </w:r>
            <w:r>
              <w:rPr>
                <w:color w:val="0000FF"/>
              </w:rPr>
              <w:t>车辆尾气排放；</w:t>
            </w:r>
          </w:p>
          <w:p w14:paraId="49718BF1">
            <w:pPr>
              <w:pStyle w:val="23"/>
              <w:spacing w:after="0"/>
              <w:ind w:left="0" w:leftChars="0" w:firstLine="480"/>
              <w:rPr>
                <w:color w:val="0000FF"/>
              </w:rPr>
            </w:pPr>
            <w:r>
              <w:rPr>
                <w:color w:val="0000FF"/>
              </w:rPr>
              <w:fldChar w:fldCharType="begin"/>
            </w:r>
            <w:r>
              <w:rPr>
                <w:color w:val="0000FF"/>
              </w:rPr>
              <w:instrText xml:space="preserve"> = 2 \* GB2 \* MERGEFORMAT </w:instrText>
            </w:r>
            <w:r>
              <w:rPr>
                <w:color w:val="0000FF"/>
              </w:rPr>
              <w:fldChar w:fldCharType="separate"/>
            </w:r>
            <w:r>
              <w:rPr>
                <w:color w:val="0000FF"/>
              </w:rPr>
              <w:t>⑵</w:t>
            </w:r>
            <w:r>
              <w:rPr>
                <w:color w:val="0000FF"/>
              </w:rPr>
              <w:fldChar w:fldCharType="end"/>
            </w:r>
            <w:r>
              <w:rPr>
                <w:color w:val="0000FF"/>
              </w:rPr>
              <w:t>废水环保措施</w:t>
            </w:r>
          </w:p>
          <w:p w14:paraId="241285AD">
            <w:pPr>
              <w:ind w:firstLine="480"/>
              <w:rPr>
                <w:color w:val="0000FF"/>
              </w:rPr>
            </w:pPr>
            <w:r>
              <w:rPr>
                <w:color w:val="0000FF"/>
              </w:rPr>
              <w:t>①抑尘洒水：该部分用水全部蒸发损耗或渗入地面。</w:t>
            </w:r>
          </w:p>
          <w:p w14:paraId="7273B715">
            <w:pPr>
              <w:pStyle w:val="23"/>
              <w:spacing w:after="0"/>
              <w:ind w:left="480" w:firstLine="0" w:firstLineChars="0"/>
              <w:rPr>
                <w:color w:val="0000FF"/>
              </w:rPr>
            </w:pPr>
            <w:r>
              <w:rPr>
                <w:color w:val="0000FF"/>
              </w:rPr>
              <w:fldChar w:fldCharType="begin"/>
            </w:r>
            <w:r>
              <w:rPr>
                <w:color w:val="0000FF"/>
              </w:rPr>
              <w:instrText xml:space="preserve"> = 3 \* GB2 \* MERGEFORMAT </w:instrText>
            </w:r>
            <w:r>
              <w:rPr>
                <w:color w:val="0000FF"/>
              </w:rPr>
              <w:fldChar w:fldCharType="separate"/>
            </w:r>
            <w:r>
              <w:rPr>
                <w:color w:val="0000FF"/>
              </w:rPr>
              <w:t>⑶</w:t>
            </w:r>
            <w:r>
              <w:rPr>
                <w:color w:val="0000FF"/>
              </w:rPr>
              <w:fldChar w:fldCharType="end"/>
            </w:r>
            <w:r>
              <w:rPr>
                <w:color w:val="0000FF"/>
              </w:rPr>
              <w:t>噪声环保措施</w:t>
            </w:r>
          </w:p>
          <w:p w14:paraId="3AFB0E93">
            <w:pPr>
              <w:pStyle w:val="23"/>
              <w:spacing w:after="0"/>
              <w:ind w:left="0" w:leftChars="0" w:firstLine="480"/>
              <w:rPr>
                <w:rFonts w:hint="eastAsia"/>
                <w:color w:val="0000FF"/>
              </w:rPr>
            </w:pPr>
            <w:r>
              <w:rPr>
                <w:rFonts w:hint="eastAsia"/>
                <w:color w:val="0000FF"/>
              </w:rPr>
              <w:t>（1）露天采场噪声防治措施</w:t>
            </w:r>
          </w:p>
          <w:p w14:paraId="0D739352">
            <w:pPr>
              <w:pStyle w:val="23"/>
              <w:spacing w:after="0"/>
              <w:ind w:left="0" w:leftChars="0" w:firstLine="480"/>
              <w:rPr>
                <w:rFonts w:hint="eastAsia"/>
                <w:color w:val="0000FF"/>
              </w:rPr>
            </w:pPr>
            <w:r>
              <w:rPr>
                <w:rFonts w:hint="eastAsia"/>
                <w:color w:val="0000FF"/>
              </w:rPr>
              <w:t>矿山开采过程中铲装、装卸、运输等环节都将产生不同程度的噪声。高噪声设备主要为挖掘机、自卸车等。对于露天采场，高噪声设备尽量不同时作业，或者利用其他隔声材料和隔声结构来阻挡噪声的传播；定期对机械设备进行维修及保养，保证设备的正常运转，避免产生不正常的设备噪声。</w:t>
            </w:r>
          </w:p>
          <w:p w14:paraId="6B29E437">
            <w:pPr>
              <w:pStyle w:val="23"/>
              <w:spacing w:after="0"/>
              <w:ind w:left="0" w:leftChars="0" w:firstLine="480"/>
              <w:rPr>
                <w:rFonts w:hint="eastAsia"/>
                <w:color w:val="0000FF"/>
              </w:rPr>
            </w:pPr>
            <w:r>
              <w:rPr>
                <w:rFonts w:hint="eastAsia"/>
                <w:color w:val="0000FF"/>
              </w:rPr>
              <w:t>（2）运输噪声防治措施</w:t>
            </w:r>
          </w:p>
          <w:p w14:paraId="4C58A39B">
            <w:pPr>
              <w:pStyle w:val="23"/>
              <w:spacing w:after="0"/>
              <w:ind w:left="0" w:leftChars="0" w:firstLine="480"/>
              <w:rPr>
                <w:rFonts w:hint="eastAsia"/>
                <w:color w:val="0000FF"/>
              </w:rPr>
            </w:pPr>
            <w:r>
              <w:rPr>
                <w:rFonts w:hint="eastAsia"/>
                <w:color w:val="0000FF"/>
              </w:rPr>
              <w:t>本项目采用公路汽车开拓，公路运输时控制车速、严禁鸣笛，严禁超载超速，禁止在午休时间和晚上运输，定期维护维修运输路面，减少对路面的损坏，进一步减少其对道路周边环境的影响。</w:t>
            </w:r>
          </w:p>
          <w:p w14:paraId="41153686">
            <w:pPr>
              <w:pStyle w:val="23"/>
              <w:spacing w:after="0"/>
              <w:ind w:left="0" w:leftChars="0" w:firstLine="480"/>
              <w:rPr>
                <w:rFonts w:hint="eastAsia"/>
                <w:color w:val="0000FF"/>
              </w:rPr>
            </w:pPr>
            <w:r>
              <w:rPr>
                <w:rFonts w:hint="eastAsia"/>
                <w:color w:val="0000FF"/>
              </w:rPr>
              <w:t>（3）选矿设备噪声防治措施</w:t>
            </w:r>
          </w:p>
          <w:p w14:paraId="5E13C398">
            <w:pPr>
              <w:pStyle w:val="23"/>
              <w:spacing w:after="0"/>
              <w:ind w:left="0" w:leftChars="0" w:firstLine="480"/>
              <w:rPr>
                <w:rFonts w:hint="eastAsia"/>
                <w:color w:val="0000FF"/>
              </w:rPr>
            </w:pPr>
            <w:r>
              <w:rPr>
                <w:rFonts w:hint="eastAsia"/>
                <w:color w:val="0000FF"/>
              </w:rPr>
              <w:t>选用低噪声设备或自带消音设施的设备，同时采取设备基础减振（如增设减振垫等）；合理布局，对高噪声设备，在布置上尽量远离矿区生活区；运行设备勤检修、多维护，保持设备在最佳工况下运行。</w:t>
            </w:r>
          </w:p>
          <w:p w14:paraId="275C2197">
            <w:pPr>
              <w:pStyle w:val="23"/>
              <w:spacing w:after="0"/>
              <w:ind w:left="0" w:leftChars="0" w:firstLine="480"/>
              <w:rPr>
                <w:rFonts w:hint="eastAsia"/>
                <w:color w:val="0000FF"/>
              </w:rPr>
            </w:pPr>
            <w:r>
              <w:rPr>
                <w:rFonts w:hint="eastAsia"/>
                <w:color w:val="0000FF"/>
              </w:rPr>
              <w:t>项目周边无声环境保护目标，在采取相应措施后，再经过传播距离衰减，对区域声环境影响较小。</w:t>
            </w:r>
          </w:p>
          <w:p w14:paraId="69E1B19D">
            <w:pPr>
              <w:pStyle w:val="23"/>
              <w:spacing w:after="0"/>
              <w:ind w:left="0" w:leftChars="0" w:firstLine="480"/>
              <w:rPr>
                <w:color w:val="0000FF"/>
              </w:rPr>
            </w:pPr>
            <w:r>
              <w:rPr>
                <w:color w:val="0000FF"/>
              </w:rPr>
              <w:fldChar w:fldCharType="begin"/>
            </w:r>
            <w:r>
              <w:rPr>
                <w:color w:val="0000FF"/>
              </w:rPr>
              <w:instrText xml:space="preserve"> = 4 \* GB2 \* MERGEFORMAT </w:instrText>
            </w:r>
            <w:r>
              <w:rPr>
                <w:color w:val="0000FF"/>
              </w:rPr>
              <w:fldChar w:fldCharType="separate"/>
            </w:r>
            <w:r>
              <w:rPr>
                <w:color w:val="0000FF"/>
              </w:rPr>
              <w:t>⑷</w:t>
            </w:r>
            <w:r>
              <w:rPr>
                <w:color w:val="0000FF"/>
              </w:rPr>
              <w:fldChar w:fldCharType="end"/>
            </w:r>
            <w:r>
              <w:rPr>
                <w:color w:val="0000FF"/>
              </w:rPr>
              <w:t>固体废弃物环保措施</w:t>
            </w:r>
          </w:p>
          <w:p w14:paraId="1267B37F">
            <w:pPr>
              <w:ind w:firstLine="480" w:firstLineChars="0"/>
              <w:rPr>
                <w:color w:val="0000FF"/>
              </w:rPr>
            </w:pPr>
            <w:r>
              <w:rPr>
                <w:color w:val="0000FF"/>
              </w:rPr>
              <w:t>①矿山剥离表土暂存于</w:t>
            </w:r>
            <w:r>
              <w:rPr>
                <w:rFonts w:hint="eastAsia"/>
                <w:color w:val="0000FF"/>
              </w:rPr>
              <w:t>西南侧</w:t>
            </w:r>
            <w:r>
              <w:rPr>
                <w:color w:val="0000FF"/>
              </w:rPr>
              <w:t>，后期用于矿山恢复治理；</w:t>
            </w:r>
          </w:p>
          <w:p w14:paraId="2F5DD259">
            <w:pPr>
              <w:widowControl/>
              <w:ind w:firstLine="480"/>
              <w:jc w:val="left"/>
              <w:rPr>
                <w:color w:val="0000FF"/>
              </w:rPr>
            </w:pPr>
            <w:r>
              <w:rPr>
                <w:color w:val="0000FF"/>
              </w:rPr>
              <w:t>②废机油、废润滑油：经收集后暂存在危废暂存间，定期交由</w:t>
            </w:r>
            <w:r>
              <w:rPr>
                <w:rFonts w:hint="eastAsia"/>
                <w:color w:val="0000FF"/>
              </w:rPr>
              <w:t>有资质单位</w:t>
            </w:r>
            <w:r>
              <w:rPr>
                <w:color w:val="0000FF"/>
              </w:rPr>
              <w:t>进行处置。</w:t>
            </w:r>
          </w:p>
          <w:p w14:paraId="3D5B778D">
            <w:pPr>
              <w:ind w:firstLine="482"/>
              <w:rPr>
                <w:b/>
                <w:bCs/>
                <w:color w:val="0000FF"/>
              </w:rPr>
            </w:pPr>
            <w:r>
              <w:rPr>
                <w:b/>
                <w:bCs/>
                <w:color w:val="0000FF"/>
              </w:rPr>
              <w:t>3、环境风险保护措施</w:t>
            </w:r>
          </w:p>
          <w:p w14:paraId="7906202E">
            <w:pPr>
              <w:pStyle w:val="61"/>
              <w:tabs>
                <w:tab w:val="left" w:pos="0"/>
                <w:tab w:val="right" w:leader="dot" w:pos="8302"/>
              </w:tabs>
              <w:adjustRightInd w:val="0"/>
              <w:snapToGrid w:val="0"/>
              <w:ind w:firstLine="480"/>
              <w:rPr>
                <w:rFonts w:hAnsi="Times New Roman"/>
                <w:color w:val="0000FF"/>
                <w:kern w:val="0"/>
                <w:szCs w:val="24"/>
              </w:rPr>
            </w:pPr>
            <w:r>
              <w:rPr>
                <w:rFonts w:hAnsi="Times New Roman"/>
                <w:color w:val="0000FF"/>
                <w:kern w:val="0"/>
                <w:szCs w:val="24"/>
              </w:rPr>
              <w:t>建设单位对加油装置、油品存放处、</w:t>
            </w:r>
            <w:r>
              <w:rPr>
                <w:rFonts w:hAnsi="Times New Roman"/>
                <w:color w:val="0000FF"/>
                <w:szCs w:val="24"/>
              </w:rPr>
              <w:t>危废暂存间</w:t>
            </w:r>
            <w:r>
              <w:rPr>
                <w:rFonts w:hAnsi="Times New Roman"/>
                <w:color w:val="0000FF"/>
                <w:kern w:val="0"/>
                <w:szCs w:val="24"/>
              </w:rPr>
              <w:t>实行定期的巡检制度，密切注意易发生泄漏的柴油、机油和润滑油储存设施；</w:t>
            </w:r>
          </w:p>
          <w:p w14:paraId="7B0D7B3F">
            <w:pPr>
              <w:pStyle w:val="61"/>
              <w:tabs>
                <w:tab w:val="left" w:pos="0"/>
                <w:tab w:val="right" w:leader="dot" w:pos="8302"/>
              </w:tabs>
              <w:adjustRightInd w:val="0"/>
              <w:snapToGrid w:val="0"/>
              <w:ind w:firstLine="480"/>
              <w:rPr>
                <w:rFonts w:hAnsi="Times New Roman"/>
                <w:color w:val="0000FF"/>
                <w:kern w:val="0"/>
                <w:szCs w:val="24"/>
              </w:rPr>
            </w:pPr>
            <w:r>
              <w:rPr>
                <w:rFonts w:hAnsi="Times New Roman"/>
                <w:color w:val="0000FF"/>
                <w:kern w:val="0"/>
                <w:szCs w:val="24"/>
              </w:rPr>
              <w:t>及时发现问题，及时解决；严格执行防火、防爆、防雷击、防毒害等各项要求；</w:t>
            </w:r>
          </w:p>
          <w:p w14:paraId="4F3E0783">
            <w:pPr>
              <w:pStyle w:val="61"/>
              <w:tabs>
                <w:tab w:val="left" w:pos="0"/>
                <w:tab w:val="right" w:leader="dot" w:pos="8302"/>
              </w:tabs>
              <w:adjustRightInd w:val="0"/>
              <w:snapToGrid w:val="0"/>
              <w:ind w:firstLine="480"/>
              <w:rPr>
                <w:rFonts w:hAnsi="Times New Roman"/>
                <w:color w:val="0000FF"/>
                <w:kern w:val="0"/>
                <w:szCs w:val="24"/>
              </w:rPr>
            </w:pPr>
            <w:r>
              <w:rPr>
                <w:rFonts w:hAnsi="Times New Roman"/>
                <w:color w:val="0000FF"/>
                <w:kern w:val="0"/>
                <w:szCs w:val="24"/>
              </w:rPr>
              <w:t>建立健全安全、环境管理体系，制定严格的环境管理制度。</w:t>
            </w:r>
          </w:p>
          <w:p w14:paraId="19B30E86">
            <w:pPr>
              <w:pStyle w:val="61"/>
              <w:tabs>
                <w:tab w:val="left" w:pos="0"/>
                <w:tab w:val="right" w:leader="dot" w:pos="8302"/>
              </w:tabs>
              <w:adjustRightInd w:val="0"/>
              <w:snapToGrid w:val="0"/>
              <w:ind w:firstLine="480"/>
              <w:rPr>
                <w:rFonts w:hAnsi="Times New Roman"/>
                <w:color w:val="0000FF"/>
                <w:szCs w:val="24"/>
              </w:rPr>
            </w:pPr>
            <w:r>
              <w:rPr>
                <w:rFonts w:hAnsi="Times New Roman"/>
                <w:color w:val="0000FF"/>
                <w:szCs w:val="24"/>
              </w:rPr>
              <w:t>企业应按照要求修订突发环境事件应急预案，并定期组织演练。</w:t>
            </w:r>
          </w:p>
          <w:p w14:paraId="0540EDAB">
            <w:pPr>
              <w:ind w:firstLine="480"/>
              <w:rPr>
                <w:color w:val="0000FF"/>
              </w:rPr>
            </w:pPr>
            <w:r>
              <w:rPr>
                <w:color w:val="0000FF"/>
              </w:rPr>
              <w:t>综上所述，本项目在加强管理，建立健全的防范应急措施，以及认真落实安全、环保措施，风险事故隐患可降至最低。</w:t>
            </w:r>
          </w:p>
          <w:p w14:paraId="26EA7B6F">
            <w:pPr>
              <w:pStyle w:val="18"/>
              <w:ind w:left="0" w:leftChars="0" w:firstLine="482"/>
              <w:rPr>
                <w:b/>
                <w:bCs/>
                <w:color w:val="0000FF"/>
              </w:rPr>
            </w:pPr>
            <w:r>
              <w:rPr>
                <w:rFonts w:hint="eastAsia"/>
                <w:b/>
                <w:bCs/>
                <w:color w:val="0000FF"/>
              </w:rPr>
              <w:t>4、</w:t>
            </w:r>
            <w:r>
              <w:rPr>
                <w:b/>
                <w:bCs/>
                <w:color w:val="0000FF"/>
              </w:rPr>
              <w:t>水土流失防治措施</w:t>
            </w:r>
          </w:p>
          <w:p w14:paraId="0C8E21A7">
            <w:pPr>
              <w:pStyle w:val="18"/>
              <w:ind w:left="0" w:leftChars="0" w:firstLine="480"/>
              <w:rPr>
                <w:color w:val="0000FF"/>
              </w:rPr>
            </w:pPr>
            <w:r>
              <w:rPr>
                <w:color w:val="0000FF"/>
              </w:rPr>
              <w:t>矿山开采过程中，由于扰动地貌、平整场地等所造成的地表植被破坏和土壤裸露，遇到降雨天气，极易引起水土流失。裸露面被雨水冲刷流失的泥土随着径流的雨水流向低洼处。为了有效防止水土流失，采取以下措施：</w:t>
            </w:r>
          </w:p>
          <w:p w14:paraId="43ADAC5B">
            <w:pPr>
              <w:pStyle w:val="18"/>
              <w:ind w:left="0" w:leftChars="0" w:firstLine="480"/>
              <w:rPr>
                <w:color w:val="0000FF"/>
              </w:rPr>
            </w:pPr>
            <w:r>
              <w:rPr>
                <w:color w:val="0000FF"/>
              </w:rPr>
              <w:t>（1）矿山开采前剥离表土，集中堆放于表土堆放场；表土堆放场设置排水沟、铺彩条布等临时措施；采矿结束后对露天采场进行场地平整复绿。</w:t>
            </w:r>
          </w:p>
          <w:p w14:paraId="78B9EABC">
            <w:pPr>
              <w:pStyle w:val="18"/>
              <w:ind w:left="0" w:leftChars="0" w:firstLine="480"/>
              <w:rPr>
                <w:color w:val="0000FF"/>
              </w:rPr>
            </w:pPr>
            <w:r>
              <w:rPr>
                <w:color w:val="0000FF"/>
              </w:rPr>
              <w:t>（2）新开挖边坡要采取工程防护与绿化相结合的方法，最大程度减轻工程构筑物占地对生态环境的影响。合理布置道路、设备等基础设施，尽可能减少土地的占用，控制导致土地退化的用地方式，使土地利用更趋合理。</w:t>
            </w:r>
          </w:p>
          <w:p w14:paraId="0F6F19AC">
            <w:pPr>
              <w:pStyle w:val="18"/>
              <w:ind w:left="0" w:leftChars="0" w:firstLine="480"/>
              <w:rPr>
                <w:color w:val="0000FF"/>
              </w:rPr>
            </w:pPr>
            <w:r>
              <w:rPr>
                <w:color w:val="0000FF"/>
              </w:rPr>
              <w:t>（3）在废石堆放场设置挡土墙、排水沟、播撒草籽、临时覆盖等措施，采矿结束后，将表土运走后进行场地翻耕、平整及复绿。切实遵循“三同时”制度，做到水土保持防护工程与主体工程施工同步进行；</w:t>
            </w:r>
          </w:p>
          <w:p w14:paraId="5E4F7982">
            <w:pPr>
              <w:pStyle w:val="18"/>
              <w:ind w:left="0" w:leftChars="0" w:firstLine="480"/>
              <w:rPr>
                <w:color w:val="0000FF"/>
              </w:rPr>
            </w:pPr>
            <w:r>
              <w:rPr>
                <w:color w:val="0000FF"/>
              </w:rPr>
              <w:t>采场区开采过程中，需对矿区地表进行清基，剥离的废石、表土堆置在堆放场，后期用于复垦用土；采场区开采过程中，定期观测各点的空间位置及其相对位置的变化，从而尽快地掌握地表移动变形的大小及规律，确保工程运行安全。</w:t>
            </w:r>
          </w:p>
          <w:p w14:paraId="14846CBD">
            <w:pPr>
              <w:pStyle w:val="18"/>
              <w:ind w:left="0" w:leftChars="0" w:firstLine="480"/>
              <w:rPr>
                <w:rFonts w:hint="eastAsia"/>
                <w:b/>
                <w:bCs/>
                <w:color w:val="0000FF"/>
              </w:rPr>
            </w:pPr>
            <w:r>
              <w:rPr>
                <w:rFonts w:hint="eastAsia"/>
                <w:b/>
                <w:bCs/>
                <w:color w:val="0000FF"/>
                <w:lang w:val="en-US" w:eastAsia="zh-CN"/>
              </w:rPr>
              <w:t>5</w:t>
            </w:r>
            <w:r>
              <w:rPr>
                <w:rFonts w:hint="eastAsia"/>
                <w:b/>
                <w:bCs/>
                <w:color w:val="0000FF"/>
              </w:rPr>
              <w:t>.生态环境保护措施</w:t>
            </w:r>
          </w:p>
          <w:p w14:paraId="4074DA40">
            <w:pPr>
              <w:pStyle w:val="18"/>
              <w:ind w:left="0" w:leftChars="0" w:firstLine="480"/>
              <w:rPr>
                <w:rFonts w:hint="eastAsia"/>
                <w:b/>
                <w:bCs/>
                <w:color w:val="0000FF"/>
              </w:rPr>
            </w:pPr>
            <w:r>
              <w:rPr>
                <w:rFonts w:hint="eastAsia"/>
                <w:b/>
                <w:bCs/>
                <w:color w:val="0000FF"/>
                <w:lang w:val="en-US" w:eastAsia="zh-CN"/>
              </w:rPr>
              <w:t>5</w:t>
            </w:r>
            <w:r>
              <w:rPr>
                <w:rFonts w:hint="eastAsia"/>
                <w:b/>
                <w:bCs/>
                <w:color w:val="0000FF"/>
              </w:rPr>
              <w:t>.1 生态修复措施</w:t>
            </w:r>
          </w:p>
          <w:p w14:paraId="3EFC044C">
            <w:pPr>
              <w:pStyle w:val="18"/>
              <w:ind w:left="0" w:leftChars="0" w:firstLine="480"/>
              <w:rPr>
                <w:rFonts w:hint="eastAsia"/>
                <w:color w:val="0000FF"/>
              </w:rPr>
            </w:pPr>
            <w:r>
              <w:rPr>
                <w:rFonts w:hint="eastAsia"/>
                <w:color w:val="0000FF"/>
              </w:rPr>
              <w:t>（1）露天采场生态恢复</w:t>
            </w:r>
          </w:p>
          <w:p w14:paraId="485D010C">
            <w:pPr>
              <w:pStyle w:val="18"/>
              <w:keepNext w:val="0"/>
              <w:keepLines w:val="0"/>
              <w:pageBreakBefore w:val="0"/>
              <w:widowControl w:val="0"/>
              <w:kinsoku/>
              <w:wordWrap/>
              <w:overflowPunct/>
              <w:topLinePunct w:val="0"/>
              <w:autoSpaceDE/>
              <w:autoSpaceDN/>
              <w:bidi w:val="0"/>
              <w:adjustRightInd/>
              <w:snapToGrid/>
              <w:ind w:left="0" w:leftChars="0" w:firstLine="480"/>
              <w:textAlignment w:val="auto"/>
              <w:rPr>
                <w:rFonts w:hint="eastAsia" w:eastAsia="宋体"/>
                <w:color w:val="0000FF"/>
                <w:lang w:eastAsia="zh-CN"/>
              </w:rPr>
            </w:pPr>
            <w:r>
              <w:rPr>
                <w:rFonts w:hint="eastAsia"/>
                <w:color w:val="0000FF"/>
              </w:rPr>
              <w:t>充分利用工程前收集的表土覆盖于排土场表层，覆盖土层厚度根据植被恢复类型和场地用途确定。恢复为农业植被的，覆土厚度应在50cm以上;恢复为林灌草等生态或景观用地的，根据土源情况进行适当覆土。对边坡进行平整、采用剥离的表土覆土后撒播草籽进行人工植被恢复，撒播草籽为针茅、冷蒿、伏地肤的混合草籽（均为当地原生草籽）</w:t>
            </w:r>
            <w:r>
              <w:rPr>
                <w:rFonts w:hint="eastAsia"/>
                <w:color w:val="0000FF"/>
                <w:lang w:eastAsia="zh-CN"/>
              </w:rPr>
              <w:t>。</w:t>
            </w:r>
          </w:p>
          <w:p w14:paraId="6186E5DD">
            <w:pPr>
              <w:pStyle w:val="18"/>
              <w:ind w:left="0" w:leftChars="0" w:firstLine="480"/>
              <w:rPr>
                <w:rFonts w:hint="eastAsia"/>
                <w:color w:val="0000FF"/>
              </w:rPr>
            </w:pPr>
            <w:r>
              <w:rPr>
                <w:rFonts w:hint="eastAsia"/>
                <w:color w:val="0000FF"/>
              </w:rPr>
              <w:t>（</w:t>
            </w:r>
            <w:r>
              <w:rPr>
                <w:rFonts w:hint="eastAsia"/>
                <w:color w:val="0000FF"/>
                <w:lang w:val="en-US" w:eastAsia="zh-CN"/>
              </w:rPr>
              <w:t>2</w:t>
            </w:r>
            <w:r>
              <w:rPr>
                <w:rFonts w:hint="eastAsia"/>
                <w:color w:val="0000FF"/>
              </w:rPr>
              <w:t>）</w:t>
            </w:r>
            <w:r>
              <w:rPr>
                <w:rFonts w:hint="eastAsia"/>
                <w:color w:val="0000FF"/>
                <w:lang w:eastAsia="zh-CN"/>
              </w:rPr>
              <w:t>排土场</w:t>
            </w:r>
            <w:r>
              <w:rPr>
                <w:rFonts w:hint="eastAsia"/>
                <w:color w:val="0000FF"/>
              </w:rPr>
              <w:t>生态修复</w:t>
            </w:r>
          </w:p>
          <w:p w14:paraId="08D83A38">
            <w:pPr>
              <w:pStyle w:val="18"/>
              <w:ind w:left="0" w:leftChars="0" w:firstLine="480"/>
              <w:rPr>
                <w:rFonts w:hint="eastAsia" w:eastAsia="宋体"/>
                <w:color w:val="0000FF"/>
                <w:lang w:eastAsia="zh-CN"/>
              </w:rPr>
            </w:pPr>
            <w:r>
              <w:rPr>
                <w:rFonts w:hint="eastAsia"/>
                <w:color w:val="0000FF"/>
              </w:rPr>
              <w:t>对场地进行翻耕，翻耕后进行场地平整，平整后撒播草籽进行人工植被恢复，撒播草籽为针茅、冷蒿、伏地肤的混合草籽（均为当地原生草籽）。排土场植被恢复宜林则林、宜草则草、草灌优先，恢复后的植被覆盖率不应低于当地同类土地植被覆盖率，植被类型要与原有类型相似、与周边自然景观协调。不得使用外来有害植物种进行排土场植被恢复.已采用外来物种进行植被恢复造成危害的,应采取人工铲除、</w:t>
            </w:r>
            <w:r>
              <w:rPr>
                <w:rFonts w:hint="eastAsia"/>
                <w:color w:val="0000FF"/>
                <w:lang w:eastAsia="zh-CN"/>
              </w:rPr>
              <w:t>生物防治、化学防治等措施及时清理。</w:t>
            </w:r>
          </w:p>
          <w:p w14:paraId="52FD2D66">
            <w:pPr>
              <w:pStyle w:val="18"/>
              <w:ind w:left="0" w:leftChars="0" w:firstLine="480"/>
              <w:rPr>
                <w:rFonts w:hint="eastAsia"/>
                <w:color w:val="0000FF"/>
              </w:rPr>
            </w:pPr>
            <w:r>
              <w:rPr>
                <w:rFonts w:hint="eastAsia"/>
                <w:color w:val="0000FF"/>
              </w:rPr>
              <w:t>（</w:t>
            </w:r>
            <w:r>
              <w:rPr>
                <w:rFonts w:hint="eastAsia"/>
                <w:color w:val="0000FF"/>
                <w:lang w:val="en-US" w:eastAsia="zh-CN"/>
              </w:rPr>
              <w:t>3</w:t>
            </w:r>
            <w:r>
              <w:rPr>
                <w:rFonts w:hint="eastAsia"/>
                <w:color w:val="0000FF"/>
              </w:rPr>
              <w:t>）</w:t>
            </w:r>
            <w:r>
              <w:rPr>
                <w:rFonts w:hint="eastAsia"/>
                <w:color w:val="0000FF"/>
                <w:lang w:eastAsia="zh-CN"/>
              </w:rPr>
              <w:t>矿区</w:t>
            </w:r>
            <w:r>
              <w:rPr>
                <w:rFonts w:hint="eastAsia"/>
                <w:color w:val="0000FF"/>
              </w:rPr>
              <w:t>运输道路生态恢复</w:t>
            </w:r>
          </w:p>
          <w:p w14:paraId="0A737768">
            <w:pPr>
              <w:pStyle w:val="18"/>
              <w:ind w:left="0" w:leftChars="0" w:firstLine="480"/>
              <w:rPr>
                <w:rFonts w:hint="eastAsia"/>
                <w:color w:val="0000FF"/>
              </w:rPr>
            </w:pPr>
            <w:r>
              <w:rPr>
                <w:rFonts w:hint="eastAsia"/>
                <w:color w:val="0000FF"/>
              </w:rPr>
              <w:t>矿区专用道路用地应严格控制占地面积和范围。开挖路基及取弃土工程，均应根据道路施工进度有计划地进行表土剥离并保存,必要时应设置截排水沟、挡土墙等相应保护措施。矿区专用道路取弃土工程结束后，取弃土场应及时回填、整平、压实，并利用堆存的表土进行植被和景观恢复。矿区专用道路使用期间，有条件的地区应对道路两侧进行绿化。道路绿化应以乡土树(草)种为主，选择适应性强、防尘效果好、护坡功能强的植物种。道路建设施工结束后，临时占地应及时恢复，与原有地貌和景观协调。对矿山道路的原始土壤进行翻耕，平整后播撒草籽进行人工植被恢复，撒播草籽为针茅、冷蒿、伏地肤的混合草籽（均为当地原生草籽）。</w:t>
            </w:r>
          </w:p>
          <w:p w14:paraId="34389A33">
            <w:pPr>
              <w:pStyle w:val="18"/>
              <w:ind w:left="0" w:leftChars="0" w:firstLine="480"/>
              <w:rPr>
                <w:rFonts w:hint="eastAsia"/>
                <w:color w:val="0000FF"/>
              </w:rPr>
            </w:pPr>
            <w:r>
              <w:rPr>
                <w:rFonts w:hint="eastAsia"/>
                <w:color w:val="0000FF"/>
              </w:rPr>
              <w:t>综上，通过对采矿场、</w:t>
            </w:r>
            <w:r>
              <w:rPr>
                <w:rFonts w:hint="eastAsia"/>
                <w:color w:val="0000FF"/>
                <w:lang w:eastAsia="zh-CN"/>
              </w:rPr>
              <w:t>排土场</w:t>
            </w:r>
            <w:r>
              <w:rPr>
                <w:rFonts w:hint="eastAsia"/>
                <w:color w:val="0000FF"/>
              </w:rPr>
              <w:t>和</w:t>
            </w:r>
            <w:r>
              <w:rPr>
                <w:rFonts w:hint="eastAsia"/>
                <w:color w:val="0000FF"/>
                <w:lang w:eastAsia="zh-CN"/>
              </w:rPr>
              <w:t>矿区运输</w:t>
            </w:r>
            <w:r>
              <w:rPr>
                <w:rFonts w:hint="eastAsia"/>
                <w:color w:val="0000FF"/>
              </w:rPr>
              <w:t>道路等区域实施生态修复，实施后生态恢复率可达100%，符合了《矿山生态环境保护与恢复治理技术规范（试行）》（HJ651-2013）的要求。</w:t>
            </w:r>
          </w:p>
          <w:p w14:paraId="7C620F9A">
            <w:pPr>
              <w:rPr>
                <w:rFonts w:hint="eastAsia"/>
              </w:rPr>
            </w:pPr>
            <w:r>
              <w:rPr>
                <w:rFonts w:hint="eastAsia"/>
              </w:rPr>
              <w:t>（5）生态环境保护措施</w:t>
            </w:r>
          </w:p>
          <w:p w14:paraId="70BD5FF8">
            <w:pPr>
              <w:rPr>
                <w:rFonts w:hint="eastAsia"/>
              </w:rPr>
            </w:pPr>
            <w:r>
              <w:rPr>
                <w:rFonts w:hint="eastAsia"/>
              </w:rPr>
              <w:t>①开采矿石岩层时，尽量保证周边围岩的稳定，建立实时的监测机制，做好周边岩体稳定性的预警，以防山体崩塌对周边环境及生物造成破坏。被剥离的表土必须堆放在指定的堆放场，禁止随意抛弃表土，避免在矿区内增加新的扬尘污染和水土流失；</w:t>
            </w:r>
          </w:p>
          <w:p w14:paraId="27AA9438">
            <w:pPr>
              <w:rPr>
                <w:rFonts w:hint="eastAsia"/>
              </w:rPr>
            </w:pPr>
            <w:r>
              <w:rPr>
                <w:rFonts w:hint="eastAsia"/>
              </w:rPr>
              <w:t>②合理安排矿山的基建施工进度，对采场采取上而下，分层台阶式开采。尽可能采用低噪声机械，减少设备噪声对野生动物的惊扰；</w:t>
            </w:r>
          </w:p>
          <w:p w14:paraId="7BA8F778">
            <w:pPr>
              <w:rPr>
                <w:rFonts w:hint="eastAsia"/>
              </w:rPr>
            </w:pPr>
            <w:r>
              <w:rPr>
                <w:rFonts w:hint="eastAsia"/>
              </w:rPr>
              <w:t>③露天开采形成矿坑后，在露天采场外围设立防护网及警示牌；</w:t>
            </w:r>
          </w:p>
          <w:p w14:paraId="65754D8C">
            <w:pPr>
              <w:rPr>
                <w:rFonts w:hint="eastAsia"/>
              </w:rPr>
            </w:pPr>
            <w:r>
              <w:rPr>
                <w:rFonts w:hint="eastAsia"/>
              </w:rPr>
              <w:t>④尽量采用低噪声机械设备，对高强噪声源采取隔音降噪措施，以减轻生产噪声惊吓周围野生动物；</w:t>
            </w:r>
          </w:p>
          <w:p w14:paraId="3125AD16">
            <w:pPr>
              <w:rPr>
                <w:rFonts w:hint="eastAsia"/>
              </w:rPr>
            </w:pPr>
            <w:r>
              <w:rPr>
                <w:rFonts w:hint="eastAsia"/>
              </w:rPr>
              <w:t>⑤加强对员工的宣传教育和管理，禁止滥捕滥猎，保护野生动物。如发现国家和自治区级保护的濒危、珍稀野生动植物，需加强保护，及时上报相关部门；</w:t>
            </w:r>
          </w:p>
          <w:p w14:paraId="21C91C61">
            <w:pPr>
              <w:rPr>
                <w:rFonts w:hint="eastAsia"/>
              </w:rPr>
            </w:pPr>
            <w:r>
              <w:rPr>
                <w:rFonts w:hint="eastAsia"/>
              </w:rPr>
              <w:t>⑥制定合理有效的规章制度，避免人为因素对矿山周围生态环境的破坏，明确开采范围，禁止工人进入非开采区活动，严禁烟火和破坏植被活动；</w:t>
            </w:r>
          </w:p>
          <w:p w14:paraId="7A33A81D">
            <w:pPr>
              <w:rPr>
                <w:rFonts w:hint="eastAsia"/>
              </w:rPr>
            </w:pPr>
            <w:r>
              <w:rPr>
                <w:rFonts w:hint="eastAsia"/>
              </w:rPr>
              <w:t>⑦建设单位应分片区开采，边开采边绿化、复垦。按照复垦方案和水土保持方案要求，及时进行复垦，切实落实生态保护措施；</w:t>
            </w:r>
          </w:p>
          <w:p w14:paraId="7BF236B5">
            <w:pPr>
              <w:rPr>
                <w:rFonts w:hint="eastAsia"/>
              </w:rPr>
            </w:pPr>
            <w:r>
              <w:rPr>
                <w:rFonts w:hint="eastAsia"/>
              </w:rPr>
              <w:t>⑧矿山应制定“边开采边复垦”的生态恢复和补偿方案，落实生态恢复和补偿工作，通过采取表土回填及生活区周围绿化等措施，可加快生态系统恢复和正向演替的过程。本项目矿山开采完成后对终止使用的采场表面应采取整治和覆土措施，恢复原有土地利用类型，对矿山开采造成的生态破坏进行有效的补偿；</w:t>
            </w:r>
          </w:p>
          <w:p w14:paraId="08B3BF1C">
            <w:pPr>
              <w:rPr>
                <w:rFonts w:hint="eastAsia"/>
              </w:rPr>
            </w:pPr>
            <w:r>
              <w:rPr>
                <w:rFonts w:hint="eastAsia"/>
              </w:rPr>
              <w:t>⑨编制水土保持方案，严格按照水土保持方案设计中的要求采取水土保持相关措施，减少运营期水土流失量；</w:t>
            </w:r>
          </w:p>
          <w:p w14:paraId="4147BD10">
            <w:pPr>
              <w:rPr>
                <w:rFonts w:hint="eastAsia"/>
              </w:rPr>
            </w:pPr>
            <w:r>
              <w:rPr>
                <w:rFonts w:hint="eastAsia"/>
              </w:rPr>
              <w:t>⑩项目的运营期和闭矿期都属于水流失重点防治时段。防治措施重点在于加强管理，以预防为主，通过覆土、土地整治和种草。根据各功能区特点布设适宜的工程和植物措施，有效控制水土流失。以土地整治和绿化工程相结合，合理利用土地资源，改善生态环境。</w:t>
            </w:r>
          </w:p>
          <w:p w14:paraId="6ED7B880">
            <w:pPr>
              <w:rPr>
                <w:rFonts w:hint="eastAsia"/>
              </w:rPr>
            </w:pPr>
            <w:r>
              <w:rPr>
                <w:rFonts w:hint="eastAsia"/>
              </w:rPr>
              <w:t>（6）闭矿期生态恢复措施</w:t>
            </w:r>
          </w:p>
          <w:p w14:paraId="443DB893">
            <w:pPr>
              <w:rPr>
                <w:rFonts w:hint="eastAsia"/>
              </w:rPr>
            </w:pPr>
            <w:r>
              <w:rPr>
                <w:rFonts w:hint="eastAsia"/>
              </w:rPr>
              <w:t>①闭矿后在开采区采坑设置铁丝围栏及警告牌，防止人畜误入。</w:t>
            </w:r>
          </w:p>
          <w:p w14:paraId="65B1AD4C">
            <w:pPr>
              <w:rPr>
                <w:rFonts w:hint="eastAsia"/>
              </w:rPr>
            </w:pPr>
            <w:r>
              <w:rPr>
                <w:rFonts w:hint="eastAsia"/>
              </w:rPr>
              <w:t>②积极开展矿区生态绿化工作。</w:t>
            </w:r>
          </w:p>
          <w:p w14:paraId="39E3AE2E">
            <w:pPr>
              <w:rPr>
                <w:rFonts w:hint="eastAsia"/>
              </w:rPr>
            </w:pPr>
            <w:r>
              <w:rPr>
                <w:rFonts w:hint="eastAsia"/>
              </w:rPr>
              <w:t>③项目闭矿后，对采坑及时进行回填，对陡坡进行削坡处理，防止水土流失，同时播撒草籽进行植被恢复。</w:t>
            </w:r>
          </w:p>
          <w:p w14:paraId="47DBD137">
            <w:pPr>
              <w:rPr>
                <w:rFonts w:hint="eastAsia"/>
              </w:rPr>
            </w:pPr>
            <w:r>
              <w:rPr>
                <w:rFonts w:hint="eastAsia"/>
              </w:rPr>
              <w:t>④对矿区地表建筑进行拆除，对地表进行平整和植被恢复，与原有景观相协调。</w:t>
            </w:r>
          </w:p>
          <w:p w14:paraId="61E6E174">
            <w:pPr>
              <w:rPr>
                <w:rFonts w:hint="eastAsia"/>
              </w:rPr>
            </w:pPr>
            <w:r>
              <w:rPr>
                <w:rFonts w:hint="eastAsia"/>
              </w:rPr>
              <w:t>⑤委托相关部门定期开展生态监测，确保生态环境良性发展。</w:t>
            </w:r>
          </w:p>
          <w:p w14:paraId="5ACACAA2">
            <w:pPr>
              <w:rPr>
                <w:rFonts w:hint="eastAsia"/>
              </w:rPr>
            </w:pPr>
            <w:r>
              <w:rPr>
                <w:rFonts w:hint="eastAsia"/>
              </w:rPr>
              <w:t>⑥拆除矿区原有建筑、妥善处理遗留建筑固体废物，将矿区遗留固废运到指定场所处置。</w:t>
            </w:r>
          </w:p>
          <w:p w14:paraId="0F695126">
            <w:pPr>
              <w:rPr>
                <w:rFonts w:hint="eastAsia"/>
                <w:b/>
                <w:bCs/>
              </w:rPr>
            </w:pPr>
            <w:r>
              <w:rPr>
                <w:rFonts w:hint="eastAsia"/>
                <w:b/>
                <w:bCs/>
              </w:rPr>
              <w:t>6绿色矿山</w:t>
            </w:r>
          </w:p>
          <w:p w14:paraId="2842C860">
            <w:pPr>
              <w:rPr>
                <w:rFonts w:hint="eastAsia"/>
              </w:rPr>
            </w:pPr>
            <w:r>
              <w:rPr>
                <w:rFonts w:hint="eastAsia"/>
              </w:rPr>
              <w:t>本项目在矿产资源开发全过程中，应实施科学有序开采，对矿区及周边生态环境扰动控制在可控范围内，实现矿区环境生态化、开采方式科学化、资源利用高效化、管理信息数字化和矿区社区和谐化的矿山。</w:t>
            </w:r>
          </w:p>
          <w:p w14:paraId="61EE2BC3">
            <w:pPr>
              <w:rPr>
                <w:rFonts w:hint="eastAsia"/>
              </w:rPr>
            </w:pPr>
            <w:r>
              <w:rPr>
                <w:rFonts w:hint="eastAsia"/>
              </w:rPr>
              <w:t>在矿山建设过程中，绿色矿山建设重点工程如下：</w:t>
            </w:r>
          </w:p>
          <w:p w14:paraId="1AF3F766">
            <w:pPr>
              <w:rPr>
                <w:rFonts w:hint="eastAsia"/>
              </w:rPr>
            </w:pPr>
            <w:r>
              <w:rPr>
                <w:rFonts w:hint="eastAsia"/>
              </w:rPr>
              <w:t>（1）矿区按照生产区、管理区、生活区等功能分区，生产、生活、管理等功能区设置相应的管理机构和管理制度，做到运行有序、管理规范工业场区：</w:t>
            </w:r>
          </w:p>
          <w:p w14:paraId="7F2BBE97">
            <w:pPr>
              <w:rPr>
                <w:rFonts w:hint="eastAsia"/>
              </w:rPr>
            </w:pPr>
            <w:r>
              <w:rPr>
                <w:rFonts w:hint="eastAsia"/>
              </w:rPr>
              <w:t>（2）矿区地面运输、供水、供电、卫生、环保等配套设施齐全；各生产区设置操作提示牌、说明牌、线路示意牌等标牌；在道路交叉口、采场口等需警示安全的区域均设置安全标志。</w:t>
            </w:r>
          </w:p>
          <w:p w14:paraId="4664709F">
            <w:pPr>
              <w:rPr>
                <w:rFonts w:hint="eastAsia"/>
              </w:rPr>
            </w:pPr>
            <w:r>
              <w:rPr>
                <w:rFonts w:hint="eastAsia"/>
              </w:rPr>
              <w:t>（3）在矿山生产、运输、储存过程中采取防尘保洁措施，采矿作业面、矿区道路采取喷雾、洒水降尘；保持矿区环境整洁，工作场所粉尘浓度要符合《工作场所有害因素职业接触限值第1部分：化学有害因素》（GBZ2.1-2019）规定的粉尘容许浓度要求。</w:t>
            </w:r>
          </w:p>
          <w:p w14:paraId="4FE33104">
            <w:pPr>
              <w:rPr>
                <w:rFonts w:hint="eastAsia"/>
              </w:rPr>
            </w:pPr>
            <w:r>
              <w:rPr>
                <w:rFonts w:hint="eastAsia"/>
              </w:rPr>
              <w:t>（4）为降低噪声影响，使企业噪声排放限值符合《工业企业厂界环境噪声排放标准》（GB12348-2008）的规定，所有设备均采取降噪处理措施；地表设施均设在建筑物之内，降低噪声排放。矿山挖掘机采用国六环保挖掘机。设置绿色矿山学习培训专用办公室等，根据各个房间的功能，墙壁上张贴相应的制度和宣传标准，对生活垃圾进行分类处理，建立卫生保洁制度。在露天采场、生活区路段内不同地点设置体现矿山企业文化和绿色矿山文化的宣传标语和文化走廊。</w:t>
            </w:r>
          </w:p>
          <w:p w14:paraId="2ABB4A31">
            <w:r>
              <w:rPr>
                <w:rFonts w:hint="eastAsia"/>
              </w:rPr>
              <w:t>（</w:t>
            </w:r>
            <w:r>
              <w:rPr>
                <w:rFonts w:hint="eastAsia"/>
                <w:lang w:val="en-US" w:eastAsia="zh-CN"/>
              </w:rPr>
              <w:t>5</w:t>
            </w:r>
            <w:r>
              <w:rPr>
                <w:rFonts w:hint="eastAsia"/>
              </w:rPr>
              <w:t>）地表变形人工常规监测，监测内容为宏观判断采坑边坡的稳定性和生物工程情况。巡查时注意工程施工中有无新的坡面危石、浮石出现，若有则应及时清除处理。监测频率每天1次，对采场的所有边坡进行巡回监测，建立监测台账，并设置地质灾害应急预案。</w:t>
            </w:r>
          </w:p>
        </w:tc>
      </w:tr>
      <w:tr w14:paraId="500710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408" w:type="pct"/>
            <w:vAlign w:val="center"/>
          </w:tcPr>
          <w:p w14:paraId="2C9475A0">
            <w:pPr>
              <w:adjustRightInd w:val="0"/>
              <w:snapToGrid w:val="0"/>
              <w:spacing w:line="240" w:lineRule="auto"/>
              <w:ind w:firstLine="0" w:firstLineChars="0"/>
              <w:jc w:val="center"/>
              <w:rPr>
                <w:bCs/>
                <w:spacing w:val="10"/>
              </w:rPr>
            </w:pPr>
            <w:r>
              <w:rPr>
                <w:bCs/>
              </w:rPr>
              <w:t>其他</w:t>
            </w:r>
          </w:p>
        </w:tc>
        <w:tc>
          <w:tcPr>
            <w:tcW w:w="4591" w:type="pct"/>
            <w:vAlign w:val="center"/>
          </w:tcPr>
          <w:p w14:paraId="567134E5">
            <w:pPr>
              <w:adjustRightInd w:val="0"/>
              <w:snapToGrid w:val="0"/>
              <w:ind w:firstLine="520"/>
              <w:jc w:val="center"/>
              <w:rPr>
                <w:bCs/>
                <w:spacing w:val="10"/>
              </w:rPr>
            </w:pPr>
            <w:r>
              <w:rPr>
                <w:bCs/>
                <w:spacing w:val="10"/>
              </w:rPr>
              <w:t>/</w:t>
            </w:r>
          </w:p>
        </w:tc>
      </w:tr>
      <w:tr w14:paraId="57D001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408" w:type="pct"/>
            <w:vAlign w:val="center"/>
          </w:tcPr>
          <w:p w14:paraId="3A1A949B">
            <w:pPr>
              <w:adjustRightInd w:val="0"/>
              <w:snapToGrid w:val="0"/>
              <w:spacing w:line="240" w:lineRule="auto"/>
              <w:ind w:firstLine="0" w:firstLineChars="0"/>
              <w:jc w:val="center"/>
              <w:rPr>
                <w:bCs/>
                <w:spacing w:val="10"/>
              </w:rPr>
            </w:pPr>
            <w:r>
              <w:rPr>
                <w:bCs/>
              </w:rPr>
              <w:t>环保投资</w:t>
            </w:r>
          </w:p>
        </w:tc>
        <w:tc>
          <w:tcPr>
            <w:tcW w:w="4591" w:type="pct"/>
          </w:tcPr>
          <w:p w14:paraId="28C3C5A4">
            <w:pPr>
              <w:adjustRightInd w:val="0"/>
              <w:snapToGrid w:val="0"/>
              <w:ind w:firstLine="480"/>
              <w:rPr>
                <w:kern w:val="0"/>
              </w:rPr>
            </w:pPr>
            <w:r>
              <w:rPr>
                <w:kern w:val="0"/>
              </w:rPr>
              <w:t>项目总投资</w:t>
            </w:r>
            <w:r>
              <w:rPr>
                <w:rFonts w:hint="eastAsia"/>
                <w:kern w:val="0"/>
              </w:rPr>
              <w:t>10000</w:t>
            </w:r>
            <w:r>
              <w:rPr>
                <w:kern w:val="0"/>
              </w:rPr>
              <w:t>万元，其中环保投资</w:t>
            </w:r>
            <w:r>
              <w:rPr>
                <w:rFonts w:hint="eastAsia"/>
                <w:kern w:val="0"/>
              </w:rPr>
              <w:t>100</w:t>
            </w:r>
            <w:r>
              <w:rPr>
                <w:kern w:val="0"/>
              </w:rPr>
              <w:t>万元，环保投资占</w:t>
            </w:r>
            <w:r>
              <w:rPr>
                <w:rFonts w:hint="eastAsia"/>
                <w:kern w:val="0"/>
              </w:rPr>
              <w:t>1</w:t>
            </w:r>
            <w:r>
              <w:rPr>
                <w:kern w:val="0"/>
              </w:rPr>
              <w:t>%。环保投资情况见表5-1。</w:t>
            </w:r>
          </w:p>
          <w:p w14:paraId="7981FB6B">
            <w:pPr>
              <w:pStyle w:val="23"/>
              <w:adjustRightInd w:val="0"/>
              <w:snapToGrid w:val="0"/>
              <w:spacing w:after="0" w:line="240" w:lineRule="auto"/>
              <w:ind w:left="0" w:leftChars="0" w:firstLine="482"/>
              <w:jc w:val="center"/>
              <w:rPr>
                <w:b/>
                <w:bCs/>
                <w:sz w:val="21"/>
                <w:szCs w:val="21"/>
              </w:rPr>
            </w:pPr>
            <w:r>
              <w:rPr>
                <w:b/>
                <w:bCs/>
              </w:rPr>
              <w:t>表5-1 环保投资明细单位：万元</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948"/>
              <w:gridCol w:w="2263"/>
              <w:gridCol w:w="2760"/>
              <w:gridCol w:w="1561"/>
            </w:tblGrid>
            <w:tr w14:paraId="1FE33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98" w:hRule="atLeast"/>
                <w:jc w:val="center"/>
              </w:trPr>
              <w:tc>
                <w:tcPr>
                  <w:tcW w:w="2131" w:type="pct"/>
                  <w:gridSpan w:val="2"/>
                  <w:tcBorders>
                    <w:tl2br w:val="nil"/>
                    <w:tr2bl w:val="nil"/>
                  </w:tcBorders>
                  <w:shd w:val="clear" w:color="auto" w:fill="FFFFFF" w:themeFill="background1"/>
                  <w:vAlign w:val="center"/>
                </w:tcPr>
                <w:p w14:paraId="0A9725B8">
                  <w:pPr>
                    <w:adjustRightInd w:val="0"/>
                    <w:snapToGrid w:val="0"/>
                    <w:spacing w:line="240" w:lineRule="auto"/>
                    <w:ind w:firstLine="0" w:firstLineChars="0"/>
                    <w:jc w:val="center"/>
                    <w:rPr>
                      <w:b/>
                      <w:bCs/>
                      <w:sz w:val="21"/>
                      <w:szCs w:val="21"/>
                    </w:rPr>
                  </w:pPr>
                  <w:r>
                    <w:rPr>
                      <w:b/>
                      <w:bCs/>
                      <w:sz w:val="21"/>
                      <w:szCs w:val="21"/>
                    </w:rPr>
                    <w:t>主要污染源</w:t>
                  </w:r>
                </w:p>
              </w:tc>
              <w:tc>
                <w:tcPr>
                  <w:tcW w:w="1832" w:type="pct"/>
                  <w:tcBorders>
                    <w:tl2br w:val="nil"/>
                    <w:tr2bl w:val="nil"/>
                  </w:tcBorders>
                  <w:shd w:val="clear" w:color="auto" w:fill="FFFFFF" w:themeFill="background1"/>
                  <w:vAlign w:val="center"/>
                </w:tcPr>
                <w:p w14:paraId="76C50351">
                  <w:pPr>
                    <w:adjustRightInd w:val="0"/>
                    <w:snapToGrid w:val="0"/>
                    <w:spacing w:line="240" w:lineRule="auto"/>
                    <w:ind w:firstLine="0" w:firstLineChars="0"/>
                    <w:jc w:val="center"/>
                    <w:rPr>
                      <w:b/>
                      <w:bCs/>
                      <w:sz w:val="21"/>
                      <w:szCs w:val="21"/>
                    </w:rPr>
                  </w:pPr>
                  <w:r>
                    <w:rPr>
                      <w:b/>
                      <w:bCs/>
                      <w:sz w:val="21"/>
                      <w:szCs w:val="21"/>
                    </w:rPr>
                    <w:t>处理措施与设施</w:t>
                  </w:r>
                </w:p>
              </w:tc>
              <w:tc>
                <w:tcPr>
                  <w:tcW w:w="1036" w:type="pct"/>
                  <w:tcBorders>
                    <w:tl2br w:val="nil"/>
                    <w:tr2bl w:val="nil"/>
                  </w:tcBorders>
                  <w:shd w:val="clear" w:color="auto" w:fill="FFFFFF" w:themeFill="background1"/>
                  <w:vAlign w:val="center"/>
                </w:tcPr>
                <w:p w14:paraId="7F1D3E12">
                  <w:pPr>
                    <w:adjustRightInd w:val="0"/>
                    <w:snapToGrid w:val="0"/>
                    <w:spacing w:line="240" w:lineRule="auto"/>
                    <w:ind w:firstLine="0" w:firstLineChars="0"/>
                    <w:jc w:val="center"/>
                    <w:rPr>
                      <w:b/>
                      <w:bCs/>
                      <w:sz w:val="21"/>
                      <w:szCs w:val="21"/>
                    </w:rPr>
                  </w:pPr>
                  <w:r>
                    <w:rPr>
                      <w:b/>
                      <w:bCs/>
                      <w:sz w:val="21"/>
                      <w:szCs w:val="21"/>
                    </w:rPr>
                    <w:t>投资额（万元）</w:t>
                  </w:r>
                </w:p>
              </w:tc>
            </w:tr>
            <w:tr w14:paraId="2639C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629" w:type="pct"/>
                  <w:tcBorders>
                    <w:tl2br w:val="nil"/>
                    <w:tr2bl w:val="nil"/>
                  </w:tcBorders>
                  <w:shd w:val="clear" w:color="auto" w:fill="FFFFFF" w:themeFill="background1"/>
                  <w:vAlign w:val="center"/>
                </w:tcPr>
                <w:p w14:paraId="6BD95933">
                  <w:pPr>
                    <w:adjustRightInd w:val="0"/>
                    <w:snapToGrid w:val="0"/>
                    <w:spacing w:line="240" w:lineRule="auto"/>
                    <w:ind w:firstLine="0" w:firstLineChars="0"/>
                    <w:jc w:val="center"/>
                    <w:rPr>
                      <w:sz w:val="21"/>
                      <w:szCs w:val="21"/>
                    </w:rPr>
                  </w:pPr>
                  <w:r>
                    <w:rPr>
                      <w:sz w:val="21"/>
                      <w:szCs w:val="21"/>
                    </w:rPr>
                    <w:t>废气</w:t>
                  </w:r>
                </w:p>
              </w:tc>
              <w:tc>
                <w:tcPr>
                  <w:tcW w:w="1502" w:type="pct"/>
                  <w:tcBorders>
                    <w:tl2br w:val="nil"/>
                    <w:tr2bl w:val="nil"/>
                  </w:tcBorders>
                  <w:shd w:val="clear" w:color="auto" w:fill="FFFFFF" w:themeFill="background1"/>
                  <w:vAlign w:val="center"/>
                </w:tcPr>
                <w:p w14:paraId="0C3FDBD6">
                  <w:pPr>
                    <w:adjustRightInd w:val="0"/>
                    <w:snapToGrid w:val="0"/>
                    <w:spacing w:line="240" w:lineRule="auto"/>
                    <w:ind w:firstLine="0" w:firstLineChars="0"/>
                    <w:jc w:val="center"/>
                    <w:rPr>
                      <w:kern w:val="0"/>
                      <w:sz w:val="21"/>
                      <w:szCs w:val="21"/>
                    </w:rPr>
                  </w:pPr>
                  <w:r>
                    <w:rPr>
                      <w:kern w:val="0"/>
                      <w:sz w:val="21"/>
                      <w:szCs w:val="21"/>
                    </w:rPr>
                    <w:t>采场粉尘</w:t>
                  </w:r>
                </w:p>
              </w:tc>
              <w:tc>
                <w:tcPr>
                  <w:tcW w:w="1832" w:type="pct"/>
                  <w:tcBorders>
                    <w:tl2br w:val="nil"/>
                    <w:tr2bl w:val="nil"/>
                  </w:tcBorders>
                  <w:shd w:val="clear" w:color="auto" w:fill="FFFFFF" w:themeFill="background1"/>
                  <w:vAlign w:val="center"/>
                </w:tcPr>
                <w:p w14:paraId="4934A553">
                  <w:pPr>
                    <w:adjustRightInd w:val="0"/>
                    <w:snapToGrid w:val="0"/>
                    <w:spacing w:line="240" w:lineRule="auto"/>
                    <w:ind w:firstLine="0" w:firstLineChars="0"/>
                    <w:jc w:val="center"/>
                    <w:rPr>
                      <w:sz w:val="21"/>
                      <w:szCs w:val="21"/>
                    </w:rPr>
                  </w:pPr>
                  <w:r>
                    <w:rPr>
                      <w:rFonts w:hint="eastAsia"/>
                      <w:spacing w:val="-2"/>
                      <w:sz w:val="21"/>
                      <w:szCs w:val="21"/>
                    </w:rPr>
                    <w:t>喷雾洒水设施</w:t>
                  </w:r>
                </w:p>
              </w:tc>
              <w:tc>
                <w:tcPr>
                  <w:tcW w:w="1036" w:type="pct"/>
                  <w:tcBorders>
                    <w:tl2br w:val="nil"/>
                    <w:tr2bl w:val="nil"/>
                  </w:tcBorders>
                  <w:shd w:val="clear" w:color="auto" w:fill="FFFFFF" w:themeFill="background1"/>
                  <w:vAlign w:val="center"/>
                </w:tcPr>
                <w:p w14:paraId="03B7335A">
                  <w:pPr>
                    <w:adjustRightInd w:val="0"/>
                    <w:snapToGrid w:val="0"/>
                    <w:spacing w:line="240" w:lineRule="auto"/>
                    <w:ind w:firstLine="0" w:firstLineChars="0"/>
                    <w:jc w:val="center"/>
                    <w:rPr>
                      <w:sz w:val="21"/>
                      <w:szCs w:val="21"/>
                    </w:rPr>
                  </w:pPr>
                  <w:r>
                    <w:rPr>
                      <w:rFonts w:hint="eastAsia"/>
                      <w:sz w:val="21"/>
                      <w:szCs w:val="21"/>
                    </w:rPr>
                    <w:t>6</w:t>
                  </w:r>
                </w:p>
              </w:tc>
            </w:tr>
            <w:tr w14:paraId="463C0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29" w:type="pct"/>
                  <w:tcBorders>
                    <w:tl2br w:val="nil"/>
                    <w:tr2bl w:val="nil"/>
                  </w:tcBorders>
                  <w:shd w:val="clear" w:color="auto" w:fill="FFFFFF" w:themeFill="background1"/>
                  <w:vAlign w:val="center"/>
                </w:tcPr>
                <w:p w14:paraId="6D579EEF">
                  <w:pPr>
                    <w:adjustRightInd w:val="0"/>
                    <w:snapToGrid w:val="0"/>
                    <w:spacing w:line="240" w:lineRule="auto"/>
                    <w:ind w:firstLine="0" w:firstLineChars="0"/>
                    <w:jc w:val="center"/>
                    <w:rPr>
                      <w:sz w:val="21"/>
                      <w:szCs w:val="21"/>
                    </w:rPr>
                  </w:pPr>
                  <w:r>
                    <w:rPr>
                      <w:sz w:val="21"/>
                      <w:szCs w:val="21"/>
                    </w:rPr>
                    <w:t>噪声</w:t>
                  </w:r>
                </w:p>
              </w:tc>
              <w:tc>
                <w:tcPr>
                  <w:tcW w:w="1502" w:type="pct"/>
                  <w:tcBorders>
                    <w:tl2br w:val="nil"/>
                    <w:tr2bl w:val="nil"/>
                  </w:tcBorders>
                  <w:shd w:val="clear" w:color="auto" w:fill="FFFFFF" w:themeFill="background1"/>
                  <w:vAlign w:val="center"/>
                </w:tcPr>
                <w:p w14:paraId="55793A06">
                  <w:pPr>
                    <w:adjustRightInd w:val="0"/>
                    <w:snapToGrid w:val="0"/>
                    <w:spacing w:line="240" w:lineRule="auto"/>
                    <w:ind w:firstLine="0" w:firstLineChars="0"/>
                    <w:jc w:val="center"/>
                    <w:rPr>
                      <w:sz w:val="21"/>
                      <w:szCs w:val="21"/>
                    </w:rPr>
                  </w:pPr>
                  <w:r>
                    <w:rPr>
                      <w:sz w:val="21"/>
                      <w:szCs w:val="21"/>
                    </w:rPr>
                    <w:t>机械噪声</w:t>
                  </w:r>
                </w:p>
              </w:tc>
              <w:tc>
                <w:tcPr>
                  <w:tcW w:w="1832" w:type="pct"/>
                  <w:tcBorders>
                    <w:tl2br w:val="nil"/>
                    <w:tr2bl w:val="nil"/>
                  </w:tcBorders>
                  <w:shd w:val="clear" w:color="auto" w:fill="FFFFFF" w:themeFill="background1"/>
                  <w:vAlign w:val="center"/>
                </w:tcPr>
                <w:p w14:paraId="5BDD57DE">
                  <w:pPr>
                    <w:adjustRightInd w:val="0"/>
                    <w:snapToGrid w:val="0"/>
                    <w:spacing w:line="240" w:lineRule="auto"/>
                    <w:ind w:firstLine="0" w:firstLineChars="0"/>
                    <w:jc w:val="center"/>
                    <w:rPr>
                      <w:sz w:val="21"/>
                      <w:szCs w:val="21"/>
                    </w:rPr>
                  </w:pPr>
                  <w:r>
                    <w:rPr>
                      <w:sz w:val="21"/>
                      <w:szCs w:val="21"/>
                    </w:rPr>
                    <w:t>低噪设备、基础减振</w:t>
                  </w:r>
                </w:p>
              </w:tc>
              <w:tc>
                <w:tcPr>
                  <w:tcW w:w="1036" w:type="pct"/>
                  <w:tcBorders>
                    <w:tl2br w:val="nil"/>
                    <w:tr2bl w:val="nil"/>
                  </w:tcBorders>
                  <w:shd w:val="clear" w:color="auto" w:fill="FFFFFF" w:themeFill="background1"/>
                  <w:vAlign w:val="center"/>
                </w:tcPr>
                <w:p w14:paraId="5580B8BD">
                  <w:pPr>
                    <w:adjustRightInd w:val="0"/>
                    <w:snapToGrid w:val="0"/>
                    <w:spacing w:line="240" w:lineRule="auto"/>
                    <w:ind w:firstLine="0" w:firstLineChars="0"/>
                    <w:jc w:val="center"/>
                    <w:rPr>
                      <w:sz w:val="21"/>
                      <w:szCs w:val="21"/>
                    </w:rPr>
                  </w:pPr>
                  <w:r>
                    <w:rPr>
                      <w:rFonts w:hint="eastAsia"/>
                      <w:sz w:val="21"/>
                      <w:szCs w:val="21"/>
                    </w:rPr>
                    <w:t>5</w:t>
                  </w:r>
                </w:p>
              </w:tc>
            </w:tr>
            <w:tr w14:paraId="6BA03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29" w:type="pct"/>
                  <w:vMerge w:val="restart"/>
                  <w:tcBorders>
                    <w:tl2br w:val="nil"/>
                    <w:tr2bl w:val="nil"/>
                  </w:tcBorders>
                  <w:shd w:val="clear" w:color="auto" w:fill="FFFFFF" w:themeFill="background1"/>
                  <w:vAlign w:val="center"/>
                </w:tcPr>
                <w:p w14:paraId="075A561E">
                  <w:pPr>
                    <w:adjustRightInd w:val="0"/>
                    <w:snapToGrid w:val="0"/>
                    <w:spacing w:line="240" w:lineRule="auto"/>
                    <w:ind w:firstLine="0" w:firstLineChars="0"/>
                    <w:jc w:val="center"/>
                    <w:rPr>
                      <w:sz w:val="21"/>
                      <w:szCs w:val="21"/>
                    </w:rPr>
                  </w:pPr>
                  <w:r>
                    <w:rPr>
                      <w:sz w:val="21"/>
                      <w:szCs w:val="21"/>
                    </w:rPr>
                    <w:t>固废</w:t>
                  </w:r>
                </w:p>
              </w:tc>
              <w:tc>
                <w:tcPr>
                  <w:tcW w:w="1502" w:type="pct"/>
                  <w:tcBorders>
                    <w:tl2br w:val="nil"/>
                    <w:tr2bl w:val="nil"/>
                  </w:tcBorders>
                  <w:shd w:val="clear" w:color="auto" w:fill="FFFFFF" w:themeFill="background1"/>
                  <w:vAlign w:val="center"/>
                </w:tcPr>
                <w:p w14:paraId="2FA66104">
                  <w:pPr>
                    <w:adjustRightInd w:val="0"/>
                    <w:snapToGrid w:val="0"/>
                    <w:spacing w:line="240" w:lineRule="auto"/>
                    <w:ind w:firstLine="0" w:firstLineChars="0"/>
                    <w:jc w:val="center"/>
                    <w:rPr>
                      <w:sz w:val="21"/>
                      <w:szCs w:val="21"/>
                    </w:rPr>
                  </w:pPr>
                  <w:r>
                    <w:rPr>
                      <w:rFonts w:hint="eastAsia"/>
                      <w:sz w:val="21"/>
                      <w:szCs w:val="21"/>
                    </w:rPr>
                    <w:t>一般固废</w:t>
                  </w:r>
                </w:p>
              </w:tc>
              <w:tc>
                <w:tcPr>
                  <w:tcW w:w="1832" w:type="pct"/>
                  <w:tcBorders>
                    <w:tl2br w:val="nil"/>
                    <w:tr2bl w:val="nil"/>
                  </w:tcBorders>
                  <w:shd w:val="clear" w:color="auto" w:fill="FFFFFF" w:themeFill="background1"/>
                  <w:vAlign w:val="center"/>
                </w:tcPr>
                <w:p w14:paraId="09B6DCAB">
                  <w:pPr>
                    <w:adjustRightInd w:val="0"/>
                    <w:snapToGrid w:val="0"/>
                    <w:spacing w:line="240" w:lineRule="auto"/>
                    <w:ind w:firstLine="0" w:firstLineChars="0"/>
                    <w:jc w:val="center"/>
                    <w:rPr>
                      <w:sz w:val="21"/>
                      <w:szCs w:val="21"/>
                    </w:rPr>
                  </w:pPr>
                  <w:r>
                    <w:rPr>
                      <w:rFonts w:hint="eastAsia"/>
                      <w:sz w:val="21"/>
                      <w:szCs w:val="21"/>
                      <w:lang w:eastAsia="zh-CN"/>
                    </w:rPr>
                    <w:t>一般固废</w:t>
                  </w:r>
                  <w:r>
                    <w:rPr>
                      <w:rFonts w:hint="eastAsia"/>
                      <w:sz w:val="21"/>
                      <w:szCs w:val="21"/>
                    </w:rPr>
                    <w:t>暂存区域</w:t>
                  </w:r>
                </w:p>
              </w:tc>
              <w:tc>
                <w:tcPr>
                  <w:tcW w:w="1036" w:type="pct"/>
                  <w:tcBorders>
                    <w:tl2br w:val="nil"/>
                    <w:tr2bl w:val="nil"/>
                  </w:tcBorders>
                  <w:shd w:val="clear" w:color="auto" w:fill="FFFFFF" w:themeFill="background1"/>
                  <w:vAlign w:val="center"/>
                </w:tcPr>
                <w:p w14:paraId="473C33E8">
                  <w:pPr>
                    <w:adjustRightInd w:val="0"/>
                    <w:snapToGrid w:val="0"/>
                    <w:spacing w:line="240" w:lineRule="auto"/>
                    <w:ind w:firstLine="0" w:firstLineChars="0"/>
                    <w:jc w:val="center"/>
                    <w:rPr>
                      <w:sz w:val="21"/>
                      <w:szCs w:val="21"/>
                    </w:rPr>
                  </w:pPr>
                  <w:r>
                    <w:rPr>
                      <w:rFonts w:hint="eastAsia"/>
                      <w:sz w:val="21"/>
                      <w:szCs w:val="21"/>
                    </w:rPr>
                    <w:t>5</w:t>
                  </w:r>
                </w:p>
              </w:tc>
            </w:tr>
            <w:tr w14:paraId="63616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29" w:type="pct"/>
                  <w:vMerge w:val="continue"/>
                  <w:tcBorders>
                    <w:tl2br w:val="nil"/>
                    <w:tr2bl w:val="nil"/>
                  </w:tcBorders>
                  <w:shd w:val="clear" w:color="auto" w:fill="FFFFFF" w:themeFill="background1"/>
                  <w:vAlign w:val="center"/>
                </w:tcPr>
                <w:p w14:paraId="7C54EA0E">
                  <w:pPr>
                    <w:adjustRightInd w:val="0"/>
                    <w:snapToGrid w:val="0"/>
                    <w:spacing w:line="240" w:lineRule="auto"/>
                    <w:ind w:firstLine="0" w:firstLineChars="0"/>
                    <w:jc w:val="center"/>
                    <w:rPr>
                      <w:sz w:val="21"/>
                      <w:szCs w:val="21"/>
                    </w:rPr>
                  </w:pPr>
                </w:p>
              </w:tc>
              <w:tc>
                <w:tcPr>
                  <w:tcW w:w="1502" w:type="pct"/>
                  <w:tcBorders>
                    <w:tl2br w:val="nil"/>
                    <w:tr2bl w:val="nil"/>
                  </w:tcBorders>
                  <w:shd w:val="clear" w:color="auto" w:fill="FFFFFF" w:themeFill="background1"/>
                  <w:vAlign w:val="center"/>
                </w:tcPr>
                <w:p w14:paraId="60A42208">
                  <w:pPr>
                    <w:adjustRightInd w:val="0"/>
                    <w:snapToGrid w:val="0"/>
                    <w:spacing w:line="240" w:lineRule="auto"/>
                    <w:ind w:firstLine="0" w:firstLineChars="0"/>
                    <w:jc w:val="center"/>
                    <w:rPr>
                      <w:sz w:val="21"/>
                      <w:szCs w:val="21"/>
                    </w:rPr>
                  </w:pPr>
                  <w:r>
                    <w:rPr>
                      <w:sz w:val="21"/>
                      <w:szCs w:val="21"/>
                    </w:rPr>
                    <w:t>危险废物</w:t>
                  </w:r>
                </w:p>
              </w:tc>
              <w:tc>
                <w:tcPr>
                  <w:tcW w:w="1832" w:type="pct"/>
                  <w:tcBorders>
                    <w:tl2br w:val="nil"/>
                    <w:tr2bl w:val="nil"/>
                  </w:tcBorders>
                  <w:shd w:val="clear" w:color="auto" w:fill="FFFFFF" w:themeFill="background1"/>
                  <w:vAlign w:val="center"/>
                </w:tcPr>
                <w:p w14:paraId="71CDB601">
                  <w:pPr>
                    <w:adjustRightInd w:val="0"/>
                    <w:snapToGrid w:val="0"/>
                    <w:spacing w:line="240" w:lineRule="auto"/>
                    <w:ind w:firstLine="0" w:firstLineChars="0"/>
                    <w:jc w:val="center"/>
                    <w:rPr>
                      <w:sz w:val="21"/>
                      <w:szCs w:val="21"/>
                    </w:rPr>
                  </w:pPr>
                  <w:r>
                    <w:rPr>
                      <w:sz w:val="21"/>
                      <w:szCs w:val="21"/>
                    </w:rPr>
                    <w:t>危废暂存间</w:t>
                  </w:r>
                </w:p>
              </w:tc>
              <w:tc>
                <w:tcPr>
                  <w:tcW w:w="1036" w:type="pct"/>
                  <w:tcBorders>
                    <w:tl2br w:val="nil"/>
                    <w:tr2bl w:val="nil"/>
                  </w:tcBorders>
                  <w:shd w:val="clear" w:color="auto" w:fill="FFFFFF" w:themeFill="background1"/>
                  <w:vAlign w:val="center"/>
                </w:tcPr>
                <w:p w14:paraId="7BCC302F">
                  <w:pPr>
                    <w:adjustRightInd w:val="0"/>
                    <w:snapToGrid w:val="0"/>
                    <w:spacing w:line="240" w:lineRule="auto"/>
                    <w:ind w:firstLine="0" w:firstLineChars="0"/>
                    <w:jc w:val="center"/>
                    <w:rPr>
                      <w:sz w:val="21"/>
                      <w:szCs w:val="21"/>
                    </w:rPr>
                  </w:pPr>
                  <w:r>
                    <w:rPr>
                      <w:rFonts w:hint="eastAsia"/>
                      <w:sz w:val="21"/>
                      <w:szCs w:val="21"/>
                    </w:rPr>
                    <w:t>5</w:t>
                  </w:r>
                </w:p>
              </w:tc>
            </w:tr>
            <w:tr w14:paraId="04A5F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29" w:type="pct"/>
                  <w:tcBorders>
                    <w:tl2br w:val="nil"/>
                    <w:tr2bl w:val="nil"/>
                  </w:tcBorders>
                  <w:shd w:val="clear" w:color="auto" w:fill="FFFFFF" w:themeFill="background1"/>
                  <w:vAlign w:val="center"/>
                </w:tcPr>
                <w:p w14:paraId="2A36CD69">
                  <w:pPr>
                    <w:adjustRightInd w:val="0"/>
                    <w:snapToGrid w:val="0"/>
                    <w:spacing w:line="240" w:lineRule="auto"/>
                    <w:ind w:firstLine="0" w:firstLineChars="0"/>
                    <w:jc w:val="center"/>
                    <w:rPr>
                      <w:rFonts w:hint="eastAsia" w:eastAsia="宋体"/>
                      <w:sz w:val="21"/>
                      <w:szCs w:val="21"/>
                      <w:lang w:eastAsia="zh-CN"/>
                    </w:rPr>
                  </w:pPr>
                  <w:r>
                    <w:rPr>
                      <w:sz w:val="21"/>
                      <w:szCs w:val="21"/>
                    </w:rPr>
                    <w:t>生态</w:t>
                  </w:r>
                  <w:r>
                    <w:rPr>
                      <w:rFonts w:hint="eastAsia"/>
                      <w:sz w:val="21"/>
                      <w:szCs w:val="21"/>
                      <w:lang w:eastAsia="zh-CN"/>
                    </w:rPr>
                    <w:t>恢复</w:t>
                  </w:r>
                </w:p>
              </w:tc>
              <w:tc>
                <w:tcPr>
                  <w:tcW w:w="3334" w:type="pct"/>
                  <w:gridSpan w:val="2"/>
                  <w:tcBorders>
                    <w:tl2br w:val="nil"/>
                    <w:tr2bl w:val="nil"/>
                  </w:tcBorders>
                  <w:shd w:val="clear" w:color="auto" w:fill="FFFFFF" w:themeFill="background1"/>
                  <w:vAlign w:val="center"/>
                </w:tcPr>
                <w:p w14:paraId="1372ED0B">
                  <w:pPr>
                    <w:adjustRightInd w:val="0"/>
                    <w:snapToGrid w:val="0"/>
                    <w:spacing w:line="240" w:lineRule="auto"/>
                    <w:ind w:firstLine="0" w:firstLineChars="0"/>
                    <w:jc w:val="center"/>
                    <w:rPr>
                      <w:sz w:val="21"/>
                      <w:szCs w:val="21"/>
                    </w:rPr>
                  </w:pPr>
                  <w:r>
                    <w:rPr>
                      <w:rFonts w:hint="eastAsia"/>
                      <w:sz w:val="21"/>
                      <w:szCs w:val="21"/>
                    </w:rPr>
                    <w:t>矿山地质环境治理和土地复垦；边坡防护；植被恢复</w:t>
                  </w:r>
                </w:p>
              </w:tc>
              <w:tc>
                <w:tcPr>
                  <w:tcW w:w="1036" w:type="pct"/>
                  <w:tcBorders>
                    <w:tl2br w:val="nil"/>
                    <w:tr2bl w:val="nil"/>
                  </w:tcBorders>
                  <w:shd w:val="clear" w:color="auto" w:fill="FFFFFF" w:themeFill="background1"/>
                  <w:vAlign w:val="center"/>
                </w:tcPr>
                <w:p w14:paraId="3AFC85CE">
                  <w:pPr>
                    <w:tabs>
                      <w:tab w:val="left" w:pos="241"/>
                      <w:tab w:val="center" w:pos="732"/>
                    </w:tabs>
                    <w:adjustRightInd w:val="0"/>
                    <w:snapToGrid w:val="0"/>
                    <w:spacing w:line="240" w:lineRule="auto"/>
                    <w:ind w:firstLine="0" w:firstLineChars="0"/>
                    <w:jc w:val="center"/>
                    <w:rPr>
                      <w:sz w:val="21"/>
                      <w:szCs w:val="21"/>
                    </w:rPr>
                  </w:pPr>
                  <w:r>
                    <w:rPr>
                      <w:rFonts w:hint="eastAsia"/>
                      <w:sz w:val="21"/>
                      <w:szCs w:val="21"/>
                    </w:rPr>
                    <w:t>76</w:t>
                  </w:r>
                </w:p>
              </w:tc>
            </w:tr>
            <w:tr w14:paraId="6C357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3963" w:type="pct"/>
                  <w:gridSpan w:val="3"/>
                  <w:tcBorders>
                    <w:tl2br w:val="nil"/>
                    <w:tr2bl w:val="nil"/>
                  </w:tcBorders>
                  <w:shd w:val="clear" w:color="auto" w:fill="FFFFFF" w:themeFill="background1"/>
                  <w:vAlign w:val="center"/>
                </w:tcPr>
                <w:p w14:paraId="6ECB7AAB">
                  <w:pPr>
                    <w:adjustRightInd w:val="0"/>
                    <w:snapToGrid w:val="0"/>
                    <w:spacing w:line="240" w:lineRule="auto"/>
                    <w:ind w:firstLine="0" w:firstLineChars="0"/>
                    <w:jc w:val="center"/>
                    <w:rPr>
                      <w:sz w:val="21"/>
                      <w:szCs w:val="21"/>
                    </w:rPr>
                  </w:pPr>
                  <w:r>
                    <w:rPr>
                      <w:sz w:val="21"/>
                      <w:szCs w:val="21"/>
                    </w:rPr>
                    <w:t>合计</w:t>
                  </w:r>
                </w:p>
              </w:tc>
              <w:tc>
                <w:tcPr>
                  <w:tcW w:w="1036" w:type="pct"/>
                  <w:tcBorders>
                    <w:tl2br w:val="nil"/>
                    <w:tr2bl w:val="nil"/>
                  </w:tcBorders>
                  <w:shd w:val="clear" w:color="auto" w:fill="FFFFFF" w:themeFill="background1"/>
                  <w:vAlign w:val="center"/>
                </w:tcPr>
                <w:p w14:paraId="0F2DD448">
                  <w:pPr>
                    <w:adjustRightInd w:val="0"/>
                    <w:snapToGrid w:val="0"/>
                    <w:spacing w:line="240" w:lineRule="auto"/>
                    <w:ind w:firstLine="0" w:firstLineChars="0"/>
                    <w:jc w:val="center"/>
                    <w:rPr>
                      <w:sz w:val="21"/>
                      <w:szCs w:val="21"/>
                    </w:rPr>
                  </w:pPr>
                  <w:r>
                    <w:rPr>
                      <w:rFonts w:hint="eastAsia"/>
                      <w:sz w:val="21"/>
                      <w:szCs w:val="21"/>
                    </w:rPr>
                    <w:t>100</w:t>
                  </w:r>
                </w:p>
              </w:tc>
            </w:tr>
          </w:tbl>
          <w:p w14:paraId="5B75F8A0">
            <w:pPr>
              <w:adjustRightInd w:val="0"/>
              <w:snapToGrid w:val="0"/>
              <w:ind w:firstLine="0" w:firstLineChars="0"/>
              <w:rPr>
                <w:bCs/>
                <w:spacing w:val="10"/>
              </w:rPr>
            </w:pPr>
          </w:p>
        </w:tc>
      </w:tr>
    </w:tbl>
    <w:p w14:paraId="4D8ADA25">
      <w:pPr>
        <w:ind w:firstLine="480"/>
        <w:rPr>
          <w:color w:val="FF0000"/>
        </w:rPr>
        <w:sectPr>
          <w:pgSz w:w="11907" w:h="16840"/>
          <w:pgMar w:top="1440" w:right="1797" w:bottom="1440" w:left="1797" w:header="851" w:footer="1077" w:gutter="0"/>
          <w:cols w:space="720" w:num="1"/>
          <w:docGrid w:linePitch="312" w:charSpace="0"/>
        </w:sectPr>
      </w:pPr>
    </w:p>
    <w:p w14:paraId="71E3F4E1">
      <w:pPr>
        <w:pStyle w:val="20"/>
      </w:pPr>
      <w:r>
        <w:t>六、生态环境保护措施监督检查清单</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545"/>
        <w:gridCol w:w="1395"/>
        <w:gridCol w:w="3008"/>
        <w:gridCol w:w="1365"/>
      </w:tblGrid>
      <w:tr w14:paraId="05516F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pct"/>
            <w:vMerge w:val="restart"/>
            <w:tcBorders>
              <w:tl2br w:val="single" w:color="auto" w:sz="4" w:space="0"/>
            </w:tcBorders>
            <w:vAlign w:val="center"/>
          </w:tcPr>
          <w:p w14:paraId="51364AA2">
            <w:pPr>
              <w:pStyle w:val="20"/>
            </w:pPr>
          </w:p>
          <w:p w14:paraId="2AD9FC19">
            <w:pPr>
              <w:pStyle w:val="20"/>
              <w:rPr>
                <w:sz w:val="21"/>
                <w:szCs w:val="21"/>
              </w:rPr>
            </w:pPr>
            <w:r>
              <w:t xml:space="preserve">   </w:t>
            </w:r>
            <w:r>
              <w:rPr>
                <w:sz w:val="21"/>
                <w:szCs w:val="21"/>
              </w:rPr>
              <w:t xml:space="preserve"> 内容</w:t>
            </w:r>
          </w:p>
          <w:p w14:paraId="07A91D5B">
            <w:pPr>
              <w:pStyle w:val="20"/>
              <w:rPr>
                <w:sz w:val="21"/>
                <w:szCs w:val="21"/>
              </w:rPr>
            </w:pPr>
          </w:p>
          <w:p w14:paraId="7DD7F077">
            <w:pPr>
              <w:pStyle w:val="20"/>
            </w:pPr>
            <w:r>
              <w:rPr>
                <w:sz w:val="21"/>
                <w:szCs w:val="21"/>
              </w:rPr>
              <w:t>要素</w:t>
            </w:r>
          </w:p>
        </w:tc>
        <w:tc>
          <w:tcPr>
            <w:tcW w:w="1724" w:type="pct"/>
            <w:gridSpan w:val="2"/>
            <w:vAlign w:val="center"/>
          </w:tcPr>
          <w:p w14:paraId="6030FF36">
            <w:pPr>
              <w:pStyle w:val="20"/>
              <w:rPr>
                <w:sz w:val="21"/>
                <w:szCs w:val="21"/>
              </w:rPr>
            </w:pPr>
            <w:r>
              <w:rPr>
                <w:sz w:val="21"/>
                <w:szCs w:val="21"/>
              </w:rPr>
              <w:t>施工期</w:t>
            </w:r>
          </w:p>
        </w:tc>
        <w:tc>
          <w:tcPr>
            <w:tcW w:w="2565" w:type="pct"/>
            <w:gridSpan w:val="2"/>
            <w:vAlign w:val="center"/>
          </w:tcPr>
          <w:p w14:paraId="52BBAFBB">
            <w:pPr>
              <w:pStyle w:val="20"/>
              <w:rPr>
                <w:sz w:val="21"/>
                <w:szCs w:val="21"/>
              </w:rPr>
            </w:pPr>
            <w:r>
              <w:rPr>
                <w:sz w:val="21"/>
                <w:szCs w:val="21"/>
              </w:rPr>
              <w:t>运营期</w:t>
            </w:r>
          </w:p>
        </w:tc>
      </w:tr>
      <w:tr w14:paraId="37ED56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pct"/>
            <w:vMerge w:val="continue"/>
            <w:vAlign w:val="center"/>
          </w:tcPr>
          <w:p w14:paraId="20200DF1">
            <w:pPr>
              <w:pStyle w:val="20"/>
            </w:pPr>
          </w:p>
        </w:tc>
        <w:tc>
          <w:tcPr>
            <w:tcW w:w="906" w:type="pct"/>
            <w:vAlign w:val="center"/>
          </w:tcPr>
          <w:p w14:paraId="08C393B2">
            <w:pPr>
              <w:pStyle w:val="20"/>
              <w:rPr>
                <w:sz w:val="21"/>
                <w:szCs w:val="21"/>
              </w:rPr>
            </w:pPr>
            <w:r>
              <w:rPr>
                <w:sz w:val="21"/>
                <w:szCs w:val="21"/>
              </w:rPr>
              <w:t>环境保护措施</w:t>
            </w:r>
          </w:p>
        </w:tc>
        <w:tc>
          <w:tcPr>
            <w:tcW w:w="818" w:type="pct"/>
            <w:vAlign w:val="center"/>
          </w:tcPr>
          <w:p w14:paraId="5205CF88">
            <w:pPr>
              <w:pStyle w:val="20"/>
              <w:rPr>
                <w:sz w:val="21"/>
                <w:szCs w:val="21"/>
              </w:rPr>
            </w:pPr>
            <w:r>
              <w:rPr>
                <w:sz w:val="21"/>
                <w:szCs w:val="21"/>
              </w:rPr>
              <w:t>验收要求</w:t>
            </w:r>
          </w:p>
        </w:tc>
        <w:tc>
          <w:tcPr>
            <w:tcW w:w="1764" w:type="pct"/>
            <w:vAlign w:val="center"/>
          </w:tcPr>
          <w:p w14:paraId="43F77344">
            <w:pPr>
              <w:pStyle w:val="20"/>
              <w:rPr>
                <w:sz w:val="21"/>
                <w:szCs w:val="21"/>
              </w:rPr>
            </w:pPr>
            <w:r>
              <w:rPr>
                <w:sz w:val="21"/>
                <w:szCs w:val="21"/>
              </w:rPr>
              <w:t>环境保护措施</w:t>
            </w:r>
          </w:p>
        </w:tc>
        <w:tc>
          <w:tcPr>
            <w:tcW w:w="800" w:type="pct"/>
            <w:vAlign w:val="center"/>
          </w:tcPr>
          <w:p w14:paraId="070DCFE6">
            <w:pPr>
              <w:pStyle w:val="20"/>
              <w:rPr>
                <w:sz w:val="21"/>
                <w:szCs w:val="21"/>
              </w:rPr>
            </w:pPr>
            <w:r>
              <w:rPr>
                <w:sz w:val="21"/>
                <w:szCs w:val="21"/>
              </w:rPr>
              <w:t>验收要求</w:t>
            </w:r>
          </w:p>
        </w:tc>
      </w:tr>
      <w:tr w14:paraId="46E366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pct"/>
            <w:vAlign w:val="center"/>
          </w:tcPr>
          <w:p w14:paraId="2709986B">
            <w:pPr>
              <w:wordWrap w:val="0"/>
              <w:adjustRightInd w:val="0"/>
              <w:snapToGrid w:val="0"/>
              <w:spacing w:line="240" w:lineRule="auto"/>
              <w:ind w:firstLine="0" w:firstLineChars="0"/>
              <w:jc w:val="center"/>
              <w:rPr>
                <w:sz w:val="21"/>
                <w:szCs w:val="21"/>
              </w:rPr>
            </w:pPr>
            <w:r>
              <w:rPr>
                <w:sz w:val="21"/>
                <w:szCs w:val="21"/>
              </w:rPr>
              <w:t>陆生生态</w:t>
            </w:r>
          </w:p>
        </w:tc>
        <w:tc>
          <w:tcPr>
            <w:tcW w:w="906" w:type="pct"/>
            <w:vAlign w:val="center"/>
          </w:tcPr>
          <w:p w14:paraId="362906DB">
            <w:pPr>
              <w:adjustRightInd w:val="0"/>
              <w:snapToGrid w:val="0"/>
              <w:spacing w:line="240" w:lineRule="auto"/>
              <w:ind w:firstLine="0" w:firstLineChars="0"/>
              <w:jc w:val="left"/>
              <w:rPr>
                <w:sz w:val="21"/>
                <w:szCs w:val="21"/>
              </w:rPr>
            </w:pPr>
            <w:r>
              <w:rPr>
                <w:sz w:val="21"/>
                <w:szCs w:val="21"/>
              </w:rPr>
              <w:t>严格控制施工作业带范围，尽量保留现状植被</w:t>
            </w:r>
          </w:p>
        </w:tc>
        <w:tc>
          <w:tcPr>
            <w:tcW w:w="818" w:type="pct"/>
            <w:vAlign w:val="center"/>
          </w:tcPr>
          <w:p w14:paraId="5EF8CC0F">
            <w:pPr>
              <w:wordWrap w:val="0"/>
              <w:adjustRightInd w:val="0"/>
              <w:snapToGrid w:val="0"/>
              <w:spacing w:line="240" w:lineRule="auto"/>
              <w:ind w:firstLine="0" w:firstLineChars="0"/>
              <w:jc w:val="center"/>
              <w:rPr>
                <w:sz w:val="21"/>
                <w:szCs w:val="21"/>
              </w:rPr>
            </w:pPr>
            <w:r>
              <w:rPr>
                <w:sz w:val="21"/>
                <w:szCs w:val="21"/>
              </w:rPr>
              <w:t>相关生态保护措施得到落实</w:t>
            </w:r>
          </w:p>
        </w:tc>
        <w:tc>
          <w:tcPr>
            <w:tcW w:w="1764" w:type="pct"/>
            <w:vAlign w:val="center"/>
          </w:tcPr>
          <w:p w14:paraId="09B946C0">
            <w:pPr>
              <w:pStyle w:val="23"/>
              <w:wordWrap w:val="0"/>
              <w:spacing w:after="0" w:line="240" w:lineRule="auto"/>
              <w:ind w:left="0" w:leftChars="0" w:firstLine="0" w:firstLineChars="0"/>
              <w:rPr>
                <w:sz w:val="21"/>
                <w:szCs w:val="21"/>
              </w:rPr>
            </w:pPr>
            <w:r>
              <w:rPr>
                <w:sz w:val="21"/>
                <w:szCs w:val="21"/>
              </w:rPr>
              <w:t>严格按照开采范围进行开采，不得越界开采；</w:t>
            </w:r>
            <w:r>
              <w:rPr>
                <w:rFonts w:hint="eastAsia"/>
                <w:sz w:val="21"/>
                <w:szCs w:val="21"/>
              </w:rPr>
              <w:t>在现场划定界线，</w:t>
            </w:r>
            <w:r>
              <w:rPr>
                <w:sz w:val="21"/>
                <w:szCs w:val="21"/>
              </w:rPr>
              <w:t>生态保护红线</w:t>
            </w:r>
            <w:r>
              <w:rPr>
                <w:rFonts w:hint="eastAsia"/>
                <w:sz w:val="21"/>
                <w:szCs w:val="21"/>
              </w:rPr>
              <w:t>区域，不得进行施工及扰动。</w:t>
            </w:r>
            <w:r>
              <w:rPr>
                <w:sz w:val="21"/>
                <w:szCs w:val="21"/>
              </w:rPr>
              <w:t>严格按照开发利用方案进行开采；同时根据土地复垦方案，进行边开采边复垦及绿化。必须做好运营期间排洪截流措施，减少雨季雨水对开采矿区的冲刷，开采后建设单位必须将整个矿区以及受影响破坏地带全部进行生态复绿</w:t>
            </w:r>
          </w:p>
        </w:tc>
        <w:tc>
          <w:tcPr>
            <w:tcW w:w="800" w:type="pct"/>
            <w:vAlign w:val="center"/>
          </w:tcPr>
          <w:p w14:paraId="23DBEB6C">
            <w:pPr>
              <w:wordWrap w:val="0"/>
              <w:spacing w:line="240" w:lineRule="auto"/>
              <w:ind w:firstLine="0" w:firstLineChars="0"/>
              <w:jc w:val="center"/>
              <w:rPr>
                <w:sz w:val="21"/>
                <w:szCs w:val="21"/>
              </w:rPr>
            </w:pPr>
            <w:r>
              <w:rPr>
                <w:sz w:val="21"/>
                <w:szCs w:val="21"/>
              </w:rPr>
              <w:t>相关生态保护措施得到落实</w:t>
            </w:r>
          </w:p>
        </w:tc>
      </w:tr>
      <w:tr w14:paraId="79C2DE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pct"/>
            <w:vAlign w:val="center"/>
          </w:tcPr>
          <w:p w14:paraId="1CE0154B">
            <w:pPr>
              <w:wordWrap w:val="0"/>
              <w:adjustRightInd w:val="0"/>
              <w:snapToGrid w:val="0"/>
              <w:spacing w:line="240" w:lineRule="auto"/>
              <w:ind w:firstLine="0" w:firstLineChars="0"/>
              <w:jc w:val="center"/>
              <w:rPr>
                <w:sz w:val="21"/>
                <w:szCs w:val="21"/>
              </w:rPr>
            </w:pPr>
            <w:r>
              <w:rPr>
                <w:sz w:val="21"/>
                <w:szCs w:val="21"/>
              </w:rPr>
              <w:t>水生生态</w:t>
            </w:r>
          </w:p>
        </w:tc>
        <w:tc>
          <w:tcPr>
            <w:tcW w:w="906" w:type="pct"/>
            <w:vAlign w:val="center"/>
          </w:tcPr>
          <w:p w14:paraId="5B9D9B16">
            <w:pPr>
              <w:wordWrap w:val="0"/>
              <w:adjustRightInd w:val="0"/>
              <w:snapToGrid w:val="0"/>
              <w:spacing w:line="240" w:lineRule="auto"/>
              <w:ind w:firstLine="0" w:firstLineChars="0"/>
              <w:jc w:val="center"/>
              <w:rPr>
                <w:sz w:val="21"/>
                <w:szCs w:val="21"/>
              </w:rPr>
            </w:pPr>
            <w:r>
              <w:rPr>
                <w:sz w:val="21"/>
                <w:szCs w:val="21"/>
              </w:rPr>
              <w:t>不涉及</w:t>
            </w:r>
          </w:p>
        </w:tc>
        <w:tc>
          <w:tcPr>
            <w:tcW w:w="818" w:type="pct"/>
            <w:vAlign w:val="center"/>
          </w:tcPr>
          <w:p w14:paraId="485387B7">
            <w:pPr>
              <w:wordWrap w:val="0"/>
              <w:adjustRightInd w:val="0"/>
              <w:snapToGrid w:val="0"/>
              <w:spacing w:line="240" w:lineRule="auto"/>
              <w:ind w:firstLine="0" w:firstLineChars="0"/>
              <w:jc w:val="center"/>
              <w:rPr>
                <w:sz w:val="21"/>
                <w:szCs w:val="21"/>
              </w:rPr>
            </w:pPr>
            <w:r>
              <w:rPr>
                <w:sz w:val="21"/>
                <w:szCs w:val="21"/>
              </w:rPr>
              <w:t>不涉及</w:t>
            </w:r>
          </w:p>
        </w:tc>
        <w:tc>
          <w:tcPr>
            <w:tcW w:w="1764" w:type="pct"/>
            <w:vAlign w:val="center"/>
          </w:tcPr>
          <w:p w14:paraId="478A4076">
            <w:pPr>
              <w:wordWrap w:val="0"/>
              <w:adjustRightInd w:val="0"/>
              <w:snapToGrid w:val="0"/>
              <w:spacing w:line="240" w:lineRule="auto"/>
              <w:ind w:firstLine="0" w:firstLineChars="0"/>
              <w:jc w:val="center"/>
              <w:rPr>
                <w:sz w:val="21"/>
                <w:szCs w:val="21"/>
              </w:rPr>
            </w:pPr>
            <w:r>
              <w:rPr>
                <w:sz w:val="21"/>
                <w:szCs w:val="21"/>
              </w:rPr>
              <w:t>不涉及</w:t>
            </w:r>
          </w:p>
        </w:tc>
        <w:tc>
          <w:tcPr>
            <w:tcW w:w="800" w:type="pct"/>
            <w:vAlign w:val="center"/>
          </w:tcPr>
          <w:p w14:paraId="1DD7C590">
            <w:pPr>
              <w:wordWrap w:val="0"/>
              <w:adjustRightInd w:val="0"/>
              <w:snapToGrid w:val="0"/>
              <w:spacing w:line="240" w:lineRule="auto"/>
              <w:ind w:firstLine="0" w:firstLineChars="0"/>
              <w:jc w:val="center"/>
              <w:rPr>
                <w:sz w:val="21"/>
                <w:szCs w:val="21"/>
              </w:rPr>
            </w:pPr>
            <w:r>
              <w:rPr>
                <w:sz w:val="21"/>
                <w:szCs w:val="21"/>
              </w:rPr>
              <w:t>不涉及</w:t>
            </w:r>
          </w:p>
        </w:tc>
      </w:tr>
      <w:tr w14:paraId="3F2E45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pct"/>
            <w:vAlign w:val="center"/>
          </w:tcPr>
          <w:p w14:paraId="43EC6494">
            <w:pPr>
              <w:wordWrap w:val="0"/>
              <w:adjustRightInd w:val="0"/>
              <w:snapToGrid w:val="0"/>
              <w:spacing w:line="240" w:lineRule="auto"/>
              <w:ind w:firstLine="0" w:firstLineChars="0"/>
              <w:jc w:val="center"/>
              <w:rPr>
                <w:sz w:val="21"/>
                <w:szCs w:val="21"/>
              </w:rPr>
            </w:pPr>
            <w:r>
              <w:rPr>
                <w:sz w:val="21"/>
                <w:szCs w:val="21"/>
              </w:rPr>
              <w:t>地表水环境</w:t>
            </w:r>
          </w:p>
        </w:tc>
        <w:tc>
          <w:tcPr>
            <w:tcW w:w="906" w:type="pct"/>
            <w:vAlign w:val="center"/>
          </w:tcPr>
          <w:p w14:paraId="5EDB66B1">
            <w:pPr>
              <w:wordWrap w:val="0"/>
              <w:adjustRightInd w:val="0"/>
              <w:snapToGrid w:val="0"/>
              <w:spacing w:line="240" w:lineRule="auto"/>
              <w:ind w:firstLine="0" w:firstLineChars="0"/>
              <w:jc w:val="left"/>
              <w:rPr>
                <w:sz w:val="21"/>
                <w:szCs w:val="21"/>
              </w:rPr>
            </w:pPr>
            <w:r>
              <w:rPr>
                <w:sz w:val="21"/>
                <w:szCs w:val="21"/>
              </w:rPr>
              <w:t>①施工现场设置临时沉淀池，沉淀后的施工废水用于场地泼洒抑尘</w:t>
            </w:r>
          </w:p>
        </w:tc>
        <w:tc>
          <w:tcPr>
            <w:tcW w:w="818" w:type="pct"/>
            <w:vAlign w:val="center"/>
          </w:tcPr>
          <w:p w14:paraId="21FF87D8">
            <w:pPr>
              <w:wordWrap w:val="0"/>
              <w:adjustRightInd w:val="0"/>
              <w:snapToGrid w:val="0"/>
              <w:spacing w:line="240" w:lineRule="auto"/>
              <w:ind w:firstLine="0" w:firstLineChars="0"/>
              <w:rPr>
                <w:sz w:val="21"/>
                <w:szCs w:val="21"/>
              </w:rPr>
            </w:pPr>
            <w:r>
              <w:rPr>
                <w:sz w:val="21"/>
                <w:szCs w:val="21"/>
              </w:rPr>
              <w:t>施工废水及生活污水不外排，施工期废水不对地表水环境产生明显影响</w:t>
            </w:r>
          </w:p>
        </w:tc>
        <w:tc>
          <w:tcPr>
            <w:tcW w:w="1764" w:type="pct"/>
            <w:vAlign w:val="center"/>
          </w:tcPr>
          <w:p w14:paraId="3CE67BA3">
            <w:pPr>
              <w:pStyle w:val="51"/>
              <w:wordWrap w:val="0"/>
              <w:spacing w:line="240" w:lineRule="auto"/>
              <w:ind w:firstLine="0" w:firstLineChars="0"/>
              <w:jc w:val="left"/>
              <w:rPr>
                <w:sz w:val="21"/>
              </w:rPr>
            </w:pPr>
            <w:r>
              <w:rPr>
                <w:sz w:val="21"/>
              </w:rPr>
              <w:t>①采场雨水经沉淀净化处理后用于道路除尘、绿化等；</w:t>
            </w:r>
          </w:p>
        </w:tc>
        <w:tc>
          <w:tcPr>
            <w:tcW w:w="800" w:type="pct"/>
            <w:vAlign w:val="center"/>
          </w:tcPr>
          <w:p w14:paraId="7121F7D9">
            <w:pPr>
              <w:wordWrap w:val="0"/>
              <w:spacing w:line="240" w:lineRule="auto"/>
              <w:ind w:firstLine="0" w:firstLineChars="0"/>
              <w:jc w:val="center"/>
              <w:rPr>
                <w:sz w:val="21"/>
                <w:szCs w:val="21"/>
              </w:rPr>
            </w:pPr>
            <w:r>
              <w:rPr>
                <w:sz w:val="21"/>
                <w:szCs w:val="21"/>
              </w:rPr>
              <w:t>项目废水全部回用，不外排</w:t>
            </w:r>
          </w:p>
        </w:tc>
      </w:tr>
      <w:tr w14:paraId="02850A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pct"/>
            <w:vAlign w:val="center"/>
          </w:tcPr>
          <w:p w14:paraId="6D330164">
            <w:pPr>
              <w:wordWrap w:val="0"/>
              <w:adjustRightInd w:val="0"/>
              <w:snapToGrid w:val="0"/>
              <w:spacing w:line="240" w:lineRule="auto"/>
              <w:ind w:firstLine="0" w:firstLineChars="0"/>
              <w:jc w:val="center"/>
              <w:rPr>
                <w:sz w:val="21"/>
                <w:szCs w:val="21"/>
              </w:rPr>
            </w:pPr>
            <w:r>
              <w:rPr>
                <w:sz w:val="21"/>
                <w:szCs w:val="21"/>
              </w:rPr>
              <w:t>地下水及土壤环境</w:t>
            </w:r>
          </w:p>
        </w:tc>
        <w:tc>
          <w:tcPr>
            <w:tcW w:w="906" w:type="pct"/>
            <w:vAlign w:val="center"/>
          </w:tcPr>
          <w:p w14:paraId="58C93E7B">
            <w:pPr>
              <w:wordWrap w:val="0"/>
              <w:adjustRightInd w:val="0"/>
              <w:snapToGrid w:val="0"/>
              <w:spacing w:line="240" w:lineRule="auto"/>
              <w:ind w:firstLine="0" w:firstLineChars="0"/>
              <w:jc w:val="center"/>
              <w:rPr>
                <w:sz w:val="21"/>
                <w:szCs w:val="21"/>
              </w:rPr>
            </w:pPr>
            <w:r>
              <w:rPr>
                <w:sz w:val="21"/>
                <w:szCs w:val="21"/>
              </w:rPr>
              <w:t>不涉及</w:t>
            </w:r>
          </w:p>
        </w:tc>
        <w:tc>
          <w:tcPr>
            <w:tcW w:w="818" w:type="pct"/>
            <w:vAlign w:val="center"/>
          </w:tcPr>
          <w:p w14:paraId="3B6ED6EA">
            <w:pPr>
              <w:wordWrap w:val="0"/>
              <w:adjustRightInd w:val="0"/>
              <w:snapToGrid w:val="0"/>
              <w:spacing w:line="240" w:lineRule="auto"/>
              <w:ind w:firstLine="0" w:firstLineChars="0"/>
              <w:jc w:val="center"/>
              <w:rPr>
                <w:sz w:val="21"/>
                <w:szCs w:val="21"/>
              </w:rPr>
            </w:pPr>
            <w:r>
              <w:rPr>
                <w:sz w:val="21"/>
                <w:szCs w:val="21"/>
              </w:rPr>
              <w:t>不涉及</w:t>
            </w:r>
          </w:p>
        </w:tc>
        <w:tc>
          <w:tcPr>
            <w:tcW w:w="1764" w:type="pct"/>
            <w:vAlign w:val="center"/>
          </w:tcPr>
          <w:p w14:paraId="2637ADDE">
            <w:pPr>
              <w:wordWrap w:val="0"/>
              <w:adjustRightInd w:val="0"/>
              <w:snapToGrid w:val="0"/>
              <w:spacing w:line="240" w:lineRule="auto"/>
              <w:ind w:firstLine="0" w:firstLineChars="0"/>
              <w:jc w:val="center"/>
              <w:rPr>
                <w:sz w:val="21"/>
                <w:szCs w:val="21"/>
              </w:rPr>
            </w:pPr>
            <w:r>
              <w:rPr>
                <w:sz w:val="21"/>
                <w:szCs w:val="21"/>
              </w:rPr>
              <w:t>不涉及</w:t>
            </w:r>
          </w:p>
        </w:tc>
        <w:tc>
          <w:tcPr>
            <w:tcW w:w="800" w:type="pct"/>
            <w:vAlign w:val="center"/>
          </w:tcPr>
          <w:p w14:paraId="4115F5D7">
            <w:pPr>
              <w:wordWrap w:val="0"/>
              <w:adjustRightInd w:val="0"/>
              <w:snapToGrid w:val="0"/>
              <w:spacing w:line="240" w:lineRule="auto"/>
              <w:ind w:firstLine="0" w:firstLineChars="0"/>
              <w:jc w:val="center"/>
              <w:rPr>
                <w:sz w:val="21"/>
                <w:szCs w:val="21"/>
              </w:rPr>
            </w:pPr>
            <w:r>
              <w:rPr>
                <w:sz w:val="21"/>
                <w:szCs w:val="21"/>
              </w:rPr>
              <w:t>不涉及</w:t>
            </w:r>
          </w:p>
        </w:tc>
      </w:tr>
      <w:tr w14:paraId="7B2F64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pct"/>
            <w:vAlign w:val="center"/>
          </w:tcPr>
          <w:p w14:paraId="45010D6C">
            <w:pPr>
              <w:wordWrap w:val="0"/>
              <w:adjustRightInd w:val="0"/>
              <w:snapToGrid w:val="0"/>
              <w:spacing w:line="240" w:lineRule="auto"/>
              <w:ind w:firstLine="0" w:firstLineChars="0"/>
              <w:jc w:val="center"/>
              <w:rPr>
                <w:sz w:val="21"/>
                <w:szCs w:val="21"/>
              </w:rPr>
            </w:pPr>
            <w:r>
              <w:rPr>
                <w:sz w:val="21"/>
                <w:szCs w:val="21"/>
              </w:rPr>
              <w:t>声环境</w:t>
            </w:r>
          </w:p>
        </w:tc>
        <w:tc>
          <w:tcPr>
            <w:tcW w:w="906" w:type="pct"/>
            <w:vAlign w:val="center"/>
          </w:tcPr>
          <w:p w14:paraId="546CD495">
            <w:pPr>
              <w:wordWrap w:val="0"/>
              <w:adjustRightInd w:val="0"/>
              <w:snapToGrid w:val="0"/>
              <w:spacing w:line="240" w:lineRule="auto"/>
              <w:ind w:firstLine="0" w:firstLineChars="0"/>
              <w:jc w:val="left"/>
              <w:rPr>
                <w:sz w:val="21"/>
                <w:szCs w:val="21"/>
              </w:rPr>
            </w:pPr>
            <w:r>
              <w:rPr>
                <w:kern w:val="0"/>
                <w:sz w:val="21"/>
                <w:szCs w:val="21"/>
              </w:rPr>
              <w:t>合理布置高噪声设备位置和合理安排施工时间；加强设备的维护保养；施工期运输车辆采取限速、禁鸣等措施</w:t>
            </w:r>
          </w:p>
        </w:tc>
        <w:tc>
          <w:tcPr>
            <w:tcW w:w="818" w:type="pct"/>
            <w:vAlign w:val="center"/>
          </w:tcPr>
          <w:p w14:paraId="7F109814">
            <w:pPr>
              <w:adjustRightInd w:val="0"/>
              <w:snapToGrid w:val="0"/>
              <w:spacing w:line="240" w:lineRule="auto"/>
              <w:ind w:firstLine="0" w:firstLineChars="0"/>
              <w:jc w:val="left"/>
              <w:rPr>
                <w:sz w:val="21"/>
                <w:szCs w:val="21"/>
              </w:rPr>
            </w:pPr>
            <w:r>
              <w:rPr>
                <w:sz w:val="21"/>
                <w:szCs w:val="21"/>
              </w:rPr>
              <w:t>达《建筑施工场界环境噪声排放标准》（GB12523-2011），昼间70dB，夜间55dB</w:t>
            </w:r>
          </w:p>
        </w:tc>
        <w:tc>
          <w:tcPr>
            <w:tcW w:w="1764" w:type="pct"/>
            <w:vAlign w:val="center"/>
          </w:tcPr>
          <w:p w14:paraId="3AA73C90">
            <w:pPr>
              <w:wordWrap w:val="0"/>
              <w:adjustRightInd w:val="0"/>
              <w:snapToGrid w:val="0"/>
              <w:spacing w:line="240" w:lineRule="auto"/>
              <w:ind w:firstLine="0" w:firstLineChars="0"/>
              <w:jc w:val="left"/>
              <w:rPr>
                <w:sz w:val="21"/>
                <w:szCs w:val="21"/>
              </w:rPr>
            </w:pPr>
            <w:r>
              <w:rPr>
                <w:sz w:val="21"/>
                <w:szCs w:val="21"/>
              </w:rPr>
              <w:t>①应加强设备管理、确保设备正常运行；</w:t>
            </w:r>
          </w:p>
          <w:p w14:paraId="3CCB3F8C">
            <w:pPr>
              <w:wordWrap w:val="0"/>
              <w:spacing w:line="240" w:lineRule="auto"/>
              <w:ind w:firstLine="0" w:firstLineChars="0"/>
              <w:jc w:val="left"/>
              <w:rPr>
                <w:sz w:val="21"/>
                <w:szCs w:val="21"/>
              </w:rPr>
            </w:pPr>
            <w:r>
              <w:rPr>
                <w:sz w:val="21"/>
                <w:szCs w:val="21"/>
              </w:rPr>
              <w:t>②运输车辆加强保养维护，限速行驶，降低由于汽车运行状况差而产生的高噪声；</w:t>
            </w:r>
          </w:p>
          <w:p w14:paraId="5C51B287">
            <w:pPr>
              <w:wordWrap w:val="0"/>
              <w:spacing w:line="240" w:lineRule="auto"/>
              <w:ind w:firstLine="0" w:firstLineChars="0"/>
              <w:jc w:val="left"/>
              <w:rPr>
                <w:sz w:val="21"/>
                <w:szCs w:val="21"/>
              </w:rPr>
            </w:pPr>
            <w:r>
              <w:rPr>
                <w:sz w:val="21"/>
                <w:szCs w:val="21"/>
              </w:rPr>
              <w:t>③选用低噪声设备，并采取基础减振措施，进一步减小设备噪声源强</w:t>
            </w:r>
          </w:p>
        </w:tc>
        <w:tc>
          <w:tcPr>
            <w:tcW w:w="800" w:type="pct"/>
            <w:vAlign w:val="center"/>
          </w:tcPr>
          <w:p w14:paraId="453AC89F">
            <w:pPr>
              <w:wordWrap w:val="0"/>
              <w:spacing w:line="240" w:lineRule="auto"/>
              <w:ind w:firstLine="0" w:firstLineChars="0"/>
              <w:jc w:val="left"/>
              <w:rPr>
                <w:sz w:val="21"/>
                <w:szCs w:val="21"/>
              </w:rPr>
            </w:pPr>
            <w:r>
              <w:rPr>
                <w:sz w:val="21"/>
                <w:szCs w:val="21"/>
              </w:rPr>
              <w:t>采矿场厂界噪声满足《工业企业厂界环境噪声排放标准》（GB12348-2008）中标准要求；</w:t>
            </w:r>
          </w:p>
        </w:tc>
      </w:tr>
      <w:tr w14:paraId="70E730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pct"/>
            <w:vAlign w:val="center"/>
          </w:tcPr>
          <w:p w14:paraId="64410C1A">
            <w:pPr>
              <w:wordWrap w:val="0"/>
              <w:adjustRightInd w:val="0"/>
              <w:snapToGrid w:val="0"/>
              <w:spacing w:line="240" w:lineRule="auto"/>
              <w:ind w:firstLine="0" w:firstLineChars="0"/>
              <w:jc w:val="center"/>
              <w:rPr>
                <w:sz w:val="21"/>
                <w:szCs w:val="21"/>
              </w:rPr>
            </w:pPr>
            <w:r>
              <w:rPr>
                <w:sz w:val="21"/>
                <w:szCs w:val="21"/>
              </w:rPr>
              <w:t>振动</w:t>
            </w:r>
          </w:p>
        </w:tc>
        <w:tc>
          <w:tcPr>
            <w:tcW w:w="906" w:type="pct"/>
            <w:vAlign w:val="center"/>
          </w:tcPr>
          <w:p w14:paraId="2E7A4073">
            <w:pPr>
              <w:wordWrap w:val="0"/>
              <w:adjustRightInd w:val="0"/>
              <w:snapToGrid w:val="0"/>
              <w:spacing w:line="240" w:lineRule="auto"/>
              <w:ind w:firstLine="0" w:firstLineChars="0"/>
              <w:jc w:val="center"/>
              <w:rPr>
                <w:sz w:val="21"/>
                <w:szCs w:val="21"/>
              </w:rPr>
            </w:pPr>
            <w:r>
              <w:rPr>
                <w:sz w:val="21"/>
                <w:szCs w:val="21"/>
              </w:rPr>
              <w:t>不涉及</w:t>
            </w:r>
          </w:p>
        </w:tc>
        <w:tc>
          <w:tcPr>
            <w:tcW w:w="818" w:type="pct"/>
            <w:vAlign w:val="center"/>
          </w:tcPr>
          <w:p w14:paraId="2307510C">
            <w:pPr>
              <w:wordWrap w:val="0"/>
              <w:adjustRightInd w:val="0"/>
              <w:snapToGrid w:val="0"/>
              <w:spacing w:line="240" w:lineRule="auto"/>
              <w:ind w:firstLine="0" w:firstLineChars="0"/>
              <w:jc w:val="center"/>
              <w:rPr>
                <w:sz w:val="21"/>
                <w:szCs w:val="21"/>
              </w:rPr>
            </w:pPr>
            <w:r>
              <w:rPr>
                <w:sz w:val="21"/>
                <w:szCs w:val="21"/>
              </w:rPr>
              <w:t>不涉及</w:t>
            </w:r>
          </w:p>
        </w:tc>
        <w:tc>
          <w:tcPr>
            <w:tcW w:w="2565" w:type="pct"/>
            <w:gridSpan w:val="2"/>
            <w:vAlign w:val="center"/>
          </w:tcPr>
          <w:p w14:paraId="6ABD07F5">
            <w:pPr>
              <w:widowControl/>
              <w:spacing w:line="240" w:lineRule="auto"/>
              <w:ind w:firstLine="0" w:firstLineChars="0"/>
              <w:jc w:val="left"/>
              <w:rPr>
                <w:sz w:val="21"/>
                <w:szCs w:val="21"/>
              </w:rPr>
            </w:pPr>
            <w:r>
              <w:rPr>
                <w:rFonts w:hint="eastAsia"/>
                <w:kern w:val="0"/>
                <w:sz w:val="21"/>
                <w:szCs w:val="21"/>
                <w:lang w:bidi="ar"/>
              </w:rPr>
              <w:t>不涉及</w:t>
            </w:r>
          </w:p>
        </w:tc>
      </w:tr>
      <w:tr w14:paraId="3C8163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pct"/>
            <w:vAlign w:val="center"/>
          </w:tcPr>
          <w:p w14:paraId="70403B51">
            <w:pPr>
              <w:wordWrap w:val="0"/>
              <w:adjustRightInd w:val="0"/>
              <w:snapToGrid w:val="0"/>
              <w:spacing w:line="240" w:lineRule="auto"/>
              <w:ind w:firstLine="0" w:firstLineChars="0"/>
              <w:jc w:val="center"/>
              <w:rPr>
                <w:sz w:val="21"/>
                <w:szCs w:val="21"/>
              </w:rPr>
            </w:pPr>
            <w:r>
              <w:rPr>
                <w:sz w:val="21"/>
                <w:szCs w:val="21"/>
              </w:rPr>
              <w:t>大气环境</w:t>
            </w:r>
          </w:p>
        </w:tc>
        <w:tc>
          <w:tcPr>
            <w:tcW w:w="906" w:type="pct"/>
            <w:vAlign w:val="center"/>
          </w:tcPr>
          <w:p w14:paraId="6B307541">
            <w:pPr>
              <w:wordWrap w:val="0"/>
              <w:adjustRightInd w:val="0"/>
              <w:snapToGrid w:val="0"/>
              <w:spacing w:line="240" w:lineRule="auto"/>
              <w:ind w:firstLine="0" w:firstLineChars="0"/>
              <w:jc w:val="left"/>
              <w:rPr>
                <w:sz w:val="21"/>
                <w:szCs w:val="21"/>
              </w:rPr>
            </w:pPr>
            <w:r>
              <w:rPr>
                <w:sz w:val="21"/>
                <w:szCs w:val="21"/>
              </w:rPr>
              <w:t>①施工烟尘采用洒水抑尘；</w:t>
            </w:r>
          </w:p>
          <w:p w14:paraId="3D0F2EEE">
            <w:pPr>
              <w:pStyle w:val="23"/>
              <w:wordWrap w:val="0"/>
              <w:spacing w:after="0" w:line="240" w:lineRule="auto"/>
              <w:ind w:left="0" w:leftChars="0" w:firstLine="0" w:firstLineChars="0"/>
              <w:jc w:val="left"/>
              <w:rPr>
                <w:sz w:val="21"/>
                <w:szCs w:val="21"/>
              </w:rPr>
            </w:pPr>
            <w:r>
              <w:rPr>
                <w:sz w:val="21"/>
                <w:szCs w:val="21"/>
              </w:rPr>
              <w:t>②运输车辆密闭运输；</w:t>
            </w:r>
          </w:p>
          <w:p w14:paraId="0A884518">
            <w:pPr>
              <w:wordWrap w:val="0"/>
              <w:spacing w:line="240" w:lineRule="auto"/>
              <w:ind w:firstLine="0" w:firstLineChars="0"/>
              <w:jc w:val="left"/>
              <w:rPr>
                <w:sz w:val="21"/>
                <w:szCs w:val="21"/>
              </w:rPr>
            </w:pPr>
            <w:r>
              <w:rPr>
                <w:sz w:val="21"/>
                <w:szCs w:val="21"/>
              </w:rPr>
              <w:t>③运输车辆在施工场地设置洗车台进行清洗</w:t>
            </w:r>
          </w:p>
        </w:tc>
        <w:tc>
          <w:tcPr>
            <w:tcW w:w="818" w:type="pct"/>
            <w:vAlign w:val="center"/>
          </w:tcPr>
          <w:p w14:paraId="28CF5B06">
            <w:pPr>
              <w:adjustRightInd w:val="0"/>
              <w:snapToGrid w:val="0"/>
              <w:spacing w:line="240" w:lineRule="auto"/>
              <w:ind w:firstLine="0" w:firstLineChars="0"/>
              <w:jc w:val="left"/>
              <w:rPr>
                <w:sz w:val="21"/>
                <w:szCs w:val="21"/>
              </w:rPr>
            </w:pPr>
            <w:r>
              <w:rPr>
                <w:sz w:val="21"/>
                <w:szCs w:val="21"/>
              </w:rPr>
              <w:t>满足《施工场界扬尘排放值》（DB61/1078-2017）标准要求</w:t>
            </w:r>
          </w:p>
        </w:tc>
        <w:tc>
          <w:tcPr>
            <w:tcW w:w="1764" w:type="pct"/>
            <w:vAlign w:val="center"/>
          </w:tcPr>
          <w:p w14:paraId="35E3BC96">
            <w:pPr>
              <w:wordWrap w:val="0"/>
              <w:spacing w:line="240" w:lineRule="auto"/>
              <w:ind w:firstLine="0" w:firstLineChars="0"/>
              <w:jc w:val="left"/>
              <w:rPr>
                <w:sz w:val="21"/>
                <w:szCs w:val="21"/>
              </w:rPr>
            </w:pPr>
            <w:r>
              <w:rPr>
                <w:sz w:val="21"/>
                <w:szCs w:val="21"/>
              </w:rPr>
              <w:t>①采矿区钻孔粉尘，爆破及铲装粉尘采用洒水抑尘；</w:t>
            </w:r>
          </w:p>
          <w:p w14:paraId="7CC6A44D">
            <w:pPr>
              <w:wordWrap w:val="0"/>
              <w:spacing w:line="240" w:lineRule="auto"/>
              <w:ind w:firstLine="0" w:firstLineChars="0"/>
              <w:jc w:val="left"/>
              <w:rPr>
                <w:sz w:val="21"/>
                <w:szCs w:val="21"/>
              </w:rPr>
            </w:pPr>
            <w:r>
              <w:rPr>
                <w:sz w:val="21"/>
                <w:szCs w:val="21"/>
              </w:rPr>
              <w:t>②运输道路加强道路养护，确保路面平整，防止坑凹处裸露的土壤，引起扬尘；同时定期抑尘洒水，限速行驶；</w:t>
            </w:r>
          </w:p>
          <w:p w14:paraId="0F261CE5">
            <w:pPr>
              <w:wordWrap w:val="0"/>
              <w:spacing w:line="240" w:lineRule="auto"/>
              <w:ind w:firstLine="0" w:firstLineChars="0"/>
              <w:jc w:val="left"/>
              <w:rPr>
                <w:sz w:val="21"/>
                <w:szCs w:val="21"/>
              </w:rPr>
            </w:pPr>
            <w:r>
              <w:rPr>
                <w:sz w:val="21"/>
                <w:szCs w:val="21"/>
              </w:rPr>
              <w:t>④采取质量合格的机械设备，采用优质柴油，加强设备的维护等，</w:t>
            </w:r>
            <w:r>
              <w:rPr>
                <w:rFonts w:hint="eastAsia"/>
                <w:sz w:val="21"/>
                <w:szCs w:val="21"/>
              </w:rPr>
              <w:t>减少</w:t>
            </w:r>
            <w:r>
              <w:rPr>
                <w:sz w:val="21"/>
                <w:szCs w:val="21"/>
              </w:rPr>
              <w:t>车辆尾气排放；</w:t>
            </w:r>
          </w:p>
        </w:tc>
        <w:tc>
          <w:tcPr>
            <w:tcW w:w="800" w:type="pct"/>
            <w:vAlign w:val="center"/>
          </w:tcPr>
          <w:p w14:paraId="442F3FF4">
            <w:pPr>
              <w:wordWrap w:val="0"/>
              <w:spacing w:line="240" w:lineRule="auto"/>
              <w:ind w:firstLine="0" w:firstLineChars="0"/>
              <w:jc w:val="left"/>
              <w:rPr>
                <w:sz w:val="21"/>
                <w:szCs w:val="21"/>
              </w:rPr>
            </w:pPr>
            <w:r>
              <w:rPr>
                <w:sz w:val="21"/>
                <w:szCs w:val="21"/>
              </w:rPr>
              <w:t>①大气污染物排放执行《大气污染物综合排放标准》（GB16297-1996）无组织排放浓度限值</w:t>
            </w:r>
          </w:p>
          <w:p w14:paraId="63B54769">
            <w:pPr>
              <w:wordWrap w:val="0"/>
              <w:spacing w:line="240" w:lineRule="auto"/>
              <w:ind w:firstLine="0" w:firstLineChars="0"/>
              <w:jc w:val="left"/>
              <w:rPr>
                <w:sz w:val="21"/>
                <w:szCs w:val="21"/>
              </w:rPr>
            </w:pPr>
          </w:p>
        </w:tc>
      </w:tr>
      <w:tr w14:paraId="7A3F8D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pct"/>
            <w:vAlign w:val="center"/>
          </w:tcPr>
          <w:p w14:paraId="4ADFB04E">
            <w:pPr>
              <w:wordWrap w:val="0"/>
              <w:adjustRightInd w:val="0"/>
              <w:snapToGrid w:val="0"/>
              <w:spacing w:line="240" w:lineRule="auto"/>
              <w:ind w:firstLine="0" w:firstLineChars="0"/>
              <w:jc w:val="center"/>
              <w:rPr>
                <w:sz w:val="21"/>
                <w:szCs w:val="21"/>
              </w:rPr>
            </w:pPr>
            <w:r>
              <w:rPr>
                <w:sz w:val="21"/>
                <w:szCs w:val="21"/>
              </w:rPr>
              <w:t>固体废物</w:t>
            </w:r>
          </w:p>
        </w:tc>
        <w:tc>
          <w:tcPr>
            <w:tcW w:w="906" w:type="pct"/>
            <w:vAlign w:val="center"/>
          </w:tcPr>
          <w:p w14:paraId="027B7695">
            <w:pPr>
              <w:wordWrap w:val="0"/>
              <w:adjustRightInd w:val="0"/>
              <w:snapToGrid w:val="0"/>
              <w:spacing w:line="240" w:lineRule="auto"/>
              <w:ind w:firstLine="0" w:firstLineChars="0"/>
              <w:jc w:val="left"/>
              <w:rPr>
                <w:sz w:val="21"/>
                <w:szCs w:val="21"/>
              </w:rPr>
            </w:pPr>
            <w:r>
              <w:rPr>
                <w:sz w:val="21"/>
                <w:szCs w:val="21"/>
              </w:rPr>
              <w:t>开挖产生的土石方用于矿区及排土场复垦；</w:t>
            </w:r>
          </w:p>
        </w:tc>
        <w:tc>
          <w:tcPr>
            <w:tcW w:w="818" w:type="pct"/>
            <w:vAlign w:val="center"/>
          </w:tcPr>
          <w:p w14:paraId="5580E83A">
            <w:pPr>
              <w:wordWrap w:val="0"/>
              <w:adjustRightInd w:val="0"/>
              <w:snapToGrid w:val="0"/>
              <w:spacing w:line="240" w:lineRule="auto"/>
              <w:ind w:firstLine="0" w:firstLineChars="0"/>
              <w:jc w:val="center"/>
              <w:rPr>
                <w:sz w:val="21"/>
                <w:szCs w:val="21"/>
              </w:rPr>
            </w:pPr>
            <w:r>
              <w:rPr>
                <w:sz w:val="21"/>
                <w:szCs w:val="21"/>
              </w:rPr>
              <w:t>固体废物均得到合理有效处置</w:t>
            </w:r>
          </w:p>
        </w:tc>
        <w:tc>
          <w:tcPr>
            <w:tcW w:w="1764" w:type="pct"/>
            <w:vAlign w:val="center"/>
          </w:tcPr>
          <w:p w14:paraId="4D59D875">
            <w:pPr>
              <w:spacing w:line="240" w:lineRule="auto"/>
              <w:ind w:firstLine="0" w:firstLineChars="0"/>
              <w:rPr>
                <w:sz w:val="21"/>
                <w:szCs w:val="21"/>
              </w:rPr>
            </w:pPr>
            <w:r>
              <w:rPr>
                <w:sz w:val="21"/>
                <w:szCs w:val="21"/>
              </w:rPr>
              <w:t>①矿山剥离表土暂存于</w:t>
            </w:r>
            <w:r>
              <w:rPr>
                <w:rFonts w:hint="eastAsia"/>
                <w:sz w:val="21"/>
                <w:szCs w:val="21"/>
              </w:rPr>
              <w:t>西南侧</w:t>
            </w:r>
            <w:r>
              <w:rPr>
                <w:sz w:val="21"/>
                <w:szCs w:val="21"/>
              </w:rPr>
              <w:t>区，后期用于矿山恢复治理；</w:t>
            </w:r>
          </w:p>
          <w:p w14:paraId="0AD1D3C1">
            <w:pPr>
              <w:widowControl/>
              <w:spacing w:line="240" w:lineRule="auto"/>
              <w:ind w:firstLine="0" w:firstLineChars="0"/>
              <w:jc w:val="left"/>
              <w:rPr>
                <w:sz w:val="21"/>
                <w:szCs w:val="21"/>
              </w:rPr>
            </w:pPr>
            <w:r>
              <w:rPr>
                <w:sz w:val="21"/>
                <w:szCs w:val="21"/>
              </w:rPr>
              <w:t>②废机油、废润滑油：经收集后暂存在危废暂存间，定期交由</w:t>
            </w:r>
            <w:r>
              <w:rPr>
                <w:rFonts w:hint="eastAsia"/>
                <w:sz w:val="21"/>
                <w:szCs w:val="21"/>
              </w:rPr>
              <w:t>有资质单位</w:t>
            </w:r>
            <w:r>
              <w:rPr>
                <w:sz w:val="21"/>
                <w:szCs w:val="21"/>
              </w:rPr>
              <w:t>进行处置</w:t>
            </w:r>
          </w:p>
        </w:tc>
        <w:tc>
          <w:tcPr>
            <w:tcW w:w="800" w:type="pct"/>
            <w:vAlign w:val="center"/>
          </w:tcPr>
          <w:p w14:paraId="2EB53F06">
            <w:pPr>
              <w:spacing w:line="240" w:lineRule="auto"/>
              <w:ind w:firstLine="0" w:firstLineChars="0"/>
              <w:jc w:val="left"/>
              <w:rPr>
                <w:sz w:val="21"/>
                <w:szCs w:val="21"/>
              </w:rPr>
            </w:pPr>
            <w:r>
              <w:rPr>
                <w:sz w:val="21"/>
                <w:szCs w:val="21"/>
              </w:rPr>
              <w:t xml:space="preserve">固体废物均得到合理有效处置 </w:t>
            </w:r>
          </w:p>
        </w:tc>
      </w:tr>
      <w:tr w14:paraId="0034A7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pct"/>
            <w:vAlign w:val="center"/>
          </w:tcPr>
          <w:p w14:paraId="7327AD79">
            <w:pPr>
              <w:wordWrap w:val="0"/>
              <w:adjustRightInd w:val="0"/>
              <w:snapToGrid w:val="0"/>
              <w:spacing w:line="240" w:lineRule="auto"/>
              <w:ind w:firstLine="0" w:firstLineChars="0"/>
              <w:jc w:val="center"/>
              <w:rPr>
                <w:sz w:val="21"/>
                <w:szCs w:val="21"/>
              </w:rPr>
            </w:pPr>
            <w:r>
              <w:rPr>
                <w:sz w:val="21"/>
                <w:szCs w:val="21"/>
              </w:rPr>
              <w:t>电磁环境</w:t>
            </w:r>
          </w:p>
        </w:tc>
        <w:tc>
          <w:tcPr>
            <w:tcW w:w="906" w:type="pct"/>
            <w:vAlign w:val="center"/>
          </w:tcPr>
          <w:p w14:paraId="5436F012">
            <w:pPr>
              <w:wordWrap w:val="0"/>
              <w:adjustRightInd w:val="0"/>
              <w:snapToGrid w:val="0"/>
              <w:spacing w:line="240" w:lineRule="auto"/>
              <w:ind w:firstLine="0" w:firstLineChars="0"/>
              <w:jc w:val="center"/>
              <w:rPr>
                <w:sz w:val="21"/>
                <w:szCs w:val="21"/>
              </w:rPr>
            </w:pPr>
            <w:r>
              <w:rPr>
                <w:sz w:val="21"/>
                <w:szCs w:val="21"/>
              </w:rPr>
              <w:t>不涉及</w:t>
            </w:r>
          </w:p>
        </w:tc>
        <w:tc>
          <w:tcPr>
            <w:tcW w:w="818" w:type="pct"/>
            <w:vAlign w:val="center"/>
          </w:tcPr>
          <w:p w14:paraId="5AA4B8C8">
            <w:pPr>
              <w:wordWrap w:val="0"/>
              <w:adjustRightInd w:val="0"/>
              <w:snapToGrid w:val="0"/>
              <w:spacing w:line="240" w:lineRule="auto"/>
              <w:ind w:firstLine="0" w:firstLineChars="0"/>
              <w:jc w:val="center"/>
              <w:rPr>
                <w:sz w:val="21"/>
                <w:szCs w:val="21"/>
              </w:rPr>
            </w:pPr>
            <w:r>
              <w:rPr>
                <w:sz w:val="21"/>
                <w:szCs w:val="21"/>
              </w:rPr>
              <w:t>不涉及</w:t>
            </w:r>
          </w:p>
        </w:tc>
        <w:tc>
          <w:tcPr>
            <w:tcW w:w="1764" w:type="pct"/>
            <w:vAlign w:val="center"/>
          </w:tcPr>
          <w:p w14:paraId="7C51AD1D">
            <w:pPr>
              <w:wordWrap w:val="0"/>
              <w:adjustRightInd w:val="0"/>
              <w:snapToGrid w:val="0"/>
              <w:spacing w:line="240" w:lineRule="auto"/>
              <w:ind w:firstLine="0" w:firstLineChars="0"/>
              <w:jc w:val="center"/>
              <w:rPr>
                <w:sz w:val="21"/>
                <w:szCs w:val="21"/>
              </w:rPr>
            </w:pPr>
            <w:r>
              <w:rPr>
                <w:sz w:val="21"/>
                <w:szCs w:val="21"/>
              </w:rPr>
              <w:t>不涉及</w:t>
            </w:r>
          </w:p>
        </w:tc>
        <w:tc>
          <w:tcPr>
            <w:tcW w:w="800" w:type="pct"/>
            <w:vAlign w:val="center"/>
          </w:tcPr>
          <w:p w14:paraId="646B3748">
            <w:pPr>
              <w:wordWrap w:val="0"/>
              <w:adjustRightInd w:val="0"/>
              <w:snapToGrid w:val="0"/>
              <w:spacing w:line="240" w:lineRule="auto"/>
              <w:ind w:firstLine="0" w:firstLineChars="0"/>
              <w:jc w:val="center"/>
              <w:rPr>
                <w:sz w:val="21"/>
                <w:szCs w:val="21"/>
              </w:rPr>
            </w:pPr>
            <w:r>
              <w:rPr>
                <w:sz w:val="21"/>
                <w:szCs w:val="21"/>
              </w:rPr>
              <w:t>不涉及</w:t>
            </w:r>
          </w:p>
        </w:tc>
      </w:tr>
      <w:tr w14:paraId="7373E8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pct"/>
            <w:vAlign w:val="center"/>
          </w:tcPr>
          <w:p w14:paraId="7F179F0B">
            <w:pPr>
              <w:wordWrap w:val="0"/>
              <w:adjustRightInd w:val="0"/>
              <w:snapToGrid w:val="0"/>
              <w:spacing w:line="240" w:lineRule="auto"/>
              <w:ind w:firstLine="0" w:firstLineChars="0"/>
              <w:jc w:val="center"/>
              <w:rPr>
                <w:sz w:val="21"/>
                <w:szCs w:val="21"/>
              </w:rPr>
            </w:pPr>
            <w:r>
              <w:rPr>
                <w:sz w:val="21"/>
                <w:szCs w:val="21"/>
              </w:rPr>
              <w:t>环境风险</w:t>
            </w:r>
          </w:p>
        </w:tc>
        <w:tc>
          <w:tcPr>
            <w:tcW w:w="906" w:type="pct"/>
            <w:vAlign w:val="center"/>
          </w:tcPr>
          <w:p w14:paraId="483D7530">
            <w:pPr>
              <w:wordWrap w:val="0"/>
              <w:adjustRightInd w:val="0"/>
              <w:snapToGrid w:val="0"/>
              <w:spacing w:line="240" w:lineRule="auto"/>
              <w:ind w:firstLine="0" w:firstLineChars="0"/>
              <w:jc w:val="center"/>
              <w:rPr>
                <w:sz w:val="21"/>
                <w:szCs w:val="21"/>
              </w:rPr>
            </w:pPr>
            <w:r>
              <w:rPr>
                <w:sz w:val="21"/>
                <w:szCs w:val="21"/>
              </w:rPr>
              <w:t>不涉及</w:t>
            </w:r>
          </w:p>
        </w:tc>
        <w:tc>
          <w:tcPr>
            <w:tcW w:w="818" w:type="pct"/>
            <w:vAlign w:val="center"/>
          </w:tcPr>
          <w:p w14:paraId="78C594F7">
            <w:pPr>
              <w:wordWrap w:val="0"/>
              <w:adjustRightInd w:val="0"/>
              <w:snapToGrid w:val="0"/>
              <w:spacing w:line="240" w:lineRule="auto"/>
              <w:ind w:firstLine="0" w:firstLineChars="0"/>
              <w:jc w:val="center"/>
              <w:rPr>
                <w:sz w:val="21"/>
                <w:szCs w:val="21"/>
              </w:rPr>
            </w:pPr>
            <w:r>
              <w:rPr>
                <w:sz w:val="21"/>
                <w:szCs w:val="21"/>
              </w:rPr>
              <w:t>不涉及</w:t>
            </w:r>
          </w:p>
        </w:tc>
        <w:tc>
          <w:tcPr>
            <w:tcW w:w="1764" w:type="pct"/>
            <w:vAlign w:val="center"/>
          </w:tcPr>
          <w:p w14:paraId="4EF0C276">
            <w:pPr>
              <w:wordWrap w:val="0"/>
              <w:spacing w:line="240" w:lineRule="auto"/>
              <w:ind w:firstLine="0" w:firstLineChars="0"/>
              <w:rPr>
                <w:sz w:val="21"/>
                <w:szCs w:val="21"/>
              </w:rPr>
            </w:pPr>
            <w:r>
              <w:rPr>
                <w:sz w:val="21"/>
                <w:szCs w:val="21"/>
              </w:rPr>
              <w:t>①采场在各开采平台设置排水沟，采场汇水经排水沟自流排至采场外；</w:t>
            </w:r>
          </w:p>
          <w:p w14:paraId="05611717">
            <w:pPr>
              <w:pStyle w:val="23"/>
              <w:wordWrap w:val="0"/>
              <w:spacing w:after="0" w:line="240" w:lineRule="auto"/>
              <w:ind w:left="0" w:leftChars="0" w:firstLine="0" w:firstLineChars="0"/>
              <w:rPr>
                <w:sz w:val="21"/>
                <w:szCs w:val="21"/>
              </w:rPr>
            </w:pPr>
            <w:r>
              <w:rPr>
                <w:sz w:val="21"/>
                <w:szCs w:val="21"/>
              </w:rPr>
              <w:t>②柴油、机油和润滑油储存设施按要求进行储存；</w:t>
            </w:r>
          </w:p>
          <w:p w14:paraId="78BF883F">
            <w:pPr>
              <w:wordWrap w:val="0"/>
              <w:spacing w:line="240" w:lineRule="auto"/>
              <w:ind w:firstLine="0" w:firstLineChars="0"/>
              <w:rPr>
                <w:sz w:val="21"/>
                <w:szCs w:val="21"/>
              </w:rPr>
            </w:pPr>
            <w:r>
              <w:rPr>
                <w:sz w:val="21"/>
                <w:szCs w:val="21"/>
              </w:rPr>
              <w:t>③</w:t>
            </w:r>
            <w:r>
              <w:rPr>
                <w:kern w:val="0"/>
                <w:sz w:val="21"/>
                <w:szCs w:val="21"/>
              </w:rPr>
              <w:t>建成后企业应按照要求修订突发环境事件应急预案，并定期组织演练</w:t>
            </w:r>
          </w:p>
        </w:tc>
        <w:tc>
          <w:tcPr>
            <w:tcW w:w="800" w:type="pct"/>
            <w:vAlign w:val="center"/>
          </w:tcPr>
          <w:p w14:paraId="66DAD03F">
            <w:pPr>
              <w:spacing w:line="240" w:lineRule="auto"/>
              <w:ind w:firstLine="0" w:firstLineChars="0"/>
              <w:jc w:val="left"/>
              <w:rPr>
                <w:sz w:val="21"/>
                <w:szCs w:val="21"/>
              </w:rPr>
            </w:pPr>
            <w:r>
              <w:rPr>
                <w:sz w:val="21"/>
                <w:szCs w:val="21"/>
              </w:rPr>
              <w:t>按要求落实环保设施</w:t>
            </w:r>
          </w:p>
        </w:tc>
      </w:tr>
      <w:tr w14:paraId="6F4000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pct"/>
            <w:vAlign w:val="center"/>
          </w:tcPr>
          <w:p w14:paraId="40A60BB5">
            <w:pPr>
              <w:wordWrap w:val="0"/>
              <w:adjustRightInd w:val="0"/>
              <w:snapToGrid w:val="0"/>
              <w:spacing w:line="240" w:lineRule="auto"/>
              <w:ind w:firstLine="0" w:firstLineChars="0"/>
              <w:jc w:val="center"/>
              <w:rPr>
                <w:sz w:val="21"/>
                <w:szCs w:val="21"/>
              </w:rPr>
            </w:pPr>
            <w:r>
              <w:rPr>
                <w:sz w:val="21"/>
                <w:szCs w:val="21"/>
              </w:rPr>
              <w:t>环境监测</w:t>
            </w:r>
          </w:p>
        </w:tc>
        <w:tc>
          <w:tcPr>
            <w:tcW w:w="906" w:type="pct"/>
            <w:vAlign w:val="center"/>
          </w:tcPr>
          <w:p w14:paraId="3D1BE304">
            <w:pPr>
              <w:wordWrap w:val="0"/>
              <w:adjustRightInd w:val="0"/>
              <w:snapToGrid w:val="0"/>
              <w:spacing w:line="240" w:lineRule="auto"/>
              <w:ind w:firstLine="0" w:firstLineChars="0"/>
              <w:jc w:val="center"/>
              <w:rPr>
                <w:sz w:val="21"/>
                <w:szCs w:val="21"/>
              </w:rPr>
            </w:pPr>
            <w:r>
              <w:rPr>
                <w:sz w:val="21"/>
                <w:szCs w:val="21"/>
              </w:rPr>
              <w:t>不涉及</w:t>
            </w:r>
          </w:p>
        </w:tc>
        <w:tc>
          <w:tcPr>
            <w:tcW w:w="818" w:type="pct"/>
            <w:vAlign w:val="center"/>
          </w:tcPr>
          <w:p w14:paraId="71E0D622">
            <w:pPr>
              <w:wordWrap w:val="0"/>
              <w:adjustRightInd w:val="0"/>
              <w:snapToGrid w:val="0"/>
              <w:spacing w:line="240" w:lineRule="auto"/>
              <w:ind w:firstLine="0" w:firstLineChars="0"/>
              <w:jc w:val="center"/>
              <w:rPr>
                <w:sz w:val="21"/>
                <w:szCs w:val="21"/>
              </w:rPr>
            </w:pPr>
            <w:r>
              <w:rPr>
                <w:sz w:val="21"/>
                <w:szCs w:val="21"/>
              </w:rPr>
              <w:t>不涉及</w:t>
            </w:r>
          </w:p>
        </w:tc>
        <w:tc>
          <w:tcPr>
            <w:tcW w:w="1764" w:type="pct"/>
            <w:vAlign w:val="center"/>
          </w:tcPr>
          <w:p w14:paraId="5983D3B5">
            <w:pPr>
              <w:wordWrap w:val="0"/>
              <w:adjustRightInd w:val="0"/>
              <w:snapToGrid w:val="0"/>
              <w:spacing w:line="240" w:lineRule="auto"/>
              <w:ind w:firstLine="0" w:firstLineChars="0"/>
              <w:rPr>
                <w:sz w:val="21"/>
                <w:szCs w:val="21"/>
              </w:rPr>
            </w:pPr>
            <w:r>
              <w:rPr>
                <w:sz w:val="21"/>
                <w:szCs w:val="21"/>
              </w:rPr>
              <w:t>主要设置专门的管理人员</w:t>
            </w:r>
            <w:r>
              <w:rPr>
                <w:rFonts w:hint="eastAsia"/>
                <w:sz w:val="21"/>
                <w:szCs w:val="21"/>
              </w:rPr>
              <w:t>委托</w:t>
            </w:r>
            <w:r>
              <w:rPr>
                <w:sz w:val="21"/>
                <w:szCs w:val="21"/>
              </w:rPr>
              <w:t>第三方进行年度监测</w:t>
            </w:r>
          </w:p>
        </w:tc>
        <w:tc>
          <w:tcPr>
            <w:tcW w:w="800" w:type="pct"/>
            <w:vAlign w:val="center"/>
          </w:tcPr>
          <w:p w14:paraId="315D9C40">
            <w:pPr>
              <w:adjustRightInd w:val="0"/>
              <w:snapToGrid w:val="0"/>
              <w:spacing w:line="240" w:lineRule="auto"/>
              <w:ind w:firstLine="0" w:firstLineChars="0"/>
              <w:jc w:val="left"/>
              <w:rPr>
                <w:sz w:val="21"/>
                <w:szCs w:val="21"/>
              </w:rPr>
            </w:pPr>
            <w:r>
              <w:rPr>
                <w:kern w:val="0"/>
                <w:sz w:val="21"/>
                <w:szCs w:val="21"/>
              </w:rPr>
              <w:t>项目监测计划得到落实</w:t>
            </w:r>
          </w:p>
        </w:tc>
      </w:tr>
      <w:tr w14:paraId="7440EB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85" w:hRule="atLeast"/>
          <w:jc w:val="center"/>
        </w:trPr>
        <w:tc>
          <w:tcPr>
            <w:tcW w:w="709" w:type="pct"/>
            <w:vAlign w:val="center"/>
          </w:tcPr>
          <w:p w14:paraId="055BDE90">
            <w:pPr>
              <w:wordWrap w:val="0"/>
              <w:adjustRightInd w:val="0"/>
              <w:snapToGrid w:val="0"/>
              <w:spacing w:line="240" w:lineRule="auto"/>
              <w:ind w:firstLine="0" w:firstLineChars="0"/>
              <w:jc w:val="center"/>
              <w:rPr>
                <w:sz w:val="21"/>
                <w:szCs w:val="21"/>
              </w:rPr>
            </w:pPr>
            <w:r>
              <w:rPr>
                <w:sz w:val="21"/>
                <w:szCs w:val="21"/>
              </w:rPr>
              <w:t>其他</w:t>
            </w:r>
          </w:p>
        </w:tc>
        <w:tc>
          <w:tcPr>
            <w:tcW w:w="906" w:type="pct"/>
            <w:vAlign w:val="center"/>
          </w:tcPr>
          <w:p w14:paraId="3075F2E2">
            <w:pPr>
              <w:wordWrap w:val="0"/>
              <w:adjustRightInd w:val="0"/>
              <w:snapToGrid w:val="0"/>
              <w:spacing w:line="240" w:lineRule="auto"/>
              <w:ind w:firstLine="0" w:firstLineChars="0"/>
              <w:jc w:val="center"/>
              <w:rPr>
                <w:sz w:val="21"/>
                <w:szCs w:val="21"/>
              </w:rPr>
            </w:pPr>
            <w:r>
              <w:rPr>
                <w:sz w:val="21"/>
                <w:szCs w:val="21"/>
              </w:rPr>
              <w:t>不涉及</w:t>
            </w:r>
          </w:p>
        </w:tc>
        <w:tc>
          <w:tcPr>
            <w:tcW w:w="818" w:type="pct"/>
            <w:vAlign w:val="center"/>
          </w:tcPr>
          <w:p w14:paraId="37F3A743">
            <w:pPr>
              <w:wordWrap w:val="0"/>
              <w:adjustRightInd w:val="0"/>
              <w:snapToGrid w:val="0"/>
              <w:spacing w:line="240" w:lineRule="auto"/>
              <w:ind w:firstLine="0" w:firstLineChars="0"/>
              <w:jc w:val="center"/>
              <w:rPr>
                <w:sz w:val="21"/>
                <w:szCs w:val="21"/>
              </w:rPr>
            </w:pPr>
            <w:r>
              <w:rPr>
                <w:sz w:val="21"/>
                <w:szCs w:val="21"/>
              </w:rPr>
              <w:t>不涉及</w:t>
            </w:r>
          </w:p>
        </w:tc>
        <w:tc>
          <w:tcPr>
            <w:tcW w:w="1764" w:type="pct"/>
            <w:vAlign w:val="center"/>
          </w:tcPr>
          <w:p w14:paraId="1964830B">
            <w:pPr>
              <w:wordWrap w:val="0"/>
              <w:adjustRightInd w:val="0"/>
              <w:snapToGrid w:val="0"/>
              <w:spacing w:line="240" w:lineRule="auto"/>
              <w:ind w:firstLine="0" w:firstLineChars="0"/>
              <w:jc w:val="center"/>
              <w:rPr>
                <w:sz w:val="21"/>
                <w:szCs w:val="21"/>
              </w:rPr>
            </w:pPr>
            <w:r>
              <w:rPr>
                <w:sz w:val="21"/>
                <w:szCs w:val="21"/>
              </w:rPr>
              <w:t>不涉及</w:t>
            </w:r>
          </w:p>
        </w:tc>
        <w:tc>
          <w:tcPr>
            <w:tcW w:w="800" w:type="pct"/>
            <w:vAlign w:val="center"/>
          </w:tcPr>
          <w:p w14:paraId="4003FE55">
            <w:pPr>
              <w:wordWrap w:val="0"/>
              <w:adjustRightInd w:val="0"/>
              <w:snapToGrid w:val="0"/>
              <w:spacing w:line="240" w:lineRule="auto"/>
              <w:ind w:firstLine="0" w:firstLineChars="0"/>
              <w:jc w:val="center"/>
              <w:rPr>
                <w:sz w:val="21"/>
                <w:szCs w:val="21"/>
              </w:rPr>
            </w:pPr>
            <w:r>
              <w:rPr>
                <w:sz w:val="21"/>
                <w:szCs w:val="21"/>
              </w:rPr>
              <w:t>不涉及</w:t>
            </w:r>
          </w:p>
        </w:tc>
      </w:tr>
    </w:tbl>
    <w:p w14:paraId="6C006B9F">
      <w:pPr>
        <w:pStyle w:val="20"/>
      </w:pPr>
      <w:r>
        <w:br w:type="page"/>
      </w:r>
      <w:r>
        <w:t>七、结论</w:t>
      </w:r>
    </w:p>
    <w:tbl>
      <w:tblPr>
        <w:tblStyle w:val="24"/>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14:paraId="368EFE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tcPr>
          <w:p w14:paraId="672DB390">
            <w:pPr>
              <w:adjustRightInd w:val="0"/>
              <w:snapToGrid w:val="0"/>
              <w:ind w:firstLine="480"/>
              <w:rPr>
                <w:color w:val="FF0000"/>
              </w:rPr>
            </w:pPr>
          </w:p>
          <w:p w14:paraId="5F4E7E71">
            <w:pPr>
              <w:adjustRightInd w:val="0"/>
              <w:snapToGrid w:val="0"/>
              <w:ind w:firstLine="480"/>
              <w:rPr>
                <w:color w:val="FF0000"/>
              </w:rPr>
            </w:pPr>
          </w:p>
          <w:p w14:paraId="61559ACD">
            <w:pPr>
              <w:adjustRightInd w:val="0"/>
              <w:snapToGrid w:val="0"/>
              <w:ind w:firstLine="480"/>
            </w:pPr>
            <w:r>
              <w:t>本项目符合国家产业政策和环保政策的要求，项目在落实环评报告表提出的各项生态环境保护措施和污染防治措施后，生态环境影响可接受、污染物可达标排放，从环境保护角度分析，项目建设可行。</w:t>
            </w:r>
          </w:p>
          <w:p w14:paraId="2C209DF0">
            <w:pPr>
              <w:ind w:firstLine="480"/>
              <w:rPr>
                <w:color w:val="FF0000"/>
              </w:rPr>
            </w:pPr>
          </w:p>
          <w:p w14:paraId="7A57D680">
            <w:pPr>
              <w:ind w:firstLine="480"/>
              <w:rPr>
                <w:color w:val="FF0000"/>
              </w:rPr>
            </w:pPr>
          </w:p>
          <w:p w14:paraId="16CCF64C">
            <w:pPr>
              <w:ind w:firstLine="480"/>
              <w:rPr>
                <w:color w:val="FF0000"/>
              </w:rPr>
            </w:pPr>
          </w:p>
          <w:p w14:paraId="50117695">
            <w:pPr>
              <w:ind w:firstLine="480"/>
              <w:rPr>
                <w:color w:val="FF0000"/>
              </w:rPr>
            </w:pPr>
          </w:p>
          <w:p w14:paraId="48FF1C14">
            <w:pPr>
              <w:ind w:firstLine="480"/>
              <w:rPr>
                <w:color w:val="FF0000"/>
              </w:rPr>
            </w:pPr>
          </w:p>
          <w:p w14:paraId="7DE4FEF5">
            <w:pPr>
              <w:ind w:firstLine="480"/>
              <w:rPr>
                <w:color w:val="FF0000"/>
              </w:rPr>
            </w:pPr>
          </w:p>
          <w:p w14:paraId="5515F916">
            <w:pPr>
              <w:ind w:firstLine="480"/>
              <w:rPr>
                <w:color w:val="FF0000"/>
              </w:rPr>
            </w:pPr>
          </w:p>
          <w:p w14:paraId="4701930A">
            <w:pPr>
              <w:ind w:firstLine="480"/>
              <w:rPr>
                <w:color w:val="FF0000"/>
              </w:rPr>
            </w:pPr>
          </w:p>
          <w:p w14:paraId="2272BC81">
            <w:pPr>
              <w:ind w:firstLine="480"/>
              <w:rPr>
                <w:color w:val="FF0000"/>
              </w:rPr>
            </w:pPr>
          </w:p>
          <w:p w14:paraId="26B65A7C">
            <w:pPr>
              <w:ind w:firstLine="480"/>
              <w:rPr>
                <w:color w:val="FF0000"/>
              </w:rPr>
            </w:pPr>
          </w:p>
          <w:p w14:paraId="3CBA14AC">
            <w:pPr>
              <w:ind w:firstLine="480"/>
              <w:rPr>
                <w:color w:val="FF0000"/>
              </w:rPr>
            </w:pPr>
          </w:p>
          <w:p w14:paraId="49B7EB37">
            <w:pPr>
              <w:ind w:firstLine="480"/>
              <w:rPr>
                <w:color w:val="FF0000"/>
              </w:rPr>
            </w:pPr>
          </w:p>
          <w:p w14:paraId="2FC789ED">
            <w:pPr>
              <w:ind w:firstLine="480"/>
              <w:rPr>
                <w:color w:val="FF0000"/>
              </w:rPr>
            </w:pPr>
          </w:p>
          <w:p w14:paraId="150326FC">
            <w:pPr>
              <w:ind w:firstLine="480"/>
              <w:rPr>
                <w:color w:val="FF0000"/>
              </w:rPr>
            </w:pPr>
          </w:p>
          <w:p w14:paraId="34FB5BE0">
            <w:pPr>
              <w:ind w:firstLine="480"/>
              <w:rPr>
                <w:color w:val="FF0000"/>
              </w:rPr>
            </w:pPr>
          </w:p>
          <w:p w14:paraId="2A008169">
            <w:pPr>
              <w:ind w:firstLine="480"/>
              <w:rPr>
                <w:color w:val="FF0000"/>
              </w:rPr>
            </w:pPr>
          </w:p>
          <w:p w14:paraId="7071553C">
            <w:pPr>
              <w:ind w:firstLine="480"/>
              <w:rPr>
                <w:color w:val="FF0000"/>
              </w:rPr>
            </w:pPr>
          </w:p>
          <w:p w14:paraId="46DFD290">
            <w:pPr>
              <w:ind w:firstLine="480"/>
              <w:rPr>
                <w:color w:val="FF0000"/>
              </w:rPr>
            </w:pPr>
          </w:p>
          <w:p w14:paraId="139DAA38">
            <w:pPr>
              <w:ind w:firstLine="480"/>
              <w:rPr>
                <w:color w:val="FF0000"/>
              </w:rPr>
            </w:pPr>
          </w:p>
          <w:p w14:paraId="2297D9E6">
            <w:pPr>
              <w:tabs>
                <w:tab w:val="left" w:pos="481"/>
              </w:tabs>
              <w:ind w:firstLine="0" w:firstLineChars="0"/>
              <w:jc w:val="left"/>
              <w:rPr>
                <w:color w:val="FF0000"/>
              </w:rPr>
            </w:pPr>
          </w:p>
        </w:tc>
      </w:tr>
    </w:tbl>
    <w:p w14:paraId="66F1A8EF">
      <w:pPr>
        <w:widowControl/>
        <w:adjustRightInd w:val="0"/>
        <w:snapToGrid w:val="0"/>
        <w:spacing w:before="192" w:beforeLines="80"/>
        <w:ind w:firstLine="0" w:firstLineChars="0"/>
        <w:jc w:val="left"/>
        <w:rPr>
          <w:color w:val="FF0000"/>
        </w:rPr>
        <w:sectPr>
          <w:pgSz w:w="11906" w:h="16838"/>
          <w:pgMar w:top="1440" w:right="1800" w:bottom="1440" w:left="1800" w:header="851" w:footer="1077" w:gutter="0"/>
          <w:cols w:space="720" w:num="1"/>
          <w:docGrid w:linePitch="312" w:charSpace="0"/>
        </w:sectPr>
      </w:pPr>
    </w:p>
    <w:p w14:paraId="08B2DCE8">
      <w:pPr>
        <w:pStyle w:val="20"/>
      </w:pPr>
      <w:r>
        <w:t>建设项目污染物排放量汇总表</w:t>
      </w:r>
    </w:p>
    <w:tbl>
      <w:tblPr>
        <w:tblStyle w:val="24"/>
        <w:tblW w:w="13788" w:type="dxa"/>
        <w:tblInd w:w="-8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868"/>
        <w:gridCol w:w="917"/>
      </w:tblGrid>
      <w:tr w14:paraId="14C7E7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14:paraId="50D17883">
            <w:pPr>
              <w:pStyle w:val="46"/>
              <w:spacing w:beforeLines="0" w:afterLines="0" w:line="240" w:lineRule="auto"/>
              <w:ind w:firstLine="0" w:firstLineChars="0"/>
              <w:jc w:val="right"/>
              <w:rPr>
                <w:rFonts w:ascii="Times New Roman"/>
                <w:snapToGrid w:val="0"/>
                <w:spacing w:val="-6"/>
                <w:kern w:val="21"/>
                <w:sz w:val="21"/>
              </w:rPr>
            </w:pPr>
            <w:r>
              <w:rPr>
                <w:rFonts w:ascii="Times New Roman"/>
                <w:snapToGrid w:val="0"/>
                <w:spacing w:val="-6"/>
                <w:kern w:val="21"/>
                <w:sz w:val="21"/>
              </w:rPr>
              <w:t>项目</w:t>
            </w:r>
          </w:p>
          <w:p w14:paraId="0F091754">
            <w:pPr>
              <w:pStyle w:val="46"/>
              <w:spacing w:beforeLines="0" w:afterLines="0" w:line="240" w:lineRule="auto"/>
              <w:ind w:firstLine="0" w:firstLineChars="0"/>
              <w:jc w:val="left"/>
              <w:rPr>
                <w:rFonts w:ascii="Times New Roman"/>
                <w:snapToGrid w:val="0"/>
                <w:spacing w:val="-6"/>
                <w:kern w:val="21"/>
                <w:sz w:val="21"/>
              </w:rPr>
            </w:pPr>
            <w:r>
              <w:rPr>
                <w:rFonts w:ascii="Times New Roman"/>
                <w:snapToGrid w:val="0"/>
                <w:spacing w:val="-6"/>
                <w:kern w:val="21"/>
                <w:sz w:val="21"/>
              </w:rPr>
              <w:t>分类</w:t>
            </w:r>
          </w:p>
        </w:tc>
        <w:tc>
          <w:tcPr>
            <w:tcW w:w="1417" w:type="dxa"/>
            <w:tcMar>
              <w:left w:w="28" w:type="dxa"/>
              <w:right w:w="28" w:type="dxa"/>
            </w:tcMar>
            <w:vAlign w:val="center"/>
          </w:tcPr>
          <w:p w14:paraId="6AD0ADE8">
            <w:pPr>
              <w:pStyle w:val="46"/>
              <w:spacing w:beforeLines="0" w:afterLines="0" w:line="240" w:lineRule="auto"/>
              <w:ind w:firstLine="0" w:firstLineChars="0"/>
              <w:rPr>
                <w:rFonts w:ascii="Times New Roman"/>
                <w:snapToGrid w:val="0"/>
                <w:spacing w:val="-6"/>
                <w:kern w:val="21"/>
                <w:sz w:val="21"/>
              </w:rPr>
            </w:pPr>
            <w:r>
              <w:rPr>
                <w:rFonts w:ascii="Times New Roman"/>
                <w:snapToGrid w:val="0"/>
                <w:spacing w:val="-6"/>
                <w:kern w:val="21"/>
                <w:sz w:val="21"/>
              </w:rPr>
              <w:t>污染物名称</w:t>
            </w:r>
          </w:p>
        </w:tc>
        <w:tc>
          <w:tcPr>
            <w:tcW w:w="1701" w:type="dxa"/>
            <w:tcMar>
              <w:left w:w="28" w:type="dxa"/>
              <w:right w:w="28" w:type="dxa"/>
            </w:tcMar>
            <w:vAlign w:val="center"/>
          </w:tcPr>
          <w:p w14:paraId="62AC868E">
            <w:pPr>
              <w:pStyle w:val="46"/>
              <w:spacing w:beforeLines="0" w:afterLines="0" w:line="240" w:lineRule="auto"/>
              <w:ind w:firstLine="0" w:firstLineChars="0"/>
              <w:rPr>
                <w:rFonts w:ascii="Times New Roman"/>
                <w:snapToGrid w:val="0"/>
                <w:spacing w:val="-6"/>
                <w:kern w:val="21"/>
                <w:sz w:val="21"/>
              </w:rPr>
            </w:pPr>
            <w:r>
              <w:rPr>
                <w:rFonts w:ascii="Times New Roman"/>
                <w:snapToGrid w:val="0"/>
                <w:spacing w:val="-6"/>
                <w:kern w:val="21"/>
                <w:sz w:val="21"/>
              </w:rPr>
              <w:t>现有工程</w:t>
            </w:r>
          </w:p>
          <w:p w14:paraId="0FB2D75F">
            <w:pPr>
              <w:pStyle w:val="46"/>
              <w:spacing w:beforeLines="0" w:afterLines="0" w:line="240" w:lineRule="auto"/>
              <w:ind w:firstLine="0" w:firstLineChars="0"/>
              <w:rPr>
                <w:rFonts w:ascii="Times New Roman"/>
                <w:snapToGrid w:val="0"/>
                <w:spacing w:val="-6"/>
                <w:kern w:val="21"/>
                <w:sz w:val="21"/>
              </w:rPr>
            </w:pPr>
            <w:r>
              <w:rPr>
                <w:rFonts w:ascii="Times New Roman"/>
                <w:snapToGrid w:val="0"/>
                <w:spacing w:val="-6"/>
                <w:kern w:val="21"/>
                <w:sz w:val="21"/>
              </w:rPr>
              <w:t>排放量（固体废物产生量）</w:t>
            </w:r>
            <w:r>
              <w:rPr>
                <w:rFonts w:ascii="Times New Roman"/>
                <w:snapToGrid w:val="0"/>
                <w:spacing w:val="-6"/>
                <w:kern w:val="21"/>
                <w:sz w:val="21"/>
              </w:rPr>
              <w:fldChar w:fldCharType="begin"/>
            </w:r>
            <w:r>
              <w:rPr>
                <w:rFonts w:ascii="Times New Roman"/>
                <w:snapToGrid w:val="0"/>
                <w:spacing w:val="-6"/>
                <w:kern w:val="21"/>
                <w:sz w:val="21"/>
              </w:rPr>
              <w:instrText xml:space="preserve"> = 1 \* GB3 \* MERGEFORMAT </w:instrText>
            </w:r>
            <w:r>
              <w:rPr>
                <w:rFonts w:ascii="Times New Roman"/>
                <w:snapToGrid w:val="0"/>
                <w:spacing w:val="-6"/>
                <w:kern w:val="21"/>
                <w:sz w:val="21"/>
              </w:rPr>
              <w:fldChar w:fldCharType="separate"/>
            </w:r>
            <w:r>
              <w:rPr>
                <w:rFonts w:ascii="Times New Roman"/>
                <w:kern w:val="2"/>
                <w:sz w:val="21"/>
              </w:rPr>
              <w:t>①</w:t>
            </w:r>
            <w:r>
              <w:rPr>
                <w:rFonts w:ascii="Times New Roman"/>
                <w:snapToGrid w:val="0"/>
                <w:spacing w:val="-6"/>
                <w:kern w:val="21"/>
                <w:sz w:val="21"/>
              </w:rPr>
              <w:fldChar w:fldCharType="end"/>
            </w:r>
          </w:p>
        </w:tc>
        <w:tc>
          <w:tcPr>
            <w:tcW w:w="1276" w:type="dxa"/>
            <w:tcMar>
              <w:left w:w="28" w:type="dxa"/>
              <w:right w:w="28" w:type="dxa"/>
            </w:tcMar>
            <w:vAlign w:val="center"/>
          </w:tcPr>
          <w:p w14:paraId="5AFD0C8F">
            <w:pPr>
              <w:pStyle w:val="46"/>
              <w:spacing w:beforeLines="0" w:afterLines="0" w:line="240" w:lineRule="auto"/>
              <w:ind w:firstLine="0" w:firstLineChars="0"/>
              <w:rPr>
                <w:rFonts w:ascii="Times New Roman"/>
                <w:snapToGrid w:val="0"/>
                <w:spacing w:val="-6"/>
                <w:kern w:val="21"/>
                <w:sz w:val="21"/>
              </w:rPr>
            </w:pPr>
            <w:r>
              <w:rPr>
                <w:rFonts w:ascii="Times New Roman"/>
                <w:snapToGrid w:val="0"/>
                <w:spacing w:val="-6"/>
                <w:kern w:val="21"/>
                <w:sz w:val="21"/>
              </w:rPr>
              <w:t>现有工程</w:t>
            </w:r>
          </w:p>
          <w:p w14:paraId="38D7BADE">
            <w:pPr>
              <w:pStyle w:val="46"/>
              <w:spacing w:beforeLines="0" w:afterLines="0" w:line="240" w:lineRule="auto"/>
              <w:ind w:firstLine="0" w:firstLineChars="0"/>
              <w:rPr>
                <w:rFonts w:ascii="Times New Roman"/>
                <w:snapToGrid w:val="0"/>
                <w:spacing w:val="-6"/>
                <w:kern w:val="21"/>
                <w:sz w:val="21"/>
              </w:rPr>
            </w:pPr>
            <w:r>
              <w:rPr>
                <w:rFonts w:ascii="Times New Roman"/>
                <w:snapToGrid w:val="0"/>
                <w:spacing w:val="-6"/>
                <w:kern w:val="21"/>
                <w:sz w:val="21"/>
              </w:rPr>
              <w:t>许可排放量</w:t>
            </w:r>
          </w:p>
          <w:p w14:paraId="4728A639">
            <w:pPr>
              <w:pStyle w:val="46"/>
              <w:spacing w:beforeLines="0" w:afterLines="0" w:line="240" w:lineRule="auto"/>
              <w:ind w:firstLine="0" w:firstLineChars="0"/>
              <w:rPr>
                <w:rFonts w:ascii="Times New Roman"/>
                <w:snapToGrid w:val="0"/>
                <w:spacing w:val="-6"/>
                <w:kern w:val="21"/>
                <w:sz w:val="21"/>
              </w:rPr>
            </w:pPr>
            <w:r>
              <w:rPr>
                <w:rFonts w:ascii="Times New Roman"/>
                <w:snapToGrid w:val="0"/>
                <w:spacing w:val="-6"/>
                <w:kern w:val="21"/>
                <w:sz w:val="21"/>
              </w:rPr>
              <w:fldChar w:fldCharType="begin"/>
            </w:r>
            <w:r>
              <w:rPr>
                <w:rFonts w:ascii="Times New Roman"/>
                <w:snapToGrid w:val="0"/>
                <w:spacing w:val="-6"/>
                <w:kern w:val="21"/>
                <w:sz w:val="21"/>
              </w:rPr>
              <w:instrText xml:space="preserve"> = 2 \* GB3 \* MERGEFORMAT </w:instrText>
            </w:r>
            <w:r>
              <w:rPr>
                <w:rFonts w:ascii="Times New Roman"/>
                <w:snapToGrid w:val="0"/>
                <w:spacing w:val="-6"/>
                <w:kern w:val="21"/>
                <w:sz w:val="21"/>
              </w:rPr>
              <w:fldChar w:fldCharType="separate"/>
            </w:r>
            <w:r>
              <w:rPr>
                <w:rFonts w:ascii="Times New Roman"/>
                <w:snapToGrid w:val="0"/>
                <w:spacing w:val="-6"/>
                <w:kern w:val="21"/>
                <w:sz w:val="21"/>
              </w:rPr>
              <w:t>②</w:t>
            </w:r>
            <w:r>
              <w:rPr>
                <w:rFonts w:ascii="Times New Roman"/>
                <w:snapToGrid w:val="0"/>
                <w:spacing w:val="-6"/>
                <w:kern w:val="21"/>
                <w:sz w:val="21"/>
              </w:rPr>
              <w:fldChar w:fldCharType="end"/>
            </w:r>
          </w:p>
        </w:tc>
        <w:tc>
          <w:tcPr>
            <w:tcW w:w="1701" w:type="dxa"/>
            <w:tcMar>
              <w:left w:w="28" w:type="dxa"/>
              <w:right w:w="28" w:type="dxa"/>
            </w:tcMar>
            <w:vAlign w:val="center"/>
          </w:tcPr>
          <w:p w14:paraId="7D7DAECC">
            <w:pPr>
              <w:pStyle w:val="46"/>
              <w:spacing w:beforeLines="0" w:afterLines="0" w:line="240" w:lineRule="auto"/>
              <w:ind w:firstLine="0" w:firstLineChars="0"/>
              <w:rPr>
                <w:rFonts w:ascii="Times New Roman"/>
                <w:snapToGrid w:val="0"/>
                <w:spacing w:val="-6"/>
                <w:kern w:val="21"/>
                <w:sz w:val="21"/>
              </w:rPr>
            </w:pPr>
            <w:r>
              <w:rPr>
                <w:rFonts w:ascii="Times New Roman"/>
                <w:snapToGrid w:val="0"/>
                <w:spacing w:val="-6"/>
                <w:kern w:val="21"/>
                <w:sz w:val="21"/>
              </w:rPr>
              <w:t>在建工程</w:t>
            </w:r>
          </w:p>
          <w:p w14:paraId="59A7BCFF">
            <w:pPr>
              <w:pStyle w:val="46"/>
              <w:spacing w:beforeLines="0" w:afterLines="0" w:line="240" w:lineRule="auto"/>
              <w:ind w:firstLine="0" w:firstLineChars="0"/>
              <w:rPr>
                <w:rFonts w:ascii="Times New Roman"/>
                <w:snapToGrid w:val="0"/>
                <w:spacing w:val="-6"/>
                <w:kern w:val="21"/>
                <w:sz w:val="21"/>
              </w:rPr>
            </w:pPr>
            <w:r>
              <w:rPr>
                <w:rFonts w:ascii="Times New Roman"/>
                <w:snapToGrid w:val="0"/>
                <w:spacing w:val="-6"/>
                <w:kern w:val="21"/>
                <w:sz w:val="21"/>
              </w:rPr>
              <w:t>排放量（固体废物产生量）</w:t>
            </w:r>
            <w:r>
              <w:rPr>
                <w:rFonts w:ascii="Times New Roman"/>
                <w:snapToGrid w:val="0"/>
                <w:spacing w:val="-6"/>
                <w:kern w:val="21"/>
                <w:sz w:val="21"/>
              </w:rPr>
              <w:fldChar w:fldCharType="begin"/>
            </w:r>
            <w:r>
              <w:rPr>
                <w:rFonts w:ascii="Times New Roman"/>
                <w:snapToGrid w:val="0"/>
                <w:spacing w:val="-6"/>
                <w:kern w:val="21"/>
                <w:sz w:val="21"/>
              </w:rPr>
              <w:instrText xml:space="preserve"> = 3 \* GB3 \* MERGEFORMAT </w:instrText>
            </w:r>
            <w:r>
              <w:rPr>
                <w:rFonts w:ascii="Times New Roman"/>
                <w:snapToGrid w:val="0"/>
                <w:spacing w:val="-6"/>
                <w:kern w:val="21"/>
                <w:sz w:val="21"/>
              </w:rPr>
              <w:fldChar w:fldCharType="separate"/>
            </w:r>
            <w:r>
              <w:rPr>
                <w:rFonts w:ascii="Times New Roman"/>
                <w:kern w:val="2"/>
                <w:sz w:val="21"/>
              </w:rPr>
              <w:t>③</w:t>
            </w:r>
            <w:r>
              <w:rPr>
                <w:rFonts w:ascii="Times New Roman"/>
                <w:snapToGrid w:val="0"/>
                <w:spacing w:val="-6"/>
                <w:kern w:val="21"/>
                <w:sz w:val="21"/>
              </w:rPr>
              <w:fldChar w:fldCharType="end"/>
            </w:r>
          </w:p>
        </w:tc>
        <w:tc>
          <w:tcPr>
            <w:tcW w:w="1559" w:type="dxa"/>
            <w:tcMar>
              <w:left w:w="28" w:type="dxa"/>
              <w:right w:w="28" w:type="dxa"/>
            </w:tcMar>
            <w:vAlign w:val="center"/>
          </w:tcPr>
          <w:p w14:paraId="130A6A44">
            <w:pPr>
              <w:pStyle w:val="46"/>
              <w:spacing w:beforeLines="0" w:afterLines="0" w:line="240" w:lineRule="auto"/>
              <w:ind w:firstLine="0" w:firstLineChars="0"/>
              <w:rPr>
                <w:rFonts w:ascii="Times New Roman"/>
                <w:snapToGrid w:val="0"/>
                <w:spacing w:val="-6"/>
                <w:kern w:val="21"/>
                <w:sz w:val="21"/>
              </w:rPr>
            </w:pPr>
            <w:r>
              <w:rPr>
                <w:rFonts w:ascii="Times New Roman"/>
                <w:snapToGrid w:val="0"/>
                <w:spacing w:val="-6"/>
                <w:kern w:val="21"/>
                <w:sz w:val="21"/>
              </w:rPr>
              <w:t>本项目</w:t>
            </w:r>
          </w:p>
          <w:p w14:paraId="119B6E33">
            <w:pPr>
              <w:pStyle w:val="46"/>
              <w:spacing w:beforeLines="0" w:afterLines="0" w:line="240" w:lineRule="auto"/>
              <w:ind w:firstLine="0" w:firstLineChars="0"/>
              <w:rPr>
                <w:rFonts w:ascii="Times New Roman"/>
                <w:snapToGrid w:val="0"/>
                <w:spacing w:val="-6"/>
                <w:kern w:val="21"/>
                <w:sz w:val="21"/>
              </w:rPr>
            </w:pPr>
            <w:r>
              <w:rPr>
                <w:rFonts w:ascii="Times New Roman"/>
                <w:snapToGrid w:val="0"/>
                <w:spacing w:val="-6"/>
                <w:kern w:val="21"/>
                <w:sz w:val="21"/>
              </w:rPr>
              <w:t>排放量（固体废物产生量）</w:t>
            </w:r>
            <w:r>
              <w:rPr>
                <w:rFonts w:ascii="Times New Roman"/>
                <w:snapToGrid w:val="0"/>
                <w:spacing w:val="-6"/>
                <w:kern w:val="21"/>
                <w:sz w:val="21"/>
              </w:rPr>
              <w:fldChar w:fldCharType="begin"/>
            </w:r>
            <w:r>
              <w:rPr>
                <w:rFonts w:ascii="Times New Roman"/>
                <w:snapToGrid w:val="0"/>
                <w:spacing w:val="-6"/>
                <w:kern w:val="21"/>
                <w:sz w:val="21"/>
              </w:rPr>
              <w:instrText xml:space="preserve"> = 4 \* GB3 \* MERGEFORMAT </w:instrText>
            </w:r>
            <w:r>
              <w:rPr>
                <w:rFonts w:ascii="Times New Roman"/>
                <w:snapToGrid w:val="0"/>
                <w:spacing w:val="-6"/>
                <w:kern w:val="21"/>
                <w:sz w:val="21"/>
              </w:rPr>
              <w:fldChar w:fldCharType="separate"/>
            </w:r>
            <w:r>
              <w:rPr>
                <w:rFonts w:ascii="Times New Roman"/>
                <w:kern w:val="2"/>
                <w:sz w:val="21"/>
              </w:rPr>
              <w:t>④</w:t>
            </w:r>
            <w:r>
              <w:rPr>
                <w:rFonts w:ascii="Times New Roman"/>
                <w:snapToGrid w:val="0"/>
                <w:spacing w:val="-6"/>
                <w:kern w:val="21"/>
                <w:sz w:val="21"/>
              </w:rPr>
              <w:fldChar w:fldCharType="end"/>
            </w:r>
          </w:p>
        </w:tc>
        <w:tc>
          <w:tcPr>
            <w:tcW w:w="1761" w:type="dxa"/>
            <w:tcMar>
              <w:left w:w="28" w:type="dxa"/>
              <w:right w:w="28" w:type="dxa"/>
            </w:tcMar>
            <w:vAlign w:val="center"/>
          </w:tcPr>
          <w:p w14:paraId="12DF568C">
            <w:pPr>
              <w:pStyle w:val="46"/>
              <w:spacing w:beforeLines="0" w:afterLines="0" w:line="240" w:lineRule="auto"/>
              <w:ind w:firstLine="0" w:firstLineChars="0"/>
              <w:rPr>
                <w:rFonts w:ascii="Times New Roman"/>
                <w:snapToGrid w:val="0"/>
                <w:spacing w:val="-16"/>
                <w:kern w:val="21"/>
                <w:sz w:val="21"/>
              </w:rPr>
            </w:pPr>
            <w:r>
              <w:rPr>
                <w:rFonts w:ascii="Times New Roman"/>
                <w:snapToGrid w:val="0"/>
                <w:spacing w:val="-16"/>
                <w:kern w:val="21"/>
                <w:sz w:val="21"/>
              </w:rPr>
              <w:t>以新带老削减量</w:t>
            </w:r>
          </w:p>
          <w:p w14:paraId="1D07FF4B">
            <w:pPr>
              <w:pStyle w:val="46"/>
              <w:spacing w:beforeLines="0" w:afterLines="0" w:line="240" w:lineRule="auto"/>
              <w:ind w:firstLine="0" w:firstLineChars="0"/>
              <w:rPr>
                <w:rFonts w:ascii="Times New Roman"/>
                <w:snapToGrid w:val="0"/>
                <w:spacing w:val="-16"/>
                <w:kern w:val="21"/>
                <w:sz w:val="21"/>
              </w:rPr>
            </w:pPr>
            <w:r>
              <w:rPr>
                <w:rFonts w:ascii="Times New Roman"/>
                <w:snapToGrid w:val="0"/>
                <w:spacing w:val="-16"/>
                <w:kern w:val="21"/>
                <w:sz w:val="21"/>
              </w:rPr>
              <w:t>（新建项目不填）</w:t>
            </w:r>
            <w:r>
              <w:rPr>
                <w:rFonts w:ascii="Times New Roman"/>
                <w:snapToGrid w:val="0"/>
                <w:spacing w:val="-16"/>
                <w:kern w:val="21"/>
                <w:sz w:val="21"/>
              </w:rPr>
              <w:fldChar w:fldCharType="begin"/>
            </w:r>
            <w:r>
              <w:rPr>
                <w:rFonts w:ascii="Times New Roman"/>
                <w:snapToGrid w:val="0"/>
                <w:spacing w:val="-16"/>
                <w:kern w:val="21"/>
                <w:sz w:val="21"/>
              </w:rPr>
              <w:instrText xml:space="preserve"> = 5 \* GB3 \* MERGEFORMAT </w:instrText>
            </w:r>
            <w:r>
              <w:rPr>
                <w:rFonts w:ascii="Times New Roman"/>
                <w:snapToGrid w:val="0"/>
                <w:spacing w:val="-16"/>
                <w:kern w:val="21"/>
                <w:sz w:val="21"/>
              </w:rPr>
              <w:fldChar w:fldCharType="separate"/>
            </w:r>
            <w:r>
              <w:rPr>
                <w:rFonts w:ascii="Times New Roman"/>
                <w:kern w:val="2"/>
                <w:sz w:val="21"/>
              </w:rPr>
              <w:t>⑤</w:t>
            </w:r>
            <w:r>
              <w:rPr>
                <w:rFonts w:ascii="Times New Roman"/>
                <w:snapToGrid w:val="0"/>
                <w:spacing w:val="-16"/>
                <w:kern w:val="21"/>
                <w:sz w:val="21"/>
              </w:rPr>
              <w:fldChar w:fldCharType="end"/>
            </w:r>
          </w:p>
        </w:tc>
        <w:tc>
          <w:tcPr>
            <w:tcW w:w="1868" w:type="dxa"/>
            <w:tcMar>
              <w:left w:w="28" w:type="dxa"/>
              <w:right w:w="28" w:type="dxa"/>
            </w:tcMar>
            <w:vAlign w:val="center"/>
          </w:tcPr>
          <w:p w14:paraId="56D9B032">
            <w:pPr>
              <w:pStyle w:val="46"/>
              <w:spacing w:beforeLines="0" w:afterLines="0" w:line="240" w:lineRule="auto"/>
              <w:ind w:firstLine="0" w:firstLineChars="0"/>
              <w:rPr>
                <w:rFonts w:ascii="Times New Roman"/>
                <w:snapToGrid w:val="0"/>
                <w:spacing w:val="-16"/>
                <w:kern w:val="21"/>
                <w:sz w:val="21"/>
              </w:rPr>
            </w:pPr>
            <w:r>
              <w:rPr>
                <w:rFonts w:ascii="Times New Roman"/>
                <w:snapToGrid w:val="0"/>
                <w:spacing w:val="-16"/>
                <w:kern w:val="21"/>
                <w:sz w:val="21"/>
              </w:rPr>
              <w:t>本项目建成后</w:t>
            </w:r>
          </w:p>
          <w:p w14:paraId="784940BB">
            <w:pPr>
              <w:pStyle w:val="46"/>
              <w:spacing w:beforeLines="0" w:afterLines="0" w:line="240" w:lineRule="auto"/>
              <w:ind w:firstLine="0" w:firstLineChars="0"/>
              <w:rPr>
                <w:rFonts w:ascii="Times New Roman"/>
                <w:snapToGrid w:val="0"/>
                <w:spacing w:val="-16"/>
                <w:kern w:val="21"/>
                <w:sz w:val="21"/>
              </w:rPr>
            </w:pPr>
            <w:r>
              <w:rPr>
                <w:rFonts w:ascii="Times New Roman"/>
                <w:snapToGrid w:val="0"/>
                <w:spacing w:val="-16"/>
                <w:kern w:val="21"/>
                <w:sz w:val="21"/>
              </w:rPr>
              <w:t>全厂排放量（固体废物产生量）</w:t>
            </w:r>
            <w:r>
              <w:rPr>
                <w:rFonts w:ascii="Times New Roman"/>
                <w:snapToGrid w:val="0"/>
                <w:spacing w:val="-16"/>
                <w:kern w:val="21"/>
                <w:sz w:val="21"/>
              </w:rPr>
              <w:fldChar w:fldCharType="begin"/>
            </w:r>
            <w:r>
              <w:rPr>
                <w:rFonts w:ascii="Times New Roman"/>
                <w:snapToGrid w:val="0"/>
                <w:spacing w:val="-16"/>
                <w:kern w:val="21"/>
                <w:sz w:val="21"/>
              </w:rPr>
              <w:instrText xml:space="preserve"> = 6 \* GB3 \* MERGEFORMAT </w:instrText>
            </w:r>
            <w:r>
              <w:rPr>
                <w:rFonts w:ascii="Times New Roman"/>
                <w:snapToGrid w:val="0"/>
                <w:spacing w:val="-16"/>
                <w:kern w:val="21"/>
                <w:sz w:val="21"/>
              </w:rPr>
              <w:fldChar w:fldCharType="separate"/>
            </w:r>
            <w:r>
              <w:rPr>
                <w:rFonts w:ascii="Times New Roman"/>
                <w:kern w:val="2"/>
                <w:sz w:val="21"/>
              </w:rPr>
              <w:t>⑥</w:t>
            </w:r>
            <w:r>
              <w:rPr>
                <w:rFonts w:ascii="Times New Roman"/>
                <w:snapToGrid w:val="0"/>
                <w:spacing w:val="-16"/>
                <w:kern w:val="21"/>
                <w:sz w:val="21"/>
              </w:rPr>
              <w:fldChar w:fldCharType="end"/>
            </w:r>
          </w:p>
        </w:tc>
        <w:tc>
          <w:tcPr>
            <w:tcW w:w="917" w:type="dxa"/>
            <w:tcMar>
              <w:left w:w="28" w:type="dxa"/>
              <w:right w:w="28" w:type="dxa"/>
            </w:tcMar>
            <w:vAlign w:val="center"/>
          </w:tcPr>
          <w:p w14:paraId="2D454C95">
            <w:pPr>
              <w:pStyle w:val="46"/>
              <w:spacing w:beforeLines="0" w:afterLines="0" w:line="240" w:lineRule="auto"/>
              <w:ind w:firstLine="0" w:firstLineChars="0"/>
              <w:rPr>
                <w:rFonts w:ascii="Times New Roman"/>
                <w:snapToGrid w:val="0"/>
                <w:spacing w:val="-6"/>
                <w:kern w:val="21"/>
                <w:sz w:val="21"/>
              </w:rPr>
            </w:pPr>
            <w:r>
              <w:rPr>
                <w:rFonts w:ascii="Times New Roman"/>
                <w:snapToGrid w:val="0"/>
                <w:spacing w:val="-6"/>
                <w:kern w:val="21"/>
                <w:sz w:val="21"/>
              </w:rPr>
              <w:t>变化量</w:t>
            </w:r>
          </w:p>
          <w:p w14:paraId="5697B357">
            <w:pPr>
              <w:pStyle w:val="46"/>
              <w:spacing w:beforeLines="0" w:afterLines="0" w:line="240" w:lineRule="auto"/>
              <w:ind w:firstLine="0" w:firstLineChars="0"/>
              <w:rPr>
                <w:rFonts w:ascii="Times New Roman"/>
                <w:snapToGrid w:val="0"/>
                <w:spacing w:val="-6"/>
                <w:kern w:val="21"/>
                <w:sz w:val="21"/>
              </w:rPr>
            </w:pPr>
            <w:r>
              <w:rPr>
                <w:rFonts w:ascii="Times New Roman"/>
                <w:snapToGrid w:val="0"/>
                <w:spacing w:val="-6"/>
                <w:kern w:val="21"/>
                <w:sz w:val="21"/>
              </w:rPr>
              <w:fldChar w:fldCharType="begin"/>
            </w:r>
            <w:r>
              <w:rPr>
                <w:rFonts w:ascii="Times New Roman"/>
                <w:snapToGrid w:val="0"/>
                <w:spacing w:val="-6"/>
                <w:kern w:val="21"/>
                <w:sz w:val="21"/>
              </w:rPr>
              <w:instrText xml:space="preserve"> = 7 \* GB3 \* MERGEFORMAT </w:instrText>
            </w:r>
            <w:r>
              <w:rPr>
                <w:rFonts w:ascii="Times New Roman"/>
                <w:snapToGrid w:val="0"/>
                <w:spacing w:val="-6"/>
                <w:kern w:val="21"/>
                <w:sz w:val="21"/>
              </w:rPr>
              <w:fldChar w:fldCharType="separate"/>
            </w:r>
            <w:r>
              <w:rPr>
                <w:rFonts w:ascii="Times New Roman"/>
                <w:kern w:val="2"/>
                <w:sz w:val="21"/>
              </w:rPr>
              <w:t>⑦</w:t>
            </w:r>
            <w:r>
              <w:rPr>
                <w:rFonts w:ascii="Times New Roman"/>
                <w:snapToGrid w:val="0"/>
                <w:spacing w:val="-6"/>
                <w:kern w:val="21"/>
                <w:sz w:val="21"/>
              </w:rPr>
              <w:fldChar w:fldCharType="end"/>
            </w:r>
          </w:p>
        </w:tc>
      </w:tr>
      <w:tr w14:paraId="6A20C8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14:paraId="54154D9D">
            <w:pPr>
              <w:pStyle w:val="46"/>
              <w:spacing w:beforeLines="0" w:afterLines="0" w:line="240" w:lineRule="auto"/>
              <w:ind w:firstLine="0" w:firstLineChars="0"/>
              <w:rPr>
                <w:rFonts w:ascii="Times New Roman"/>
                <w:snapToGrid w:val="0"/>
                <w:kern w:val="21"/>
                <w:sz w:val="21"/>
              </w:rPr>
            </w:pPr>
            <w:r>
              <w:rPr>
                <w:rFonts w:ascii="Times New Roman"/>
                <w:snapToGrid w:val="0"/>
                <w:kern w:val="21"/>
                <w:sz w:val="21"/>
              </w:rPr>
              <w:t>废气</w:t>
            </w:r>
          </w:p>
        </w:tc>
        <w:tc>
          <w:tcPr>
            <w:tcW w:w="1417" w:type="dxa"/>
            <w:vAlign w:val="center"/>
          </w:tcPr>
          <w:p w14:paraId="504F5035">
            <w:pPr>
              <w:pStyle w:val="46"/>
              <w:spacing w:beforeLines="0" w:afterLines="0" w:line="240" w:lineRule="auto"/>
              <w:ind w:firstLine="0" w:firstLineChars="0"/>
              <w:rPr>
                <w:rFonts w:ascii="Times New Roman"/>
                <w:snapToGrid w:val="0"/>
                <w:kern w:val="21"/>
                <w:sz w:val="21"/>
              </w:rPr>
            </w:pPr>
            <w:r>
              <w:rPr>
                <w:rFonts w:ascii="Times New Roman"/>
                <w:snapToGrid w:val="0"/>
                <w:kern w:val="21"/>
                <w:sz w:val="21"/>
              </w:rPr>
              <w:t>颗粒物</w:t>
            </w:r>
            <w:r>
              <w:rPr>
                <w:rFonts w:hint="eastAsia" w:ascii="Times New Roman"/>
                <w:snapToGrid w:val="0"/>
                <w:kern w:val="21"/>
                <w:sz w:val="21"/>
              </w:rPr>
              <w:t>（无组织）</w:t>
            </w:r>
          </w:p>
        </w:tc>
        <w:tc>
          <w:tcPr>
            <w:tcW w:w="1701" w:type="dxa"/>
            <w:vAlign w:val="center"/>
          </w:tcPr>
          <w:p w14:paraId="0DC4E8BC">
            <w:pPr>
              <w:pStyle w:val="46"/>
              <w:spacing w:beforeLines="0" w:afterLines="0" w:line="240" w:lineRule="auto"/>
              <w:ind w:firstLine="0" w:firstLineChars="0"/>
              <w:rPr>
                <w:rFonts w:ascii="Times New Roman"/>
                <w:snapToGrid w:val="0"/>
                <w:kern w:val="21"/>
                <w:sz w:val="21"/>
              </w:rPr>
            </w:pPr>
            <w:r>
              <w:rPr>
                <w:rFonts w:ascii="Times New Roman"/>
                <w:snapToGrid w:val="0"/>
                <w:kern w:val="21"/>
                <w:sz w:val="21"/>
              </w:rPr>
              <w:t>/</w:t>
            </w:r>
          </w:p>
        </w:tc>
        <w:tc>
          <w:tcPr>
            <w:tcW w:w="1276" w:type="dxa"/>
            <w:vAlign w:val="center"/>
          </w:tcPr>
          <w:p w14:paraId="562121DA">
            <w:pPr>
              <w:pStyle w:val="46"/>
              <w:spacing w:beforeLines="0" w:afterLines="0" w:line="240" w:lineRule="auto"/>
              <w:ind w:firstLine="0" w:firstLineChars="0"/>
              <w:rPr>
                <w:rFonts w:ascii="Times New Roman"/>
                <w:snapToGrid w:val="0"/>
                <w:kern w:val="21"/>
                <w:sz w:val="21"/>
              </w:rPr>
            </w:pPr>
            <w:r>
              <w:rPr>
                <w:rFonts w:ascii="Times New Roman"/>
                <w:snapToGrid w:val="0"/>
                <w:kern w:val="21"/>
                <w:sz w:val="21"/>
              </w:rPr>
              <w:t>/</w:t>
            </w:r>
          </w:p>
        </w:tc>
        <w:tc>
          <w:tcPr>
            <w:tcW w:w="1701" w:type="dxa"/>
            <w:vAlign w:val="center"/>
          </w:tcPr>
          <w:p w14:paraId="501C92D1">
            <w:pPr>
              <w:pStyle w:val="46"/>
              <w:spacing w:beforeLines="0" w:afterLines="0" w:line="240" w:lineRule="auto"/>
              <w:ind w:firstLine="0" w:firstLineChars="0"/>
              <w:rPr>
                <w:rFonts w:ascii="Times New Roman"/>
                <w:snapToGrid w:val="0"/>
                <w:kern w:val="21"/>
                <w:sz w:val="21"/>
              </w:rPr>
            </w:pPr>
            <w:r>
              <w:rPr>
                <w:rFonts w:ascii="Times New Roman"/>
                <w:snapToGrid w:val="0"/>
                <w:kern w:val="21"/>
                <w:sz w:val="21"/>
              </w:rPr>
              <w:t>/</w:t>
            </w:r>
          </w:p>
        </w:tc>
        <w:tc>
          <w:tcPr>
            <w:tcW w:w="1559" w:type="dxa"/>
            <w:vAlign w:val="center"/>
          </w:tcPr>
          <w:p w14:paraId="733947F8">
            <w:pPr>
              <w:adjustRightInd w:val="0"/>
              <w:snapToGrid w:val="0"/>
              <w:spacing w:line="240" w:lineRule="auto"/>
              <w:ind w:firstLine="0" w:firstLineChars="0"/>
              <w:jc w:val="center"/>
              <w:rPr>
                <w:snapToGrid w:val="0"/>
                <w:kern w:val="21"/>
                <w:sz w:val="21"/>
                <w:szCs w:val="21"/>
              </w:rPr>
            </w:pPr>
            <w:r>
              <w:rPr>
                <w:rFonts w:hint="eastAsia"/>
                <w:snapToGrid w:val="0"/>
                <w:kern w:val="21"/>
                <w:sz w:val="21"/>
                <w:lang w:eastAsia="zh-CN"/>
              </w:rPr>
              <w:t>0.367</w:t>
            </w:r>
            <w:r>
              <w:rPr>
                <w:snapToGrid w:val="0"/>
                <w:kern w:val="21"/>
                <w:sz w:val="21"/>
                <w:szCs w:val="21"/>
              </w:rPr>
              <w:t>t/a</w:t>
            </w:r>
          </w:p>
        </w:tc>
        <w:tc>
          <w:tcPr>
            <w:tcW w:w="1761" w:type="dxa"/>
            <w:vAlign w:val="center"/>
          </w:tcPr>
          <w:p w14:paraId="778AF272">
            <w:pPr>
              <w:pStyle w:val="46"/>
              <w:spacing w:beforeLines="0" w:afterLines="0" w:line="240" w:lineRule="auto"/>
              <w:ind w:firstLine="0" w:firstLineChars="0"/>
              <w:rPr>
                <w:rFonts w:ascii="Times New Roman"/>
                <w:snapToGrid w:val="0"/>
                <w:kern w:val="21"/>
                <w:sz w:val="21"/>
              </w:rPr>
            </w:pPr>
            <w:r>
              <w:rPr>
                <w:rFonts w:ascii="Times New Roman"/>
                <w:snapToGrid w:val="0"/>
                <w:kern w:val="21"/>
                <w:sz w:val="21"/>
              </w:rPr>
              <w:t>/</w:t>
            </w:r>
          </w:p>
        </w:tc>
        <w:tc>
          <w:tcPr>
            <w:tcW w:w="1868" w:type="dxa"/>
            <w:vAlign w:val="center"/>
          </w:tcPr>
          <w:p w14:paraId="2883FB46">
            <w:pPr>
              <w:adjustRightInd w:val="0"/>
              <w:snapToGrid w:val="0"/>
              <w:spacing w:line="240" w:lineRule="auto"/>
              <w:ind w:firstLine="0" w:firstLineChars="0"/>
              <w:jc w:val="center"/>
              <w:rPr>
                <w:snapToGrid w:val="0"/>
                <w:kern w:val="21"/>
                <w:sz w:val="21"/>
                <w:szCs w:val="21"/>
              </w:rPr>
            </w:pPr>
            <w:r>
              <w:rPr>
                <w:rFonts w:hint="eastAsia"/>
                <w:snapToGrid w:val="0"/>
                <w:kern w:val="21"/>
                <w:sz w:val="21"/>
                <w:szCs w:val="21"/>
                <w:lang w:eastAsia="zh-CN"/>
              </w:rPr>
              <w:t>0.367</w:t>
            </w:r>
            <w:r>
              <w:rPr>
                <w:snapToGrid w:val="0"/>
                <w:kern w:val="21"/>
                <w:sz w:val="21"/>
                <w:szCs w:val="21"/>
              </w:rPr>
              <w:t>t/a</w:t>
            </w:r>
          </w:p>
        </w:tc>
        <w:tc>
          <w:tcPr>
            <w:tcW w:w="917" w:type="dxa"/>
            <w:vAlign w:val="center"/>
          </w:tcPr>
          <w:p w14:paraId="6A4B69A5">
            <w:pPr>
              <w:adjustRightInd w:val="0"/>
              <w:snapToGrid w:val="0"/>
              <w:spacing w:line="240" w:lineRule="auto"/>
              <w:ind w:firstLine="0" w:firstLineChars="0"/>
              <w:jc w:val="center"/>
              <w:rPr>
                <w:snapToGrid w:val="0"/>
                <w:kern w:val="21"/>
                <w:sz w:val="21"/>
                <w:szCs w:val="21"/>
              </w:rPr>
            </w:pPr>
            <w:r>
              <w:rPr>
                <w:snapToGrid w:val="0"/>
                <w:kern w:val="21"/>
                <w:sz w:val="21"/>
                <w:szCs w:val="21"/>
              </w:rPr>
              <w:t>+</w:t>
            </w:r>
            <w:r>
              <w:rPr>
                <w:rFonts w:hint="eastAsia"/>
                <w:snapToGrid w:val="0"/>
                <w:kern w:val="21"/>
                <w:sz w:val="21"/>
                <w:szCs w:val="21"/>
                <w:lang w:eastAsia="zh-CN"/>
              </w:rPr>
              <w:t>0.367</w:t>
            </w:r>
            <w:r>
              <w:rPr>
                <w:snapToGrid w:val="0"/>
                <w:kern w:val="21"/>
                <w:sz w:val="21"/>
                <w:szCs w:val="21"/>
              </w:rPr>
              <w:t>t/a</w:t>
            </w:r>
          </w:p>
        </w:tc>
      </w:tr>
      <w:tr w14:paraId="10405A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588" w:type="dxa"/>
            <w:vMerge w:val="restart"/>
            <w:vAlign w:val="center"/>
          </w:tcPr>
          <w:p w14:paraId="06AAE7D2">
            <w:pPr>
              <w:pStyle w:val="46"/>
              <w:spacing w:beforeLines="0" w:afterLines="0" w:line="240" w:lineRule="auto"/>
              <w:ind w:firstLine="0" w:firstLineChars="0"/>
              <w:rPr>
                <w:rFonts w:ascii="Times New Roman"/>
                <w:snapToGrid w:val="0"/>
                <w:kern w:val="21"/>
                <w:sz w:val="21"/>
              </w:rPr>
            </w:pPr>
            <w:r>
              <w:rPr>
                <w:rFonts w:ascii="Times New Roman"/>
                <w:snapToGrid w:val="0"/>
                <w:kern w:val="21"/>
                <w:sz w:val="21"/>
              </w:rPr>
              <w:t>危险废物</w:t>
            </w:r>
          </w:p>
        </w:tc>
        <w:tc>
          <w:tcPr>
            <w:tcW w:w="1417" w:type="dxa"/>
            <w:vAlign w:val="center"/>
          </w:tcPr>
          <w:p w14:paraId="658C157D">
            <w:pPr>
              <w:adjustRightInd w:val="0"/>
              <w:snapToGrid w:val="0"/>
              <w:spacing w:line="240" w:lineRule="auto"/>
              <w:ind w:firstLine="0" w:firstLineChars="0"/>
              <w:jc w:val="center"/>
              <w:rPr>
                <w:snapToGrid w:val="0"/>
                <w:kern w:val="21"/>
                <w:sz w:val="21"/>
                <w:szCs w:val="21"/>
              </w:rPr>
            </w:pPr>
            <w:r>
              <w:rPr>
                <w:sz w:val="21"/>
                <w:szCs w:val="21"/>
              </w:rPr>
              <w:t>废机油</w:t>
            </w:r>
          </w:p>
        </w:tc>
        <w:tc>
          <w:tcPr>
            <w:tcW w:w="1701" w:type="dxa"/>
            <w:vAlign w:val="center"/>
          </w:tcPr>
          <w:p w14:paraId="4A215113">
            <w:pPr>
              <w:pStyle w:val="46"/>
              <w:spacing w:beforeLines="0" w:afterLines="0" w:line="240" w:lineRule="auto"/>
              <w:ind w:firstLine="0" w:firstLineChars="0"/>
              <w:rPr>
                <w:rFonts w:ascii="Times New Roman"/>
                <w:snapToGrid w:val="0"/>
                <w:kern w:val="21"/>
                <w:sz w:val="21"/>
              </w:rPr>
            </w:pPr>
            <w:r>
              <w:rPr>
                <w:rFonts w:ascii="Times New Roman"/>
                <w:snapToGrid w:val="0"/>
                <w:kern w:val="21"/>
                <w:sz w:val="21"/>
              </w:rPr>
              <w:t>/</w:t>
            </w:r>
          </w:p>
        </w:tc>
        <w:tc>
          <w:tcPr>
            <w:tcW w:w="1276" w:type="dxa"/>
            <w:vAlign w:val="center"/>
          </w:tcPr>
          <w:p w14:paraId="7B30189F">
            <w:pPr>
              <w:pStyle w:val="46"/>
              <w:spacing w:beforeLines="0" w:afterLines="0" w:line="240" w:lineRule="auto"/>
              <w:ind w:firstLine="0" w:firstLineChars="0"/>
              <w:rPr>
                <w:rFonts w:ascii="Times New Roman"/>
                <w:snapToGrid w:val="0"/>
                <w:kern w:val="21"/>
                <w:sz w:val="21"/>
              </w:rPr>
            </w:pPr>
            <w:r>
              <w:rPr>
                <w:rFonts w:ascii="Times New Roman"/>
                <w:snapToGrid w:val="0"/>
                <w:kern w:val="21"/>
                <w:sz w:val="21"/>
              </w:rPr>
              <w:t>/</w:t>
            </w:r>
          </w:p>
        </w:tc>
        <w:tc>
          <w:tcPr>
            <w:tcW w:w="1701" w:type="dxa"/>
            <w:vAlign w:val="center"/>
          </w:tcPr>
          <w:p w14:paraId="7F2D79FA">
            <w:pPr>
              <w:pStyle w:val="46"/>
              <w:spacing w:beforeLines="0" w:afterLines="0" w:line="240" w:lineRule="auto"/>
              <w:ind w:firstLine="0" w:firstLineChars="0"/>
              <w:rPr>
                <w:rFonts w:ascii="Times New Roman"/>
                <w:snapToGrid w:val="0"/>
                <w:kern w:val="21"/>
                <w:sz w:val="21"/>
              </w:rPr>
            </w:pPr>
            <w:r>
              <w:rPr>
                <w:rFonts w:ascii="Times New Roman"/>
                <w:snapToGrid w:val="0"/>
                <w:kern w:val="21"/>
                <w:sz w:val="21"/>
              </w:rPr>
              <w:t>/</w:t>
            </w:r>
          </w:p>
        </w:tc>
        <w:tc>
          <w:tcPr>
            <w:tcW w:w="1559" w:type="dxa"/>
            <w:vAlign w:val="center"/>
          </w:tcPr>
          <w:p w14:paraId="0EAD7385">
            <w:pPr>
              <w:pStyle w:val="46"/>
              <w:spacing w:beforeLines="0" w:afterLines="0" w:line="240" w:lineRule="auto"/>
              <w:ind w:firstLine="0" w:firstLineChars="0"/>
              <w:rPr>
                <w:rFonts w:ascii="Times New Roman"/>
                <w:snapToGrid w:val="0"/>
                <w:kern w:val="21"/>
                <w:sz w:val="21"/>
              </w:rPr>
            </w:pPr>
            <w:r>
              <w:rPr>
                <w:rFonts w:ascii="Times New Roman"/>
                <w:snapToGrid w:val="0"/>
                <w:kern w:val="21"/>
                <w:sz w:val="21"/>
              </w:rPr>
              <w:t>0.</w:t>
            </w:r>
            <w:r>
              <w:rPr>
                <w:rFonts w:hint="eastAsia" w:ascii="Times New Roman"/>
                <w:snapToGrid w:val="0"/>
                <w:kern w:val="21"/>
                <w:sz w:val="21"/>
              </w:rPr>
              <w:t>3</w:t>
            </w:r>
            <w:r>
              <w:rPr>
                <w:rFonts w:ascii="Times New Roman"/>
                <w:snapToGrid w:val="0"/>
                <w:kern w:val="21"/>
                <w:sz w:val="21"/>
              </w:rPr>
              <w:t>t/a</w:t>
            </w:r>
          </w:p>
        </w:tc>
        <w:tc>
          <w:tcPr>
            <w:tcW w:w="1761" w:type="dxa"/>
            <w:vAlign w:val="center"/>
          </w:tcPr>
          <w:p w14:paraId="2F3566FF">
            <w:pPr>
              <w:pStyle w:val="46"/>
              <w:spacing w:beforeLines="0" w:afterLines="0" w:line="240" w:lineRule="auto"/>
              <w:ind w:firstLine="0" w:firstLineChars="0"/>
              <w:rPr>
                <w:rFonts w:ascii="Times New Roman"/>
                <w:snapToGrid w:val="0"/>
                <w:kern w:val="21"/>
                <w:sz w:val="21"/>
              </w:rPr>
            </w:pPr>
            <w:r>
              <w:rPr>
                <w:rFonts w:ascii="Times New Roman"/>
                <w:snapToGrid w:val="0"/>
                <w:kern w:val="21"/>
                <w:sz w:val="21"/>
              </w:rPr>
              <w:t>/</w:t>
            </w:r>
          </w:p>
        </w:tc>
        <w:tc>
          <w:tcPr>
            <w:tcW w:w="1868" w:type="dxa"/>
            <w:vAlign w:val="center"/>
          </w:tcPr>
          <w:p w14:paraId="2EBD0886">
            <w:pPr>
              <w:pStyle w:val="46"/>
              <w:spacing w:beforeLines="0" w:afterLines="0" w:line="240" w:lineRule="auto"/>
              <w:ind w:firstLine="0" w:firstLineChars="0"/>
              <w:rPr>
                <w:rFonts w:ascii="Times New Roman"/>
                <w:snapToGrid w:val="0"/>
                <w:kern w:val="21"/>
                <w:sz w:val="21"/>
              </w:rPr>
            </w:pPr>
            <w:r>
              <w:rPr>
                <w:rFonts w:hint="eastAsia" w:ascii="Times New Roman"/>
                <w:snapToGrid w:val="0"/>
                <w:kern w:val="21"/>
                <w:sz w:val="21"/>
              </w:rPr>
              <w:t>0.3</w:t>
            </w:r>
            <w:r>
              <w:rPr>
                <w:rFonts w:ascii="Times New Roman"/>
                <w:snapToGrid w:val="0"/>
                <w:kern w:val="21"/>
                <w:sz w:val="21"/>
              </w:rPr>
              <w:t>t/a</w:t>
            </w:r>
          </w:p>
        </w:tc>
        <w:tc>
          <w:tcPr>
            <w:tcW w:w="917" w:type="dxa"/>
            <w:vAlign w:val="center"/>
          </w:tcPr>
          <w:p w14:paraId="24FCC5E3">
            <w:pPr>
              <w:pStyle w:val="46"/>
              <w:spacing w:beforeLines="0" w:afterLines="0" w:line="240" w:lineRule="auto"/>
              <w:ind w:firstLine="0" w:firstLineChars="0"/>
              <w:rPr>
                <w:rFonts w:ascii="Times New Roman"/>
                <w:snapToGrid w:val="0"/>
                <w:kern w:val="21"/>
                <w:sz w:val="21"/>
              </w:rPr>
            </w:pPr>
            <w:r>
              <w:rPr>
                <w:rFonts w:ascii="Times New Roman"/>
                <w:snapToGrid w:val="0"/>
                <w:kern w:val="21"/>
                <w:sz w:val="21"/>
              </w:rPr>
              <w:t>+0.</w:t>
            </w:r>
            <w:r>
              <w:rPr>
                <w:rFonts w:hint="eastAsia" w:ascii="Times New Roman"/>
                <w:snapToGrid w:val="0"/>
                <w:kern w:val="21"/>
                <w:sz w:val="21"/>
              </w:rPr>
              <w:t>3</w:t>
            </w:r>
            <w:r>
              <w:rPr>
                <w:rFonts w:ascii="Times New Roman"/>
                <w:snapToGrid w:val="0"/>
                <w:kern w:val="21"/>
                <w:sz w:val="21"/>
              </w:rPr>
              <w:t>t/a</w:t>
            </w:r>
          </w:p>
        </w:tc>
      </w:tr>
      <w:tr w14:paraId="6CDF5F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0FE45893">
            <w:pPr>
              <w:pStyle w:val="46"/>
              <w:spacing w:beforeLines="0" w:afterLines="0" w:line="240" w:lineRule="auto"/>
              <w:ind w:firstLine="0" w:firstLineChars="0"/>
              <w:rPr>
                <w:rFonts w:ascii="Times New Roman"/>
                <w:snapToGrid w:val="0"/>
                <w:kern w:val="21"/>
                <w:sz w:val="21"/>
              </w:rPr>
            </w:pPr>
          </w:p>
        </w:tc>
        <w:tc>
          <w:tcPr>
            <w:tcW w:w="1417" w:type="dxa"/>
            <w:vAlign w:val="center"/>
          </w:tcPr>
          <w:p w14:paraId="4626C72F">
            <w:pPr>
              <w:adjustRightInd w:val="0"/>
              <w:snapToGrid w:val="0"/>
              <w:spacing w:line="240" w:lineRule="auto"/>
              <w:ind w:firstLine="0" w:firstLineChars="0"/>
              <w:jc w:val="center"/>
              <w:rPr>
                <w:sz w:val="21"/>
                <w:szCs w:val="21"/>
              </w:rPr>
            </w:pPr>
            <w:r>
              <w:rPr>
                <w:sz w:val="21"/>
                <w:szCs w:val="21"/>
              </w:rPr>
              <w:t>废润滑油</w:t>
            </w:r>
          </w:p>
        </w:tc>
        <w:tc>
          <w:tcPr>
            <w:tcW w:w="1701" w:type="dxa"/>
            <w:vAlign w:val="center"/>
          </w:tcPr>
          <w:p w14:paraId="58B4305D">
            <w:pPr>
              <w:pStyle w:val="46"/>
              <w:spacing w:beforeLines="0" w:afterLines="0" w:line="240" w:lineRule="auto"/>
              <w:ind w:firstLine="0" w:firstLineChars="0"/>
              <w:rPr>
                <w:rFonts w:ascii="Times New Roman"/>
                <w:snapToGrid w:val="0"/>
                <w:kern w:val="21"/>
                <w:sz w:val="21"/>
              </w:rPr>
            </w:pPr>
            <w:r>
              <w:rPr>
                <w:rFonts w:ascii="Times New Roman"/>
                <w:snapToGrid w:val="0"/>
                <w:kern w:val="21"/>
                <w:sz w:val="21"/>
              </w:rPr>
              <w:t>/</w:t>
            </w:r>
          </w:p>
        </w:tc>
        <w:tc>
          <w:tcPr>
            <w:tcW w:w="1276" w:type="dxa"/>
            <w:vAlign w:val="center"/>
          </w:tcPr>
          <w:p w14:paraId="13B034E8">
            <w:pPr>
              <w:pStyle w:val="46"/>
              <w:spacing w:beforeLines="0" w:afterLines="0" w:line="240" w:lineRule="auto"/>
              <w:ind w:firstLine="0" w:firstLineChars="0"/>
              <w:rPr>
                <w:rFonts w:ascii="Times New Roman"/>
                <w:snapToGrid w:val="0"/>
                <w:kern w:val="21"/>
                <w:sz w:val="21"/>
              </w:rPr>
            </w:pPr>
            <w:r>
              <w:rPr>
                <w:rFonts w:ascii="Times New Roman"/>
                <w:snapToGrid w:val="0"/>
                <w:kern w:val="21"/>
                <w:sz w:val="21"/>
              </w:rPr>
              <w:t>/</w:t>
            </w:r>
          </w:p>
        </w:tc>
        <w:tc>
          <w:tcPr>
            <w:tcW w:w="1701" w:type="dxa"/>
            <w:vAlign w:val="center"/>
          </w:tcPr>
          <w:p w14:paraId="69EA68F1">
            <w:pPr>
              <w:pStyle w:val="46"/>
              <w:spacing w:beforeLines="0" w:afterLines="0" w:line="240" w:lineRule="auto"/>
              <w:ind w:firstLine="0" w:firstLineChars="0"/>
              <w:rPr>
                <w:rFonts w:ascii="Times New Roman"/>
                <w:snapToGrid w:val="0"/>
                <w:kern w:val="21"/>
                <w:sz w:val="21"/>
              </w:rPr>
            </w:pPr>
            <w:r>
              <w:rPr>
                <w:rFonts w:ascii="Times New Roman"/>
                <w:snapToGrid w:val="0"/>
                <w:kern w:val="21"/>
                <w:sz w:val="21"/>
              </w:rPr>
              <w:t>/</w:t>
            </w:r>
          </w:p>
        </w:tc>
        <w:tc>
          <w:tcPr>
            <w:tcW w:w="1559" w:type="dxa"/>
            <w:vAlign w:val="center"/>
          </w:tcPr>
          <w:p w14:paraId="60C8DC63">
            <w:pPr>
              <w:pStyle w:val="46"/>
              <w:spacing w:beforeLines="0" w:afterLines="0" w:line="240" w:lineRule="auto"/>
              <w:ind w:firstLine="0" w:firstLineChars="0"/>
              <w:rPr>
                <w:rFonts w:ascii="Times New Roman"/>
                <w:snapToGrid w:val="0"/>
                <w:kern w:val="21"/>
                <w:sz w:val="21"/>
              </w:rPr>
            </w:pPr>
            <w:r>
              <w:rPr>
                <w:rFonts w:ascii="Times New Roman"/>
                <w:snapToGrid w:val="0"/>
                <w:kern w:val="21"/>
                <w:sz w:val="21"/>
              </w:rPr>
              <w:t>0.5t/a</w:t>
            </w:r>
          </w:p>
        </w:tc>
        <w:tc>
          <w:tcPr>
            <w:tcW w:w="1761" w:type="dxa"/>
            <w:vAlign w:val="center"/>
          </w:tcPr>
          <w:p w14:paraId="14BB9EF4">
            <w:pPr>
              <w:pStyle w:val="46"/>
              <w:spacing w:beforeLines="0" w:afterLines="0" w:line="240" w:lineRule="auto"/>
              <w:ind w:firstLine="0" w:firstLineChars="0"/>
              <w:rPr>
                <w:rFonts w:ascii="Times New Roman"/>
                <w:snapToGrid w:val="0"/>
                <w:kern w:val="21"/>
                <w:sz w:val="21"/>
              </w:rPr>
            </w:pPr>
            <w:r>
              <w:rPr>
                <w:rFonts w:ascii="Times New Roman"/>
                <w:snapToGrid w:val="0"/>
                <w:kern w:val="21"/>
                <w:sz w:val="21"/>
              </w:rPr>
              <w:t>/</w:t>
            </w:r>
          </w:p>
        </w:tc>
        <w:tc>
          <w:tcPr>
            <w:tcW w:w="1868" w:type="dxa"/>
            <w:vAlign w:val="center"/>
          </w:tcPr>
          <w:p w14:paraId="7CCDBA13">
            <w:pPr>
              <w:pStyle w:val="46"/>
              <w:spacing w:beforeLines="0" w:afterLines="0" w:line="240" w:lineRule="auto"/>
              <w:ind w:firstLine="0" w:firstLineChars="0"/>
              <w:rPr>
                <w:rFonts w:ascii="Times New Roman"/>
                <w:snapToGrid w:val="0"/>
                <w:kern w:val="21"/>
                <w:sz w:val="21"/>
              </w:rPr>
            </w:pPr>
            <w:r>
              <w:rPr>
                <w:rFonts w:hint="eastAsia" w:ascii="Times New Roman"/>
                <w:snapToGrid w:val="0"/>
                <w:kern w:val="21"/>
                <w:sz w:val="21"/>
              </w:rPr>
              <w:t>0.5</w:t>
            </w:r>
            <w:r>
              <w:rPr>
                <w:rFonts w:ascii="Times New Roman"/>
                <w:snapToGrid w:val="0"/>
                <w:kern w:val="21"/>
                <w:sz w:val="21"/>
              </w:rPr>
              <w:t>t/a</w:t>
            </w:r>
          </w:p>
        </w:tc>
        <w:tc>
          <w:tcPr>
            <w:tcW w:w="917" w:type="dxa"/>
            <w:vAlign w:val="center"/>
          </w:tcPr>
          <w:p w14:paraId="7B685705">
            <w:pPr>
              <w:pStyle w:val="46"/>
              <w:spacing w:beforeLines="0" w:afterLines="0" w:line="240" w:lineRule="auto"/>
              <w:ind w:firstLine="0" w:firstLineChars="0"/>
              <w:rPr>
                <w:rFonts w:ascii="Times New Roman"/>
                <w:snapToGrid w:val="0"/>
                <w:kern w:val="21"/>
                <w:sz w:val="21"/>
              </w:rPr>
            </w:pPr>
            <w:r>
              <w:rPr>
                <w:rFonts w:ascii="Times New Roman"/>
                <w:snapToGrid w:val="0"/>
                <w:kern w:val="21"/>
                <w:sz w:val="21"/>
              </w:rPr>
              <w:t>+0.5t/a</w:t>
            </w:r>
          </w:p>
        </w:tc>
      </w:tr>
    </w:tbl>
    <w:p w14:paraId="50549952">
      <w:pPr>
        <w:pStyle w:val="46"/>
        <w:spacing w:before="192" w:beforeLines="80" w:after="24"/>
        <w:ind w:firstLine="400"/>
        <w:jc w:val="left"/>
        <w:rPr>
          <w:rFonts w:ascii="Times New Roman"/>
          <w:snapToGrid w:val="0"/>
          <w:spacing w:val="-6"/>
          <w:kern w:val="21"/>
        </w:rPr>
      </w:pPr>
      <w:r>
        <w:rPr>
          <w:rFonts w:ascii="Times New Roman"/>
          <w:snapToGrid w:val="0"/>
          <w:kern w:val="21"/>
        </w:rPr>
        <w:t>注：</w:t>
      </w:r>
      <w:r>
        <w:rPr>
          <w:rFonts w:ascii="Times New Roman"/>
          <w:snapToGrid w:val="0"/>
          <w:spacing w:val="-16"/>
          <w:kern w:val="21"/>
        </w:rPr>
        <w:fldChar w:fldCharType="begin"/>
      </w:r>
      <w:r>
        <w:rPr>
          <w:rFonts w:ascii="Times New Roman"/>
          <w:snapToGrid w:val="0"/>
          <w:spacing w:val="-16"/>
          <w:kern w:val="21"/>
        </w:rPr>
        <w:instrText xml:space="preserve"> = 6 \* GB3 \* MERGEFORMAT </w:instrText>
      </w:r>
      <w:r>
        <w:rPr>
          <w:rFonts w:ascii="Times New Roman"/>
          <w:snapToGrid w:val="0"/>
          <w:spacing w:val="-16"/>
          <w:kern w:val="21"/>
        </w:rPr>
        <w:fldChar w:fldCharType="separate"/>
      </w:r>
      <w:r>
        <w:rPr>
          <w:rFonts w:ascii="Times New Roman"/>
        </w:rPr>
        <w:t>⑥</w:t>
      </w:r>
      <w:r>
        <w:rPr>
          <w:rFonts w:ascii="Times New Roman"/>
          <w:snapToGrid w:val="0"/>
          <w:spacing w:val="-16"/>
          <w:kern w:val="21"/>
        </w:rPr>
        <w:fldChar w:fldCharType="end"/>
      </w:r>
      <w:r>
        <w:rPr>
          <w:rFonts w:ascii="Times New Roman"/>
          <w:snapToGrid w:val="0"/>
          <w:spacing w:val="-16"/>
          <w:kern w:val="21"/>
        </w:rPr>
        <w:t>=</w:t>
      </w:r>
      <w:r>
        <w:rPr>
          <w:rFonts w:ascii="Times New Roman"/>
          <w:snapToGrid w:val="0"/>
          <w:spacing w:val="-6"/>
          <w:kern w:val="21"/>
        </w:rPr>
        <w:fldChar w:fldCharType="begin"/>
      </w:r>
      <w:r>
        <w:rPr>
          <w:rFonts w:ascii="Times New Roman"/>
          <w:snapToGrid w:val="0"/>
          <w:spacing w:val="-6"/>
          <w:kern w:val="21"/>
        </w:rPr>
        <w:instrText xml:space="preserve"> = 1 \* GB3 \* MERGEFORMAT </w:instrText>
      </w:r>
      <w:r>
        <w:rPr>
          <w:rFonts w:ascii="Times New Roman"/>
          <w:snapToGrid w:val="0"/>
          <w:spacing w:val="-6"/>
          <w:kern w:val="21"/>
        </w:rPr>
        <w:fldChar w:fldCharType="separate"/>
      </w:r>
      <w:r>
        <w:rPr>
          <w:rFonts w:ascii="Times New Roman"/>
        </w:rPr>
        <w:t>①</w:t>
      </w:r>
      <w:r>
        <w:rPr>
          <w:rFonts w:ascii="Times New Roman"/>
          <w:snapToGrid w:val="0"/>
          <w:spacing w:val="-6"/>
          <w:kern w:val="21"/>
        </w:rPr>
        <w:fldChar w:fldCharType="end"/>
      </w:r>
      <w:r>
        <w:rPr>
          <w:rFonts w:ascii="Times New Roman"/>
          <w:snapToGrid w:val="0"/>
          <w:spacing w:val="-6"/>
          <w:kern w:val="21"/>
        </w:rPr>
        <w:t>+</w:t>
      </w:r>
      <w:r>
        <w:rPr>
          <w:rFonts w:ascii="Times New Roman"/>
          <w:snapToGrid w:val="0"/>
          <w:spacing w:val="-6"/>
          <w:kern w:val="21"/>
        </w:rPr>
        <w:fldChar w:fldCharType="begin"/>
      </w:r>
      <w:r>
        <w:rPr>
          <w:rFonts w:ascii="Times New Roman"/>
          <w:snapToGrid w:val="0"/>
          <w:spacing w:val="-6"/>
          <w:kern w:val="21"/>
        </w:rPr>
        <w:instrText xml:space="preserve"> = 3 \* GB3 \* MERGEFORMAT </w:instrText>
      </w:r>
      <w:r>
        <w:rPr>
          <w:rFonts w:ascii="Times New Roman"/>
          <w:snapToGrid w:val="0"/>
          <w:spacing w:val="-6"/>
          <w:kern w:val="21"/>
        </w:rPr>
        <w:fldChar w:fldCharType="separate"/>
      </w:r>
      <w:r>
        <w:rPr>
          <w:rFonts w:ascii="Times New Roman"/>
        </w:rPr>
        <w:t>③</w:t>
      </w:r>
      <w:r>
        <w:rPr>
          <w:rFonts w:ascii="Times New Roman"/>
          <w:snapToGrid w:val="0"/>
          <w:spacing w:val="-6"/>
          <w:kern w:val="21"/>
        </w:rPr>
        <w:fldChar w:fldCharType="end"/>
      </w:r>
      <w:r>
        <w:rPr>
          <w:rFonts w:ascii="Times New Roman"/>
          <w:snapToGrid w:val="0"/>
          <w:spacing w:val="-6"/>
          <w:kern w:val="21"/>
        </w:rPr>
        <w:t>+</w:t>
      </w:r>
      <w:r>
        <w:rPr>
          <w:rFonts w:ascii="Times New Roman"/>
          <w:snapToGrid w:val="0"/>
          <w:spacing w:val="-6"/>
          <w:kern w:val="21"/>
        </w:rPr>
        <w:fldChar w:fldCharType="begin"/>
      </w:r>
      <w:r>
        <w:rPr>
          <w:rFonts w:ascii="Times New Roman"/>
          <w:snapToGrid w:val="0"/>
          <w:spacing w:val="-6"/>
          <w:kern w:val="21"/>
        </w:rPr>
        <w:instrText xml:space="preserve"> = 4 \* GB3 \* MERGEFORMAT </w:instrText>
      </w:r>
      <w:r>
        <w:rPr>
          <w:rFonts w:ascii="Times New Roman"/>
          <w:snapToGrid w:val="0"/>
          <w:spacing w:val="-6"/>
          <w:kern w:val="21"/>
        </w:rPr>
        <w:fldChar w:fldCharType="separate"/>
      </w:r>
      <w:r>
        <w:rPr>
          <w:rFonts w:ascii="Times New Roman"/>
        </w:rPr>
        <w:t>④</w:t>
      </w:r>
      <w:r>
        <w:rPr>
          <w:rFonts w:ascii="Times New Roman"/>
          <w:snapToGrid w:val="0"/>
          <w:spacing w:val="-6"/>
          <w:kern w:val="21"/>
        </w:rPr>
        <w:fldChar w:fldCharType="end"/>
      </w:r>
      <w:r>
        <w:rPr>
          <w:rFonts w:ascii="Times New Roman"/>
          <w:snapToGrid w:val="0"/>
          <w:spacing w:val="-6"/>
          <w:kern w:val="21"/>
        </w:rPr>
        <w:t>-</w:t>
      </w:r>
      <w:r>
        <w:rPr>
          <w:rFonts w:ascii="Times New Roman"/>
          <w:snapToGrid w:val="0"/>
          <w:spacing w:val="-16"/>
          <w:kern w:val="21"/>
        </w:rPr>
        <w:fldChar w:fldCharType="begin"/>
      </w:r>
      <w:r>
        <w:rPr>
          <w:rFonts w:ascii="Times New Roman"/>
          <w:snapToGrid w:val="0"/>
          <w:spacing w:val="-16"/>
          <w:kern w:val="21"/>
        </w:rPr>
        <w:instrText xml:space="preserve"> = 5 \* GB3 \* MERGEFORMAT </w:instrText>
      </w:r>
      <w:r>
        <w:rPr>
          <w:rFonts w:ascii="Times New Roman"/>
          <w:snapToGrid w:val="0"/>
          <w:spacing w:val="-16"/>
          <w:kern w:val="21"/>
        </w:rPr>
        <w:fldChar w:fldCharType="separate"/>
      </w:r>
      <w:r>
        <w:rPr>
          <w:rFonts w:ascii="Times New Roman"/>
        </w:rPr>
        <w:t>⑤</w:t>
      </w:r>
      <w:r>
        <w:rPr>
          <w:rFonts w:ascii="Times New Roman"/>
          <w:snapToGrid w:val="0"/>
          <w:spacing w:val="-16"/>
          <w:kern w:val="21"/>
        </w:rPr>
        <w:fldChar w:fldCharType="end"/>
      </w:r>
      <w:r>
        <w:rPr>
          <w:rFonts w:ascii="Times New Roman"/>
          <w:snapToGrid w:val="0"/>
          <w:spacing w:val="-16"/>
          <w:kern w:val="21"/>
        </w:rPr>
        <w:t>；</w:t>
      </w:r>
      <w:r>
        <w:rPr>
          <w:rFonts w:ascii="Times New Roman"/>
          <w:snapToGrid w:val="0"/>
          <w:spacing w:val="-6"/>
          <w:kern w:val="21"/>
        </w:rPr>
        <w:fldChar w:fldCharType="begin"/>
      </w:r>
      <w:r>
        <w:rPr>
          <w:rFonts w:ascii="Times New Roman"/>
          <w:snapToGrid w:val="0"/>
          <w:spacing w:val="-6"/>
          <w:kern w:val="21"/>
        </w:rPr>
        <w:instrText xml:space="preserve"> = 7 \* GB3 \* MERGEFORMAT </w:instrText>
      </w:r>
      <w:r>
        <w:rPr>
          <w:rFonts w:ascii="Times New Roman"/>
          <w:snapToGrid w:val="0"/>
          <w:spacing w:val="-6"/>
          <w:kern w:val="21"/>
        </w:rPr>
        <w:fldChar w:fldCharType="separate"/>
      </w:r>
      <w:r>
        <w:rPr>
          <w:rFonts w:ascii="Times New Roman"/>
        </w:rPr>
        <w:t>⑦</w:t>
      </w:r>
      <w:r>
        <w:rPr>
          <w:rFonts w:ascii="Times New Roman"/>
          <w:snapToGrid w:val="0"/>
          <w:spacing w:val="-6"/>
          <w:kern w:val="21"/>
        </w:rPr>
        <w:fldChar w:fldCharType="end"/>
      </w:r>
      <w:r>
        <w:rPr>
          <w:rFonts w:ascii="Times New Roman"/>
          <w:snapToGrid w:val="0"/>
          <w:spacing w:val="-6"/>
          <w:kern w:val="21"/>
        </w:rPr>
        <w:t>=</w:t>
      </w:r>
      <w:r>
        <w:rPr>
          <w:rFonts w:ascii="Times New Roman"/>
          <w:snapToGrid w:val="0"/>
          <w:spacing w:val="-16"/>
          <w:kern w:val="21"/>
        </w:rPr>
        <w:fldChar w:fldCharType="begin"/>
      </w:r>
      <w:r>
        <w:rPr>
          <w:rFonts w:ascii="Times New Roman"/>
          <w:snapToGrid w:val="0"/>
          <w:spacing w:val="-16"/>
          <w:kern w:val="21"/>
        </w:rPr>
        <w:instrText xml:space="preserve"> = 6 \* GB3 \* MERGEFORMAT </w:instrText>
      </w:r>
      <w:r>
        <w:rPr>
          <w:rFonts w:ascii="Times New Roman"/>
          <w:snapToGrid w:val="0"/>
          <w:spacing w:val="-16"/>
          <w:kern w:val="21"/>
        </w:rPr>
        <w:fldChar w:fldCharType="separate"/>
      </w:r>
      <w:r>
        <w:rPr>
          <w:rFonts w:ascii="Times New Roman"/>
        </w:rPr>
        <w:t>⑥</w:t>
      </w:r>
      <w:r>
        <w:rPr>
          <w:rFonts w:ascii="Times New Roman"/>
          <w:snapToGrid w:val="0"/>
          <w:spacing w:val="-16"/>
          <w:kern w:val="21"/>
        </w:rPr>
        <w:fldChar w:fldCharType="end"/>
      </w:r>
      <w:r>
        <w:rPr>
          <w:rFonts w:ascii="Times New Roman"/>
          <w:snapToGrid w:val="0"/>
          <w:spacing w:val="-16"/>
          <w:kern w:val="21"/>
        </w:rPr>
        <w:t>-</w:t>
      </w:r>
      <w:r>
        <w:rPr>
          <w:rFonts w:ascii="Times New Roman"/>
          <w:snapToGrid w:val="0"/>
          <w:spacing w:val="-6"/>
          <w:kern w:val="21"/>
        </w:rPr>
        <w:fldChar w:fldCharType="begin"/>
      </w:r>
      <w:r>
        <w:rPr>
          <w:rFonts w:ascii="Times New Roman"/>
          <w:snapToGrid w:val="0"/>
          <w:spacing w:val="-6"/>
          <w:kern w:val="21"/>
        </w:rPr>
        <w:instrText xml:space="preserve"> = 1 \* GB3 \* MERGEFORMAT </w:instrText>
      </w:r>
      <w:r>
        <w:rPr>
          <w:rFonts w:ascii="Times New Roman"/>
          <w:snapToGrid w:val="0"/>
          <w:spacing w:val="-6"/>
          <w:kern w:val="21"/>
        </w:rPr>
        <w:fldChar w:fldCharType="separate"/>
      </w:r>
      <w:r>
        <w:rPr>
          <w:rFonts w:ascii="Times New Roman"/>
        </w:rPr>
        <w:t>①</w:t>
      </w:r>
      <w:r>
        <w:rPr>
          <w:rFonts w:ascii="Times New Roman"/>
          <w:snapToGrid w:val="0"/>
          <w:spacing w:val="-6"/>
          <w:kern w:val="21"/>
        </w:rPr>
        <w:fldChar w:fldCharType="end"/>
      </w:r>
    </w:p>
    <w:p w14:paraId="588ABE9F">
      <w:pPr>
        <w:pStyle w:val="19"/>
        <w:ind w:firstLine="0" w:firstLineChars="0"/>
        <w:rPr>
          <w:b/>
          <w:bCs/>
          <w:snapToGrid w:val="0"/>
          <w:color w:val="FF0000"/>
          <w:spacing w:val="-6"/>
          <w:kern w:val="21"/>
          <w:szCs w:val="21"/>
        </w:rPr>
      </w:pPr>
    </w:p>
    <w:p w14:paraId="15A4AA1F">
      <w:pPr>
        <w:ind w:firstLine="0" w:firstLineChars="0"/>
        <w:rPr>
          <w:color w:val="FF0000"/>
        </w:rPr>
      </w:pPr>
    </w:p>
    <w:sectPr>
      <w:footerReference r:id="rId8" w:type="default"/>
      <w:pgSz w:w="16838" w:h="11906" w:orient="landscape"/>
      <w:pgMar w:top="1531" w:right="1701" w:bottom="1531" w:left="1701" w:header="851" w:footer="851"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2AFF" w:usb1="C0007841" w:usb2="00000009" w:usb3="00000000" w:csb0="400001FF" w:csb1="FFFF0000"/>
  </w:font>
  <w:font w:name="宋体">
    <w:panose1 w:val="02010600030101010101"/>
    <w:charset w:val="81"/>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TimesNewRomanPSMT">
    <w:altName w:val="宋体"/>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4D286">
    <w:pPr>
      <w:pStyle w:val="14"/>
      <w:tabs>
        <w:tab w:val="center" w:pos="4422"/>
        <w:tab w:val="clear" w:pos="4153"/>
      </w:tabs>
      <w:ind w:right="360" w:firstLine="360"/>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AD222">
    <w:pPr>
      <w:pStyle w:val="14"/>
      <w:framePr w:wrap="around" w:vAnchor="text" w:hAnchor="margin" w:xAlign="outside" w:y="1"/>
      <w:ind w:firstLine="360"/>
      <w:rPr>
        <w:rStyle w:val="28"/>
      </w:rPr>
    </w:pPr>
    <w:r>
      <w:rPr>
        <w:rStyle w:val="28"/>
      </w:rPr>
      <w:fldChar w:fldCharType="begin"/>
    </w:r>
    <w:r>
      <w:rPr>
        <w:rStyle w:val="28"/>
      </w:rPr>
      <w:instrText xml:space="preserve">PAGE  </w:instrText>
    </w:r>
    <w:r>
      <w:rPr>
        <w:rStyle w:val="28"/>
      </w:rPr>
      <w:fldChar w:fldCharType="end"/>
    </w:r>
  </w:p>
  <w:p w14:paraId="2B3C2783">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0F7DC">
    <w:pPr>
      <w:pStyle w:val="14"/>
      <w:ind w:right="360"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91412C">
                          <w:pPr>
                            <w:pStyle w:val="14"/>
                            <w:ind w:firstLine="360"/>
                          </w:pPr>
                          <w:r>
                            <w:fldChar w:fldCharType="begin"/>
                          </w:r>
                          <w:r>
                            <w:instrText xml:space="preserve"> PAGE  \* MERGEFORMAT </w:instrText>
                          </w:r>
                          <w:r>
                            <w:fldChar w:fldCharType="separate"/>
                          </w:r>
                          <w:r>
                            <w:t>66</w:t>
                          </w:r>
                          <w:r>
                            <w:fldChar w:fldCharType="end"/>
                          </w: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kROidcBAACyAwAADgAAAGRycy9lMm9Eb2MueG1srVPNjtMwEL4j8Q6W&#10;7zTZHFBVNV0tVIuQECAtPIDrOI0l/8kzbVIeAN6AExfuPFefg7GTdJflsoe9JOOZ8TffNzNeXw/W&#10;sKOKoL2r+dWi5Ew56Rvt9jX/+uX21ZIzQOEaYbxTNT8p4Nebly/WfVipynfeNCoyAnGw6kPNO8Sw&#10;KgqQnbICFj4oR8HWRyuQjnFfNFH0hG5NUZXl66L3sQnRSwVA3u0Y5BNifAqgb1st1dbLg1UOR9So&#10;jECSBJ0OwDeZbdsqiZ/aFhQyU3NSivlLRcjepW+xWYvVPorQaTlREE+h8EiTFdpR0QvUVqBgh6j/&#10;g7JaRg++xYX0thiF5I6QiqvyUW/uOhFU1kKthnBpOjwfrPx4/ByZbmpeceaEpYGff/44//pz/v2d&#10;Vak9fYAVZd0FysPhjR9oaWY/kDOpHtpo05/0MIpTc0+X5qoBmUyXltVyWVJIUmw+EH5xfz1EwHfK&#10;W5aMmkeaXm6qOH4AHFPnlFTN+VttTJ6gcf84CDN5isR95JgsHHbDJGjnmxPpoWdAdTofv3HW0xLU&#10;3NHOc2beO+px2pfZiLOxmw3hJF2sOXI2mm8x71UiAuHmgMQuk06lx3oTIxpllj2tXdqVh+ecdf/U&#10;N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GpETonXAQAAsgMAAA4AAAAAAAAAAQAgAAAA&#10;HgEAAGRycy9lMm9Eb2MueG1sUEsFBgAAAAAGAAYAWQEAAGcFAAAAAA==&#10;">
              <v:fill on="f" focussize="0,0"/>
              <v:stroke on="f"/>
              <v:imagedata o:title=""/>
              <o:lock v:ext="edit" aspectratio="f"/>
              <v:textbox inset="0mm,0mm,0mm,0mm" style="mso-fit-shape-to-text:t;">
                <w:txbxContent>
                  <w:p w14:paraId="3D91412C">
                    <w:pPr>
                      <w:pStyle w:val="14"/>
                      <w:ind w:firstLine="360"/>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28E66">
    <w:pPr>
      <w:pStyle w:val="14"/>
      <w:framePr w:wrap="around" w:vAnchor="text" w:hAnchor="margin" w:xAlign="outside" w:y="1"/>
      <w:ind w:firstLine="560"/>
      <w:rPr>
        <w:rStyle w:val="28"/>
        <w:rFonts w:ascii="宋体" w:hAnsi="宋体"/>
        <w:sz w:val="28"/>
        <w:szCs w:val="28"/>
      </w:rPr>
    </w:pPr>
    <w:r>
      <w:rPr>
        <w:rStyle w:val="28"/>
        <w:rFonts w:hint="eastAsia" w:ascii="宋体" w:hAnsi="宋体"/>
        <w:sz w:val="28"/>
        <w:szCs w:val="28"/>
      </w:rPr>
      <w:t>—</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66</w:t>
    </w:r>
    <w:r>
      <w:rPr>
        <w:rFonts w:ascii="宋体" w:hAnsi="宋体"/>
        <w:sz w:val="26"/>
        <w:szCs w:val="26"/>
      </w:rPr>
      <w:fldChar w:fldCharType="end"/>
    </w:r>
    <w:r>
      <w:rPr>
        <w:rStyle w:val="28"/>
        <w:rFonts w:hint="eastAsia" w:ascii="宋体" w:hAnsi="宋体"/>
        <w:sz w:val="28"/>
        <w:szCs w:val="28"/>
      </w:rPr>
      <w:t>—</w:t>
    </w:r>
  </w:p>
  <w:p w14:paraId="010DCDBA">
    <w:pPr>
      <w:pStyle w:val="14"/>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CC8C6C"/>
    <w:multiLevelType w:val="singleLevel"/>
    <w:tmpl w:val="ACCC8C6C"/>
    <w:lvl w:ilvl="0" w:tentative="0">
      <w:start w:val="4"/>
      <w:numFmt w:val="decimal"/>
      <w:suff w:val="nothing"/>
      <w:lvlText w:val="%1、"/>
      <w:lvlJc w:val="left"/>
    </w:lvl>
  </w:abstractNum>
  <w:abstractNum w:abstractNumId="1">
    <w:nsid w:val="B3A70106"/>
    <w:multiLevelType w:val="multilevel"/>
    <w:tmpl w:val="B3A70106"/>
    <w:lvl w:ilvl="0" w:tentative="0">
      <w:start w:val="1"/>
      <w:numFmt w:val="decimal"/>
      <w:suff w:val="space"/>
      <w:lvlText w:val="%1"/>
      <w:lvlJc w:val="left"/>
      <w:pPr>
        <w:tabs>
          <w:tab w:val="left" w:pos="0"/>
        </w:tabs>
        <w:ind w:left="425" w:hanging="425"/>
      </w:pPr>
      <w:rPr>
        <w:rFonts w:hint="default" w:ascii="Times New Roman" w:hAnsi="Times New Roman" w:eastAsia="宋体" w:cs="Times New Roman"/>
        <w:sz w:val="32"/>
        <w:szCs w:val="32"/>
      </w:rPr>
    </w:lvl>
    <w:lvl w:ilvl="1" w:tentative="0">
      <w:start w:val="1"/>
      <w:numFmt w:val="decimal"/>
      <w:pStyle w:val="3"/>
      <w:suff w:val="space"/>
      <w:lvlText w:val="%1.%2"/>
      <w:lvlJc w:val="left"/>
      <w:pPr>
        <w:tabs>
          <w:tab w:val="left" w:pos="0"/>
        </w:tabs>
        <w:ind w:left="0" w:firstLine="10"/>
      </w:pPr>
      <w:rPr>
        <w:rFonts w:hint="default" w:ascii="Times New Roman" w:hAnsi="Times New Roman" w:eastAsia="宋体" w:cs="Times New Roman"/>
        <w:sz w:val="30"/>
        <w:szCs w:val="30"/>
      </w:rPr>
    </w:lvl>
    <w:lvl w:ilvl="2" w:tentative="0">
      <w:start w:val="1"/>
      <w:numFmt w:val="decimal"/>
      <w:suff w:val="space"/>
      <w:lvlText w:val="%1.%2.%3"/>
      <w:lvlJc w:val="left"/>
      <w:pPr>
        <w:tabs>
          <w:tab w:val="left" w:pos="420"/>
        </w:tabs>
        <w:ind w:left="709" w:hanging="709"/>
      </w:pPr>
      <w:rPr>
        <w:rFonts w:hint="default" w:ascii="Times New Roman" w:hAnsi="Times New Roman" w:eastAsia="宋体" w:cs="Times New Roman"/>
        <w:sz w:val="28"/>
        <w:szCs w:val="28"/>
      </w:rPr>
    </w:lvl>
    <w:lvl w:ilvl="3" w:tentative="0">
      <w:start w:val="1"/>
      <w:numFmt w:val="decimal"/>
      <w:suff w:val="space"/>
      <w:lvlText w:val="%1.%2.%3.%4"/>
      <w:lvlJc w:val="left"/>
      <w:pPr>
        <w:tabs>
          <w:tab w:val="left" w:pos="420"/>
        </w:tabs>
        <w:ind w:left="850" w:hanging="850"/>
      </w:pPr>
      <w:rPr>
        <w:rFonts w:hint="default" w:ascii="Times New Roman" w:hAnsi="Times New Roman" w:eastAsia="宋体" w:cs="Times New Roman"/>
        <w:sz w:val="28"/>
        <w:szCs w:val="28"/>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F7E2EA35"/>
    <w:multiLevelType w:val="singleLevel"/>
    <w:tmpl w:val="F7E2EA35"/>
    <w:lvl w:ilvl="0" w:tentative="0">
      <w:start w:val="1"/>
      <w:numFmt w:val="decimal"/>
      <w:suff w:val="nothing"/>
      <w:lvlText w:val="%1、"/>
      <w:lvlJc w:val="left"/>
    </w:lvl>
  </w:abstractNum>
  <w:abstractNum w:abstractNumId="3">
    <w:nsid w:val="03550D43"/>
    <w:multiLevelType w:val="singleLevel"/>
    <w:tmpl w:val="03550D43"/>
    <w:lvl w:ilvl="0" w:tentative="0">
      <w:start w:val="2"/>
      <w:numFmt w:val="decimal"/>
      <w:lvlText w:val="%1."/>
      <w:lvlJc w:val="left"/>
      <w:pPr>
        <w:tabs>
          <w:tab w:val="left" w:pos="312"/>
        </w:tabs>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ZkY2Y1MDgzMmRhMWU4MmIwOGFhODc5OWIwNzAxMTYifQ=="/>
    <w:docVar w:name="KSO_WPS_MARK_KEY" w:val="c4e82651-21fd-4e7d-9f76-68cc155694e0"/>
  </w:docVars>
  <w:rsids>
    <w:rsidRoot w:val="00A14947"/>
    <w:rsid w:val="00001CED"/>
    <w:rsid w:val="00001E67"/>
    <w:rsid w:val="00003CD8"/>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17EA4"/>
    <w:rsid w:val="00127A6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9146B"/>
    <w:rsid w:val="00194398"/>
    <w:rsid w:val="001A2968"/>
    <w:rsid w:val="001A7D2A"/>
    <w:rsid w:val="001B574C"/>
    <w:rsid w:val="001C0161"/>
    <w:rsid w:val="001C0AF9"/>
    <w:rsid w:val="001C155A"/>
    <w:rsid w:val="001C48C0"/>
    <w:rsid w:val="001D6726"/>
    <w:rsid w:val="001F3347"/>
    <w:rsid w:val="001F4440"/>
    <w:rsid w:val="001F69E4"/>
    <w:rsid w:val="00206A65"/>
    <w:rsid w:val="00212D31"/>
    <w:rsid w:val="002130C7"/>
    <w:rsid w:val="002218A8"/>
    <w:rsid w:val="0022306D"/>
    <w:rsid w:val="00226574"/>
    <w:rsid w:val="002278EC"/>
    <w:rsid w:val="002357C7"/>
    <w:rsid w:val="002367C4"/>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B00"/>
    <w:rsid w:val="002B7C44"/>
    <w:rsid w:val="002C1388"/>
    <w:rsid w:val="002C3C6A"/>
    <w:rsid w:val="002D42DB"/>
    <w:rsid w:val="002E1F3A"/>
    <w:rsid w:val="002E298A"/>
    <w:rsid w:val="002F02A4"/>
    <w:rsid w:val="002F272B"/>
    <w:rsid w:val="002F7C6D"/>
    <w:rsid w:val="003027E4"/>
    <w:rsid w:val="0030332C"/>
    <w:rsid w:val="00312296"/>
    <w:rsid w:val="0031340E"/>
    <w:rsid w:val="00316464"/>
    <w:rsid w:val="0032073A"/>
    <w:rsid w:val="00321D8E"/>
    <w:rsid w:val="00326B8E"/>
    <w:rsid w:val="00334996"/>
    <w:rsid w:val="00336969"/>
    <w:rsid w:val="00336C52"/>
    <w:rsid w:val="00341B3E"/>
    <w:rsid w:val="00341B42"/>
    <w:rsid w:val="00345154"/>
    <w:rsid w:val="0034560E"/>
    <w:rsid w:val="00350523"/>
    <w:rsid w:val="00352975"/>
    <w:rsid w:val="00356868"/>
    <w:rsid w:val="0036485B"/>
    <w:rsid w:val="00373B0D"/>
    <w:rsid w:val="00376988"/>
    <w:rsid w:val="00381A72"/>
    <w:rsid w:val="003A1948"/>
    <w:rsid w:val="003B152A"/>
    <w:rsid w:val="003B545B"/>
    <w:rsid w:val="003D3EE9"/>
    <w:rsid w:val="003E7681"/>
    <w:rsid w:val="003F0809"/>
    <w:rsid w:val="003F611C"/>
    <w:rsid w:val="003F755C"/>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8030D"/>
    <w:rsid w:val="00582045"/>
    <w:rsid w:val="00590AE3"/>
    <w:rsid w:val="005918F1"/>
    <w:rsid w:val="005A06B7"/>
    <w:rsid w:val="005A1759"/>
    <w:rsid w:val="005D0369"/>
    <w:rsid w:val="005D53FE"/>
    <w:rsid w:val="005D7A0F"/>
    <w:rsid w:val="005E0438"/>
    <w:rsid w:val="005E0AA6"/>
    <w:rsid w:val="005E1791"/>
    <w:rsid w:val="005E2CE6"/>
    <w:rsid w:val="005E6324"/>
    <w:rsid w:val="005F228B"/>
    <w:rsid w:val="005F29CD"/>
    <w:rsid w:val="005F4DFB"/>
    <w:rsid w:val="005F6CC0"/>
    <w:rsid w:val="00602066"/>
    <w:rsid w:val="00603E5B"/>
    <w:rsid w:val="00604BC8"/>
    <w:rsid w:val="00615B4C"/>
    <w:rsid w:val="00615B5D"/>
    <w:rsid w:val="00616F1C"/>
    <w:rsid w:val="0062146F"/>
    <w:rsid w:val="006343AF"/>
    <w:rsid w:val="0063634A"/>
    <w:rsid w:val="0064250D"/>
    <w:rsid w:val="006535EB"/>
    <w:rsid w:val="00663016"/>
    <w:rsid w:val="00674605"/>
    <w:rsid w:val="006748B8"/>
    <w:rsid w:val="0068535B"/>
    <w:rsid w:val="0068736E"/>
    <w:rsid w:val="0069290A"/>
    <w:rsid w:val="00697032"/>
    <w:rsid w:val="006975AC"/>
    <w:rsid w:val="006A15FB"/>
    <w:rsid w:val="006A72BF"/>
    <w:rsid w:val="006B332A"/>
    <w:rsid w:val="006B33BD"/>
    <w:rsid w:val="006C3F75"/>
    <w:rsid w:val="006D170E"/>
    <w:rsid w:val="006E06AF"/>
    <w:rsid w:val="006F1789"/>
    <w:rsid w:val="00706C5D"/>
    <w:rsid w:val="007118E6"/>
    <w:rsid w:val="007225C9"/>
    <w:rsid w:val="00735CD7"/>
    <w:rsid w:val="00754034"/>
    <w:rsid w:val="00754BF1"/>
    <w:rsid w:val="00755A30"/>
    <w:rsid w:val="00755E1C"/>
    <w:rsid w:val="00756556"/>
    <w:rsid w:val="0076132B"/>
    <w:rsid w:val="007623AE"/>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2B3D"/>
    <w:rsid w:val="00805372"/>
    <w:rsid w:val="00805B7B"/>
    <w:rsid w:val="0081293E"/>
    <w:rsid w:val="00814FFB"/>
    <w:rsid w:val="00820568"/>
    <w:rsid w:val="00831A80"/>
    <w:rsid w:val="008332C8"/>
    <w:rsid w:val="00833743"/>
    <w:rsid w:val="008340A4"/>
    <w:rsid w:val="00836799"/>
    <w:rsid w:val="00837028"/>
    <w:rsid w:val="00837131"/>
    <w:rsid w:val="00845F57"/>
    <w:rsid w:val="008521E0"/>
    <w:rsid w:val="008525B0"/>
    <w:rsid w:val="00867CBC"/>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72C7"/>
    <w:rsid w:val="009B0897"/>
    <w:rsid w:val="009D0852"/>
    <w:rsid w:val="009D1FBF"/>
    <w:rsid w:val="009E399C"/>
    <w:rsid w:val="009E43C1"/>
    <w:rsid w:val="009E7E95"/>
    <w:rsid w:val="009F116F"/>
    <w:rsid w:val="009F329E"/>
    <w:rsid w:val="009F7ED3"/>
    <w:rsid w:val="00A03607"/>
    <w:rsid w:val="00A047FF"/>
    <w:rsid w:val="00A04FEF"/>
    <w:rsid w:val="00A06D53"/>
    <w:rsid w:val="00A122CD"/>
    <w:rsid w:val="00A12A32"/>
    <w:rsid w:val="00A14248"/>
    <w:rsid w:val="00A14947"/>
    <w:rsid w:val="00A23DC5"/>
    <w:rsid w:val="00A34028"/>
    <w:rsid w:val="00A35568"/>
    <w:rsid w:val="00A37056"/>
    <w:rsid w:val="00A4358F"/>
    <w:rsid w:val="00A46F67"/>
    <w:rsid w:val="00A54AA1"/>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914"/>
    <w:rsid w:val="00AB5330"/>
    <w:rsid w:val="00AB7747"/>
    <w:rsid w:val="00AC2532"/>
    <w:rsid w:val="00AD1507"/>
    <w:rsid w:val="00AD5A70"/>
    <w:rsid w:val="00AD738B"/>
    <w:rsid w:val="00AE1BF4"/>
    <w:rsid w:val="00AE5D97"/>
    <w:rsid w:val="00AE6794"/>
    <w:rsid w:val="00B01110"/>
    <w:rsid w:val="00B02262"/>
    <w:rsid w:val="00B03CEC"/>
    <w:rsid w:val="00B1209F"/>
    <w:rsid w:val="00B12AD0"/>
    <w:rsid w:val="00B24F30"/>
    <w:rsid w:val="00B31ABF"/>
    <w:rsid w:val="00B335AE"/>
    <w:rsid w:val="00B37CE1"/>
    <w:rsid w:val="00B40ACF"/>
    <w:rsid w:val="00B46BAA"/>
    <w:rsid w:val="00B50B5F"/>
    <w:rsid w:val="00B54128"/>
    <w:rsid w:val="00B55826"/>
    <w:rsid w:val="00B60426"/>
    <w:rsid w:val="00B622DD"/>
    <w:rsid w:val="00B63522"/>
    <w:rsid w:val="00B76F1D"/>
    <w:rsid w:val="00B92A19"/>
    <w:rsid w:val="00B9544C"/>
    <w:rsid w:val="00B955F1"/>
    <w:rsid w:val="00BA29E9"/>
    <w:rsid w:val="00BB3618"/>
    <w:rsid w:val="00BC0C9E"/>
    <w:rsid w:val="00BC32DC"/>
    <w:rsid w:val="00BD1B51"/>
    <w:rsid w:val="00BD47F6"/>
    <w:rsid w:val="00BE312D"/>
    <w:rsid w:val="00BE3FCA"/>
    <w:rsid w:val="00C05719"/>
    <w:rsid w:val="00C10578"/>
    <w:rsid w:val="00C17D62"/>
    <w:rsid w:val="00C21FDC"/>
    <w:rsid w:val="00C24EE7"/>
    <w:rsid w:val="00C2596A"/>
    <w:rsid w:val="00C271BE"/>
    <w:rsid w:val="00C27425"/>
    <w:rsid w:val="00C328FE"/>
    <w:rsid w:val="00C33A05"/>
    <w:rsid w:val="00C42500"/>
    <w:rsid w:val="00C4409D"/>
    <w:rsid w:val="00C455BE"/>
    <w:rsid w:val="00C47402"/>
    <w:rsid w:val="00C51E5F"/>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E02CD"/>
    <w:rsid w:val="00CE10E9"/>
    <w:rsid w:val="00D0072E"/>
    <w:rsid w:val="00D15727"/>
    <w:rsid w:val="00D16332"/>
    <w:rsid w:val="00D24972"/>
    <w:rsid w:val="00D2515E"/>
    <w:rsid w:val="00D308ED"/>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A2DA3"/>
    <w:rsid w:val="00DA6615"/>
    <w:rsid w:val="00DA76AE"/>
    <w:rsid w:val="00DB181E"/>
    <w:rsid w:val="00DB1C7A"/>
    <w:rsid w:val="00DB2983"/>
    <w:rsid w:val="00DB343D"/>
    <w:rsid w:val="00DB5579"/>
    <w:rsid w:val="00DB5CFE"/>
    <w:rsid w:val="00DC2A1B"/>
    <w:rsid w:val="00DC72A6"/>
    <w:rsid w:val="00DD2113"/>
    <w:rsid w:val="00DD265E"/>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554B"/>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61097"/>
    <w:rsid w:val="00F74345"/>
    <w:rsid w:val="00F74441"/>
    <w:rsid w:val="00F77F30"/>
    <w:rsid w:val="00F82589"/>
    <w:rsid w:val="00F82B19"/>
    <w:rsid w:val="00F90AA7"/>
    <w:rsid w:val="00F9212D"/>
    <w:rsid w:val="00FA301A"/>
    <w:rsid w:val="00FA406A"/>
    <w:rsid w:val="00FA5CB6"/>
    <w:rsid w:val="00FB4F3B"/>
    <w:rsid w:val="00FC66AC"/>
    <w:rsid w:val="00FD18F4"/>
    <w:rsid w:val="00FD74B4"/>
    <w:rsid w:val="00FE27AB"/>
    <w:rsid w:val="00FF6FCE"/>
    <w:rsid w:val="00FF7518"/>
    <w:rsid w:val="00FF7FD8"/>
    <w:rsid w:val="012402B1"/>
    <w:rsid w:val="012D396F"/>
    <w:rsid w:val="01F959FD"/>
    <w:rsid w:val="02AA459F"/>
    <w:rsid w:val="040C59C6"/>
    <w:rsid w:val="044955CA"/>
    <w:rsid w:val="04E672BC"/>
    <w:rsid w:val="05742AC8"/>
    <w:rsid w:val="059155B1"/>
    <w:rsid w:val="05976972"/>
    <w:rsid w:val="05A30074"/>
    <w:rsid w:val="05BB61AD"/>
    <w:rsid w:val="05D755E3"/>
    <w:rsid w:val="06352F05"/>
    <w:rsid w:val="063E7D85"/>
    <w:rsid w:val="070875E0"/>
    <w:rsid w:val="07252637"/>
    <w:rsid w:val="07293586"/>
    <w:rsid w:val="07295285"/>
    <w:rsid w:val="07713EDE"/>
    <w:rsid w:val="07716E7E"/>
    <w:rsid w:val="07770C56"/>
    <w:rsid w:val="07864854"/>
    <w:rsid w:val="08517BCD"/>
    <w:rsid w:val="086B7872"/>
    <w:rsid w:val="08C5270A"/>
    <w:rsid w:val="08D124A1"/>
    <w:rsid w:val="092217DD"/>
    <w:rsid w:val="093A7294"/>
    <w:rsid w:val="099B2511"/>
    <w:rsid w:val="0A22263B"/>
    <w:rsid w:val="0A9427A0"/>
    <w:rsid w:val="0B175955"/>
    <w:rsid w:val="0BD27BF6"/>
    <w:rsid w:val="0C181455"/>
    <w:rsid w:val="0C3E7E14"/>
    <w:rsid w:val="0D6909D7"/>
    <w:rsid w:val="0DEB65F1"/>
    <w:rsid w:val="0E110D06"/>
    <w:rsid w:val="0E2C21E4"/>
    <w:rsid w:val="0E7E72B3"/>
    <w:rsid w:val="0EA5120C"/>
    <w:rsid w:val="0EA7186A"/>
    <w:rsid w:val="0F13775A"/>
    <w:rsid w:val="0F481FDC"/>
    <w:rsid w:val="0F9A112B"/>
    <w:rsid w:val="0FAD2EF7"/>
    <w:rsid w:val="101679FA"/>
    <w:rsid w:val="106D2F64"/>
    <w:rsid w:val="10B63710"/>
    <w:rsid w:val="10D97AA6"/>
    <w:rsid w:val="111C2F7A"/>
    <w:rsid w:val="11250B14"/>
    <w:rsid w:val="113013DE"/>
    <w:rsid w:val="11991B7A"/>
    <w:rsid w:val="122B06C2"/>
    <w:rsid w:val="12486B50"/>
    <w:rsid w:val="128C4EA1"/>
    <w:rsid w:val="12C811FE"/>
    <w:rsid w:val="13766BC8"/>
    <w:rsid w:val="13951726"/>
    <w:rsid w:val="14396509"/>
    <w:rsid w:val="1447165C"/>
    <w:rsid w:val="149F2030"/>
    <w:rsid w:val="156C1585"/>
    <w:rsid w:val="16240457"/>
    <w:rsid w:val="170F26A3"/>
    <w:rsid w:val="17735226"/>
    <w:rsid w:val="17EC2B9C"/>
    <w:rsid w:val="1842129C"/>
    <w:rsid w:val="185060D1"/>
    <w:rsid w:val="18FB11DD"/>
    <w:rsid w:val="1911776B"/>
    <w:rsid w:val="19A978A1"/>
    <w:rsid w:val="1A1C66C0"/>
    <w:rsid w:val="1A267158"/>
    <w:rsid w:val="1A2D463F"/>
    <w:rsid w:val="1A42393B"/>
    <w:rsid w:val="1A6D488A"/>
    <w:rsid w:val="1AF40203"/>
    <w:rsid w:val="1B046F80"/>
    <w:rsid w:val="1B1B4F32"/>
    <w:rsid w:val="1B3267B5"/>
    <w:rsid w:val="1BA66013"/>
    <w:rsid w:val="1BC25DC8"/>
    <w:rsid w:val="1C5E7925"/>
    <w:rsid w:val="1C6C5EA1"/>
    <w:rsid w:val="1C887FC8"/>
    <w:rsid w:val="1CB57789"/>
    <w:rsid w:val="1CEC44F3"/>
    <w:rsid w:val="1D2A57F7"/>
    <w:rsid w:val="1D5F6196"/>
    <w:rsid w:val="1D6132A5"/>
    <w:rsid w:val="1D8E56D5"/>
    <w:rsid w:val="1E7A43DA"/>
    <w:rsid w:val="1EB277FE"/>
    <w:rsid w:val="1F485CCD"/>
    <w:rsid w:val="1F9A6E4B"/>
    <w:rsid w:val="1FC647AD"/>
    <w:rsid w:val="1FE62A99"/>
    <w:rsid w:val="1FE7539E"/>
    <w:rsid w:val="1FF60FB3"/>
    <w:rsid w:val="20963CB8"/>
    <w:rsid w:val="20B07FB6"/>
    <w:rsid w:val="212F4572"/>
    <w:rsid w:val="213B74B1"/>
    <w:rsid w:val="215A2310"/>
    <w:rsid w:val="21DE318A"/>
    <w:rsid w:val="21EF5B80"/>
    <w:rsid w:val="223516F4"/>
    <w:rsid w:val="22576990"/>
    <w:rsid w:val="229C4EAB"/>
    <w:rsid w:val="22A12BA8"/>
    <w:rsid w:val="22BF5D10"/>
    <w:rsid w:val="23A7586B"/>
    <w:rsid w:val="23AB585B"/>
    <w:rsid w:val="23EE52F0"/>
    <w:rsid w:val="244D4F26"/>
    <w:rsid w:val="248C3E5A"/>
    <w:rsid w:val="24D413A2"/>
    <w:rsid w:val="250B5EE7"/>
    <w:rsid w:val="250C5C98"/>
    <w:rsid w:val="252D53FE"/>
    <w:rsid w:val="259B1656"/>
    <w:rsid w:val="25EC2D81"/>
    <w:rsid w:val="26351B7E"/>
    <w:rsid w:val="264528BD"/>
    <w:rsid w:val="269763F5"/>
    <w:rsid w:val="27486378"/>
    <w:rsid w:val="274A3283"/>
    <w:rsid w:val="274E4364"/>
    <w:rsid w:val="27D15DD1"/>
    <w:rsid w:val="28A76295"/>
    <w:rsid w:val="29206EB8"/>
    <w:rsid w:val="293265CD"/>
    <w:rsid w:val="29996B8F"/>
    <w:rsid w:val="29E325E0"/>
    <w:rsid w:val="2A452503"/>
    <w:rsid w:val="2B5D6D58"/>
    <w:rsid w:val="2BA936A8"/>
    <w:rsid w:val="2BBC2806"/>
    <w:rsid w:val="2BE93D2C"/>
    <w:rsid w:val="2C19257C"/>
    <w:rsid w:val="2C315A5A"/>
    <w:rsid w:val="2C5030EA"/>
    <w:rsid w:val="2C601E3E"/>
    <w:rsid w:val="2C9479BB"/>
    <w:rsid w:val="2CAE55AC"/>
    <w:rsid w:val="2D2E3981"/>
    <w:rsid w:val="2D4C4E64"/>
    <w:rsid w:val="2D9E56F5"/>
    <w:rsid w:val="2E06411C"/>
    <w:rsid w:val="2E667F96"/>
    <w:rsid w:val="2E8226AB"/>
    <w:rsid w:val="2EA36628"/>
    <w:rsid w:val="2F363EAF"/>
    <w:rsid w:val="2F832C79"/>
    <w:rsid w:val="2F8F72AD"/>
    <w:rsid w:val="2FAA79C2"/>
    <w:rsid w:val="2FBF3C00"/>
    <w:rsid w:val="2FEF2D58"/>
    <w:rsid w:val="2FF9472F"/>
    <w:rsid w:val="30580BC9"/>
    <w:rsid w:val="30B60273"/>
    <w:rsid w:val="311E2ED7"/>
    <w:rsid w:val="315C449C"/>
    <w:rsid w:val="31B82709"/>
    <w:rsid w:val="32400B34"/>
    <w:rsid w:val="32606B21"/>
    <w:rsid w:val="32876FBF"/>
    <w:rsid w:val="3289254C"/>
    <w:rsid w:val="329E6876"/>
    <w:rsid w:val="33332513"/>
    <w:rsid w:val="33A54307"/>
    <w:rsid w:val="33D934D4"/>
    <w:rsid w:val="33FE2F6A"/>
    <w:rsid w:val="35163786"/>
    <w:rsid w:val="36074A7F"/>
    <w:rsid w:val="36564455"/>
    <w:rsid w:val="36923549"/>
    <w:rsid w:val="36B2154A"/>
    <w:rsid w:val="36B75FBF"/>
    <w:rsid w:val="36FB4891"/>
    <w:rsid w:val="372052C7"/>
    <w:rsid w:val="376B5452"/>
    <w:rsid w:val="378F7D88"/>
    <w:rsid w:val="38DC1007"/>
    <w:rsid w:val="38F12CD3"/>
    <w:rsid w:val="38F94775"/>
    <w:rsid w:val="39047736"/>
    <w:rsid w:val="39257BD3"/>
    <w:rsid w:val="392971ED"/>
    <w:rsid w:val="39420F61"/>
    <w:rsid w:val="39EF30A0"/>
    <w:rsid w:val="3A054B54"/>
    <w:rsid w:val="3A4365BD"/>
    <w:rsid w:val="3ABE1B66"/>
    <w:rsid w:val="3AC8266B"/>
    <w:rsid w:val="3B3763D1"/>
    <w:rsid w:val="3B450F43"/>
    <w:rsid w:val="3C883987"/>
    <w:rsid w:val="3CDA245A"/>
    <w:rsid w:val="3CEE0A37"/>
    <w:rsid w:val="3D2C374B"/>
    <w:rsid w:val="3D975F9B"/>
    <w:rsid w:val="3DCE4129"/>
    <w:rsid w:val="3EB60E02"/>
    <w:rsid w:val="3F660E74"/>
    <w:rsid w:val="3FED07F9"/>
    <w:rsid w:val="407A6407"/>
    <w:rsid w:val="41041839"/>
    <w:rsid w:val="41192E26"/>
    <w:rsid w:val="418234FF"/>
    <w:rsid w:val="423A3BCC"/>
    <w:rsid w:val="424E7084"/>
    <w:rsid w:val="42E55239"/>
    <w:rsid w:val="42F237BA"/>
    <w:rsid w:val="433A6FE6"/>
    <w:rsid w:val="4350713C"/>
    <w:rsid w:val="436653E0"/>
    <w:rsid w:val="43B30001"/>
    <w:rsid w:val="43EF1962"/>
    <w:rsid w:val="449074CC"/>
    <w:rsid w:val="44CD14E0"/>
    <w:rsid w:val="458946E9"/>
    <w:rsid w:val="45986E58"/>
    <w:rsid w:val="467C1831"/>
    <w:rsid w:val="46970EA5"/>
    <w:rsid w:val="46D22C21"/>
    <w:rsid w:val="46D955A7"/>
    <w:rsid w:val="46E82445"/>
    <w:rsid w:val="47133957"/>
    <w:rsid w:val="47140FB4"/>
    <w:rsid w:val="47222CD4"/>
    <w:rsid w:val="474E12AF"/>
    <w:rsid w:val="4779329E"/>
    <w:rsid w:val="47A07E0C"/>
    <w:rsid w:val="48112EA5"/>
    <w:rsid w:val="48676001"/>
    <w:rsid w:val="4870272E"/>
    <w:rsid w:val="48A95C04"/>
    <w:rsid w:val="48BB310A"/>
    <w:rsid w:val="494470C7"/>
    <w:rsid w:val="497C50C6"/>
    <w:rsid w:val="499967CC"/>
    <w:rsid w:val="49DC7715"/>
    <w:rsid w:val="4A023139"/>
    <w:rsid w:val="4A545C13"/>
    <w:rsid w:val="4A6D6EFA"/>
    <w:rsid w:val="4A7B576F"/>
    <w:rsid w:val="4B3E551F"/>
    <w:rsid w:val="4BD607A7"/>
    <w:rsid w:val="4BF413F3"/>
    <w:rsid w:val="4C4A0649"/>
    <w:rsid w:val="4C8B61DE"/>
    <w:rsid w:val="4CA80E0F"/>
    <w:rsid w:val="4CAA0829"/>
    <w:rsid w:val="4CE470D3"/>
    <w:rsid w:val="4D2422E8"/>
    <w:rsid w:val="4D96571F"/>
    <w:rsid w:val="4DB41F29"/>
    <w:rsid w:val="4DEC4FB0"/>
    <w:rsid w:val="4E075D8A"/>
    <w:rsid w:val="4E433318"/>
    <w:rsid w:val="4ED31154"/>
    <w:rsid w:val="4F0E3895"/>
    <w:rsid w:val="4FAC6067"/>
    <w:rsid w:val="4FC62A8C"/>
    <w:rsid w:val="4FC9781C"/>
    <w:rsid w:val="4FE20F0D"/>
    <w:rsid w:val="50504C4B"/>
    <w:rsid w:val="505C6D4E"/>
    <w:rsid w:val="509C6E7C"/>
    <w:rsid w:val="50C02C23"/>
    <w:rsid w:val="51242239"/>
    <w:rsid w:val="5162104E"/>
    <w:rsid w:val="516F5E83"/>
    <w:rsid w:val="52D6599C"/>
    <w:rsid w:val="52D8309A"/>
    <w:rsid w:val="52EE00AA"/>
    <w:rsid w:val="536120AB"/>
    <w:rsid w:val="53A039CC"/>
    <w:rsid w:val="53A1505A"/>
    <w:rsid w:val="54063E08"/>
    <w:rsid w:val="54297BF9"/>
    <w:rsid w:val="543437E8"/>
    <w:rsid w:val="559B174B"/>
    <w:rsid w:val="55CE0CF4"/>
    <w:rsid w:val="55F62BFF"/>
    <w:rsid w:val="56243E2B"/>
    <w:rsid w:val="56B22A9C"/>
    <w:rsid w:val="57044D26"/>
    <w:rsid w:val="57B72A76"/>
    <w:rsid w:val="58F307D5"/>
    <w:rsid w:val="5935071F"/>
    <w:rsid w:val="59600EAD"/>
    <w:rsid w:val="5A034E90"/>
    <w:rsid w:val="5A3C747D"/>
    <w:rsid w:val="5A513FC4"/>
    <w:rsid w:val="5ABE2233"/>
    <w:rsid w:val="5ACC5BD9"/>
    <w:rsid w:val="5B276D18"/>
    <w:rsid w:val="5B9E5C87"/>
    <w:rsid w:val="5BDF5D95"/>
    <w:rsid w:val="5C000DDA"/>
    <w:rsid w:val="5C17595A"/>
    <w:rsid w:val="5C8935C6"/>
    <w:rsid w:val="5CAE5BC4"/>
    <w:rsid w:val="5D7849E6"/>
    <w:rsid w:val="5DCA076A"/>
    <w:rsid w:val="5DF604F8"/>
    <w:rsid w:val="5DF87A0F"/>
    <w:rsid w:val="5E1E00A2"/>
    <w:rsid w:val="5EFD2586"/>
    <w:rsid w:val="5F1A2B43"/>
    <w:rsid w:val="5F3851F5"/>
    <w:rsid w:val="5FAD2D1B"/>
    <w:rsid w:val="5FB837BB"/>
    <w:rsid w:val="5FD8EA1E"/>
    <w:rsid w:val="600B149F"/>
    <w:rsid w:val="60951213"/>
    <w:rsid w:val="60E17732"/>
    <w:rsid w:val="611C498A"/>
    <w:rsid w:val="61C31CC3"/>
    <w:rsid w:val="61E11042"/>
    <w:rsid w:val="61FF6487"/>
    <w:rsid w:val="62265E8B"/>
    <w:rsid w:val="62364782"/>
    <w:rsid w:val="624369D5"/>
    <w:rsid w:val="62483940"/>
    <w:rsid w:val="627459B4"/>
    <w:rsid w:val="62B919F8"/>
    <w:rsid w:val="62C90F25"/>
    <w:rsid w:val="63381A7E"/>
    <w:rsid w:val="63D40BE9"/>
    <w:rsid w:val="63E0211F"/>
    <w:rsid w:val="63E02ECC"/>
    <w:rsid w:val="63FE2572"/>
    <w:rsid w:val="645E55B1"/>
    <w:rsid w:val="649C3F17"/>
    <w:rsid w:val="64C54BA4"/>
    <w:rsid w:val="64CD637E"/>
    <w:rsid w:val="65373578"/>
    <w:rsid w:val="6611542A"/>
    <w:rsid w:val="673F2C7A"/>
    <w:rsid w:val="678D4E96"/>
    <w:rsid w:val="67F82A09"/>
    <w:rsid w:val="67FD066B"/>
    <w:rsid w:val="681F6961"/>
    <w:rsid w:val="68610A2F"/>
    <w:rsid w:val="68805514"/>
    <w:rsid w:val="68E06CE5"/>
    <w:rsid w:val="694E2071"/>
    <w:rsid w:val="697A3B33"/>
    <w:rsid w:val="699E2456"/>
    <w:rsid w:val="6A487A93"/>
    <w:rsid w:val="6A520D7C"/>
    <w:rsid w:val="6A985FAF"/>
    <w:rsid w:val="6AA7BD1B"/>
    <w:rsid w:val="6ABE6E95"/>
    <w:rsid w:val="6B322639"/>
    <w:rsid w:val="6B3275AD"/>
    <w:rsid w:val="6BD61FBC"/>
    <w:rsid w:val="6BDA572B"/>
    <w:rsid w:val="6BFE237D"/>
    <w:rsid w:val="6C0134DD"/>
    <w:rsid w:val="6C2B1733"/>
    <w:rsid w:val="6C5C6966"/>
    <w:rsid w:val="6C636C38"/>
    <w:rsid w:val="6C6E3C17"/>
    <w:rsid w:val="6CFB1EFD"/>
    <w:rsid w:val="6D2B5B46"/>
    <w:rsid w:val="6DB34098"/>
    <w:rsid w:val="6DB545B6"/>
    <w:rsid w:val="6DEF762A"/>
    <w:rsid w:val="6DF67B0C"/>
    <w:rsid w:val="6E4375A0"/>
    <w:rsid w:val="6E514CED"/>
    <w:rsid w:val="6E79491A"/>
    <w:rsid w:val="6E984F09"/>
    <w:rsid w:val="6EB563D5"/>
    <w:rsid w:val="6EDD4DBB"/>
    <w:rsid w:val="6F022D14"/>
    <w:rsid w:val="6F225983"/>
    <w:rsid w:val="6FDB1DC5"/>
    <w:rsid w:val="6FFC5590"/>
    <w:rsid w:val="70301DA3"/>
    <w:rsid w:val="703127BB"/>
    <w:rsid w:val="70434E44"/>
    <w:rsid w:val="706D1DD0"/>
    <w:rsid w:val="70856B87"/>
    <w:rsid w:val="70B27E82"/>
    <w:rsid w:val="70D527EE"/>
    <w:rsid w:val="70FE0C4E"/>
    <w:rsid w:val="715B5300"/>
    <w:rsid w:val="715F4BD7"/>
    <w:rsid w:val="717514CD"/>
    <w:rsid w:val="71D27F8A"/>
    <w:rsid w:val="71F744C6"/>
    <w:rsid w:val="71F960CF"/>
    <w:rsid w:val="72CA5E93"/>
    <w:rsid w:val="72D53EFF"/>
    <w:rsid w:val="731F5D5E"/>
    <w:rsid w:val="7369616A"/>
    <w:rsid w:val="73A00E5C"/>
    <w:rsid w:val="73AA7181"/>
    <w:rsid w:val="741E793C"/>
    <w:rsid w:val="74AF6D74"/>
    <w:rsid w:val="75090476"/>
    <w:rsid w:val="758D75E2"/>
    <w:rsid w:val="75A27BB4"/>
    <w:rsid w:val="75BBA06D"/>
    <w:rsid w:val="762AA977"/>
    <w:rsid w:val="76391AC3"/>
    <w:rsid w:val="765B4E24"/>
    <w:rsid w:val="76696E6E"/>
    <w:rsid w:val="767320B6"/>
    <w:rsid w:val="77762421"/>
    <w:rsid w:val="77A70BEA"/>
    <w:rsid w:val="77AE6EBF"/>
    <w:rsid w:val="780F09F4"/>
    <w:rsid w:val="784604CA"/>
    <w:rsid w:val="789C4F47"/>
    <w:rsid w:val="78A90480"/>
    <w:rsid w:val="79811327"/>
    <w:rsid w:val="79C879FA"/>
    <w:rsid w:val="7A292C34"/>
    <w:rsid w:val="7A364017"/>
    <w:rsid w:val="7A8265E1"/>
    <w:rsid w:val="7AB90C3A"/>
    <w:rsid w:val="7ACE6C62"/>
    <w:rsid w:val="7B671FE4"/>
    <w:rsid w:val="7B686D42"/>
    <w:rsid w:val="7B841746"/>
    <w:rsid w:val="7BBF2F87"/>
    <w:rsid w:val="7C9C4B7D"/>
    <w:rsid w:val="7D0239FF"/>
    <w:rsid w:val="7D5E40CD"/>
    <w:rsid w:val="7D693BED"/>
    <w:rsid w:val="7D6FBA90"/>
    <w:rsid w:val="7DFD9523"/>
    <w:rsid w:val="7E867ECC"/>
    <w:rsid w:val="7ED476BA"/>
    <w:rsid w:val="7EF72E8E"/>
    <w:rsid w:val="7F7989B7"/>
    <w:rsid w:val="7FB7088F"/>
    <w:rsid w:val="7FCDB5FB"/>
    <w:rsid w:val="7FE47E50"/>
    <w:rsid w:val="7FF960FB"/>
    <w:rsid w:val="7FFCF88E"/>
    <w:rsid w:val="7FFE58AB"/>
    <w:rsid w:val="9FAF3749"/>
    <w:rsid w:val="ABF3ADA3"/>
    <w:rsid w:val="AD7E743E"/>
    <w:rsid w:val="B3BEC1BA"/>
    <w:rsid w:val="B7777299"/>
    <w:rsid w:val="BBBF5C60"/>
    <w:rsid w:val="BE6E97FA"/>
    <w:rsid w:val="CBDEBB19"/>
    <w:rsid w:val="CFFDD62E"/>
    <w:rsid w:val="DFC73643"/>
    <w:rsid w:val="E66F17E1"/>
    <w:rsid w:val="EBEF47C3"/>
    <w:rsid w:val="F4CFDD53"/>
    <w:rsid w:val="F7DA118E"/>
    <w:rsid w:val="F7FD5829"/>
    <w:rsid w:val="F8DD98D5"/>
    <w:rsid w:val="FB7C7DAB"/>
    <w:rsid w:val="FDFE66FA"/>
    <w:rsid w:val="FDFF58E4"/>
    <w:rsid w:val="FE8746DA"/>
    <w:rsid w:val="FEFA1C35"/>
    <w:rsid w:val="FFF8C982"/>
    <w:rsid w:val="FFFF6B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unhideWhenUsed="0" w:uiPriority="0" w:semiHidden="0" w:name="heading 4" w:locked="1"/>
    <w:lsdException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35" w:semiHidden="0" w:name="caption" w:locked="1"/>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ocked="1"/>
    <w:lsdException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overflowPunct w:val="0"/>
      <w:snapToGrid w:val="0"/>
      <w:ind w:firstLine="0" w:firstLineChars="0"/>
      <w:outlineLvl w:val="0"/>
    </w:pPr>
    <w:rPr>
      <w:rFonts w:eastAsia="华文宋体"/>
      <w:b/>
      <w:bCs/>
      <w:color w:val="000000"/>
      <w:kern w:val="44"/>
      <w:szCs w:val="30"/>
    </w:rPr>
  </w:style>
  <w:style w:type="paragraph" w:styleId="3">
    <w:name w:val="heading 2"/>
    <w:basedOn w:val="1"/>
    <w:next w:val="1"/>
    <w:link w:val="32"/>
    <w:qFormat/>
    <w:locked/>
    <w:uiPriority w:val="0"/>
    <w:pPr>
      <w:keepNext/>
      <w:keepLines/>
      <w:numPr>
        <w:ilvl w:val="1"/>
        <w:numId w:val="1"/>
      </w:numPr>
      <w:tabs>
        <w:tab w:val="left" w:pos="420"/>
        <w:tab w:val="clear" w:pos="0"/>
      </w:tabs>
      <w:ind w:firstLine="0" w:firstLineChars="0"/>
      <w:outlineLvl w:val="1"/>
    </w:pPr>
    <w:rPr>
      <w:rFonts w:ascii="Calibri" w:hAnsi="Calibri"/>
      <w:sz w:val="30"/>
    </w:rPr>
  </w:style>
  <w:style w:type="paragraph" w:styleId="4">
    <w:name w:val="heading 3"/>
    <w:basedOn w:val="1"/>
    <w:next w:val="1"/>
    <w:qFormat/>
    <w:locked/>
    <w:uiPriority w:val="0"/>
    <w:pPr>
      <w:keepNext/>
      <w:keepLines/>
      <w:spacing w:before="260" w:after="260" w:line="413" w:lineRule="auto"/>
      <w:outlineLvl w:val="2"/>
    </w:pPr>
    <w:rPr>
      <w:b/>
      <w:sz w:val="32"/>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autoRedefine/>
    <w:qFormat/>
    <w:uiPriority w:val="0"/>
    <w:pPr>
      <w:ind w:firstLine="420"/>
    </w:pPr>
    <w:rPr>
      <w:szCs w:val="20"/>
    </w:rPr>
  </w:style>
  <w:style w:type="paragraph" w:styleId="6">
    <w:name w:val="caption"/>
    <w:basedOn w:val="1"/>
    <w:next w:val="1"/>
    <w:autoRedefine/>
    <w:qFormat/>
    <w:locked/>
    <w:uiPriority w:val="35"/>
    <w:rPr>
      <w:rFonts w:ascii="Arial" w:hAnsi="Arial" w:eastAsia="黑体"/>
      <w:kern w:val="0"/>
      <w:sz w:val="20"/>
      <w:szCs w:val="20"/>
    </w:rPr>
  </w:style>
  <w:style w:type="paragraph" w:styleId="7">
    <w:name w:val="annotation text"/>
    <w:basedOn w:val="1"/>
    <w:link w:val="33"/>
    <w:autoRedefine/>
    <w:semiHidden/>
    <w:qFormat/>
    <w:uiPriority w:val="0"/>
    <w:pPr>
      <w:jc w:val="left"/>
    </w:pPr>
    <w:rPr>
      <w:kern w:val="0"/>
      <w:sz w:val="20"/>
    </w:rPr>
  </w:style>
  <w:style w:type="paragraph" w:styleId="8">
    <w:name w:val="Body Text"/>
    <w:basedOn w:val="1"/>
    <w:link w:val="34"/>
    <w:autoRedefine/>
    <w:qFormat/>
    <w:uiPriority w:val="0"/>
    <w:pPr>
      <w:widowControl/>
      <w:snapToGrid w:val="0"/>
      <w:spacing w:before="60" w:after="160" w:line="259" w:lineRule="auto"/>
      <w:ind w:right="113"/>
    </w:pPr>
    <w:rPr>
      <w:kern w:val="0"/>
      <w:sz w:val="18"/>
      <w:szCs w:val="18"/>
    </w:rPr>
  </w:style>
  <w:style w:type="paragraph" w:styleId="9">
    <w:name w:val="Body Text Indent"/>
    <w:basedOn w:val="1"/>
    <w:next w:val="1"/>
    <w:link w:val="35"/>
    <w:autoRedefine/>
    <w:qFormat/>
    <w:uiPriority w:val="0"/>
    <w:pPr>
      <w:spacing w:after="120"/>
      <w:ind w:left="420" w:leftChars="200"/>
    </w:pPr>
  </w:style>
  <w:style w:type="paragraph" w:styleId="10">
    <w:name w:val="Block Text"/>
    <w:basedOn w:val="1"/>
    <w:autoRedefine/>
    <w:qFormat/>
    <w:uiPriority w:val="0"/>
    <w:pPr>
      <w:ind w:left="230" w:right="220" w:firstLine="562"/>
      <w:jc w:val="left"/>
    </w:pPr>
    <w:rPr>
      <w:rFonts w:ascii="宋体" w:hAnsi="宋体"/>
      <w:color w:val="000000"/>
      <w:kern w:val="0"/>
    </w:rPr>
  </w:style>
  <w:style w:type="paragraph" w:styleId="11">
    <w:name w:val="Plain Text"/>
    <w:basedOn w:val="1"/>
    <w:autoRedefine/>
    <w:qFormat/>
    <w:uiPriority w:val="0"/>
    <w:pPr>
      <w:spacing w:line="240" w:lineRule="auto"/>
      <w:ind w:firstLine="0" w:firstLineChars="0"/>
    </w:pPr>
    <w:rPr>
      <w:rFonts w:ascii="宋体" w:hAnsi="Courier New" w:cs="Courier New"/>
      <w:sz w:val="21"/>
      <w:szCs w:val="21"/>
    </w:rPr>
  </w:style>
  <w:style w:type="paragraph" w:styleId="12">
    <w:name w:val="Date"/>
    <w:basedOn w:val="1"/>
    <w:next w:val="1"/>
    <w:link w:val="37"/>
    <w:autoRedefine/>
    <w:qFormat/>
    <w:uiPriority w:val="0"/>
    <w:pPr>
      <w:ind w:left="100" w:leftChars="2500"/>
    </w:pPr>
    <w:rPr>
      <w:kern w:val="0"/>
      <w:sz w:val="20"/>
    </w:rPr>
  </w:style>
  <w:style w:type="paragraph" w:styleId="13">
    <w:name w:val="Balloon Text"/>
    <w:basedOn w:val="1"/>
    <w:link w:val="38"/>
    <w:autoRedefine/>
    <w:semiHidden/>
    <w:qFormat/>
    <w:uiPriority w:val="0"/>
    <w:rPr>
      <w:sz w:val="18"/>
      <w:szCs w:val="18"/>
    </w:rPr>
  </w:style>
  <w:style w:type="paragraph" w:styleId="14">
    <w:name w:val="footer"/>
    <w:basedOn w:val="1"/>
    <w:link w:val="39"/>
    <w:autoRedefine/>
    <w:qFormat/>
    <w:uiPriority w:val="0"/>
    <w:pPr>
      <w:tabs>
        <w:tab w:val="center" w:pos="4153"/>
        <w:tab w:val="right" w:pos="8306"/>
      </w:tabs>
      <w:snapToGrid w:val="0"/>
      <w:jc w:val="left"/>
    </w:pPr>
    <w:rPr>
      <w:sz w:val="18"/>
      <w:szCs w:val="18"/>
    </w:rPr>
  </w:style>
  <w:style w:type="paragraph" w:styleId="15">
    <w:name w:val="header"/>
    <w:basedOn w:val="1"/>
    <w:next w:val="16"/>
    <w:link w:val="36"/>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16">
    <w:name w:val="样式5"/>
    <w:basedOn w:val="5"/>
    <w:autoRedefine/>
    <w:qFormat/>
    <w:uiPriority w:val="0"/>
    <w:pPr>
      <w:jc w:val="center"/>
    </w:pPr>
  </w:style>
  <w:style w:type="paragraph" w:styleId="17">
    <w:name w:val="table of figures"/>
    <w:basedOn w:val="1"/>
    <w:next w:val="1"/>
    <w:autoRedefine/>
    <w:qFormat/>
    <w:uiPriority w:val="99"/>
    <w:pPr>
      <w:ind w:left="200" w:leftChars="200" w:hanging="200" w:hangingChars="200"/>
    </w:pPr>
    <w:rPr>
      <w:rFonts w:ascii="Calibri" w:hAnsi="Calibri"/>
    </w:rPr>
  </w:style>
  <w:style w:type="paragraph" w:styleId="18">
    <w:name w:val="toc 2"/>
    <w:basedOn w:val="1"/>
    <w:next w:val="1"/>
    <w:unhideWhenUsed/>
    <w:qFormat/>
    <w:locked/>
    <w:uiPriority w:val="39"/>
    <w:pPr>
      <w:ind w:left="420" w:leftChars="200"/>
    </w:pPr>
  </w:style>
  <w:style w:type="paragraph" w:styleId="19">
    <w:name w:val="Body Text 2"/>
    <w:basedOn w:val="1"/>
    <w:autoRedefine/>
    <w:qFormat/>
    <w:uiPriority w:val="0"/>
    <w:pPr>
      <w:spacing w:after="120" w:line="480" w:lineRule="auto"/>
    </w:pPr>
  </w:style>
  <w:style w:type="paragraph" w:styleId="20">
    <w:name w:val="Normal (Web)"/>
    <w:basedOn w:val="1"/>
    <w:link w:val="40"/>
    <w:autoRedefine/>
    <w:qFormat/>
    <w:uiPriority w:val="0"/>
    <w:pPr>
      <w:widowControl/>
      <w:ind w:firstLine="0" w:firstLineChars="0"/>
      <w:jc w:val="center"/>
      <w:outlineLvl w:val="0"/>
    </w:pPr>
    <w:rPr>
      <w:b/>
      <w:snapToGrid w:val="0"/>
      <w:kern w:val="0"/>
      <w:sz w:val="30"/>
      <w:szCs w:val="30"/>
    </w:rPr>
  </w:style>
  <w:style w:type="paragraph" w:styleId="21">
    <w:name w:val="annotation subject"/>
    <w:basedOn w:val="7"/>
    <w:next w:val="7"/>
    <w:link w:val="41"/>
    <w:autoRedefine/>
    <w:semiHidden/>
    <w:qFormat/>
    <w:uiPriority w:val="0"/>
    <w:rPr>
      <w:b/>
      <w:bCs/>
    </w:rPr>
  </w:style>
  <w:style w:type="paragraph" w:styleId="22">
    <w:name w:val="Body Text First Indent"/>
    <w:basedOn w:val="8"/>
    <w:autoRedefine/>
    <w:qFormat/>
    <w:uiPriority w:val="0"/>
    <w:pPr>
      <w:spacing w:after="120"/>
      <w:ind w:firstLine="420" w:firstLineChars="100"/>
    </w:pPr>
    <w:rPr>
      <w:rFonts w:ascii="Calibri" w:hAnsi="Calibri"/>
      <w:kern w:val="2"/>
      <w:sz w:val="21"/>
    </w:rPr>
  </w:style>
  <w:style w:type="paragraph" w:styleId="23">
    <w:name w:val="Body Text First Indent 2"/>
    <w:basedOn w:val="9"/>
    <w:next w:val="1"/>
    <w:autoRedefine/>
    <w:unhideWhenUsed/>
    <w:qFormat/>
    <w:uiPriority w:val="99"/>
    <w:pPr>
      <w:ind w:firstLine="420"/>
    </w:pPr>
  </w:style>
  <w:style w:type="table" w:styleId="25">
    <w:name w:val="Table Grid"/>
    <w:basedOn w:val="2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autoRedefine/>
    <w:qFormat/>
    <w:locked/>
    <w:uiPriority w:val="0"/>
    <w:rPr>
      <w:b/>
    </w:rPr>
  </w:style>
  <w:style w:type="character" w:styleId="28">
    <w:name w:val="page number"/>
    <w:basedOn w:val="26"/>
    <w:autoRedefine/>
    <w:qFormat/>
    <w:uiPriority w:val="0"/>
  </w:style>
  <w:style w:type="character" w:styleId="29">
    <w:name w:val="Hyperlink"/>
    <w:basedOn w:val="26"/>
    <w:autoRedefine/>
    <w:qFormat/>
    <w:uiPriority w:val="0"/>
    <w:rPr>
      <w:color w:val="0000FF"/>
      <w:u w:val="single"/>
    </w:rPr>
  </w:style>
  <w:style w:type="character" w:styleId="30">
    <w:name w:val="annotation reference"/>
    <w:basedOn w:val="26"/>
    <w:autoRedefine/>
    <w:semiHidden/>
    <w:qFormat/>
    <w:uiPriority w:val="0"/>
    <w:rPr>
      <w:sz w:val="21"/>
    </w:rPr>
  </w:style>
  <w:style w:type="paragraph" w:customStyle="1" w:styleId="31">
    <w:name w:val="Default"/>
    <w:autoRedefine/>
    <w:unhideWhenUsed/>
    <w:qFormat/>
    <w:uiPriority w:val="0"/>
    <w:pPr>
      <w:widowControl w:val="0"/>
      <w:autoSpaceDE w:val="0"/>
      <w:autoSpaceDN w:val="0"/>
      <w:adjustRightInd w:val="0"/>
    </w:pPr>
    <w:rPr>
      <w:rFonts w:hint="eastAsia" w:ascii="宋体" w:hAnsi="宋体" w:eastAsia="宋体" w:cs="Times New Roman"/>
      <w:color w:val="000000"/>
      <w:sz w:val="24"/>
      <w:lang w:val="en-US" w:eastAsia="zh-CN" w:bidi="ar-SA"/>
    </w:rPr>
  </w:style>
  <w:style w:type="character" w:customStyle="1" w:styleId="32">
    <w:name w:val="标题 2 字符"/>
    <w:basedOn w:val="26"/>
    <w:link w:val="3"/>
    <w:autoRedefine/>
    <w:qFormat/>
    <w:uiPriority w:val="9"/>
    <w:rPr>
      <w:rFonts w:ascii="Calibri" w:hAnsi="Calibri" w:eastAsia="宋体" w:cs="Times New Roman"/>
      <w:sz w:val="30"/>
    </w:rPr>
  </w:style>
  <w:style w:type="character" w:customStyle="1" w:styleId="33">
    <w:name w:val="批注文字 字符"/>
    <w:link w:val="7"/>
    <w:autoRedefine/>
    <w:qFormat/>
    <w:locked/>
    <w:uiPriority w:val="0"/>
    <w:rPr>
      <w:rFonts w:ascii="Times New Roman" w:hAnsi="Times New Roman" w:eastAsia="宋体"/>
      <w:sz w:val="24"/>
    </w:rPr>
  </w:style>
  <w:style w:type="character" w:customStyle="1" w:styleId="34">
    <w:name w:val="正文文本 字符"/>
    <w:link w:val="8"/>
    <w:autoRedefine/>
    <w:qFormat/>
    <w:locked/>
    <w:uiPriority w:val="0"/>
    <w:rPr>
      <w:sz w:val="18"/>
    </w:rPr>
  </w:style>
  <w:style w:type="character" w:customStyle="1" w:styleId="35">
    <w:name w:val="正文文本缩进 字符"/>
    <w:basedOn w:val="26"/>
    <w:link w:val="9"/>
    <w:autoRedefine/>
    <w:semiHidden/>
    <w:qFormat/>
    <w:locked/>
    <w:uiPriority w:val="0"/>
    <w:rPr>
      <w:rFonts w:ascii="Times New Roman" w:hAnsi="Times New Roman" w:eastAsia="宋体" w:cs="Times New Roman"/>
      <w:sz w:val="24"/>
      <w:szCs w:val="24"/>
    </w:rPr>
  </w:style>
  <w:style w:type="character" w:customStyle="1" w:styleId="36">
    <w:name w:val="页眉 字符"/>
    <w:basedOn w:val="26"/>
    <w:link w:val="15"/>
    <w:autoRedefine/>
    <w:qFormat/>
    <w:locked/>
    <w:uiPriority w:val="0"/>
    <w:rPr>
      <w:rFonts w:cs="Times New Roman"/>
      <w:sz w:val="18"/>
      <w:szCs w:val="18"/>
    </w:rPr>
  </w:style>
  <w:style w:type="character" w:customStyle="1" w:styleId="37">
    <w:name w:val="日期 字符1"/>
    <w:link w:val="12"/>
    <w:qFormat/>
    <w:locked/>
    <w:uiPriority w:val="0"/>
    <w:rPr>
      <w:rFonts w:ascii="Times New Roman" w:hAnsi="Times New Roman" w:eastAsia="宋体"/>
      <w:sz w:val="24"/>
    </w:rPr>
  </w:style>
  <w:style w:type="character" w:customStyle="1" w:styleId="38">
    <w:name w:val="批注框文本 字符"/>
    <w:basedOn w:val="26"/>
    <w:link w:val="13"/>
    <w:semiHidden/>
    <w:qFormat/>
    <w:locked/>
    <w:uiPriority w:val="0"/>
    <w:rPr>
      <w:rFonts w:ascii="Times New Roman" w:hAnsi="Times New Roman" w:eastAsia="宋体" w:cs="Times New Roman"/>
      <w:sz w:val="18"/>
      <w:szCs w:val="18"/>
    </w:rPr>
  </w:style>
  <w:style w:type="character" w:customStyle="1" w:styleId="39">
    <w:name w:val="页脚 字符"/>
    <w:basedOn w:val="26"/>
    <w:link w:val="14"/>
    <w:qFormat/>
    <w:locked/>
    <w:uiPriority w:val="0"/>
    <w:rPr>
      <w:rFonts w:cs="Times New Roman"/>
      <w:sz w:val="18"/>
      <w:szCs w:val="18"/>
    </w:rPr>
  </w:style>
  <w:style w:type="character" w:customStyle="1" w:styleId="40">
    <w:name w:val="普通(网站) 字符"/>
    <w:link w:val="20"/>
    <w:autoRedefine/>
    <w:qFormat/>
    <w:locked/>
    <w:uiPriority w:val="0"/>
    <w:rPr>
      <w:b/>
      <w:snapToGrid w:val="0"/>
      <w:sz w:val="30"/>
      <w:szCs w:val="30"/>
    </w:rPr>
  </w:style>
  <w:style w:type="character" w:customStyle="1" w:styleId="41">
    <w:name w:val="批注主题 字符"/>
    <w:basedOn w:val="33"/>
    <w:link w:val="21"/>
    <w:semiHidden/>
    <w:qFormat/>
    <w:locked/>
    <w:uiPriority w:val="0"/>
    <w:rPr>
      <w:rFonts w:ascii="Times New Roman" w:hAnsi="Times New Roman" w:eastAsia="宋体" w:cs="Times New Roman"/>
      <w:b/>
      <w:bCs/>
      <w:kern w:val="2"/>
      <w:sz w:val="24"/>
      <w:szCs w:val="24"/>
    </w:rPr>
  </w:style>
  <w:style w:type="character" w:customStyle="1" w:styleId="42">
    <w:name w:val="日期 字符"/>
    <w:basedOn w:val="26"/>
    <w:autoRedefine/>
    <w:semiHidden/>
    <w:qFormat/>
    <w:uiPriority w:val="0"/>
    <w:rPr>
      <w:rFonts w:ascii="Times New Roman" w:hAnsi="Times New Roman" w:eastAsia="宋体" w:cs="Times New Roman"/>
      <w:sz w:val="24"/>
      <w:szCs w:val="24"/>
    </w:rPr>
  </w:style>
  <w:style w:type="character" w:customStyle="1" w:styleId="43">
    <w:name w:val="正文文本 字符1"/>
    <w:basedOn w:val="26"/>
    <w:semiHidden/>
    <w:qFormat/>
    <w:uiPriority w:val="0"/>
    <w:rPr>
      <w:rFonts w:ascii="Times New Roman" w:hAnsi="Times New Roman" w:eastAsia="宋体" w:cs="Times New Roman"/>
      <w:sz w:val="24"/>
      <w:szCs w:val="24"/>
    </w:rPr>
  </w:style>
  <w:style w:type="paragraph" w:customStyle="1" w:styleId="44">
    <w:name w:val="普通(网站)2"/>
    <w:basedOn w:val="1"/>
    <w:qFormat/>
    <w:uiPriority w:val="0"/>
    <w:pPr>
      <w:widowControl/>
      <w:spacing w:before="100" w:beforeAutospacing="1" w:after="100" w:afterAutospacing="1"/>
      <w:jc w:val="left"/>
    </w:pPr>
    <w:rPr>
      <w:rFonts w:ascii="宋体" w:hAnsi="宋体"/>
      <w:szCs w:val="20"/>
    </w:rPr>
  </w:style>
  <w:style w:type="character" w:customStyle="1" w:styleId="45">
    <w:name w:val="表格 Char"/>
    <w:link w:val="46"/>
    <w:autoRedefine/>
    <w:qFormat/>
    <w:locked/>
    <w:uiPriority w:val="0"/>
    <w:rPr>
      <w:rFonts w:ascii="宋体"/>
      <w:sz w:val="21"/>
    </w:rPr>
  </w:style>
  <w:style w:type="paragraph" w:customStyle="1" w:styleId="46">
    <w:name w:val="表格"/>
    <w:basedOn w:val="1"/>
    <w:next w:val="1"/>
    <w:link w:val="45"/>
    <w:autoRedefine/>
    <w:qFormat/>
    <w:uiPriority w:val="0"/>
    <w:pPr>
      <w:adjustRightInd w:val="0"/>
      <w:snapToGrid w:val="0"/>
      <w:spacing w:beforeLines="10" w:afterLines="10" w:line="259" w:lineRule="auto"/>
      <w:jc w:val="center"/>
    </w:pPr>
    <w:rPr>
      <w:rFonts w:ascii="宋体"/>
      <w:kern w:val="0"/>
      <w:sz w:val="20"/>
      <w:szCs w:val="21"/>
    </w:rPr>
  </w:style>
  <w:style w:type="character" w:customStyle="1" w:styleId="47">
    <w:name w:val="批注文字 字符1"/>
    <w:basedOn w:val="26"/>
    <w:autoRedefine/>
    <w:semiHidden/>
    <w:qFormat/>
    <w:uiPriority w:val="0"/>
    <w:rPr>
      <w:rFonts w:ascii="Times New Roman" w:hAnsi="Times New Roman" w:eastAsia="宋体" w:cs="Times New Roman"/>
      <w:sz w:val="24"/>
      <w:szCs w:val="24"/>
    </w:rPr>
  </w:style>
  <w:style w:type="character" w:customStyle="1" w:styleId="48">
    <w:name w:val="普通(网站) Char"/>
    <w:autoRedefine/>
    <w:qFormat/>
    <w:locked/>
    <w:uiPriority w:val="0"/>
    <w:rPr>
      <w:rFonts w:ascii="宋体" w:hAnsi="宋体" w:eastAsia="宋体"/>
      <w:sz w:val="24"/>
    </w:rPr>
  </w:style>
  <w:style w:type="paragraph" w:customStyle="1" w:styleId="49">
    <w:name w:val="Table Paragraph"/>
    <w:basedOn w:val="1"/>
    <w:autoRedefine/>
    <w:qFormat/>
    <w:uiPriority w:val="1"/>
    <w:rPr>
      <w:rFonts w:ascii="宋体" w:hAnsi="宋体" w:cs="宋体"/>
      <w:lang w:val="zh-CN" w:bidi="zh-CN"/>
    </w:rPr>
  </w:style>
  <w:style w:type="paragraph" w:customStyle="1" w:styleId="50">
    <w:name w:val="Heading #2|1"/>
    <w:basedOn w:val="1"/>
    <w:qFormat/>
    <w:uiPriority w:val="0"/>
    <w:pPr>
      <w:spacing w:after="300"/>
      <w:jc w:val="center"/>
      <w:outlineLvl w:val="1"/>
    </w:pPr>
    <w:rPr>
      <w:rFonts w:ascii="宋体" w:hAnsi="宋体" w:cs="宋体"/>
      <w:sz w:val="40"/>
      <w:szCs w:val="40"/>
      <w:lang w:val="zh-TW" w:eastAsia="zh-TW" w:bidi="zh-TW"/>
    </w:rPr>
  </w:style>
  <w:style w:type="paragraph" w:customStyle="1" w:styleId="51">
    <w:name w:val="论文正文"/>
    <w:basedOn w:val="1"/>
    <w:link w:val="52"/>
    <w:autoRedefine/>
    <w:qFormat/>
    <w:uiPriority w:val="0"/>
    <w:pPr>
      <w:ind w:firstLine="200"/>
    </w:pPr>
    <w:rPr>
      <w:kern w:val="0"/>
      <w:szCs w:val="21"/>
    </w:rPr>
  </w:style>
  <w:style w:type="character" w:customStyle="1" w:styleId="52">
    <w:name w:val="论文正文 Char"/>
    <w:link w:val="51"/>
    <w:autoRedefine/>
    <w:qFormat/>
    <w:uiPriority w:val="0"/>
    <w:rPr>
      <w:rFonts w:ascii="Times New Roman" w:hAnsi="Times New Roman"/>
      <w:kern w:val="0"/>
      <w:szCs w:val="21"/>
    </w:rPr>
  </w:style>
  <w:style w:type="paragraph" w:customStyle="1" w:styleId="53">
    <w:name w:val="题注2"/>
    <w:basedOn w:val="6"/>
    <w:autoRedefine/>
    <w:qFormat/>
    <w:uiPriority w:val="0"/>
    <w:pPr>
      <w:spacing w:after="50" w:afterLines="50" w:line="240" w:lineRule="atLeast"/>
      <w:jc w:val="center"/>
    </w:pPr>
    <w:rPr>
      <w:rFonts w:ascii="Times New Roman" w:hAnsi="Times New Roman" w:eastAsia="楷体"/>
      <w:sz w:val="24"/>
    </w:rPr>
  </w:style>
  <w:style w:type="paragraph" w:customStyle="1" w:styleId="54">
    <w:name w:val="图、表内容字体"/>
    <w:basedOn w:val="51"/>
    <w:next w:val="1"/>
    <w:autoRedefine/>
    <w:qFormat/>
    <w:uiPriority w:val="0"/>
    <w:pPr>
      <w:spacing w:line="440" w:lineRule="exact"/>
      <w:ind w:firstLine="0" w:firstLineChars="0"/>
      <w:jc w:val="center"/>
    </w:pPr>
    <w:rPr>
      <w:sz w:val="21"/>
    </w:rPr>
  </w:style>
  <w:style w:type="paragraph" w:customStyle="1" w:styleId="55">
    <w:name w:val="报告正文"/>
    <w:basedOn w:val="1"/>
    <w:autoRedefine/>
    <w:qFormat/>
    <w:uiPriority w:val="0"/>
  </w:style>
  <w:style w:type="paragraph" w:customStyle="1" w:styleId="56">
    <w:name w:val="风评表头"/>
    <w:basedOn w:val="1"/>
    <w:next w:val="1"/>
    <w:qFormat/>
    <w:uiPriority w:val="0"/>
    <w:pPr>
      <w:spacing w:beforeLines="100"/>
      <w:jc w:val="center"/>
    </w:pPr>
    <w:rPr>
      <w:rFonts w:eastAsia="黑体"/>
      <w:b/>
    </w:rPr>
  </w:style>
  <w:style w:type="paragraph" w:customStyle="1" w:styleId="57">
    <w:name w:val="*正文"/>
    <w:basedOn w:val="1"/>
    <w:autoRedefine/>
    <w:qFormat/>
    <w:uiPriority w:val="0"/>
    <w:pPr>
      <w:ind w:firstLine="200"/>
    </w:pPr>
    <w:rPr>
      <w:kern w:val="0"/>
    </w:rPr>
  </w:style>
  <w:style w:type="paragraph" w:customStyle="1" w:styleId="58">
    <w:name w:val="正文3"/>
    <w:basedOn w:val="1"/>
    <w:next w:val="1"/>
    <w:autoRedefine/>
    <w:qFormat/>
    <w:uiPriority w:val="0"/>
    <w:pPr>
      <w:spacing w:line="529" w:lineRule="exact"/>
    </w:pPr>
    <w:rPr>
      <w:rFonts w:ascii="宋体" w:hAnsi="宋体"/>
    </w:rPr>
  </w:style>
  <w:style w:type="paragraph" w:customStyle="1" w:styleId="59">
    <w:name w:val="三级条标题"/>
    <w:basedOn w:val="1"/>
    <w:next w:val="1"/>
    <w:autoRedefine/>
    <w:qFormat/>
    <w:uiPriority w:val="0"/>
    <w:pPr>
      <w:widowControl/>
      <w:tabs>
        <w:tab w:val="left" w:pos="360"/>
      </w:tabs>
      <w:spacing w:line="240" w:lineRule="auto"/>
      <w:ind w:firstLine="0" w:firstLineChars="0"/>
      <w:outlineLvl w:val="4"/>
    </w:pPr>
    <w:rPr>
      <w:rFonts w:ascii="黑体" w:eastAsia="黑体"/>
      <w:kern w:val="0"/>
      <w:sz w:val="21"/>
      <w:szCs w:val="20"/>
    </w:rPr>
  </w:style>
  <w:style w:type="paragraph" w:customStyle="1" w:styleId="60">
    <w:name w:val="图表"/>
    <w:next w:val="1"/>
    <w:autoRedefine/>
    <w:qFormat/>
    <w:locked/>
    <w:uiPriority w:val="0"/>
    <w:pPr>
      <w:jc w:val="center"/>
    </w:pPr>
    <w:rPr>
      <w:rFonts w:ascii="Times New Roman" w:hAnsi="Times New Roman" w:eastAsia="宋体" w:cs="Times New Roman"/>
      <w:kern w:val="2"/>
      <w:sz w:val="21"/>
      <w:szCs w:val="24"/>
      <w:lang w:val="en-US" w:eastAsia="zh-CN" w:bidi="ar-SA"/>
    </w:rPr>
  </w:style>
  <w:style w:type="paragraph" w:customStyle="1" w:styleId="61">
    <w:name w:val="正文-ls"/>
    <w:basedOn w:val="1"/>
    <w:autoRedefine/>
    <w:qFormat/>
    <w:uiPriority w:val="0"/>
    <w:pPr>
      <w:ind w:firstLine="200"/>
    </w:pPr>
    <w:rPr>
      <w:rFonts w:hAnsi="宋体"/>
      <w:szCs w:val="20"/>
    </w:rPr>
  </w:style>
  <w:style w:type="paragraph" w:styleId="62">
    <w:name w:val="No Spacing"/>
    <w:next w:val="46"/>
    <w:autoRedefine/>
    <w:qFormat/>
    <w:uiPriority w:val="0"/>
    <w:pPr>
      <w:jc w:val="center"/>
    </w:pPr>
    <w:rPr>
      <w:rFonts w:ascii="Times New Roman" w:hAnsi="Times New Roman" w:eastAsia="宋体" w:cs="Times New Roman"/>
      <w:sz w:val="21"/>
      <w:szCs w:val="22"/>
      <w:lang w:val="en-US" w:eastAsia="zh-CN" w:bidi="ar-SA"/>
    </w:rPr>
  </w:style>
  <w:style w:type="paragraph" w:customStyle="1" w:styleId="63">
    <w:name w:val="3表格"/>
    <w:next w:val="1"/>
    <w:qFormat/>
    <w:uiPriority w:val="0"/>
    <w:pPr>
      <w:overflowPunct w:val="0"/>
      <w:adjustRightInd w:val="0"/>
      <w:jc w:val="center"/>
      <w:textAlignment w:val="baseline"/>
    </w:pPr>
    <w:rPr>
      <w:rFonts w:ascii="Times New Roman" w:hAnsi="Times New Roman" w:eastAsia="宋体" w:cs="Times New Roman"/>
      <w:sz w:val="21"/>
      <w:lang w:val="en-US" w:eastAsia="zh-CN" w:bidi="ar-SA"/>
    </w:rPr>
  </w:style>
  <w:style w:type="paragraph" w:customStyle="1" w:styleId="64">
    <w:name w:val="表格内"/>
    <w:basedOn w:val="1"/>
    <w:autoRedefine/>
    <w:qFormat/>
    <w:uiPriority w:val="0"/>
    <w:pPr>
      <w:spacing w:line="240" w:lineRule="auto"/>
      <w:ind w:firstLine="0" w:firstLineChars="0"/>
      <w:jc w:val="center"/>
    </w:pPr>
    <w:rPr>
      <w:sz w:val="21"/>
    </w:rPr>
  </w:style>
  <w:style w:type="paragraph" w:customStyle="1" w:styleId="65">
    <w:name w:val="表格文字"/>
    <w:basedOn w:val="1"/>
    <w:qFormat/>
    <w:uiPriority w:val="0"/>
    <w:pPr>
      <w:adjustRightInd w:val="0"/>
      <w:snapToGrid w:val="0"/>
      <w:spacing w:line="240" w:lineRule="auto"/>
      <w:ind w:firstLine="0" w:firstLineChars="0"/>
      <w:jc w:val="center"/>
    </w:pPr>
    <w:rPr>
      <w:rFonts w:asciiTheme="minorHAnsi" w:hAnsiTheme="minorHAnsi" w:eastAsiaTheme="minorEastAsia"/>
      <w:sz w:val="21"/>
      <w:szCs w:val="21"/>
    </w:rPr>
  </w:style>
  <w:style w:type="paragraph" w:customStyle="1" w:styleId="66">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67">
    <w:name w:val="font41"/>
    <w:autoRedefine/>
    <w:qFormat/>
    <w:uiPriority w:val="0"/>
    <w:rPr>
      <w:rFonts w:hint="default" w:ascii="Times New Roman" w:hAnsi="Times New Roman" w:cs="Times New Roman"/>
      <w:color w:val="000000"/>
      <w:sz w:val="22"/>
      <w:szCs w:val="22"/>
      <w:u w:val="none"/>
    </w:rPr>
  </w:style>
  <w:style w:type="paragraph" w:customStyle="1" w:styleId="68">
    <w:name w:val="Char"/>
    <w:basedOn w:val="1"/>
    <w:qFormat/>
    <w:uiPriority w:val="0"/>
    <w:pPr>
      <w:autoSpaceDE w:val="0"/>
      <w:autoSpaceDN w:val="0"/>
      <w:adjustRightInd w:val="0"/>
      <w:snapToGrid w:val="0"/>
      <w:spacing w:before="50" w:after="50"/>
      <w:ind w:firstLine="560"/>
    </w:pPr>
    <w:rPr>
      <w:rFonts w:eastAsia="仿宋_GB2312"/>
      <w:color w:val="000000"/>
      <w:szCs w:val="28"/>
    </w:rPr>
  </w:style>
  <w:style w:type="paragraph" w:customStyle="1" w:styleId="69">
    <w:name w:val="中等深浅网格 21"/>
    <w:basedOn w:val="1"/>
    <w:autoRedefine/>
    <w:qFormat/>
    <w:uiPriority w:val="0"/>
    <w:pPr>
      <w:jc w:val="center"/>
    </w:pPr>
    <w:rPr>
      <w:sz w:val="21"/>
      <w:szCs w:val="21"/>
    </w:rPr>
  </w:style>
  <w:style w:type="paragraph" w:customStyle="1" w:styleId="70">
    <w:name w:val="无间隔表格内"/>
    <w:basedOn w:val="71"/>
    <w:autoRedefine/>
    <w:qFormat/>
    <w:uiPriority w:val="0"/>
    <w:rPr>
      <w:b w:val="0"/>
      <w:sz w:val="21"/>
    </w:rPr>
  </w:style>
  <w:style w:type="paragraph" w:customStyle="1" w:styleId="71">
    <w:name w:val="表   头"/>
    <w:basedOn w:val="1"/>
    <w:autoRedefine/>
    <w:qFormat/>
    <w:uiPriority w:val="0"/>
    <w:pPr>
      <w:adjustRightInd w:val="0"/>
      <w:snapToGrid w:val="0"/>
      <w:jc w:val="center"/>
    </w:pPr>
    <w:rPr>
      <w:b/>
      <w:szCs w:val="22"/>
    </w:rPr>
  </w:style>
  <w:style w:type="paragraph" w:customStyle="1" w:styleId="72">
    <w:name w:val="Table Text"/>
    <w:basedOn w:val="1"/>
    <w:semiHidden/>
    <w:qFormat/>
    <w:uiPriority w:val="0"/>
    <w:rPr>
      <w:rFonts w:ascii="宋体" w:hAnsi="宋体" w:cs="宋体"/>
      <w:sz w:val="21"/>
      <w:szCs w:val="21"/>
      <w:lang w:eastAsia="en-US"/>
    </w:rPr>
  </w:style>
  <w:style w:type="table" w:customStyle="1" w:styleId="7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8.wmf"/><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FFD1B4-3DEF-42E3-A868-5225BD251BBD}">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79</Pages>
  <Words>46383</Words>
  <Characters>50830</Characters>
  <Lines>348</Lines>
  <Paragraphs>98</Paragraphs>
  <TotalTime>0</TotalTime>
  <ScaleCrop>false</ScaleCrop>
  <LinksUpToDate>false</LinksUpToDate>
  <CharactersWithSpaces>51103</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2025-10-17T00:46:00Z</dcterms:created>
  <dc:creator>lhj</dc:creator>
  <cp:lastModifiedBy>bulabula</cp:lastModifiedBy>
  <cp:lastPrinted>2022-10-10T23:25:00Z</cp:lastPrinted>
  <dcterms:modified xsi:type="dcterms:W3CDTF">2025-11-18T08:03:12Z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7562C24C802BBBD9613F21684BC407A8_43</vt:lpwstr>
  </property>
  <property fmtid="{D5CDD505-2E9C-101B-9397-08002B2CF9AE}" pid="4" name="KSOTemplateDocerSaveRecord">
    <vt:lpwstr>eyJoZGlkIjoiOThlZjk3MTgzMzE5ZjFmOTQ0NzM2ZTM4M2VhY2E3NTQiLCJ1c2VySWQiOiIzNzQ2OTk4MjEifQ==</vt:lpwstr>
  </property>
</Properties>
</file>