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A4D671">
      <w:pPr>
        <w:ind w:left="0" w:leftChars="0" w:firstLine="0" w:firstLineChars="0"/>
        <w:rPr>
          <w:rFonts w:hint="default" w:ascii="Times New Roman" w:hAnsi="Times New Roman" w:eastAsia="宋体" w:cs="Times New Roman"/>
          <w:color w:val="FF0000"/>
          <w:sz w:val="36"/>
          <w:szCs w:val="36"/>
        </w:rPr>
      </w:pPr>
      <w:bookmarkStart w:id="0" w:name="_Hlk57883707"/>
    </w:p>
    <w:bookmarkEnd w:id="0"/>
    <w:p w14:paraId="69BC7974">
      <w:pPr>
        <w:pStyle w:val="23"/>
        <w:ind w:left="0" w:leftChars="0" w:firstLine="0" w:firstLineChars="0"/>
        <w:rPr>
          <w:rFonts w:hint="default"/>
        </w:rPr>
      </w:pPr>
    </w:p>
    <w:p w14:paraId="0D0B16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宋体" w:hAnsi="宋体" w:eastAsia="宋体" w:cs="宋体"/>
          <w:b/>
          <w:bCs w:val="0"/>
          <w:sz w:val="72"/>
          <w:szCs w:val="72"/>
        </w:rPr>
      </w:pPr>
      <w:r>
        <w:rPr>
          <w:rFonts w:hint="default" w:ascii="宋体" w:hAnsi="宋体" w:eastAsia="宋体" w:cs="宋体"/>
          <w:b/>
          <w:bCs w:val="0"/>
          <w:sz w:val="72"/>
          <w:szCs w:val="72"/>
        </w:rPr>
        <w:t>建设项目环境影响报告表</w:t>
      </w:r>
    </w:p>
    <w:p w14:paraId="461D71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0"/>
        <w:rPr>
          <w:rFonts w:hint="default" w:ascii="宋体" w:hAnsi="宋体" w:eastAsia="宋体" w:cs="宋体"/>
          <w:b/>
          <w:bCs w:val="0"/>
          <w:sz w:val="48"/>
          <w:szCs w:val="48"/>
        </w:rPr>
      </w:pPr>
      <w:r>
        <w:rPr>
          <w:rFonts w:hint="default" w:ascii="宋体" w:hAnsi="宋体" w:eastAsia="宋体" w:cs="宋体"/>
          <w:b/>
          <w:bCs w:val="0"/>
          <w:sz w:val="48"/>
          <w:szCs w:val="48"/>
        </w:rPr>
        <w:t>（生态影响类）</w:t>
      </w:r>
    </w:p>
    <w:p w14:paraId="4A7CC23F">
      <w:pPr>
        <w:ind w:firstLine="480"/>
        <w:rPr>
          <w:rFonts w:hint="default" w:ascii="Times New Roman" w:hAnsi="Times New Roman" w:eastAsia="宋体" w:cs="Times New Roman"/>
          <w:color w:val="auto"/>
        </w:rPr>
      </w:pPr>
      <w:bookmarkStart w:id="1" w:name="_Hlk57883728"/>
    </w:p>
    <w:p w14:paraId="63ACE4EF">
      <w:pPr>
        <w:ind w:firstLine="1040"/>
        <w:jc w:val="center"/>
        <w:rPr>
          <w:rFonts w:hint="default" w:ascii="Times New Roman" w:hAnsi="Times New Roman" w:eastAsia="宋体" w:cs="Times New Roman"/>
          <w:color w:val="auto"/>
          <w:sz w:val="52"/>
          <w:szCs w:val="52"/>
        </w:rPr>
      </w:pPr>
    </w:p>
    <w:p w14:paraId="6786122C">
      <w:pPr>
        <w:ind w:firstLine="880"/>
        <w:rPr>
          <w:rFonts w:hint="default" w:ascii="Times New Roman" w:hAnsi="Times New Roman" w:eastAsia="宋体" w:cs="Times New Roman"/>
          <w:color w:val="auto"/>
          <w:sz w:val="44"/>
          <w:szCs w:val="44"/>
        </w:rPr>
      </w:pPr>
    </w:p>
    <w:p w14:paraId="26899AAC">
      <w:pPr>
        <w:pStyle w:val="23"/>
        <w:rPr>
          <w:rFonts w:hint="default" w:ascii="Times New Roman" w:hAnsi="Times New Roman" w:eastAsia="宋体" w:cs="Times New Roman"/>
          <w:color w:val="auto"/>
          <w:sz w:val="44"/>
          <w:szCs w:val="44"/>
        </w:rPr>
      </w:pPr>
    </w:p>
    <w:p w14:paraId="0B10BA4D">
      <w:pPr>
        <w:rPr>
          <w:rFonts w:hint="default" w:ascii="Times New Roman" w:hAnsi="Times New Roman" w:eastAsia="宋体" w:cs="Times New Roman"/>
          <w:color w:val="auto"/>
          <w:sz w:val="44"/>
          <w:szCs w:val="44"/>
        </w:rPr>
      </w:pPr>
    </w:p>
    <w:p w14:paraId="7ACE4BA1">
      <w:pPr>
        <w:pStyle w:val="23"/>
        <w:rPr>
          <w:rFonts w:hint="default"/>
        </w:rPr>
      </w:pPr>
    </w:p>
    <w:p w14:paraId="1EE79837">
      <w:pPr>
        <w:ind w:left="0" w:leftChars="0" w:firstLine="0" w:firstLineChars="0"/>
        <w:rPr>
          <w:rFonts w:hint="default" w:ascii="Times New Roman" w:hAnsi="Times New Roman" w:eastAsia="宋体" w:cs="Times New Roman"/>
          <w:color w:val="auto"/>
          <w:sz w:val="44"/>
          <w:szCs w:val="44"/>
        </w:rPr>
      </w:pPr>
    </w:p>
    <w:bookmarkEnd w:id="1"/>
    <w:p w14:paraId="20414505">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宋体" w:cs="Times New Roman"/>
          <w:b/>
          <w:bCs/>
          <w:sz w:val="28"/>
          <w:szCs w:val="28"/>
          <w:u w:val="single"/>
          <w:lang w:val="en-US" w:eastAsia="zh-CN"/>
        </w:rPr>
      </w:pPr>
      <w:r>
        <w:rPr>
          <w:rFonts w:hint="default" w:ascii="Times New Roman" w:hAnsi="Times New Roman" w:eastAsia="宋体" w:cs="Times New Roman"/>
          <w:b/>
          <w:bCs/>
          <w:sz w:val="28"/>
          <w:szCs w:val="28"/>
        </w:rPr>
        <w:t>项目名称：</w:t>
      </w:r>
      <w:r>
        <w:rPr>
          <w:rFonts w:hint="eastAsia" w:ascii="Times New Roman" w:hAnsi="Times New Roman" w:eastAsia="宋体" w:cs="Times New Roman"/>
          <w:b/>
          <w:bCs/>
          <w:sz w:val="28"/>
          <w:szCs w:val="28"/>
          <w:u w:val="thick"/>
          <w:lang w:eastAsia="zh-CN"/>
        </w:rPr>
        <w:t>宝鸡市陈仓区梨树沟冶金用脉石英矿生产</w:t>
      </w:r>
      <w:r>
        <w:rPr>
          <w:rFonts w:hint="default" w:ascii="Times New Roman" w:hAnsi="Times New Roman" w:eastAsia="宋体" w:cs="Times New Roman"/>
          <w:b/>
          <w:bCs/>
          <w:sz w:val="28"/>
          <w:szCs w:val="28"/>
          <w:u w:val="thick"/>
        </w:rPr>
        <w:t>项目</w:t>
      </w:r>
    </w:p>
    <w:p w14:paraId="45561524">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default" w:ascii="Times New Roman" w:hAnsi="Times New Roman" w:eastAsia="宋体" w:cs="Times New Roman"/>
          <w:b/>
          <w:bCs/>
          <w:sz w:val="28"/>
          <w:szCs w:val="28"/>
          <w:u w:val="single"/>
          <w:lang w:val="en-US" w:eastAsia="zh-CN"/>
        </w:rPr>
      </w:pPr>
      <w:r>
        <w:rPr>
          <w:rFonts w:hint="default" w:ascii="Times New Roman" w:hAnsi="Times New Roman" w:eastAsia="宋体" w:cs="Times New Roman"/>
          <w:b/>
          <w:bCs/>
          <w:sz w:val="28"/>
          <w:szCs w:val="28"/>
        </w:rPr>
        <w:t>建设单位</w:t>
      </w:r>
      <w:r>
        <w:rPr>
          <w:rFonts w:hint="default" w:ascii="Times New Roman" w:hAnsi="Times New Roman" w:eastAsia="宋体" w:cs="Times New Roman"/>
          <w:b/>
          <w:bCs/>
          <w:sz w:val="28"/>
          <w:szCs w:val="28"/>
          <w:u w:val="single"/>
        </w:rPr>
        <w:t>（盖章）：</w:t>
      </w:r>
      <w:r>
        <w:rPr>
          <w:rFonts w:hint="eastAsia" w:ascii="Times New Roman" w:hAnsi="Times New Roman" w:eastAsia="宋体" w:cs="Times New Roman"/>
          <w:b/>
          <w:bCs/>
          <w:sz w:val="28"/>
          <w:szCs w:val="28"/>
          <w:u w:val="single"/>
          <w:lang w:eastAsia="zh-CN"/>
        </w:rPr>
        <w:t>宝鸡昌锦瑞石英科技有限公司</w:t>
      </w:r>
    </w:p>
    <w:p w14:paraId="48FABA54">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both"/>
        <w:textAlignment w:val="auto"/>
        <w:rPr>
          <w:rFonts w:hint="eastAsia"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rPr>
        <w:t>编制日期：</w:t>
      </w:r>
      <w:r>
        <w:rPr>
          <w:rFonts w:hint="eastAsia" w:ascii="Times New Roman" w:hAnsi="Times New Roman" w:eastAsia="宋体" w:cs="Times New Roman"/>
          <w:b/>
          <w:bCs/>
          <w:sz w:val="28"/>
          <w:szCs w:val="28"/>
          <w:u w:val="single"/>
          <w:lang w:val="en-US" w:eastAsia="zh-CN"/>
        </w:rPr>
        <w:t>2025</w:t>
      </w:r>
      <w:r>
        <w:rPr>
          <w:rFonts w:hint="default" w:ascii="Times New Roman" w:hAnsi="Times New Roman" w:eastAsia="宋体" w:cs="Times New Roman"/>
          <w:b/>
          <w:bCs/>
          <w:sz w:val="28"/>
          <w:szCs w:val="28"/>
          <w:u w:val="single"/>
        </w:rPr>
        <w:t>年</w:t>
      </w:r>
      <w:r>
        <w:rPr>
          <w:rFonts w:hint="eastAsia" w:cs="Times New Roman"/>
          <w:b/>
          <w:bCs/>
          <w:sz w:val="28"/>
          <w:szCs w:val="28"/>
          <w:u w:val="single"/>
          <w:lang w:val="en-US" w:eastAsia="zh-CN"/>
        </w:rPr>
        <w:t>10</w:t>
      </w:r>
      <w:r>
        <w:rPr>
          <w:rFonts w:hint="default" w:ascii="Times New Roman" w:hAnsi="Times New Roman" w:eastAsia="宋体" w:cs="Times New Roman"/>
          <w:b/>
          <w:bCs/>
          <w:sz w:val="28"/>
          <w:szCs w:val="28"/>
          <w:u w:val="single"/>
        </w:rPr>
        <w:t>月</w:t>
      </w:r>
    </w:p>
    <w:p w14:paraId="57057EC1">
      <w:pPr>
        <w:adjustRightInd w:val="0"/>
        <w:snapToGrid w:val="0"/>
        <w:spacing w:line="288" w:lineRule="auto"/>
        <w:rPr>
          <w:rFonts w:hint="default" w:ascii="Times New Roman" w:hAnsi="Times New Roman" w:eastAsia="宋体" w:cs="Times New Roman"/>
          <w:color w:val="auto"/>
          <w:sz w:val="36"/>
          <w:szCs w:val="36"/>
        </w:rPr>
      </w:pPr>
    </w:p>
    <w:p w14:paraId="5336DD02">
      <w:pPr>
        <w:adjustRightInd w:val="0"/>
        <w:snapToGrid w:val="0"/>
        <w:spacing w:line="288" w:lineRule="auto"/>
        <w:jc w:val="center"/>
        <w:rPr>
          <w:rFonts w:hint="default" w:ascii="Times New Roman" w:hAnsi="Times New Roman" w:eastAsia="宋体" w:cs="Times New Roman"/>
          <w:color w:val="auto"/>
          <w:sz w:val="36"/>
          <w:szCs w:val="36"/>
        </w:rPr>
      </w:pPr>
    </w:p>
    <w:p w14:paraId="44EC075C">
      <w:pPr>
        <w:adjustRightInd w:val="0"/>
        <w:snapToGrid w:val="0"/>
        <w:spacing w:line="288" w:lineRule="auto"/>
        <w:jc w:val="center"/>
        <w:rPr>
          <w:rFonts w:hint="default" w:ascii="Times New Roman" w:hAnsi="Times New Roman" w:eastAsia="宋体" w:cs="Times New Roman"/>
          <w:color w:val="auto"/>
          <w:sz w:val="36"/>
          <w:szCs w:val="36"/>
        </w:rPr>
      </w:pPr>
    </w:p>
    <w:p w14:paraId="1B9F9007">
      <w:pPr>
        <w:adjustRightInd w:val="0"/>
        <w:snapToGrid w:val="0"/>
        <w:spacing w:line="288" w:lineRule="auto"/>
        <w:jc w:val="center"/>
        <w:rPr>
          <w:rFonts w:hint="default" w:ascii="Times New Roman" w:hAnsi="Times New Roman" w:eastAsia="宋体" w:cs="Times New Roman"/>
          <w:color w:val="auto"/>
          <w:sz w:val="36"/>
          <w:szCs w:val="36"/>
        </w:rPr>
      </w:pPr>
    </w:p>
    <w:p w14:paraId="09CA0CD3">
      <w:pPr>
        <w:adjustRightInd w:val="0"/>
        <w:snapToGrid w:val="0"/>
        <w:spacing w:line="288" w:lineRule="auto"/>
        <w:ind w:left="0" w:leftChars="0" w:firstLine="0" w:firstLineChars="0"/>
        <w:jc w:val="center"/>
        <w:rPr>
          <w:rFonts w:hint="default" w:ascii="Times New Roman" w:hAnsi="Times New Roman" w:eastAsia="宋体" w:cs="Times New Roman"/>
          <w:color w:val="auto"/>
          <w:sz w:val="36"/>
          <w:szCs w:val="36"/>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宋体" w:cs="Times New Roman"/>
          <w:b/>
          <w:bCs/>
          <w:sz w:val="28"/>
          <w:szCs w:val="28"/>
        </w:rPr>
        <w:t>中华人民共和国生态环境部制</w:t>
      </w:r>
    </w:p>
    <w:p w14:paraId="79D96EAF">
      <w:pPr>
        <w:pStyle w:val="20"/>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一、建设项目基本情况</w:t>
      </w:r>
    </w:p>
    <w:tbl>
      <w:tblPr>
        <w:tblStyle w:val="24"/>
        <w:tblW w:w="4931" w:type="pct"/>
        <w:tblInd w:w="0" w:type="dxa"/>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86"/>
        <w:gridCol w:w="3161"/>
        <w:gridCol w:w="1762"/>
        <w:gridCol w:w="2639"/>
      </w:tblGrid>
      <w:tr w14:paraId="5C3E6FC3">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8" w:type="pct"/>
            <w:tcMar>
              <w:top w:w="16" w:type="dxa"/>
              <w:left w:w="16" w:type="dxa"/>
              <w:right w:w="16" w:type="dxa"/>
            </w:tcMar>
            <w:vAlign w:val="center"/>
          </w:tcPr>
          <w:p w14:paraId="392EE1B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4321" w:type="pct"/>
            <w:gridSpan w:val="3"/>
            <w:vAlign w:val="center"/>
          </w:tcPr>
          <w:p w14:paraId="7638F92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lang w:eastAsia="zh-CN"/>
              </w:rPr>
            </w:pPr>
            <w:r>
              <w:rPr>
                <w:rFonts w:hint="eastAsia" w:cs="Times New Roman"/>
                <w:color w:val="auto"/>
                <w:sz w:val="24"/>
                <w:szCs w:val="24"/>
                <w:lang w:eastAsia="zh-CN"/>
              </w:rPr>
              <w:t>宝鸡市陈仓区梨树沟冶金用脉石英矿生产项目</w:t>
            </w:r>
          </w:p>
        </w:tc>
      </w:tr>
      <w:tr w14:paraId="774C6559">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8" w:type="pct"/>
            <w:tcMar>
              <w:top w:w="16" w:type="dxa"/>
              <w:left w:w="16" w:type="dxa"/>
              <w:right w:w="16" w:type="dxa"/>
            </w:tcMar>
            <w:vAlign w:val="center"/>
          </w:tcPr>
          <w:p w14:paraId="324C710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4321" w:type="pct"/>
            <w:gridSpan w:val="3"/>
            <w:vAlign w:val="center"/>
          </w:tcPr>
          <w:p w14:paraId="413023B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2411-610304-04-01-306586</w:t>
            </w:r>
          </w:p>
        </w:tc>
      </w:tr>
      <w:tr w14:paraId="523F5D8C">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8" w:type="pct"/>
            <w:tcMar>
              <w:top w:w="16" w:type="dxa"/>
              <w:left w:w="16" w:type="dxa"/>
              <w:right w:w="16" w:type="dxa"/>
            </w:tcMar>
            <w:vAlign w:val="center"/>
          </w:tcPr>
          <w:p w14:paraId="4A3C5C1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w:t>
            </w:r>
          </w:p>
          <w:p w14:paraId="76576B7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联系人</w:t>
            </w:r>
          </w:p>
        </w:tc>
        <w:tc>
          <w:tcPr>
            <w:tcW w:w="1806" w:type="pct"/>
            <w:vAlign w:val="center"/>
          </w:tcPr>
          <w:p w14:paraId="0D70FF7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史梓尧</w:t>
            </w:r>
          </w:p>
        </w:tc>
        <w:tc>
          <w:tcPr>
            <w:tcW w:w="1007" w:type="pct"/>
            <w:vAlign w:val="center"/>
          </w:tcPr>
          <w:p w14:paraId="2B01584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联系方式</w:t>
            </w:r>
          </w:p>
        </w:tc>
        <w:tc>
          <w:tcPr>
            <w:tcW w:w="1507" w:type="pct"/>
            <w:vAlign w:val="center"/>
          </w:tcPr>
          <w:p w14:paraId="0C0678C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lang w:val="en-US" w:eastAsia="zh-CN"/>
              </w:rPr>
            </w:pPr>
          </w:p>
        </w:tc>
      </w:tr>
      <w:tr w14:paraId="5E9BBC91">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8" w:type="pct"/>
            <w:tcMar>
              <w:top w:w="16" w:type="dxa"/>
              <w:left w:w="16" w:type="dxa"/>
              <w:right w:w="16" w:type="dxa"/>
            </w:tcMar>
            <w:vAlign w:val="center"/>
          </w:tcPr>
          <w:p w14:paraId="5846649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4321" w:type="pct"/>
            <w:gridSpan w:val="3"/>
            <w:vAlign w:val="center"/>
          </w:tcPr>
          <w:p w14:paraId="6CB7418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陕西省</w:t>
            </w:r>
            <w:r>
              <w:rPr>
                <w:rFonts w:hint="default" w:ascii="Times New Roman" w:hAnsi="Times New Roman" w:eastAsia="宋体" w:cs="Times New Roman"/>
                <w:color w:val="auto"/>
                <w:sz w:val="24"/>
                <w:szCs w:val="24"/>
                <w:lang w:val="en-US" w:eastAsia="zh-CN"/>
              </w:rPr>
              <w:t>宝鸡市陈仓区</w:t>
            </w:r>
            <w:r>
              <w:rPr>
                <w:rFonts w:hint="eastAsia" w:cs="Times New Roman"/>
                <w:color w:val="auto"/>
                <w:sz w:val="24"/>
                <w:szCs w:val="24"/>
                <w:lang w:val="en-US" w:eastAsia="zh-CN"/>
              </w:rPr>
              <w:t>香泉镇梨树沟</w:t>
            </w:r>
          </w:p>
        </w:tc>
      </w:tr>
      <w:tr w14:paraId="6DB41438">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8" w:type="pct"/>
            <w:tcMar>
              <w:top w:w="16" w:type="dxa"/>
              <w:left w:w="16" w:type="dxa"/>
              <w:right w:w="16" w:type="dxa"/>
            </w:tcMar>
            <w:vAlign w:val="center"/>
          </w:tcPr>
          <w:p w14:paraId="241FC3E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4321" w:type="pct"/>
            <w:gridSpan w:val="3"/>
            <w:vAlign w:val="center"/>
          </w:tcPr>
          <w:p w14:paraId="5DB479B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矿区中心坐标</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u w:val="single"/>
              </w:rPr>
              <w:t>1</w:t>
            </w:r>
            <w:r>
              <w:rPr>
                <w:rFonts w:hint="default" w:ascii="Times New Roman" w:hAnsi="Times New Roman" w:eastAsia="宋体" w:cs="Times New Roman"/>
                <w:color w:val="auto"/>
                <w:sz w:val="24"/>
                <w:szCs w:val="24"/>
                <w:u w:val="single"/>
                <w:lang w:val="en-US" w:eastAsia="zh-CN"/>
              </w:rPr>
              <w:t>06</w:t>
            </w:r>
            <w:r>
              <w:rPr>
                <w:rFonts w:hint="default" w:ascii="Times New Roman" w:hAnsi="Times New Roman" w:eastAsia="宋体" w:cs="Times New Roman"/>
                <w:color w:val="auto"/>
                <w:sz w:val="24"/>
                <w:szCs w:val="24"/>
              </w:rPr>
              <w:t>度</w:t>
            </w:r>
            <w:r>
              <w:rPr>
                <w:rFonts w:hint="default" w:ascii="Times New Roman" w:hAnsi="Times New Roman" w:eastAsia="宋体" w:cs="Times New Roman"/>
                <w:color w:val="auto"/>
                <w:sz w:val="24"/>
                <w:szCs w:val="24"/>
                <w:u w:val="single"/>
                <w:lang w:val="en-US" w:eastAsia="zh-CN"/>
              </w:rPr>
              <w:t>4</w:t>
            </w:r>
            <w:r>
              <w:rPr>
                <w:rFonts w:hint="eastAsia" w:cs="Times New Roman"/>
                <w:color w:val="auto"/>
                <w:sz w:val="24"/>
                <w:szCs w:val="24"/>
                <w:u w:val="single"/>
                <w:lang w:val="en-US" w:eastAsia="zh-CN"/>
              </w:rPr>
              <w:t>8</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48.090</w:t>
            </w:r>
            <w:r>
              <w:rPr>
                <w:rFonts w:hint="default" w:ascii="Times New Roman" w:hAnsi="Times New Roman" w:eastAsia="宋体" w:cs="Times New Roman"/>
                <w:color w:val="auto"/>
                <w:sz w:val="24"/>
                <w:szCs w:val="24"/>
              </w:rPr>
              <w:t>秒，</w:t>
            </w:r>
            <w:r>
              <w:rPr>
                <w:rFonts w:hint="default" w:ascii="Times New Roman" w:hAnsi="Times New Roman" w:eastAsia="宋体" w:cs="Times New Roman"/>
                <w:color w:val="auto"/>
                <w:sz w:val="24"/>
                <w:szCs w:val="24"/>
                <w:u w:val="single"/>
              </w:rPr>
              <w:t>3</w:t>
            </w:r>
            <w:r>
              <w:rPr>
                <w:rFonts w:hint="default" w:ascii="Times New Roman" w:hAnsi="Times New Roman" w:eastAsia="宋体" w:cs="Times New Roman"/>
                <w:color w:val="auto"/>
                <w:sz w:val="24"/>
                <w:szCs w:val="24"/>
                <w:u w:val="single"/>
                <w:lang w:val="en-US" w:eastAsia="zh-CN"/>
              </w:rPr>
              <w:t>4</w:t>
            </w:r>
            <w:r>
              <w:rPr>
                <w:rFonts w:hint="default" w:ascii="Times New Roman" w:hAnsi="Times New Roman" w:eastAsia="宋体" w:cs="Times New Roman"/>
                <w:color w:val="auto"/>
                <w:sz w:val="24"/>
                <w:szCs w:val="24"/>
              </w:rPr>
              <w:t>度</w:t>
            </w:r>
            <w:r>
              <w:rPr>
                <w:rFonts w:hint="eastAsia" w:cs="Times New Roman"/>
                <w:color w:val="auto"/>
                <w:sz w:val="24"/>
                <w:szCs w:val="24"/>
                <w:u w:val="single"/>
                <w:lang w:val="en-US" w:eastAsia="zh-CN"/>
              </w:rPr>
              <w:t>35</w:t>
            </w:r>
            <w:r>
              <w:rPr>
                <w:rFonts w:hint="default" w:ascii="Times New Roman" w:hAnsi="Times New Roman" w:eastAsia="宋体" w:cs="Times New Roman"/>
                <w:color w:val="auto"/>
                <w:sz w:val="24"/>
                <w:szCs w:val="24"/>
              </w:rPr>
              <w:t>分</w:t>
            </w:r>
            <w:r>
              <w:rPr>
                <w:rFonts w:hint="eastAsia" w:cs="Times New Roman"/>
                <w:color w:val="auto"/>
                <w:sz w:val="24"/>
                <w:szCs w:val="24"/>
                <w:u w:val="single"/>
                <w:lang w:val="en-US" w:eastAsia="zh-CN"/>
              </w:rPr>
              <w:t>13.100</w:t>
            </w:r>
            <w:r>
              <w:rPr>
                <w:rFonts w:hint="default" w:ascii="Times New Roman" w:hAnsi="Times New Roman" w:eastAsia="宋体" w:cs="Times New Roman"/>
                <w:color w:val="auto"/>
                <w:sz w:val="24"/>
                <w:szCs w:val="24"/>
              </w:rPr>
              <w:t>秒）</w:t>
            </w:r>
          </w:p>
        </w:tc>
      </w:tr>
      <w:tr w14:paraId="1FE91AE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8" w:type="pct"/>
            <w:tcMar>
              <w:top w:w="16" w:type="dxa"/>
              <w:left w:w="16" w:type="dxa"/>
              <w:right w:w="16" w:type="dxa"/>
            </w:tcMar>
            <w:vAlign w:val="center"/>
          </w:tcPr>
          <w:p w14:paraId="176457B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建设项目</w:t>
            </w:r>
          </w:p>
          <w:p w14:paraId="7C661C8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行业类别</w:t>
            </w:r>
          </w:p>
        </w:tc>
        <w:tc>
          <w:tcPr>
            <w:tcW w:w="1806" w:type="pct"/>
            <w:vAlign w:val="center"/>
          </w:tcPr>
          <w:p w14:paraId="07FA92F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left"/>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八、非金属矿采选业1011土砂石开采101（不含河道采砂项目）</w:t>
            </w:r>
          </w:p>
        </w:tc>
        <w:tc>
          <w:tcPr>
            <w:tcW w:w="1007" w:type="pct"/>
            <w:vAlign w:val="center"/>
          </w:tcPr>
          <w:p w14:paraId="317C7EB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用地（用海）面积（m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）/长度（km）</w:t>
            </w:r>
          </w:p>
        </w:tc>
        <w:tc>
          <w:tcPr>
            <w:tcW w:w="1507" w:type="pct"/>
            <w:vAlign w:val="center"/>
          </w:tcPr>
          <w:p w14:paraId="5FA7A777">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4"/>
                <w:szCs w:val="24"/>
                <w:vertAlign w:val="superscript"/>
              </w:rPr>
            </w:pPr>
            <w:r>
              <w:rPr>
                <w:rFonts w:hint="eastAsia" w:cs="Times New Roman"/>
                <w:sz w:val="24"/>
                <w:szCs w:val="24"/>
                <w:lang w:val="en-US" w:eastAsia="zh-CN"/>
              </w:rPr>
              <w:t>临时用地：</w:t>
            </w:r>
            <w:r>
              <w:rPr>
                <w:rFonts w:hint="default" w:ascii="Times New Roman" w:hAnsi="Times New Roman" w:eastAsia="宋体" w:cs="Times New Roman"/>
                <w:b w:val="0"/>
                <w:bCs w:val="0"/>
                <w:color w:val="auto"/>
                <w:kern w:val="44"/>
                <w:sz w:val="24"/>
                <w:szCs w:val="24"/>
                <w:lang w:val="en-US" w:eastAsia="zh-CN" w:bidi="ar-SA"/>
              </w:rPr>
              <w:t>288.633hm</w:t>
            </w:r>
            <w:r>
              <w:rPr>
                <w:rFonts w:hint="default" w:ascii="Times New Roman" w:hAnsi="Times New Roman" w:eastAsia="宋体" w:cs="Times New Roman"/>
                <w:b w:val="0"/>
                <w:bCs w:val="0"/>
                <w:color w:val="auto"/>
                <w:kern w:val="44"/>
                <w:sz w:val="24"/>
                <w:szCs w:val="24"/>
                <w:vertAlign w:val="superscript"/>
                <w:lang w:val="en-US" w:eastAsia="zh-CN" w:bidi="ar-SA"/>
              </w:rPr>
              <w:t>2</w:t>
            </w:r>
          </w:p>
        </w:tc>
      </w:tr>
      <w:tr w14:paraId="5F68BFC9">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8" w:type="pct"/>
            <w:tcMar>
              <w:top w:w="16" w:type="dxa"/>
              <w:left w:w="16" w:type="dxa"/>
              <w:right w:w="16" w:type="dxa"/>
            </w:tcMar>
            <w:vAlign w:val="center"/>
          </w:tcPr>
          <w:p w14:paraId="19708CA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1806" w:type="pct"/>
            <w:vAlign w:val="center"/>
          </w:tcPr>
          <w:p w14:paraId="618CC14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240" w:firstLineChars="100"/>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新建（迁建）</w:t>
            </w:r>
          </w:p>
          <w:p w14:paraId="154AE7C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240" w:firstLineChars="1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改建</w:t>
            </w:r>
          </w:p>
          <w:p w14:paraId="7364E0F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240" w:firstLineChars="1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扩建</w:t>
            </w:r>
          </w:p>
          <w:p w14:paraId="3FB1634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240" w:firstLineChars="1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技术改造</w:t>
            </w:r>
          </w:p>
        </w:tc>
        <w:tc>
          <w:tcPr>
            <w:tcW w:w="1007" w:type="pct"/>
            <w:vAlign w:val="center"/>
          </w:tcPr>
          <w:p w14:paraId="109A642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14:paraId="1E874F9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1507" w:type="pct"/>
            <w:vAlign w:val="center"/>
          </w:tcPr>
          <w:p w14:paraId="2978BB5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首次申报项目</w:t>
            </w:r>
          </w:p>
          <w:p w14:paraId="36731C8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□不予批准后再次申报项目</w:t>
            </w:r>
          </w:p>
          <w:p w14:paraId="3EEB2C8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□超五年重新审核项目</w:t>
            </w:r>
          </w:p>
          <w:p w14:paraId="21441E3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□重大变动重新报批项目</w:t>
            </w:r>
          </w:p>
        </w:tc>
      </w:tr>
      <w:tr w14:paraId="565EDA25">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8" w:type="pct"/>
            <w:shd w:val="clear" w:color="auto" w:fill="auto"/>
            <w:tcMar>
              <w:top w:w="16" w:type="dxa"/>
              <w:left w:w="16" w:type="dxa"/>
              <w:right w:w="16" w:type="dxa"/>
            </w:tcMar>
            <w:vAlign w:val="center"/>
          </w:tcPr>
          <w:p w14:paraId="3C863DE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项目审批（核准/备案）部门（选填）</w:t>
            </w:r>
          </w:p>
        </w:tc>
        <w:tc>
          <w:tcPr>
            <w:tcW w:w="1806" w:type="pct"/>
            <w:shd w:val="clear" w:color="auto" w:fill="auto"/>
            <w:vAlign w:val="center"/>
          </w:tcPr>
          <w:p w14:paraId="441369D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宝鸡市</w:t>
            </w:r>
            <w:r>
              <w:rPr>
                <w:rFonts w:hint="default" w:ascii="Times New Roman" w:hAnsi="Times New Roman" w:eastAsia="宋体" w:cs="Times New Roman"/>
                <w:color w:val="auto"/>
                <w:sz w:val="24"/>
                <w:szCs w:val="24"/>
                <w:lang w:val="en-US" w:eastAsia="zh-CN"/>
              </w:rPr>
              <w:t>陈仓区发展和改革</w:t>
            </w:r>
            <w:r>
              <w:rPr>
                <w:rFonts w:hint="default" w:ascii="Times New Roman" w:hAnsi="Times New Roman" w:eastAsia="宋体" w:cs="Times New Roman"/>
                <w:color w:val="auto"/>
                <w:sz w:val="24"/>
                <w:szCs w:val="24"/>
              </w:rPr>
              <w:t>局</w:t>
            </w:r>
          </w:p>
        </w:tc>
        <w:tc>
          <w:tcPr>
            <w:tcW w:w="1007" w:type="pct"/>
            <w:shd w:val="clear" w:color="auto" w:fill="auto"/>
            <w:vAlign w:val="center"/>
          </w:tcPr>
          <w:p w14:paraId="5E7A06B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14:paraId="4C30C8A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备案）文号（选填）</w:t>
            </w:r>
          </w:p>
        </w:tc>
        <w:tc>
          <w:tcPr>
            <w:tcW w:w="1507" w:type="pct"/>
            <w:vAlign w:val="center"/>
          </w:tcPr>
          <w:p w14:paraId="5F507F0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783EE5E5">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8" w:type="pct"/>
            <w:tcMar>
              <w:top w:w="16" w:type="dxa"/>
              <w:left w:w="16" w:type="dxa"/>
              <w:right w:w="16" w:type="dxa"/>
            </w:tcMar>
            <w:vAlign w:val="center"/>
          </w:tcPr>
          <w:p w14:paraId="2046EC5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1806" w:type="pct"/>
            <w:vAlign w:val="center"/>
          </w:tcPr>
          <w:p w14:paraId="62B9859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10000</w:t>
            </w:r>
          </w:p>
        </w:tc>
        <w:tc>
          <w:tcPr>
            <w:tcW w:w="1007" w:type="pct"/>
            <w:tcMar>
              <w:top w:w="16" w:type="dxa"/>
              <w:left w:w="16" w:type="dxa"/>
              <w:right w:w="16" w:type="dxa"/>
            </w:tcMar>
            <w:vAlign w:val="center"/>
          </w:tcPr>
          <w:p w14:paraId="3576E65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环保投资（万元）</w:t>
            </w:r>
          </w:p>
        </w:tc>
        <w:tc>
          <w:tcPr>
            <w:tcW w:w="1507" w:type="pct"/>
            <w:vAlign w:val="center"/>
          </w:tcPr>
          <w:p w14:paraId="00BD655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100</w:t>
            </w:r>
          </w:p>
        </w:tc>
      </w:tr>
      <w:tr w14:paraId="38DAB46A">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78" w:type="pct"/>
            <w:tcMar>
              <w:top w:w="16" w:type="dxa"/>
              <w:left w:w="16" w:type="dxa"/>
              <w:right w:w="16" w:type="dxa"/>
            </w:tcMar>
            <w:vAlign w:val="center"/>
          </w:tcPr>
          <w:p w14:paraId="151CB93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1806" w:type="pct"/>
            <w:vAlign w:val="center"/>
          </w:tcPr>
          <w:p w14:paraId="5707A41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p>
        </w:tc>
        <w:tc>
          <w:tcPr>
            <w:tcW w:w="1007" w:type="pct"/>
            <w:tcMar>
              <w:top w:w="16" w:type="dxa"/>
              <w:left w:w="16" w:type="dxa"/>
              <w:right w:w="16" w:type="dxa"/>
            </w:tcMar>
            <w:vAlign w:val="center"/>
          </w:tcPr>
          <w:p w14:paraId="17801DE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1507" w:type="pct"/>
            <w:vAlign w:val="center"/>
          </w:tcPr>
          <w:p w14:paraId="2C4DAE9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个月</w:t>
            </w:r>
          </w:p>
        </w:tc>
      </w:tr>
      <w:tr w14:paraId="2E2AD07B">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678" w:type="pct"/>
            <w:tcMar>
              <w:top w:w="16" w:type="dxa"/>
              <w:left w:w="16" w:type="dxa"/>
              <w:right w:w="16" w:type="dxa"/>
            </w:tcMar>
            <w:vAlign w:val="center"/>
          </w:tcPr>
          <w:p w14:paraId="161F198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4321" w:type="pct"/>
            <w:gridSpan w:val="3"/>
            <w:vAlign w:val="center"/>
          </w:tcPr>
          <w:p w14:paraId="3E5B308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240" w:firstLineChars="1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否</w:t>
            </w:r>
          </w:p>
          <w:p w14:paraId="5C0C778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240" w:firstLineChars="100"/>
              <w:jc w:val="left"/>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是：</w:t>
            </w:r>
          </w:p>
        </w:tc>
      </w:tr>
      <w:tr w14:paraId="44DB4D76">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78" w:type="pct"/>
            <w:tcMar>
              <w:top w:w="16" w:type="dxa"/>
              <w:left w:w="16" w:type="dxa"/>
              <w:right w:w="16" w:type="dxa"/>
            </w:tcMar>
            <w:vAlign w:val="center"/>
          </w:tcPr>
          <w:p w14:paraId="556880D6">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专项评价</w:t>
            </w:r>
          </w:p>
          <w:p w14:paraId="4E7182EC">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设置情况</w:t>
            </w:r>
          </w:p>
        </w:tc>
        <w:tc>
          <w:tcPr>
            <w:tcW w:w="4321" w:type="pct"/>
            <w:gridSpan w:val="3"/>
            <w:tcMar>
              <w:top w:w="16" w:type="dxa"/>
              <w:left w:w="16" w:type="dxa"/>
              <w:right w:w="16" w:type="dxa"/>
            </w:tcMar>
            <w:vAlign w:val="center"/>
          </w:tcPr>
          <w:p w14:paraId="5B2D77AF">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无</w:t>
            </w:r>
          </w:p>
        </w:tc>
      </w:tr>
      <w:tr w14:paraId="65D29997">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93" w:hRule="atLeast"/>
        </w:trPr>
        <w:tc>
          <w:tcPr>
            <w:tcW w:w="678" w:type="pct"/>
            <w:tcMar>
              <w:top w:w="16" w:type="dxa"/>
              <w:left w:w="16" w:type="dxa"/>
              <w:right w:w="16" w:type="dxa"/>
            </w:tcMar>
            <w:vAlign w:val="center"/>
          </w:tcPr>
          <w:p w14:paraId="2821483E">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w:t>
            </w:r>
            <w:r>
              <w:rPr>
                <w:rFonts w:hint="default"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rPr>
              <w:t>规划环境影响评价情况</w:t>
            </w:r>
          </w:p>
        </w:tc>
        <w:tc>
          <w:tcPr>
            <w:tcW w:w="7562" w:type="dxa"/>
            <w:gridSpan w:val="3"/>
            <w:tcMar>
              <w:top w:w="16" w:type="dxa"/>
              <w:left w:w="16" w:type="dxa"/>
              <w:right w:w="16" w:type="dxa"/>
            </w:tcMar>
            <w:vAlign w:val="center"/>
          </w:tcPr>
          <w:p w14:paraId="3B82F0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规划名称：《陕西省矿产资源总体规划（2021—2025年）》</w:t>
            </w:r>
          </w:p>
          <w:p w14:paraId="37C23E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审批机关：中华人民共和国自然资源部</w:t>
            </w:r>
          </w:p>
          <w:p w14:paraId="22B70C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审批文号：自然资函[2022]345号</w:t>
            </w:r>
          </w:p>
        </w:tc>
      </w:tr>
      <w:tr w14:paraId="1C3C31F1">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72" w:hRule="atLeast"/>
        </w:trPr>
        <w:tc>
          <w:tcPr>
            <w:tcW w:w="678" w:type="pct"/>
            <w:tcMar>
              <w:top w:w="16" w:type="dxa"/>
              <w:left w:w="16" w:type="dxa"/>
              <w:right w:w="16" w:type="dxa"/>
            </w:tcMar>
            <w:vAlign w:val="center"/>
          </w:tcPr>
          <w:p w14:paraId="07CFE283">
            <w:pPr>
              <w:pageBreakBefore w:val="0"/>
              <w:kinsoku/>
              <w:overflowPunct/>
              <w:topLinePunct w:val="0"/>
              <w:autoSpaceDE w:val="0"/>
              <w:autoSpaceDN w:val="0"/>
              <w:bidi w:val="0"/>
              <w:adjustRightInd w:val="0"/>
              <w:snapToGrid w:val="0"/>
              <w:spacing w:beforeAutospacing="0" w:afterAutospacing="0" w:line="240" w:lineRule="auto"/>
              <w:ind w:left="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规划及规划环境影响评价符合性分析</w:t>
            </w:r>
          </w:p>
        </w:tc>
        <w:tc>
          <w:tcPr>
            <w:tcW w:w="7562" w:type="dxa"/>
            <w:gridSpan w:val="3"/>
            <w:tcMar>
              <w:top w:w="16" w:type="dxa"/>
              <w:left w:w="16" w:type="dxa"/>
              <w:right w:w="16" w:type="dxa"/>
            </w:tcMar>
            <w:vAlign w:val="center"/>
          </w:tcPr>
          <w:p w14:paraId="471BD4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规划名称：《陕西省矿产资源总体规划（2021—2025年）</w:t>
            </w:r>
            <w:r>
              <w:rPr>
                <w:rFonts w:hint="eastAsia" w:cs="Times New Roman"/>
                <w:color w:val="auto"/>
                <w:sz w:val="24"/>
                <w:szCs w:val="24"/>
                <w:highlight w:val="none"/>
                <w:lang w:val="en-US" w:eastAsia="zh-CN"/>
              </w:rPr>
              <w:t>环境影响报告书</w:t>
            </w:r>
            <w:r>
              <w:rPr>
                <w:rFonts w:hint="eastAsia" w:ascii="Times New Roman" w:hAnsi="Times New Roman" w:eastAsia="宋体" w:cs="Times New Roman"/>
                <w:color w:val="auto"/>
                <w:sz w:val="24"/>
                <w:szCs w:val="24"/>
                <w:highlight w:val="none"/>
                <w:lang w:val="en-US" w:eastAsia="zh-CN"/>
              </w:rPr>
              <w:t>》</w:t>
            </w:r>
          </w:p>
          <w:p w14:paraId="0AD44B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审批机关：陕西省生态环境厅</w:t>
            </w:r>
          </w:p>
          <w:p w14:paraId="12F7BD1C">
            <w:pPr>
              <w:keepNext w:val="0"/>
              <w:keepLines w:val="0"/>
              <w:pageBreakBefore w:val="0"/>
              <w:kinsoku/>
              <w:wordWrap/>
              <w:overflowPunct/>
              <w:topLinePunct w:val="0"/>
              <w:bidi w:val="0"/>
              <w:adjustRightInd/>
              <w:snapToGrid/>
              <w:spacing w:line="240" w:lineRule="auto"/>
              <w:ind w:firstLine="0" w:firstLineChars="0"/>
              <w:jc w:val="left"/>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审批文号：陕环批复[2022]42号</w:t>
            </w:r>
          </w:p>
        </w:tc>
      </w:tr>
      <w:tr w14:paraId="2621A562">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9" w:hRule="atLeast"/>
        </w:trPr>
        <w:tc>
          <w:tcPr>
            <w:tcW w:w="678" w:type="pct"/>
            <w:tcMar>
              <w:top w:w="16" w:type="dxa"/>
              <w:left w:w="16" w:type="dxa"/>
              <w:right w:w="16" w:type="dxa"/>
            </w:tcMar>
            <w:vAlign w:val="center"/>
          </w:tcPr>
          <w:p w14:paraId="650492A4">
            <w:pPr>
              <w:pStyle w:val="20"/>
              <w:pageBreakBefore w:val="0"/>
              <w:kinsoku/>
              <w:overflowPunct/>
              <w:topLinePunct w:val="0"/>
              <w:bidi w:val="0"/>
              <w:spacing w:before="0" w:beforeAutospacing="0" w:after="0" w:afterAutospacing="0" w:line="240" w:lineRule="auto"/>
              <w:ind w:left="0" w:leftChars="0" w:firstLine="0" w:firstLineChars="0"/>
              <w:jc w:val="center"/>
              <w:outlineLvl w:val="0"/>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其他符合性分析</w:t>
            </w:r>
          </w:p>
        </w:tc>
        <w:tc>
          <w:tcPr>
            <w:tcW w:w="4321" w:type="pct"/>
            <w:gridSpan w:val="3"/>
            <w:tcMar>
              <w:top w:w="16" w:type="dxa"/>
              <w:left w:w="16" w:type="dxa"/>
              <w:right w:w="16" w:type="dxa"/>
            </w:tcMar>
            <w:vAlign w:val="top"/>
          </w:tcPr>
          <w:p w14:paraId="15011DFC">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360" w:lineRule="auto"/>
              <w:ind w:left="0" w:firstLine="420"/>
              <w:textAlignment w:val="center"/>
              <w:rPr>
                <w:rFonts w:hint="eastAsia"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1、产业政策符合性分析</w:t>
            </w:r>
          </w:p>
          <w:p w14:paraId="34225AE9">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360" w:lineRule="auto"/>
              <w:ind w:left="0" w:firstLine="420"/>
              <w:textAlignment w:val="center"/>
              <w:rPr>
                <w:rFonts w:hint="eastAsia"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auto"/>
                <w:sz w:val="24"/>
                <w:szCs w:val="24"/>
                <w:lang w:val="en-US" w:eastAsia="zh-CN"/>
              </w:rPr>
              <w:t>本项目为冶金用脉石英矿生产项目，根据《产业结构调整指导目录》（2024年本），不属于“鼓励类”、“淘汰类”和“限制类”范围，视为允许类建设项目，</w:t>
            </w:r>
            <w:r>
              <w:rPr>
                <w:rFonts w:hint="eastAsia" w:cs="Times New Roman"/>
                <w:b w:val="0"/>
                <w:bCs w:val="0"/>
                <w:color w:val="000000" w:themeColor="text1"/>
                <w:sz w:val="24"/>
                <w:szCs w:val="24"/>
                <w:lang w:val="en-US" w:eastAsia="zh-CN"/>
                <w14:textFill>
                  <w14:solidFill>
                    <w14:schemeClr w14:val="tx1"/>
                  </w14:solidFill>
                </w14:textFill>
              </w:rPr>
              <w:t>项目不属于国家发展改革委、商务部关于印发《市场准入负面清单（2025年版）》（发改体改规[2025]466号）中所列事项。</w:t>
            </w:r>
          </w:p>
          <w:p w14:paraId="5FBEC1A0">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360" w:lineRule="auto"/>
              <w:ind w:left="0" w:firstLine="420"/>
              <w:textAlignment w:val="center"/>
              <w:rPr>
                <w:rFonts w:hint="eastAsia"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2024年12月23日，取得了陕西省企业投资项目备案确认书，项目代码为：2411-610304-04-01-306586（见附件1）。</w:t>
            </w:r>
          </w:p>
          <w:p w14:paraId="150EC1CB">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360" w:lineRule="auto"/>
              <w:ind w:left="0" w:firstLine="420"/>
              <w:textAlignment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因此，项目建设符合国家和地方产业政策</w:t>
            </w:r>
          </w:p>
          <w:p w14:paraId="3D5412F0">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360" w:lineRule="auto"/>
              <w:ind w:left="0" w:firstLine="420"/>
              <w:textAlignment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项目</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与宝鸡市“三线一单”生态环境分区管控方案符合性分析</w:t>
            </w:r>
          </w:p>
          <w:p w14:paraId="2FF39240">
            <w:pPr>
              <w:keepNext w:val="0"/>
              <w:keepLines w:val="0"/>
              <w:pageBreakBefore w:val="0"/>
              <w:widowControl w:val="0"/>
              <w:kinsoku/>
              <w:wordWrap w:val="0"/>
              <w:overflowPunct/>
              <w:topLinePunct w:val="0"/>
              <w:autoSpaceDE w:val="0"/>
              <w:autoSpaceDN w:val="0"/>
              <w:bidi w:val="0"/>
              <w:adjustRightInd/>
              <w:snapToGrid/>
              <w:spacing w:beforeAutospacing="0" w:afterAutospacing="0" w:line="360" w:lineRule="auto"/>
              <w:ind w:left="0" w:firstLine="420"/>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①本项目与宝鸡市生态环境管控单元分析示意图</w:t>
            </w:r>
          </w:p>
          <w:p w14:paraId="1FB9A5C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auto"/>
                <w:sz w:val="24"/>
                <w:szCs w:val="24"/>
                <w:lang w:val="en-US" w:eastAsia="zh-CN"/>
              </w:rPr>
              <w:t>经</w:t>
            </w:r>
            <w:r>
              <w:rPr>
                <w:rFonts w:hint="default" w:ascii="Times New Roman" w:hAnsi="Times New Roman" w:eastAsia="宋体" w:cs="Times New Roman"/>
                <w:color w:val="auto"/>
                <w:sz w:val="24"/>
                <w:szCs w:val="24"/>
                <w:lang w:val="en-US" w:eastAsia="zh-CN"/>
              </w:rPr>
              <w:t>陕西省“三线一单”数据应用系统冲突分析导出的</w:t>
            </w:r>
            <w:r>
              <w:rPr>
                <w:rFonts w:hint="eastAsia" w:cs="Times New Roman"/>
                <w:color w:val="auto"/>
                <w:sz w:val="24"/>
                <w:szCs w:val="24"/>
                <w:lang w:val="en-US" w:eastAsia="zh-CN"/>
              </w:rPr>
              <w:t>宝鸡市</w:t>
            </w:r>
            <w:r>
              <w:rPr>
                <w:rFonts w:hint="default" w:ascii="Times New Roman" w:hAnsi="Times New Roman" w:eastAsia="宋体" w:cs="Times New Roman"/>
                <w:color w:val="auto"/>
                <w:sz w:val="24"/>
                <w:szCs w:val="24"/>
                <w:lang w:val="en-GB" w:eastAsia="zh-CN"/>
              </w:rPr>
              <w:t>“三线一单”生态环境管控单元对照分析报告</w:t>
            </w:r>
            <w:r>
              <w:rPr>
                <w:rFonts w:hint="default" w:ascii="Times New Roman" w:hAnsi="Times New Roman" w:eastAsia="宋体" w:cs="Times New Roman"/>
                <w:color w:val="auto"/>
                <w:sz w:val="24"/>
                <w:szCs w:val="24"/>
                <w:lang w:val="en-US" w:eastAsia="zh-CN"/>
              </w:rPr>
              <w:t>可知，本</w:t>
            </w: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位于陈仓区</w:t>
            </w:r>
            <w:r>
              <w:rPr>
                <w:rFonts w:hint="eastAsia" w:cs="Times New Roman"/>
                <w:color w:val="auto"/>
                <w:sz w:val="24"/>
                <w:szCs w:val="24"/>
                <w:lang w:val="en-US" w:eastAsia="zh-CN"/>
              </w:rPr>
              <w:t>优先保护</w:t>
            </w:r>
            <w:r>
              <w:rPr>
                <w:rFonts w:hint="default" w:ascii="Times New Roman" w:hAnsi="Times New Roman" w:eastAsia="宋体" w:cs="Times New Roman"/>
                <w:color w:val="auto"/>
                <w:sz w:val="24"/>
                <w:szCs w:val="24"/>
                <w:lang w:val="en-US" w:eastAsia="zh-CN"/>
              </w:rPr>
              <w:t>单元</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4"/>
                <w:szCs w:val="24"/>
                <w:lang w:val="en-US" w:eastAsia="zh-CN"/>
              </w:rPr>
              <w:t>项目不涉及饮用水水源保护区、自然保护区、自然公园、</w:t>
            </w:r>
            <w:r>
              <w:rPr>
                <w:rFonts w:hint="default" w:ascii="Times New Roman" w:hAnsi="Times New Roman" w:eastAsia="宋体" w:cs="Times New Roman"/>
                <w:color w:val="auto"/>
                <w:kern w:val="0"/>
                <w:sz w:val="24"/>
                <w:szCs w:val="24"/>
                <w:lang w:val="en-US" w:eastAsia="zh-CN" w:bidi="ar"/>
              </w:rPr>
              <w:t>水产种质资源保护区、生态功能重要区域、水环境优先保护区、秦岭重点保护区、秦岭核心保护区等环境敏感区。</w:t>
            </w:r>
            <w:r>
              <w:rPr>
                <w:rFonts w:hint="default" w:ascii="Times New Roman" w:hAnsi="Times New Roman" w:eastAsia="宋体" w:cs="Times New Roman"/>
                <w:color w:val="auto"/>
                <w:sz w:val="24"/>
                <w:szCs w:val="24"/>
                <w:lang w:val="en-US" w:eastAsia="zh-CN"/>
              </w:rPr>
              <w:t>项目与宝鸡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市生态环境管控单元分析示意图见图1-1。</w:t>
            </w:r>
          </w:p>
          <w:p w14:paraId="0D939BB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highlight w:val="yellow"/>
                <w:lang w:val="en-US" w:eastAsia="zh-CN"/>
                <w14:textFill>
                  <w14:solidFill>
                    <w14:schemeClr w14:val="tx1"/>
                  </w14:solidFill>
                </w14:textFill>
              </w:rPr>
            </w:pPr>
            <w:r>
              <w:drawing>
                <wp:inline distT="0" distB="0" distL="114300" distR="114300">
                  <wp:extent cx="3552825" cy="5772150"/>
                  <wp:effectExtent l="0" t="0" r="9525"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0"/>
                          <a:stretch>
                            <a:fillRect/>
                          </a:stretch>
                        </pic:blipFill>
                        <pic:spPr>
                          <a:xfrm>
                            <a:off x="0" y="0"/>
                            <a:ext cx="3552825" cy="5772150"/>
                          </a:xfrm>
                          <a:prstGeom prst="rect">
                            <a:avLst/>
                          </a:prstGeom>
                          <a:noFill/>
                          <a:ln>
                            <a:noFill/>
                          </a:ln>
                        </pic:spPr>
                      </pic:pic>
                    </a:graphicData>
                  </a:graphic>
                </wp:inline>
              </w:drawing>
            </w:r>
          </w:p>
          <w:p w14:paraId="1C305B45">
            <w:pPr>
              <w:pStyle w:val="23"/>
              <w:keepNext w:val="0"/>
              <w:keepLines w:val="0"/>
              <w:pageBreakBefore w:val="0"/>
              <w:widowControl w:val="0"/>
              <w:kinsoku/>
              <w:wordWrap/>
              <w:overflowPunct/>
              <w:topLinePunct w:val="0"/>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图1-1</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项目与宝鸡市生态环境管控单元分析示意图</w:t>
            </w:r>
          </w:p>
          <w:p w14:paraId="6B5B2B5E">
            <w:pPr>
              <w:keepNext w:val="0"/>
              <w:keepLines w:val="0"/>
              <w:pageBreakBefore w:val="0"/>
              <w:widowControl w:val="0"/>
              <w:kinsoku/>
              <w:wordWrap w:val="0"/>
              <w:overflowPunct/>
              <w:topLinePunct w:val="0"/>
              <w:autoSpaceDE w:val="0"/>
              <w:autoSpaceDN w:val="0"/>
              <w:bidi w:val="0"/>
              <w:adjustRightInd/>
              <w:snapToGrid/>
              <w:spacing w:beforeAutospacing="0" w:afterAutospacing="0" w:line="360" w:lineRule="auto"/>
              <w:ind w:left="0" w:firstLine="420"/>
              <w:textAlignment w:val="center"/>
              <w:rPr>
                <w:rFonts w:hint="default"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宝鸡市</w:t>
            </w:r>
            <w:r>
              <w:rPr>
                <w:rFonts w:hint="eastAsia" w:cs="Times New Roman"/>
                <w:color w:val="auto"/>
                <w:sz w:val="24"/>
                <w:szCs w:val="24"/>
                <w:lang w:val="en-US" w:eastAsia="zh-CN"/>
              </w:rPr>
              <w:t>陈仓区人民政府</w:t>
            </w:r>
            <w:r>
              <w:rPr>
                <w:rFonts w:hint="eastAsia"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12月16日出具了关于陕西省宝鸡市陈仓区-陇县梨树沟-中南沟脉石英矿探矿权（陈仓区部分）出让意见的函（见附件6），认为该探矿权（陈仓区部分）设置合理，且符合</w:t>
            </w:r>
            <w:r>
              <w:rPr>
                <w:rFonts w:hint="default" w:ascii="Times New Roman" w:hAnsi="Times New Roman" w:eastAsia="宋体" w:cs="Times New Roman"/>
                <w:color w:val="auto"/>
                <w:sz w:val="24"/>
                <w:szCs w:val="24"/>
                <w:lang w:val="en-US" w:eastAsia="zh-CN"/>
              </w:rPr>
              <w:t>“三区三线”</w:t>
            </w:r>
            <w:r>
              <w:rPr>
                <w:rFonts w:hint="eastAsia" w:cs="Times New Roman"/>
                <w:color w:val="auto"/>
                <w:sz w:val="24"/>
                <w:szCs w:val="24"/>
                <w:lang w:val="en-US" w:eastAsia="zh-CN"/>
              </w:rPr>
              <w:t>管控要求。</w:t>
            </w:r>
          </w:p>
          <w:p w14:paraId="6728E22C">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360" w:lineRule="auto"/>
              <w:ind w:left="0" w:firstLine="420"/>
              <w:textAlignment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对照宝鸡市陈仓区林业局文件（宝陈林字【2025】83号）中（见附件7）：宝鸡市陈仓区林业局派专人于7月21日至22日，对拟占用林地现场进行了勘验，经勘查该项目拟实施区域不在秦岭区域，不涉及国家公园、自然保护区、风景名胜区、地质公园、森林公园、湿地公园、沙漠公园、沙化土地封禁保护区、城市规划区、重要湿地、古树名木，未发现陆生野生动物重要栖息地及重点保护野生动物植物，不在生态保护红线范围，经对比陕西省林业局《关于公布陕西省候鸟迁徙通道重点区域范围(第一批)的通知》(陕林动字[2023]501号)该建设项目不涉及候鸟迁徙通道。</w:t>
            </w:r>
          </w:p>
          <w:p w14:paraId="00B35BA5">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360" w:lineRule="auto"/>
              <w:ind w:left="0" w:firstLine="420"/>
              <w:textAlignment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②项目涉及的环境管控单元准入清单分析</w:t>
            </w:r>
          </w:p>
          <w:p w14:paraId="3001C1B3">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360" w:lineRule="auto"/>
              <w:ind w:left="0" w:leftChars="0" w:firstLine="480" w:firstLineChars="200"/>
              <w:textAlignment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建设地</w:t>
            </w:r>
            <w:r>
              <w:rPr>
                <w:rFonts w:hint="eastAsia" w:ascii="Times New Roman" w:hAnsi="Times New Roman" w:eastAsia="宋体" w:cs="Times New Roman"/>
                <w:color w:val="auto"/>
                <w:sz w:val="24"/>
                <w:szCs w:val="24"/>
                <w:lang w:val="en-US" w:eastAsia="zh-CN"/>
              </w:rPr>
              <w:t>位于</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优先保护</w:t>
            </w:r>
            <w:r>
              <w:rPr>
                <w:rFonts w:hint="eastAsia" w:ascii="Times New Roman" w:hAnsi="Times New Roman" w:eastAsia="宋体" w:cs="Times New Roman"/>
                <w:color w:val="auto"/>
                <w:sz w:val="24"/>
                <w:szCs w:val="24"/>
                <w:lang w:val="en-US" w:eastAsia="zh-CN"/>
              </w:rPr>
              <w:t>单元</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，该管控单元准入清单详见表</w:t>
            </w: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w:t>
            </w:r>
          </w:p>
          <w:p w14:paraId="3B1AF5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表1-</w:t>
            </w:r>
            <w:r>
              <w:rPr>
                <w:rFonts w:hint="eastAsia"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本项目环境管控单元准入清单分析</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427"/>
              <w:gridCol w:w="427"/>
              <w:gridCol w:w="636"/>
              <w:gridCol w:w="427"/>
              <w:gridCol w:w="3546"/>
              <w:gridCol w:w="1065"/>
              <w:gridCol w:w="427"/>
            </w:tblGrid>
            <w:tr w14:paraId="5BF5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noWrap w:val="0"/>
                  <w:vAlign w:val="center"/>
                </w:tcPr>
                <w:p w14:paraId="6A943492">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环境管控单元</w:t>
                  </w:r>
                </w:p>
              </w:tc>
              <w:tc>
                <w:tcPr>
                  <w:tcW w:w="295" w:type="pct"/>
                  <w:noWrap w:val="0"/>
                  <w:vAlign w:val="center"/>
                </w:tcPr>
                <w:p w14:paraId="5A8D537D">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区县</w:t>
                  </w:r>
                </w:p>
              </w:tc>
              <w:tc>
                <w:tcPr>
                  <w:tcW w:w="295" w:type="pct"/>
                  <w:noWrap w:val="0"/>
                  <w:vAlign w:val="center"/>
                </w:tcPr>
                <w:p w14:paraId="51F80933">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市区</w:t>
                  </w:r>
                </w:p>
              </w:tc>
              <w:tc>
                <w:tcPr>
                  <w:tcW w:w="295" w:type="pct"/>
                  <w:noWrap w:val="0"/>
                  <w:vAlign w:val="center"/>
                </w:tcPr>
                <w:p w14:paraId="006DB28E">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单元要素属性</w:t>
                  </w:r>
                </w:p>
              </w:tc>
              <w:tc>
                <w:tcPr>
                  <w:tcW w:w="295" w:type="pct"/>
                  <w:noWrap w:val="0"/>
                  <w:vAlign w:val="center"/>
                </w:tcPr>
                <w:p w14:paraId="71E9A07B">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管控要求分类</w:t>
                  </w:r>
                </w:p>
              </w:tc>
              <w:tc>
                <w:tcPr>
                  <w:tcW w:w="2398" w:type="pct"/>
                  <w:noWrap w:val="0"/>
                  <w:vAlign w:val="center"/>
                </w:tcPr>
                <w:p w14:paraId="4836B506">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管控要求</w:t>
                  </w:r>
                </w:p>
              </w:tc>
              <w:tc>
                <w:tcPr>
                  <w:tcW w:w="728" w:type="pct"/>
                  <w:noWrap w:val="0"/>
                  <w:vAlign w:val="center"/>
                </w:tcPr>
                <w:p w14:paraId="18A1C079">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本项目</w:t>
                  </w:r>
                </w:p>
              </w:tc>
              <w:tc>
                <w:tcPr>
                  <w:tcW w:w="297" w:type="pct"/>
                  <w:noWrap w:val="0"/>
                  <w:vAlign w:val="center"/>
                </w:tcPr>
                <w:p w14:paraId="0E73AC86">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符合性</w:t>
                  </w:r>
                </w:p>
              </w:tc>
            </w:tr>
            <w:tr w14:paraId="1F15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restart"/>
                  <w:noWrap w:val="0"/>
                  <w:vAlign w:val="center"/>
                </w:tcPr>
                <w:p w14:paraId="6C53694D">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陕西</w:t>
                  </w:r>
                </w:p>
                <w:p w14:paraId="0BB3A5C1">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省</w:t>
                  </w: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宝鸡</w:t>
                  </w: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市</w:t>
                  </w:r>
                </w:p>
                <w:p w14:paraId="1747BD02">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陈仓区</w:t>
                  </w: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优先</w:t>
                  </w:r>
                </w:p>
                <w:p w14:paraId="7D79B4BC">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保护</w:t>
                  </w:r>
                </w:p>
                <w:p w14:paraId="4E4146D4">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单元2</w:t>
                  </w:r>
                </w:p>
              </w:tc>
              <w:tc>
                <w:tcPr>
                  <w:tcW w:w="295" w:type="pct"/>
                  <w:vMerge w:val="restart"/>
                  <w:noWrap w:val="0"/>
                  <w:vAlign w:val="center"/>
                </w:tcPr>
                <w:p w14:paraId="188AFCD8">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宝鸡市</w:t>
                  </w:r>
                </w:p>
              </w:tc>
              <w:tc>
                <w:tcPr>
                  <w:tcW w:w="295" w:type="pct"/>
                  <w:vMerge w:val="restart"/>
                  <w:noWrap w:val="0"/>
                  <w:vAlign w:val="center"/>
                </w:tcPr>
                <w:p w14:paraId="2779958F">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陈仓区</w:t>
                  </w:r>
                </w:p>
              </w:tc>
              <w:tc>
                <w:tcPr>
                  <w:tcW w:w="295" w:type="pct"/>
                  <w:vMerge w:val="restart"/>
                  <w:noWrap w:val="0"/>
                  <w:vAlign w:val="center"/>
                </w:tcPr>
                <w:p w14:paraId="14388E91">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一般</w:t>
                  </w:r>
                </w:p>
                <w:p w14:paraId="23EC7A43">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生态</w:t>
                  </w:r>
                </w:p>
                <w:p w14:paraId="19A25C03">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空间、</w:t>
                  </w:r>
                </w:p>
                <w:p w14:paraId="696E431B">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一般</w:t>
                  </w:r>
                </w:p>
                <w:p w14:paraId="7A42A766">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生态</w:t>
                  </w:r>
                </w:p>
                <w:p w14:paraId="563515A6">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空间-国家</w:t>
                  </w:r>
                </w:p>
                <w:p w14:paraId="49EF1A3D">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二级</w:t>
                  </w:r>
                </w:p>
                <w:p w14:paraId="13B223E3">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公益</w:t>
                  </w:r>
                </w:p>
                <w:p w14:paraId="167915A2">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林</w:t>
                  </w:r>
                </w:p>
              </w:tc>
              <w:tc>
                <w:tcPr>
                  <w:tcW w:w="295" w:type="pct"/>
                  <w:noWrap w:val="0"/>
                  <w:vAlign w:val="center"/>
                </w:tcPr>
                <w:p w14:paraId="7A9D08A1">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空间约束布局</w:t>
                  </w:r>
                </w:p>
              </w:tc>
              <w:tc>
                <w:tcPr>
                  <w:tcW w:w="2398" w:type="pct"/>
                  <w:noWrap w:val="0"/>
                  <w:vAlign w:val="center"/>
                </w:tcPr>
                <w:p w14:paraId="7E9FC65C">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一般生态空间：原则上按照限制开发区进行管理。功能属性单一、管控要求明确的一般生态空间，按照生态功能属性的既有规定实施管理；具有多重功能属性、且均有既有管理要求的一般生态空间，按照管控要求的严格程度，从严管理；尚未明确管理要求的一般生态空间，以保护为主，限制有损主导生态服务功能的开发建设活动。一般生态空间-国家二级公益林：按照《国家级公益林管理办法》相关规定进行管控。1.二级国家级公益林在不影响整体森林生态系统功能发挥的前提下，可以按规定开展抚育和更新性质的采伐。在不破坏森林植被的前提下，可以合理利用其林地资源，适度开展林下种植养殖和森林游憩等非木质资源开发与利用，科学发展林下经济。2.国家级公益林的调出，以不影响整体生态功能、保持集中连片为原则，一经调出，不得再次申请补进</w:t>
                  </w:r>
                </w:p>
              </w:tc>
              <w:tc>
                <w:tcPr>
                  <w:tcW w:w="728" w:type="pct"/>
                  <w:noWrap w:val="0"/>
                  <w:vAlign w:val="center"/>
                </w:tcPr>
                <w:p w14:paraId="464DEFB9">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本项目冶金用脉石英矿生产</w:t>
                  </w: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项目</w:t>
                  </w: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，本项目生态功能属性具有多重功能属性，按照管控要求从严执行。本项目开采过程中采取相关措施确保不影响整体森林生态系统功能发挥。</w:t>
                  </w:r>
                </w:p>
              </w:tc>
              <w:tc>
                <w:tcPr>
                  <w:tcW w:w="297" w:type="pct"/>
                  <w:noWrap w:val="0"/>
                  <w:vAlign w:val="center"/>
                </w:tcPr>
                <w:p w14:paraId="1994A980">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符合</w:t>
                  </w:r>
                </w:p>
              </w:tc>
            </w:tr>
            <w:tr w14:paraId="586D0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95" w:type="pct"/>
                  <w:vMerge w:val="continue"/>
                  <w:noWrap w:val="0"/>
                  <w:vAlign w:val="center"/>
                </w:tcPr>
                <w:p w14:paraId="15D3F923">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295" w:type="pct"/>
                  <w:vMerge w:val="continue"/>
                  <w:noWrap w:val="0"/>
                  <w:vAlign w:val="center"/>
                </w:tcPr>
                <w:p w14:paraId="6C716219">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295" w:type="pct"/>
                  <w:vMerge w:val="continue"/>
                  <w:noWrap w:val="0"/>
                  <w:vAlign w:val="center"/>
                </w:tcPr>
                <w:p w14:paraId="20416624">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295" w:type="pct"/>
                  <w:vMerge w:val="continue"/>
                  <w:noWrap w:val="0"/>
                  <w:vAlign w:val="center"/>
                </w:tcPr>
                <w:p w14:paraId="30C40E79">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295" w:type="pct"/>
                  <w:noWrap w:val="0"/>
                  <w:vAlign w:val="center"/>
                </w:tcPr>
                <w:p w14:paraId="74EA4709">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污染物排放管控</w:t>
                  </w:r>
                </w:p>
              </w:tc>
              <w:tc>
                <w:tcPr>
                  <w:tcW w:w="2398" w:type="pct"/>
                  <w:noWrap w:val="0"/>
                  <w:vAlign w:val="center"/>
                </w:tcPr>
                <w:p w14:paraId="4BA1B9FD">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w:t>
                  </w:r>
                </w:p>
              </w:tc>
              <w:tc>
                <w:tcPr>
                  <w:tcW w:w="728" w:type="pct"/>
                  <w:noWrap w:val="0"/>
                  <w:vAlign w:val="center"/>
                </w:tcPr>
                <w:p w14:paraId="7891C3D0">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w:t>
                  </w:r>
                </w:p>
              </w:tc>
              <w:tc>
                <w:tcPr>
                  <w:tcW w:w="297" w:type="pct"/>
                  <w:noWrap w:val="0"/>
                  <w:vAlign w:val="center"/>
                </w:tcPr>
                <w:p w14:paraId="083BFFD4">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w:t>
                  </w:r>
                </w:p>
              </w:tc>
            </w:tr>
            <w:tr w14:paraId="2076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95" w:type="pct"/>
                  <w:vMerge w:val="continue"/>
                  <w:noWrap w:val="0"/>
                  <w:vAlign w:val="center"/>
                </w:tcPr>
                <w:p w14:paraId="2AF3A00D">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295" w:type="pct"/>
                  <w:vMerge w:val="continue"/>
                  <w:noWrap w:val="0"/>
                  <w:vAlign w:val="center"/>
                </w:tcPr>
                <w:p w14:paraId="2EB970BC">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295" w:type="pct"/>
                  <w:vMerge w:val="continue"/>
                  <w:noWrap w:val="0"/>
                  <w:vAlign w:val="center"/>
                </w:tcPr>
                <w:p w14:paraId="06115B11">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295" w:type="pct"/>
                  <w:vMerge w:val="continue"/>
                  <w:noWrap w:val="0"/>
                  <w:vAlign w:val="center"/>
                </w:tcPr>
                <w:p w14:paraId="195E28F9">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295" w:type="pct"/>
                  <w:noWrap w:val="0"/>
                  <w:vAlign w:val="center"/>
                </w:tcPr>
                <w:p w14:paraId="4F31802D">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环境风险防控</w:t>
                  </w:r>
                </w:p>
              </w:tc>
              <w:tc>
                <w:tcPr>
                  <w:tcW w:w="2398" w:type="pct"/>
                  <w:noWrap w:val="0"/>
                  <w:vAlign w:val="center"/>
                </w:tcPr>
                <w:p w14:paraId="17BB1FA4">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w:t>
                  </w:r>
                </w:p>
              </w:tc>
              <w:tc>
                <w:tcPr>
                  <w:tcW w:w="728" w:type="pct"/>
                  <w:noWrap w:val="0"/>
                  <w:vAlign w:val="center"/>
                </w:tcPr>
                <w:p w14:paraId="488DB341">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w:t>
                  </w:r>
                </w:p>
              </w:tc>
              <w:tc>
                <w:tcPr>
                  <w:tcW w:w="297" w:type="pct"/>
                  <w:noWrap w:val="0"/>
                  <w:vAlign w:val="center"/>
                </w:tcPr>
                <w:p w14:paraId="6BCBE902">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w:t>
                  </w:r>
                </w:p>
              </w:tc>
            </w:tr>
            <w:tr w14:paraId="6494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395" w:type="pct"/>
                  <w:vMerge w:val="continue"/>
                  <w:noWrap w:val="0"/>
                  <w:vAlign w:val="center"/>
                </w:tcPr>
                <w:p w14:paraId="6632C02E">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295" w:type="pct"/>
                  <w:vMerge w:val="continue"/>
                  <w:noWrap w:val="0"/>
                  <w:vAlign w:val="center"/>
                </w:tcPr>
                <w:p w14:paraId="0F5DC69C">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295" w:type="pct"/>
                  <w:vMerge w:val="continue"/>
                  <w:noWrap w:val="0"/>
                  <w:vAlign w:val="center"/>
                </w:tcPr>
                <w:p w14:paraId="2D7AFC04">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295" w:type="pct"/>
                  <w:vMerge w:val="continue"/>
                  <w:noWrap w:val="0"/>
                  <w:vAlign w:val="center"/>
                </w:tcPr>
                <w:p w14:paraId="0FD7561B">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p>
              </w:tc>
              <w:tc>
                <w:tcPr>
                  <w:tcW w:w="295" w:type="pct"/>
                  <w:noWrap w:val="0"/>
                  <w:vAlign w:val="center"/>
                </w:tcPr>
                <w:p w14:paraId="539E9A38">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资源开发效率要求</w:t>
                  </w:r>
                </w:p>
              </w:tc>
              <w:tc>
                <w:tcPr>
                  <w:tcW w:w="2398" w:type="pct"/>
                  <w:noWrap w:val="0"/>
                  <w:vAlign w:val="center"/>
                </w:tcPr>
                <w:p w14:paraId="4CCB16D2">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w:t>
                  </w:r>
                </w:p>
              </w:tc>
              <w:tc>
                <w:tcPr>
                  <w:tcW w:w="728" w:type="pct"/>
                  <w:noWrap w:val="0"/>
                  <w:vAlign w:val="center"/>
                </w:tcPr>
                <w:p w14:paraId="6CE9BC7E">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w:t>
                  </w:r>
                </w:p>
              </w:tc>
              <w:tc>
                <w:tcPr>
                  <w:tcW w:w="297" w:type="pct"/>
                  <w:noWrap w:val="0"/>
                  <w:vAlign w:val="center"/>
                </w:tcPr>
                <w:p w14:paraId="674A83F1">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w:t>
                  </w:r>
                </w:p>
              </w:tc>
            </w:tr>
          </w:tbl>
          <w:p w14:paraId="748119AB">
            <w:pPr>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40" w:lineRule="auto"/>
              <w:ind w:left="0" w:firstLine="420"/>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14:paraId="22D3F2CC">
            <w:pPr>
              <w:keepNext w:val="0"/>
              <w:keepLines w:val="0"/>
              <w:pageBreakBefore w:val="0"/>
              <w:widowControl w:val="0"/>
              <w:numPr>
                <w:ilvl w:val="0"/>
                <w:numId w:val="0"/>
              </w:numPr>
              <w:kinsoku/>
              <w:overflowPunct/>
              <w:topLinePunct w:val="0"/>
              <w:bidi w:val="0"/>
              <w:adjustRightInd w:val="0"/>
              <w:snapToGrid w:val="0"/>
              <w:spacing w:beforeAutospacing="0" w:afterAutospacing="0" w:line="360" w:lineRule="auto"/>
              <w:ind w:left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14:textFill>
                  <w14:solidFill>
                    <w14:schemeClr w14:val="tx1"/>
                  </w14:solidFill>
                </w14:textFill>
              </w:rPr>
              <w:t>项目与</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行业环境保护技术政策</w:t>
            </w:r>
            <w:r>
              <w:rPr>
                <w:rFonts w:hint="default" w:ascii="Times New Roman" w:hAnsi="Times New Roman" w:eastAsia="宋体" w:cs="Times New Roman"/>
                <w:b/>
                <w:bCs/>
                <w:color w:val="000000" w:themeColor="text1"/>
                <w:sz w:val="24"/>
                <w:szCs w:val="24"/>
                <w14:textFill>
                  <w14:solidFill>
                    <w14:schemeClr w14:val="tx1"/>
                  </w14:solidFill>
                </w14:textFill>
              </w:rPr>
              <w:t>符合性分析</w:t>
            </w:r>
          </w:p>
          <w:p w14:paraId="14D782C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b/>
                <w:bCs/>
                <w:spacing w:val="-2"/>
                <w:sz w:val="24"/>
                <w:szCs w:val="24"/>
              </w:rPr>
              <w:t>表1</w:t>
            </w:r>
            <w:r>
              <w:rPr>
                <w:rFonts w:hint="eastAsia" w:ascii="Times New Roman" w:hAnsi="Times New Roman" w:eastAsia="宋体" w:cs="Times New Roman"/>
                <w:b/>
                <w:bCs/>
                <w:spacing w:val="-2"/>
                <w:sz w:val="24"/>
                <w:szCs w:val="24"/>
                <w:lang w:val="en-US" w:eastAsia="zh-CN"/>
              </w:rPr>
              <w:t>-2</w:t>
            </w:r>
            <w:r>
              <w:rPr>
                <w:rFonts w:hint="eastAsia" w:ascii="Times New Roman" w:hAnsi="Times New Roman" w:eastAsia="宋体" w:cs="Times New Roman"/>
                <w:b/>
                <w:bCs/>
                <w:spacing w:val="-2"/>
                <w:sz w:val="24"/>
                <w:szCs w:val="24"/>
                <w:lang w:eastAsia="zh-CN"/>
              </w:rPr>
              <w:t>与</w:t>
            </w:r>
            <w:r>
              <w:rPr>
                <w:rFonts w:hint="eastAsia" w:ascii="Times New Roman" w:hAnsi="Times New Roman" w:eastAsia="宋体" w:cs="Times New Roman"/>
                <w:b/>
                <w:bCs/>
                <w:spacing w:val="-2"/>
                <w:sz w:val="24"/>
                <w:szCs w:val="24"/>
                <w:lang w:val="en-US" w:eastAsia="zh-CN"/>
              </w:rPr>
              <w:t>《陕西省矿产资源总体规划（2021—2025年）》</w:t>
            </w:r>
            <w:r>
              <w:rPr>
                <w:rFonts w:hint="eastAsia" w:ascii="Times New Roman" w:hAnsi="Times New Roman" w:eastAsia="宋体" w:cs="Times New Roman"/>
                <w:b/>
                <w:bCs/>
                <w:spacing w:val="-2"/>
                <w:sz w:val="24"/>
                <w:szCs w:val="24"/>
                <w:lang w:eastAsia="zh-CN"/>
              </w:rPr>
              <w:t>符合性分析</w:t>
            </w:r>
          </w:p>
          <w:tbl>
            <w:tblPr>
              <w:tblStyle w:val="73"/>
              <w:tblW w:w="4994" w:type="pct"/>
              <w:jc w:val="center"/>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Layout w:type="autofit"/>
              <w:tblCellMar>
                <w:top w:w="0" w:type="dxa"/>
                <w:left w:w="0" w:type="dxa"/>
                <w:bottom w:w="0" w:type="dxa"/>
                <w:right w:w="0" w:type="dxa"/>
              </w:tblCellMar>
            </w:tblPr>
            <w:tblGrid>
              <w:gridCol w:w="923"/>
              <w:gridCol w:w="1135"/>
              <w:gridCol w:w="3075"/>
              <w:gridCol w:w="1787"/>
              <w:gridCol w:w="596"/>
            </w:tblGrid>
            <w:tr w14:paraId="45C7D5A9">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14" w:type="pct"/>
                  <w:tcBorders>
                    <w:top w:val="single" w:color="000000" w:sz="2" w:space="0"/>
                    <w:left w:val="single" w:color="auto" w:sz="0" w:space="0"/>
                  </w:tcBorders>
                  <w:vAlign w:val="center"/>
                </w:tcPr>
                <w:p w14:paraId="4D0C2271">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规划章节</w:t>
                  </w:r>
                </w:p>
              </w:tc>
              <w:tc>
                <w:tcPr>
                  <w:tcW w:w="755" w:type="pct"/>
                  <w:tcBorders>
                    <w:top w:val="single" w:color="000000" w:sz="2" w:space="0"/>
                  </w:tcBorders>
                  <w:vAlign w:val="center"/>
                </w:tcPr>
                <w:p w14:paraId="2BEC3E94">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内容主题</w:t>
                  </w:r>
                </w:p>
              </w:tc>
              <w:tc>
                <w:tcPr>
                  <w:tcW w:w="2045" w:type="pct"/>
                  <w:tcBorders>
                    <w:top w:val="single" w:color="000000" w:sz="2" w:space="0"/>
                  </w:tcBorders>
                  <w:vAlign w:val="center"/>
                </w:tcPr>
                <w:p w14:paraId="5A37AAD3">
                  <w:pPr>
                    <w:pStyle w:val="7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lang w:eastAsia="zh-CN"/>
                    </w:rPr>
                  </w:pPr>
                  <w:r>
                    <w:rPr>
                      <w:rFonts w:hint="eastAsia" w:ascii="Times New Roman" w:hAnsi="Times New Roman" w:cs="Times New Roman"/>
                      <w:b/>
                      <w:bCs/>
                      <w:lang w:val="en-US" w:eastAsia="zh-CN"/>
                    </w:rPr>
                    <w:t>具体</w:t>
                  </w:r>
                  <w:r>
                    <w:rPr>
                      <w:rFonts w:hint="eastAsia" w:ascii="Times New Roman" w:hAnsi="Times New Roman" w:cs="Times New Roman"/>
                      <w:b/>
                      <w:bCs/>
                      <w:lang w:eastAsia="zh-CN"/>
                    </w:rPr>
                    <w:t>要求</w:t>
                  </w:r>
                </w:p>
              </w:tc>
              <w:tc>
                <w:tcPr>
                  <w:tcW w:w="1188" w:type="pct"/>
                  <w:tcBorders>
                    <w:top w:val="single" w:color="000000" w:sz="2" w:space="0"/>
                  </w:tcBorders>
                  <w:vAlign w:val="center"/>
                </w:tcPr>
                <w:p w14:paraId="13D0E106">
                  <w:pPr>
                    <w:pStyle w:val="7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lang w:eastAsia="zh-CN"/>
                    </w:rPr>
                  </w:pPr>
                  <w:r>
                    <w:rPr>
                      <w:rFonts w:hint="eastAsia" w:ascii="Times New Roman" w:hAnsi="Times New Roman" w:cs="Times New Roman"/>
                      <w:b/>
                      <w:bCs/>
                      <w:lang w:eastAsia="zh-CN"/>
                    </w:rPr>
                    <w:t>本项目情况</w:t>
                  </w:r>
                </w:p>
              </w:tc>
              <w:tc>
                <w:tcPr>
                  <w:tcW w:w="396" w:type="pct"/>
                  <w:tcBorders>
                    <w:top w:val="single" w:color="000000" w:sz="2" w:space="0"/>
                    <w:right w:val="single" w:color="000000" w:sz="2" w:space="0"/>
                  </w:tcBorders>
                  <w:vAlign w:val="center"/>
                </w:tcPr>
                <w:p w14:paraId="2BA08FC6">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lang w:eastAsia="zh-CN"/>
                    </w:rPr>
                  </w:pPr>
                  <w:r>
                    <w:rPr>
                      <w:rFonts w:hint="eastAsia" w:ascii="Times New Roman" w:hAnsi="Times New Roman" w:cs="Times New Roman"/>
                      <w:b/>
                      <w:bCs/>
                      <w:lang w:eastAsia="zh-CN"/>
                    </w:rPr>
                    <w:t>符合性</w:t>
                  </w:r>
                </w:p>
              </w:tc>
            </w:tr>
            <w:tr w14:paraId="3A666CF8">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14" w:type="pct"/>
                  <w:tcBorders>
                    <w:left w:val="single" w:color="000000" w:sz="4" w:space="0"/>
                  </w:tcBorders>
                  <w:vAlign w:val="center"/>
                </w:tcPr>
                <w:p w14:paraId="749A059E">
                  <w:pPr>
                    <w:pStyle w:val="7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三、矿产勘查开发保护总体布局</w:t>
                  </w:r>
                </w:p>
              </w:tc>
              <w:tc>
                <w:tcPr>
                  <w:tcW w:w="755" w:type="pct"/>
                  <w:vAlign w:val="center"/>
                </w:tcPr>
                <w:p w14:paraId="49753C74">
                  <w:pPr>
                    <w:pStyle w:val="7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四、矿产勘查开发差别化管理</w:t>
                  </w:r>
                </w:p>
              </w:tc>
              <w:tc>
                <w:tcPr>
                  <w:tcW w:w="3075" w:type="dxa"/>
                  <w:vAlign w:val="center"/>
                </w:tcPr>
                <w:p w14:paraId="342E1C36">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210" w:firstLineChars="10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强化战略性矿产安全保障，在空间布局、勘查开发方向、准入门槛、总量调控、结构调整等方面加强引导，提高资源安全供应能力和开发利用水平。生态保护红线范围内原则上禁止不符合管控要求的矿产资源勘查开采。生态保护红线内非自然保护地核心保护区的区域，允许因国家重大能源资源安全需要开展战略性能源资源勘查、公益性自然资源调查和地质勘查。对永久基本农田内部分战略性矿产矿业权实施差别化管理，保障资源稳定供应。</w:t>
                  </w:r>
                </w:p>
                <w:p w14:paraId="0E151297">
                  <w:pPr>
                    <w:pStyle w:val="72"/>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限制勘查高硫煤、石煤、硫铁矿、石棉，勘查区块投放前应做好论证。围绕国家战略性矿产、我省优势和紧缺矿产，引导项目、资金等要素向国家规划矿区和重点勘查区投入，重点勘查石油、天然气、页岩气、煤层气、煤炭、地热、氦气、铁矿、锰矿、铜矿、镍矿、金矿、钴矿、晶质石墨、萤石等矿产，以上矿种鼓励社会多元资金投资勘查。</w:t>
                  </w:r>
                </w:p>
                <w:p w14:paraId="6B8CEDED">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禁止开采新的原生汞矿、蓝石棉、可耕地的砖瓦用粘土，不得新设采矿权，因共生、伴生矿等情况确需综合回收利用禁止矿种的，应严格论证。禁止开采</w:t>
                  </w:r>
                  <w:r>
                    <w:rPr>
                      <w:rFonts w:hint="eastAsia" w:ascii="Times New Roman" w:hAnsi="Times New Roman" w:cs="Times New Roman"/>
                      <w:lang w:eastAsia="zh-CN"/>
                    </w:rPr>
                    <w:t>含有</w:t>
                  </w:r>
                  <w:r>
                    <w:rPr>
                      <w:rFonts w:hint="eastAsia" w:ascii="Times New Roman" w:hAnsi="Times New Roman" w:eastAsia="宋体" w:cs="Times New Roman"/>
                      <w:lang w:eastAsia="zh-CN"/>
                    </w:rPr>
                    <w:t>砷和放射性等有毒有害物质超过规定标准的煤炭项目。限制开采湿地泥炭、陕南地区的煤炭、石煤、硫铁矿、石棉、瓦板岩以及砂金、砂铁等重砂矿物，严格执行开采总量控制、开采准入条件等有关要求，并加强监督管理。不再新建石煤、硫铁矿、汞矿、露天磷矿山，逐步停止硫铁矿、汞矿开采。对石油、天然气、页岩气、煤层气、煤炭、地热、铁矿、锰矿、钒矿、铜矿、钨矿、镍矿、锑矿、金矿、盐矿、重晶石、晶质石墨、萤石等矿产，推进高效利用，在符合开采准入条件和国家有关矿产资源管理政策要求下，有序投放采矿权。合理调控铅矿、锌矿、钼矿、磷矿、水泥用灰岩开发利用强度。保护性开采钨矿，执行国家规定的开采总量指标。</w:t>
                  </w:r>
                </w:p>
              </w:tc>
              <w:tc>
                <w:tcPr>
                  <w:tcW w:w="1787" w:type="dxa"/>
                  <w:vAlign w:val="center"/>
                </w:tcPr>
                <w:p w14:paraId="2A82DFE0">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jc w:val="left"/>
                    <w:textAlignment w:val="auto"/>
                    <w:rPr>
                      <w:rFonts w:hint="eastAsia" w:ascii="Times New Roman" w:hAnsi="Times New Roman" w:cs="Times New Roman"/>
                      <w:spacing w:val="2"/>
                      <w:sz w:val="21"/>
                      <w:szCs w:val="21"/>
                      <w:vertAlign w:val="baseline"/>
                      <w:lang w:val="en-US" w:eastAsia="zh-CN"/>
                    </w:rPr>
                  </w:pPr>
                  <w:r>
                    <w:rPr>
                      <w:rFonts w:hint="eastAsia" w:ascii="Times New Roman" w:hAnsi="Times New Roman" w:cs="Times New Roman"/>
                      <w:spacing w:val="2"/>
                      <w:sz w:val="21"/>
                      <w:szCs w:val="21"/>
                      <w:vertAlign w:val="baseline"/>
                      <w:lang w:val="en-US" w:eastAsia="zh-CN"/>
                    </w:rPr>
                    <w:t>本项目矿区不涉及生态保护红线，不涉及永久基本农田。</w:t>
                  </w:r>
                </w:p>
                <w:p w14:paraId="4C2D4E90">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jc w:val="left"/>
                    <w:textAlignment w:val="auto"/>
                    <w:rPr>
                      <w:rFonts w:hint="eastAsia" w:ascii="Times New Roman" w:hAnsi="Times New Roman" w:cs="Times New Roman"/>
                      <w:lang w:eastAsia="zh-CN"/>
                    </w:rPr>
                  </w:pPr>
                  <w:r>
                    <w:rPr>
                      <w:rFonts w:hint="eastAsia" w:ascii="Times New Roman" w:hAnsi="Times New Roman" w:cs="Times New Roman"/>
                      <w:spacing w:val="2"/>
                      <w:sz w:val="21"/>
                      <w:szCs w:val="21"/>
                      <w:vertAlign w:val="baseline"/>
                      <w:lang w:val="en-US" w:eastAsia="zh-CN"/>
                    </w:rPr>
                    <w:t>本项目为脉石英矿露天开采，不涉及</w:t>
                  </w:r>
                  <w:r>
                    <w:rPr>
                      <w:rFonts w:hint="eastAsia" w:ascii="Times New Roman" w:hAnsi="Times New Roman" w:eastAsia="宋体" w:cs="Times New Roman"/>
                      <w:lang w:eastAsia="zh-CN"/>
                    </w:rPr>
                    <w:t>高硫煤、石煤、硫铁矿、石棉</w:t>
                  </w:r>
                  <w:r>
                    <w:rPr>
                      <w:rFonts w:hint="eastAsia" w:ascii="Times New Roman" w:hAnsi="Times New Roman" w:cs="Times New Roman"/>
                      <w:lang w:eastAsia="zh-CN"/>
                    </w:rPr>
                    <w:t>、</w:t>
                  </w:r>
                  <w:r>
                    <w:rPr>
                      <w:rFonts w:hint="eastAsia" w:ascii="Times New Roman" w:hAnsi="Times New Roman" w:eastAsia="宋体" w:cs="Times New Roman"/>
                      <w:lang w:eastAsia="zh-CN"/>
                    </w:rPr>
                    <w:t>石油、天然气、页岩气、煤层气、煤炭、地热、氦气、铁矿、锰矿、铜矿、镍矿、金矿、钴矿、晶质石墨、萤石等矿产</w:t>
                  </w:r>
                  <w:r>
                    <w:rPr>
                      <w:rFonts w:hint="eastAsia" w:ascii="Times New Roman" w:hAnsi="Times New Roman" w:cs="Times New Roman"/>
                      <w:lang w:eastAsia="zh-CN"/>
                    </w:rPr>
                    <w:t>。</w:t>
                  </w:r>
                </w:p>
                <w:p w14:paraId="59DCDA58">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spacing w:val="2"/>
                      <w:sz w:val="21"/>
                      <w:szCs w:val="21"/>
                      <w:vertAlign w:val="baseline"/>
                      <w:lang w:val="en-US" w:eastAsia="zh-CN"/>
                    </w:rPr>
                    <w:t>本项目为脉石英矿露天开采，不涉及</w:t>
                  </w:r>
                  <w:r>
                    <w:rPr>
                      <w:rFonts w:hint="eastAsia" w:ascii="Times New Roman" w:hAnsi="Times New Roman" w:eastAsia="宋体" w:cs="Times New Roman"/>
                      <w:lang w:eastAsia="zh-CN"/>
                    </w:rPr>
                    <w:t>原生汞矿、蓝石棉、可耕地的砖瓦用粘土</w:t>
                  </w:r>
                  <w:r>
                    <w:rPr>
                      <w:rFonts w:hint="eastAsia" w:ascii="Times New Roman" w:hAnsi="Times New Roman" w:cs="Times New Roman"/>
                      <w:lang w:val="en-US" w:eastAsia="zh-CN"/>
                    </w:rPr>
                    <w:t>、</w:t>
                  </w:r>
                  <w:r>
                    <w:rPr>
                      <w:rFonts w:hint="eastAsia" w:ascii="Times New Roman" w:hAnsi="Times New Roman" w:eastAsia="宋体" w:cs="Times New Roman"/>
                      <w:lang w:eastAsia="zh-CN"/>
                    </w:rPr>
                    <w:t>湿地泥炭、陕南地区的煤炭、石煤、硫铁矿、石棉、瓦板岩以及砂金、砂铁等</w:t>
                  </w:r>
                  <w:r>
                    <w:rPr>
                      <w:rFonts w:hint="eastAsia" w:ascii="Times New Roman" w:hAnsi="Times New Roman" w:cs="Times New Roman"/>
                      <w:lang w:val="en-US" w:eastAsia="zh-CN"/>
                    </w:rPr>
                    <w:t>矿产。</w:t>
                  </w:r>
                </w:p>
              </w:tc>
              <w:tc>
                <w:tcPr>
                  <w:tcW w:w="396" w:type="pct"/>
                  <w:tcBorders>
                    <w:right w:val="single" w:color="000000" w:sz="2" w:space="0"/>
                  </w:tcBorders>
                  <w:vAlign w:val="center"/>
                </w:tcPr>
                <w:p w14:paraId="54748017">
                  <w:pPr>
                    <w:pStyle w:val="72"/>
                    <w:keepNext w:val="0"/>
                    <w:keepLines w:val="0"/>
                    <w:pageBreakBefore w:val="0"/>
                    <w:widowControl w:val="0"/>
                    <w:kinsoku/>
                    <w:wordWrap/>
                    <w:overflowPunct/>
                    <w:topLinePunct w:val="0"/>
                    <w:autoSpaceDE/>
                    <w:autoSpaceDN/>
                    <w:bidi w:val="0"/>
                    <w:adjustRightInd/>
                    <w:snapToGrid/>
                    <w:spacing w:line="240" w:lineRule="auto"/>
                    <w:ind w:left="0" w:leftChars="0" w:right="124" w:firstLine="0" w:firstLineChars="0"/>
                    <w:jc w:val="center"/>
                    <w:textAlignment w:val="auto"/>
                    <w:rPr>
                      <w:rFonts w:hint="eastAsia" w:ascii="Times New Roman" w:hAnsi="Times New Roman" w:eastAsia="宋体" w:cs="Times New Roman"/>
                      <w:lang w:eastAsia="zh-CN"/>
                    </w:rPr>
                  </w:pPr>
                  <w:r>
                    <w:rPr>
                      <w:rFonts w:hint="eastAsia" w:ascii="Times New Roman" w:hAnsi="Times New Roman" w:cs="Times New Roman"/>
                      <w:lang w:eastAsia="zh-CN"/>
                    </w:rPr>
                    <w:t>符合</w:t>
                  </w:r>
                </w:p>
              </w:tc>
            </w:tr>
            <w:tr w14:paraId="0725559C">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14" w:type="pct"/>
                  <w:vMerge w:val="restart"/>
                  <w:tcBorders>
                    <w:left w:val="single" w:color="000000" w:sz="4" w:space="0"/>
                  </w:tcBorders>
                  <w:vAlign w:val="center"/>
                </w:tcPr>
                <w:p w14:paraId="7B72CF48">
                  <w:pPr>
                    <w:pStyle w:val="7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五、强化矿产资源开发利用与保护</w:t>
                  </w:r>
                </w:p>
              </w:tc>
              <w:tc>
                <w:tcPr>
                  <w:tcW w:w="755" w:type="pct"/>
                  <w:vAlign w:val="center"/>
                </w:tcPr>
                <w:p w14:paraId="08A64152">
                  <w:pPr>
                    <w:pStyle w:val="7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二、调整矿山开发利用结构（二）严格开采规划准入管理</w:t>
                  </w:r>
                </w:p>
              </w:tc>
              <w:tc>
                <w:tcPr>
                  <w:tcW w:w="3075" w:type="dxa"/>
                  <w:vAlign w:val="center"/>
                </w:tcPr>
                <w:p w14:paraId="57AEC6CB">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按照矿山开采规模与矿区资源储量规模、矿山服务年限相适应的要求，新立采矿权实施新建矿山最低开采规模的规定。已有采矿权矿山企业应当通过设备改造和技术升级，达到保留或技改矿山最低规模要求。商洛市洛南县、山阳县新改扩和整合的铁、铜、铅、锌、钼、金地下矿山及露天采石场规模不低于国家矿山安全监察局规定的非煤矿山重点地区安全生产有关要求。其他地区砂石土类矿产的最低开采规模可结合各市、县资源禀赋和市场供需实际，在充分论证的基础上合理确定，但不得低于上级规划。</w:t>
                  </w:r>
                </w:p>
              </w:tc>
              <w:tc>
                <w:tcPr>
                  <w:tcW w:w="1787" w:type="dxa"/>
                  <w:vAlign w:val="center"/>
                </w:tcPr>
                <w:p w14:paraId="7D140498">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8" w:firstLineChars="200"/>
                    <w:jc w:val="left"/>
                    <w:textAlignment w:val="auto"/>
                    <w:rPr>
                      <w:rFonts w:hint="default" w:ascii="Times New Roman" w:hAnsi="Times New Roman" w:cs="Times New Roman"/>
                      <w:spacing w:val="2"/>
                      <w:sz w:val="21"/>
                      <w:szCs w:val="21"/>
                      <w:vertAlign w:val="baseline"/>
                      <w:lang w:val="en-US" w:eastAsia="zh-CN"/>
                    </w:rPr>
                  </w:pPr>
                  <w:r>
                    <w:rPr>
                      <w:rFonts w:hint="eastAsia" w:ascii="Times New Roman" w:hAnsi="Times New Roman" w:cs="Times New Roman"/>
                      <w:spacing w:val="2"/>
                      <w:sz w:val="21"/>
                      <w:szCs w:val="21"/>
                      <w:vertAlign w:val="baseline"/>
                      <w:lang w:val="en-US" w:eastAsia="zh-CN"/>
                    </w:rPr>
                    <w:t>本项目在宝鸡市陈仓区梨树沟露天开采脉石英矿，产量为40万t/a，脉石英矿开采规模无具体要求。</w:t>
                  </w:r>
                </w:p>
              </w:tc>
              <w:tc>
                <w:tcPr>
                  <w:tcW w:w="396" w:type="pct"/>
                  <w:tcBorders>
                    <w:right w:val="single" w:color="000000" w:sz="2" w:space="0"/>
                  </w:tcBorders>
                  <w:vAlign w:val="center"/>
                </w:tcPr>
                <w:p w14:paraId="0FA14CE1">
                  <w:pPr>
                    <w:pStyle w:val="72"/>
                    <w:keepNext w:val="0"/>
                    <w:keepLines w:val="0"/>
                    <w:pageBreakBefore w:val="0"/>
                    <w:widowControl w:val="0"/>
                    <w:kinsoku/>
                    <w:wordWrap/>
                    <w:overflowPunct/>
                    <w:topLinePunct w:val="0"/>
                    <w:autoSpaceDE/>
                    <w:autoSpaceDN/>
                    <w:bidi w:val="0"/>
                    <w:adjustRightInd/>
                    <w:snapToGrid/>
                    <w:spacing w:line="240" w:lineRule="auto"/>
                    <w:ind w:left="0" w:leftChars="0" w:right="124" w:firstLine="0" w:firstLineChars="0"/>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符合</w:t>
                  </w:r>
                </w:p>
              </w:tc>
            </w:tr>
            <w:tr w14:paraId="1BA1089B">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14" w:type="pct"/>
                  <w:vMerge w:val="continue"/>
                  <w:tcBorders>
                    <w:left w:val="single" w:color="000000" w:sz="4" w:space="0"/>
                  </w:tcBorders>
                  <w:vAlign w:val="center"/>
                </w:tcPr>
                <w:p w14:paraId="129B5FDD">
                  <w:pPr>
                    <w:pStyle w:val="7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lang w:val="en-US" w:eastAsia="zh-CN"/>
                    </w:rPr>
                  </w:pPr>
                </w:p>
              </w:tc>
              <w:tc>
                <w:tcPr>
                  <w:tcW w:w="755" w:type="pct"/>
                  <w:vAlign w:val="center"/>
                </w:tcPr>
                <w:p w14:paraId="04C5B6A2">
                  <w:pPr>
                    <w:pStyle w:val="7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二、调整矿山开发利用结构（三）强化空间管控约束</w:t>
                  </w:r>
                </w:p>
              </w:tc>
              <w:tc>
                <w:tcPr>
                  <w:tcW w:w="3075" w:type="dxa"/>
                  <w:vAlign w:val="center"/>
                </w:tcPr>
                <w:p w14:paraId="6EFEEBBC">
                  <w:pPr>
                    <w:pStyle w:val="72"/>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严格实施国土空间管控措施，衔接落实区域“三线一单”</w:t>
                  </w:r>
                  <w:r>
                    <w:rPr>
                      <w:rFonts w:hint="eastAsia" w:ascii="Times New Roman" w:hAnsi="Times New Roman" w:cs="Times New Roman"/>
                      <w:lang w:eastAsia="zh-CN"/>
                    </w:rPr>
                    <w:t>（</w:t>
                  </w:r>
                  <w:r>
                    <w:rPr>
                      <w:rFonts w:hint="eastAsia" w:ascii="Times New Roman" w:hAnsi="Times New Roman" w:eastAsia="宋体" w:cs="Times New Roman"/>
                      <w:lang w:eastAsia="zh-CN"/>
                    </w:rPr>
                    <w:t>生态保护红线、环境质量底线、资源利用上线和生态环境准入清单</w:t>
                  </w:r>
                  <w:r>
                    <w:rPr>
                      <w:rFonts w:hint="eastAsia" w:ascii="Times New Roman" w:hAnsi="Times New Roman" w:cs="Times New Roman"/>
                      <w:lang w:eastAsia="zh-CN"/>
                    </w:rPr>
                    <w:t>）</w:t>
                  </w:r>
                  <w:r>
                    <w:rPr>
                      <w:rFonts w:hint="eastAsia" w:ascii="Times New Roman" w:hAnsi="Times New Roman" w:eastAsia="宋体" w:cs="Times New Roman"/>
                      <w:lang w:eastAsia="zh-CN"/>
                    </w:rPr>
                    <w:t>生态环境分区管控要求。衔接落实陕西省秦岭生态环境保护总体规划，在秦岭核心保护区和重点保护区内禁止新设采矿权，秦岭主梁以北、封山育林区、禁牧区内禁止新设采石采矿权，严格控制和规范在秦岭一般保护区的露天采矿活动。</w:t>
                  </w:r>
                </w:p>
                <w:p w14:paraId="4CF98ED6">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严格执行环境影响评价制度，在允许矿产开发的区域新建、扩建、改建矿产资源开采项目和秦岭主梁以南的一般保护区开山采石，应进行环境影响评价。执行陕西国家重点生态功能区产业准入负面清单</w:t>
                  </w:r>
                  <w:r>
                    <w:rPr>
                      <w:rFonts w:hint="eastAsia" w:ascii="Times New Roman" w:hAnsi="Times New Roman" w:cs="Times New Roman"/>
                      <w:lang w:eastAsia="zh-CN"/>
                    </w:rPr>
                    <w:t>（</w:t>
                  </w:r>
                  <w:r>
                    <w:rPr>
                      <w:rFonts w:hint="eastAsia" w:ascii="Times New Roman" w:hAnsi="Times New Roman" w:eastAsia="宋体" w:cs="Times New Roman"/>
                      <w:lang w:eastAsia="zh-CN"/>
                    </w:rPr>
                    <w:t>试行</w:t>
                  </w:r>
                  <w:r>
                    <w:rPr>
                      <w:rFonts w:hint="eastAsia" w:ascii="Times New Roman" w:hAnsi="Times New Roman" w:cs="Times New Roman"/>
                      <w:lang w:eastAsia="zh-CN"/>
                    </w:rPr>
                    <w:t>）</w:t>
                  </w:r>
                  <w:r>
                    <w:rPr>
                      <w:rFonts w:hint="eastAsia" w:ascii="Times New Roman" w:hAnsi="Times New Roman" w:eastAsia="宋体" w:cs="Times New Roman"/>
                      <w:lang w:eastAsia="zh-CN"/>
                    </w:rPr>
                    <w:t>、秦岭重点保护区和一般保护区产业准入清单</w:t>
                  </w:r>
                  <w:r>
                    <w:rPr>
                      <w:rFonts w:hint="eastAsia" w:ascii="Times New Roman" w:hAnsi="Times New Roman" w:cs="Times New Roman"/>
                      <w:lang w:eastAsia="zh-CN"/>
                    </w:rPr>
                    <w:t>（</w:t>
                  </w:r>
                  <w:r>
                    <w:rPr>
                      <w:rFonts w:hint="eastAsia" w:ascii="Times New Roman" w:hAnsi="Times New Roman" w:eastAsia="宋体" w:cs="Times New Roman"/>
                      <w:lang w:eastAsia="zh-CN"/>
                    </w:rPr>
                    <w:t>试行</w:t>
                  </w:r>
                  <w:r>
                    <w:rPr>
                      <w:rFonts w:hint="eastAsia" w:ascii="Times New Roman" w:hAnsi="Times New Roman" w:cs="Times New Roman"/>
                      <w:lang w:eastAsia="zh-CN"/>
                    </w:rPr>
                    <w:t>）</w:t>
                  </w:r>
                  <w:r>
                    <w:rPr>
                      <w:rFonts w:hint="eastAsia" w:ascii="Times New Roman" w:hAnsi="Times New Roman" w:eastAsia="宋体" w:cs="Times New Roman"/>
                      <w:lang w:eastAsia="zh-CN"/>
                    </w:rPr>
                    <w:t>和产业政策有关规定。生态保护红线及差别化管理政策批准或调整后，勘查开采规划区块出让要依法依规避让生态保护红线。科学编制矿山地质环境保护与土地复垦方案。矿产资源开发可能造成水土流失的，应当制定水土流失预防和治理的对策和措施。</w:t>
                  </w:r>
                </w:p>
              </w:tc>
              <w:tc>
                <w:tcPr>
                  <w:tcW w:w="1787" w:type="dxa"/>
                  <w:vAlign w:val="center"/>
                </w:tcPr>
                <w:p w14:paraId="571D790A">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8" w:firstLineChars="200"/>
                    <w:jc w:val="both"/>
                    <w:textAlignment w:val="auto"/>
                    <w:rPr>
                      <w:rFonts w:hint="eastAsia" w:ascii="Times New Roman" w:hAnsi="Times New Roman" w:cs="Times New Roman"/>
                      <w:lang w:val="en-US" w:eastAsia="zh-CN"/>
                    </w:rPr>
                  </w:pPr>
                  <w:r>
                    <w:rPr>
                      <w:rFonts w:hint="eastAsia" w:ascii="Times New Roman" w:hAnsi="Times New Roman" w:cs="Times New Roman"/>
                      <w:spacing w:val="2"/>
                      <w:sz w:val="21"/>
                      <w:szCs w:val="21"/>
                      <w:vertAlign w:val="baseline"/>
                      <w:lang w:val="en-US" w:eastAsia="zh-CN"/>
                    </w:rPr>
                    <w:t>本项目</w:t>
                  </w:r>
                  <w:r>
                    <w:rPr>
                      <w:rFonts w:hint="eastAsia" w:ascii="Times New Roman" w:hAnsi="Times New Roman" w:eastAsia="宋体" w:cs="Times New Roman"/>
                      <w:lang w:eastAsia="zh-CN"/>
                    </w:rPr>
                    <w:t>严格实施国土空间管控措施，</w:t>
                  </w:r>
                  <w:r>
                    <w:rPr>
                      <w:rFonts w:hint="eastAsia" w:ascii="Times New Roman" w:hAnsi="Times New Roman" w:cs="Times New Roman"/>
                      <w:lang w:val="en-US" w:eastAsia="zh-CN"/>
                    </w:rPr>
                    <w:t>满足陕西省、关中地区及宝鸡市</w:t>
                  </w:r>
                  <w:r>
                    <w:rPr>
                      <w:rFonts w:hint="eastAsia" w:ascii="Times New Roman" w:hAnsi="Times New Roman" w:eastAsia="宋体" w:cs="Times New Roman"/>
                      <w:lang w:eastAsia="zh-CN"/>
                    </w:rPr>
                    <w:t>“三线一单”</w:t>
                  </w:r>
                  <w:r>
                    <w:rPr>
                      <w:rFonts w:hint="eastAsia" w:ascii="Times New Roman" w:hAnsi="Times New Roman" w:cs="Times New Roman"/>
                      <w:lang w:val="en-US" w:eastAsia="zh-CN"/>
                    </w:rPr>
                    <w:t>具体要求。</w:t>
                  </w:r>
                </w:p>
                <w:p w14:paraId="75A726BB">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Times New Roman" w:hAnsi="Times New Roman" w:cs="Times New Roman"/>
                      <w:lang w:eastAsia="zh-CN"/>
                    </w:rPr>
                  </w:pPr>
                  <w:r>
                    <w:rPr>
                      <w:rFonts w:hint="eastAsia" w:ascii="Times New Roman" w:hAnsi="Times New Roman" w:cs="Times New Roman"/>
                      <w:lang w:eastAsia="zh-CN"/>
                    </w:rPr>
                    <w:t>本项目</w:t>
                  </w:r>
                  <w:r>
                    <w:rPr>
                      <w:rFonts w:hint="eastAsia" w:ascii="Times New Roman" w:hAnsi="Times New Roman" w:cs="Times New Roman"/>
                      <w:lang w:val="en-US" w:eastAsia="zh-CN"/>
                    </w:rPr>
                    <w:t>开采区属于陇山山系关山余脉，</w:t>
                  </w:r>
                  <w:r>
                    <w:rPr>
                      <w:rFonts w:hint="eastAsia" w:ascii="Times New Roman" w:hAnsi="Times New Roman" w:cs="Times New Roman"/>
                      <w:lang w:eastAsia="zh-CN"/>
                    </w:rPr>
                    <w:t>不属于</w:t>
                  </w:r>
                  <w:r>
                    <w:rPr>
                      <w:rFonts w:hint="eastAsia" w:ascii="Times New Roman" w:hAnsi="Times New Roman" w:eastAsia="宋体" w:cs="Times New Roman"/>
                      <w:lang w:eastAsia="zh-CN"/>
                    </w:rPr>
                    <w:t>秦岭核心保护区和重点保护区</w:t>
                  </w:r>
                  <w:r>
                    <w:rPr>
                      <w:rFonts w:hint="eastAsia" w:ascii="Times New Roman" w:hAnsi="Times New Roman" w:cs="Times New Roman"/>
                      <w:lang w:eastAsia="zh-CN"/>
                    </w:rPr>
                    <w:t>。</w:t>
                  </w:r>
                </w:p>
                <w:p w14:paraId="62101650">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本项目已编制了</w:t>
                  </w:r>
                  <w:r>
                    <w:rPr>
                      <w:rFonts w:hint="eastAsia" w:ascii="Times New Roman" w:hAnsi="Times New Roman" w:eastAsia="宋体" w:cs="Times New Roman"/>
                      <w:lang w:eastAsia="zh-CN"/>
                    </w:rPr>
                    <w:t>矿山地质环境保护与土地复垦方案</w:t>
                  </w:r>
                  <w:r>
                    <w:rPr>
                      <w:rFonts w:hint="eastAsia" w:ascii="Times New Roman" w:hAnsi="Times New Roman" w:cs="Times New Roman"/>
                      <w:lang w:eastAsia="zh-CN"/>
                    </w:rPr>
                    <w:t>，</w:t>
                  </w:r>
                  <w:r>
                    <w:rPr>
                      <w:rFonts w:hint="eastAsia" w:ascii="Times New Roman" w:hAnsi="Times New Roman" w:cs="Times New Roman"/>
                      <w:lang w:val="en-US" w:eastAsia="zh-CN"/>
                    </w:rPr>
                    <w:t>水土保持方案编制中。</w:t>
                  </w:r>
                </w:p>
              </w:tc>
              <w:tc>
                <w:tcPr>
                  <w:tcW w:w="396" w:type="pct"/>
                  <w:tcBorders>
                    <w:right w:val="single" w:color="000000" w:sz="2" w:space="0"/>
                  </w:tcBorders>
                  <w:vAlign w:val="center"/>
                </w:tcPr>
                <w:p w14:paraId="1C2F75FF">
                  <w:pPr>
                    <w:pStyle w:val="72"/>
                    <w:keepNext w:val="0"/>
                    <w:keepLines w:val="0"/>
                    <w:pageBreakBefore w:val="0"/>
                    <w:widowControl w:val="0"/>
                    <w:kinsoku/>
                    <w:wordWrap/>
                    <w:overflowPunct/>
                    <w:topLinePunct w:val="0"/>
                    <w:autoSpaceDE/>
                    <w:autoSpaceDN/>
                    <w:bidi w:val="0"/>
                    <w:adjustRightInd/>
                    <w:snapToGrid/>
                    <w:spacing w:line="240" w:lineRule="auto"/>
                    <w:ind w:left="0" w:leftChars="0" w:right="124" w:firstLine="0" w:firstLineChars="0"/>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符合</w:t>
                  </w:r>
                </w:p>
              </w:tc>
            </w:tr>
            <w:tr w14:paraId="0B69C7F2">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14" w:type="pct"/>
                  <w:tcBorders>
                    <w:left w:val="single" w:color="000000" w:sz="4" w:space="0"/>
                  </w:tcBorders>
                  <w:vAlign w:val="center"/>
                </w:tcPr>
                <w:p w14:paraId="216222CD">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七、推动矿业绿色发展</w:t>
                  </w:r>
                </w:p>
              </w:tc>
              <w:tc>
                <w:tcPr>
                  <w:tcW w:w="755" w:type="pct"/>
                  <w:vAlign w:val="center"/>
                </w:tcPr>
                <w:p w14:paraId="0564BF01">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三、加大矿山生态保护与修复</w:t>
                  </w:r>
                </w:p>
              </w:tc>
              <w:tc>
                <w:tcPr>
                  <w:tcW w:w="3075" w:type="dxa"/>
                  <w:vAlign w:val="center"/>
                </w:tcPr>
                <w:p w14:paraId="53B50D8C">
                  <w:pPr>
                    <w:pStyle w:val="72"/>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加强源头预防和过程控制。落实省级国土空间生态修复规划，督促矿山企业科学编制并严格实施矿山开发利用方案、矿山地质环境保护与土地复垦方案，实现边开采、边保护、边治理，切实履行矿山地质环境治理恢复和土地复垦义务。完善制度和措施，引导和支持社会资本参与矿山生态修复，统筹推进黄河流域采煤沉陷区、历史遗留矿山综合治理，开展矿山生态修复试点示范，持续推进渭北、秦岭北麓关闭退出采石矿山地质环境恢复治理，改善区域生态环境。</w:t>
                  </w:r>
                </w:p>
                <w:p w14:paraId="610BEB39">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落实矿山企业生态保护主体责任。新建矿山应符合本规划管控要求，编制矿山地质环境保护与土地复垦方案。生产矿山要坚持“边开采、边治理”</w:t>
                  </w:r>
                  <w:r>
                    <w:rPr>
                      <w:rFonts w:hint="eastAsia" w:ascii="Times New Roman" w:hAnsi="Times New Roman" w:cs="Times New Roman"/>
                      <w:lang w:eastAsia="zh-CN"/>
                    </w:rPr>
                    <w:t>，</w:t>
                  </w:r>
                  <w:r>
                    <w:rPr>
                      <w:rFonts w:hint="eastAsia" w:ascii="Times New Roman" w:hAnsi="Times New Roman" w:eastAsia="宋体" w:cs="Times New Roman"/>
                      <w:lang w:eastAsia="zh-CN"/>
                    </w:rPr>
                    <w:t>切实履行矿山生态修复责任，鼓励矿山企业实施开发式治理，提高矿山生态修复的综合效益。退出矿山要履行矿山地质环境保护与治理有关规定，按照“谁开发、谁保护，谁破坏、谁恢复”的原则，全面履行矿山地质环境保护与土地复垦责任。</w:t>
                  </w:r>
                </w:p>
              </w:tc>
              <w:tc>
                <w:tcPr>
                  <w:tcW w:w="1787" w:type="dxa"/>
                  <w:vAlign w:val="center"/>
                </w:tcPr>
                <w:p w14:paraId="16D46E06">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本项目已编制了</w:t>
                  </w:r>
                  <w:r>
                    <w:rPr>
                      <w:rFonts w:hint="eastAsia" w:ascii="Times New Roman" w:hAnsi="Times New Roman" w:eastAsia="宋体" w:cs="Times New Roman"/>
                      <w:lang w:eastAsia="zh-CN"/>
                    </w:rPr>
                    <w:t>矿山地质环境保护与土地复垦方案</w:t>
                  </w:r>
                  <w:r>
                    <w:rPr>
                      <w:rFonts w:hint="eastAsia" w:ascii="Times New Roman" w:hAnsi="Times New Roman" w:cs="Times New Roman"/>
                      <w:lang w:eastAsia="zh-CN"/>
                    </w:rPr>
                    <w:t>，</w:t>
                  </w:r>
                  <w:r>
                    <w:rPr>
                      <w:rFonts w:hint="eastAsia" w:ascii="Times New Roman" w:hAnsi="Times New Roman" w:cs="Times New Roman"/>
                      <w:lang w:val="en-US" w:eastAsia="zh-CN"/>
                    </w:rPr>
                    <w:t>在开采过程中及闭矿期对</w:t>
                  </w:r>
                  <w:r>
                    <w:rPr>
                      <w:rFonts w:hint="eastAsia" w:ascii="Times New Roman" w:hAnsi="Times New Roman" w:eastAsia="宋体" w:cs="Times New Roman"/>
                      <w:lang w:eastAsia="zh-CN"/>
                    </w:rPr>
                    <w:t>矿山地质环境</w:t>
                  </w:r>
                  <w:r>
                    <w:rPr>
                      <w:rFonts w:hint="eastAsia" w:ascii="Times New Roman" w:hAnsi="Times New Roman" w:cs="Times New Roman"/>
                      <w:lang w:val="en-US" w:eastAsia="zh-CN"/>
                    </w:rPr>
                    <w:t>进行治理恢复及</w:t>
                  </w:r>
                  <w:r>
                    <w:rPr>
                      <w:rFonts w:hint="eastAsia" w:ascii="Times New Roman" w:hAnsi="Times New Roman" w:eastAsia="宋体" w:cs="Times New Roman"/>
                      <w:lang w:eastAsia="zh-CN"/>
                    </w:rPr>
                    <w:t>土地复垦</w:t>
                  </w:r>
                  <w:r>
                    <w:rPr>
                      <w:rFonts w:hint="eastAsia" w:ascii="Times New Roman" w:hAnsi="Times New Roman" w:cs="Times New Roman"/>
                      <w:lang w:eastAsia="zh-CN"/>
                    </w:rPr>
                    <w:t>。</w:t>
                  </w:r>
                </w:p>
              </w:tc>
              <w:tc>
                <w:tcPr>
                  <w:tcW w:w="396" w:type="pct"/>
                  <w:tcBorders>
                    <w:right w:val="single" w:color="000000" w:sz="2" w:space="0"/>
                  </w:tcBorders>
                  <w:vAlign w:val="center"/>
                </w:tcPr>
                <w:p w14:paraId="2C0889D4">
                  <w:pPr>
                    <w:pStyle w:val="72"/>
                    <w:keepNext w:val="0"/>
                    <w:keepLines w:val="0"/>
                    <w:pageBreakBefore w:val="0"/>
                    <w:widowControl w:val="0"/>
                    <w:kinsoku/>
                    <w:wordWrap/>
                    <w:overflowPunct/>
                    <w:topLinePunct w:val="0"/>
                    <w:autoSpaceDE/>
                    <w:autoSpaceDN/>
                    <w:bidi w:val="0"/>
                    <w:adjustRightInd/>
                    <w:snapToGrid/>
                    <w:spacing w:line="240" w:lineRule="auto"/>
                    <w:ind w:left="0" w:leftChars="0" w:right="124" w:firstLine="0" w:firstLineChars="0"/>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符合</w:t>
                  </w:r>
                </w:p>
              </w:tc>
            </w:tr>
          </w:tbl>
          <w:p w14:paraId="28F8B3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b/>
                <w:bCs/>
                <w:spacing w:val="-2"/>
                <w:sz w:val="24"/>
                <w:szCs w:val="24"/>
              </w:rPr>
              <w:t>表</w:t>
            </w:r>
            <w:r>
              <w:rPr>
                <w:rFonts w:hint="eastAsia" w:ascii="Times New Roman" w:hAnsi="Times New Roman" w:eastAsia="宋体" w:cs="Times New Roman"/>
                <w:b/>
                <w:bCs/>
                <w:spacing w:val="-27"/>
                <w:sz w:val="24"/>
                <w:szCs w:val="24"/>
                <w:lang w:val="en-US" w:eastAsia="zh-CN"/>
              </w:rPr>
              <w:t>1</w:t>
            </w:r>
            <w:r>
              <w:rPr>
                <w:rFonts w:hint="default" w:ascii="Times New Roman" w:hAnsi="Times New Roman" w:eastAsia="宋体" w:cs="Times New Roman"/>
                <w:b/>
                <w:bCs/>
                <w:spacing w:val="-2"/>
                <w:sz w:val="24"/>
                <w:szCs w:val="24"/>
              </w:rPr>
              <w:t>-</w:t>
            </w:r>
            <w:r>
              <w:rPr>
                <w:rFonts w:hint="eastAsia" w:ascii="Times New Roman" w:hAnsi="Times New Roman" w:eastAsia="宋体" w:cs="Times New Roman"/>
                <w:b/>
                <w:bCs/>
                <w:spacing w:val="-2"/>
                <w:sz w:val="24"/>
                <w:szCs w:val="24"/>
                <w:lang w:val="en-US" w:eastAsia="zh-CN"/>
              </w:rPr>
              <w:t>3</w:t>
            </w:r>
            <w:r>
              <w:rPr>
                <w:rFonts w:hint="eastAsia" w:ascii="Times New Roman" w:hAnsi="Times New Roman" w:eastAsia="宋体" w:cs="Times New Roman"/>
                <w:b/>
                <w:bCs/>
                <w:spacing w:val="-2"/>
                <w:sz w:val="24"/>
                <w:szCs w:val="24"/>
                <w:lang w:eastAsia="zh-CN"/>
              </w:rPr>
              <w:t>与</w:t>
            </w:r>
            <w:r>
              <w:rPr>
                <w:rFonts w:hint="eastAsia" w:ascii="Times New Roman" w:hAnsi="Times New Roman" w:eastAsia="宋体" w:cs="Times New Roman"/>
                <w:b/>
                <w:bCs/>
                <w:spacing w:val="-2"/>
                <w:sz w:val="24"/>
                <w:szCs w:val="24"/>
                <w:lang w:val="en-US" w:eastAsia="zh-CN"/>
              </w:rPr>
              <w:t>《宝鸡市矿产资源总体规划（2021—2025年）》</w:t>
            </w:r>
            <w:r>
              <w:rPr>
                <w:rFonts w:hint="eastAsia" w:ascii="Times New Roman" w:hAnsi="Times New Roman" w:eastAsia="宋体" w:cs="Times New Roman"/>
                <w:b/>
                <w:bCs/>
                <w:spacing w:val="-2"/>
                <w:sz w:val="24"/>
                <w:szCs w:val="24"/>
                <w:lang w:eastAsia="zh-CN"/>
              </w:rPr>
              <w:t>符合性分析</w:t>
            </w:r>
          </w:p>
          <w:tbl>
            <w:tblPr>
              <w:tblStyle w:val="73"/>
              <w:tblW w:w="4998" w:type="pct"/>
              <w:tblInd w:w="0" w:type="dxa"/>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Layout w:type="autofit"/>
              <w:tblCellMar>
                <w:top w:w="0" w:type="dxa"/>
                <w:left w:w="0" w:type="dxa"/>
                <w:bottom w:w="0" w:type="dxa"/>
                <w:right w:w="0" w:type="dxa"/>
              </w:tblCellMar>
            </w:tblPr>
            <w:tblGrid>
              <w:gridCol w:w="910"/>
              <w:gridCol w:w="1120"/>
              <w:gridCol w:w="2414"/>
              <w:gridCol w:w="2261"/>
              <w:gridCol w:w="817"/>
            </w:tblGrid>
            <w:tr w14:paraId="3C18CC7D">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01" w:type="pct"/>
                  <w:tcBorders>
                    <w:top w:val="single" w:color="000000" w:sz="2" w:space="0"/>
                    <w:left w:val="single" w:color="auto" w:sz="0" w:space="0"/>
                  </w:tcBorders>
                  <w:vAlign w:val="center"/>
                </w:tcPr>
                <w:p w14:paraId="29181A70">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规划章节</w:t>
                  </w:r>
                </w:p>
              </w:tc>
              <w:tc>
                <w:tcPr>
                  <w:tcW w:w="743" w:type="pct"/>
                  <w:tcBorders>
                    <w:top w:val="single" w:color="000000" w:sz="2" w:space="0"/>
                  </w:tcBorders>
                  <w:vAlign w:val="center"/>
                </w:tcPr>
                <w:p w14:paraId="6B5E68F1">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内容主题</w:t>
                  </w:r>
                </w:p>
              </w:tc>
              <w:tc>
                <w:tcPr>
                  <w:tcW w:w="1606" w:type="pct"/>
                  <w:tcBorders>
                    <w:top w:val="single" w:color="000000" w:sz="2" w:space="0"/>
                  </w:tcBorders>
                  <w:vAlign w:val="center"/>
                </w:tcPr>
                <w:p w14:paraId="5E19E6F9">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lang w:eastAsia="zh-CN"/>
                    </w:rPr>
                  </w:pPr>
                  <w:r>
                    <w:rPr>
                      <w:rFonts w:hint="eastAsia" w:ascii="Times New Roman" w:hAnsi="Times New Roman" w:cs="Times New Roman"/>
                      <w:b/>
                      <w:bCs/>
                      <w:lang w:val="en-US" w:eastAsia="zh-CN"/>
                    </w:rPr>
                    <w:t>具体</w:t>
                  </w:r>
                  <w:r>
                    <w:rPr>
                      <w:rFonts w:hint="eastAsia" w:ascii="Times New Roman" w:hAnsi="Times New Roman" w:cs="Times New Roman"/>
                      <w:b/>
                      <w:bCs/>
                      <w:lang w:eastAsia="zh-CN"/>
                    </w:rPr>
                    <w:t>要求</w:t>
                  </w:r>
                </w:p>
              </w:tc>
              <w:tc>
                <w:tcPr>
                  <w:tcW w:w="1504" w:type="pct"/>
                  <w:tcBorders>
                    <w:top w:val="single" w:color="000000" w:sz="2" w:space="0"/>
                  </w:tcBorders>
                  <w:vAlign w:val="center"/>
                </w:tcPr>
                <w:p w14:paraId="147B84EA">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lang w:eastAsia="zh-CN"/>
                    </w:rPr>
                  </w:pPr>
                  <w:r>
                    <w:rPr>
                      <w:rFonts w:hint="eastAsia" w:ascii="Times New Roman" w:hAnsi="Times New Roman" w:cs="Times New Roman"/>
                      <w:b/>
                      <w:bCs/>
                      <w:lang w:eastAsia="zh-CN"/>
                    </w:rPr>
                    <w:t>本项目情况</w:t>
                  </w:r>
                </w:p>
              </w:tc>
              <w:tc>
                <w:tcPr>
                  <w:tcW w:w="544" w:type="pct"/>
                  <w:tcBorders>
                    <w:top w:val="single" w:color="000000" w:sz="2" w:space="0"/>
                    <w:right w:val="single" w:color="000000" w:sz="2" w:space="0"/>
                  </w:tcBorders>
                  <w:vAlign w:val="center"/>
                </w:tcPr>
                <w:p w14:paraId="46C0CD10">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lang w:eastAsia="zh-CN"/>
                    </w:rPr>
                  </w:pPr>
                  <w:r>
                    <w:rPr>
                      <w:rFonts w:hint="eastAsia" w:ascii="Times New Roman" w:hAnsi="Times New Roman" w:cs="Times New Roman"/>
                      <w:b/>
                      <w:bCs/>
                      <w:lang w:eastAsia="zh-CN"/>
                    </w:rPr>
                    <w:t>符合性</w:t>
                  </w:r>
                </w:p>
              </w:tc>
            </w:tr>
            <w:tr w14:paraId="33E06EBB">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01" w:type="pct"/>
                  <w:tcBorders>
                    <w:left w:val="single" w:color="000000" w:sz="4" w:space="0"/>
                  </w:tcBorders>
                  <w:vAlign w:val="center"/>
                </w:tcPr>
                <w:p w14:paraId="060FCD62">
                  <w:pPr>
                    <w:pStyle w:val="7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三、矿产勘查开发与保护布局</w:t>
                  </w:r>
                </w:p>
              </w:tc>
              <w:tc>
                <w:tcPr>
                  <w:tcW w:w="743" w:type="pct"/>
                  <w:vAlign w:val="center"/>
                </w:tcPr>
                <w:p w14:paraId="4FADD5E7">
                  <w:pPr>
                    <w:pStyle w:val="7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四、明确矿产资源勘查开采调控方向</w:t>
                  </w:r>
                </w:p>
              </w:tc>
              <w:tc>
                <w:tcPr>
                  <w:tcW w:w="2414" w:type="dxa"/>
                  <w:vAlign w:val="center"/>
                </w:tcPr>
                <w:p w14:paraId="73AA3DE6">
                  <w:pPr>
                    <w:pStyle w:val="72"/>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严守生态保护红线、永久基本农田、城镇开发边界三条控制线。生态保护红线范围内原则上禁止不符合管控要求的矿产资源勘查开采。生态保护红线内非自然保护地核心保护区的区域，允许因国家重大能源资源安全需要开展战略性能源资源勘查、公益性自然资源调查和地质勘查。严格永久基本农田保护，除地热、矿泉水勘查开采不造成永久基本农田损毁、塌陷破坏的情形外，非战略性矿产应避让永久基本农田。除地热、矿泉水勘查开采外，严控城镇开发边界内的矿产资源勘查开采。</w:t>
                  </w:r>
                </w:p>
                <w:p w14:paraId="153FFD4D">
                  <w:pPr>
                    <w:pStyle w:val="72"/>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根据上级矿产资源规划管理要求，结合宝鸡市实际，确定全市矿产资源勘查开采调控方向：</w:t>
                  </w:r>
                </w:p>
                <w:p w14:paraId="62199795">
                  <w:pPr>
                    <w:pStyle w:val="72"/>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限制勘查高硫煤、石煤、硫铁矿，勘查区块投放前应做好论证。围绕战略性矿产、优势和紧缺矿产，引导要素聚集，重点勘查煤层气、煤炭、铜矿、铅矿、锌矿、金矿、磷矿、石墨、</w:t>
                  </w:r>
                  <w:r>
                    <w:rPr>
                      <w:rFonts w:hint="eastAsia" w:ascii="Times New Roman" w:hAnsi="Times New Roman" w:cs="Times New Roman"/>
                      <w:lang w:eastAsia="zh-CN"/>
                    </w:rPr>
                    <w:t>脉石英岩</w:t>
                  </w:r>
                  <w:r>
                    <w:rPr>
                      <w:rFonts w:hint="eastAsia" w:ascii="Times New Roman" w:hAnsi="Times New Roman" w:eastAsia="宋体" w:cs="Times New Roman"/>
                      <w:lang w:eastAsia="zh-CN"/>
                    </w:rPr>
                    <w:t>、方解石、地热、矿泉水等矿产，以上矿种鼓励社会多元资金投资勘查。</w:t>
                  </w:r>
                </w:p>
                <w:p w14:paraId="00E6E5E1">
                  <w:pPr>
                    <w:pStyle w:val="72"/>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禁止开采新的原生汞矿、蓝石棉、可耕地的砖瓦用粘土，不得新设采矿权，因共生、伴生矿等情况确需综合回收利用禁止矿种的，应严格论证。禁止开采砷和放射性等有毒有害物质超过规定标准的煤炭项目。限制开采石煤、硫铁矿以及砂金、砂铁等重砂矿物，严格执行开采总量控制、开采准入条件等有关要求，并加强监督管理。不再新建石煤、硫铁矿、汞矿、露天磷矿山。对煤层气、煤炭、铜矿、金矿、晶质石墨、石灰岩、脉石英、</w:t>
                  </w:r>
                  <w:r>
                    <w:rPr>
                      <w:rFonts w:hint="eastAsia" w:ascii="Times New Roman" w:hAnsi="Times New Roman" w:cs="Times New Roman"/>
                      <w:lang w:eastAsia="zh-CN"/>
                    </w:rPr>
                    <w:t>脉石英岩</w:t>
                  </w:r>
                  <w:r>
                    <w:rPr>
                      <w:rFonts w:hint="eastAsia" w:ascii="Times New Roman" w:hAnsi="Times New Roman" w:eastAsia="宋体" w:cs="Times New Roman"/>
                      <w:lang w:eastAsia="zh-CN"/>
                    </w:rPr>
                    <w:t>、方解石、长石、水泥用粘土、陶粒用粘土、地热、矿泉水等矿产，推进高效利用，在符合开采准入条件和国家有关矿产资源管理政策要求下，有序投放采矿权。合理调</w:t>
                  </w:r>
                </w:p>
                <w:p w14:paraId="3954EE18">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控铅矿、锌矿、磷矿、水泥用灰岩开发利用强度。严格规范和控制露天开采活动。</w:t>
                  </w:r>
                </w:p>
              </w:tc>
              <w:tc>
                <w:tcPr>
                  <w:tcW w:w="2261" w:type="dxa"/>
                  <w:vAlign w:val="center"/>
                </w:tcPr>
                <w:p w14:paraId="22F5C173">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Times New Roman" w:hAnsi="Times New Roman" w:cs="Times New Roman"/>
                      <w:lang w:eastAsia="zh-CN"/>
                    </w:rPr>
                  </w:pPr>
                  <w:r>
                    <w:rPr>
                      <w:rFonts w:hint="eastAsia" w:ascii="Times New Roman" w:hAnsi="Times New Roman" w:cs="Times New Roman"/>
                      <w:lang w:val="en-US" w:eastAsia="zh-CN"/>
                    </w:rPr>
                    <w:t>本项目开采区不涉及</w:t>
                  </w:r>
                  <w:r>
                    <w:rPr>
                      <w:rFonts w:hint="eastAsia" w:ascii="Times New Roman" w:hAnsi="Times New Roman" w:eastAsia="宋体" w:cs="Times New Roman"/>
                      <w:lang w:eastAsia="zh-CN"/>
                    </w:rPr>
                    <w:t>生态保护红线、永久基本农田、城镇开发边界</w:t>
                  </w:r>
                  <w:r>
                    <w:rPr>
                      <w:rFonts w:hint="eastAsia" w:ascii="Times New Roman" w:hAnsi="Times New Roman" w:cs="Times New Roman"/>
                      <w:lang w:eastAsia="zh-CN"/>
                    </w:rPr>
                    <w:t>。</w:t>
                  </w:r>
                </w:p>
                <w:p w14:paraId="03F7D311">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both"/>
                    <w:textAlignment w:val="auto"/>
                    <w:rPr>
                      <w:rFonts w:hint="eastAsia" w:ascii="Times New Roman" w:hAnsi="Times New Roman" w:cs="Times New Roman"/>
                      <w:lang w:eastAsia="zh-CN"/>
                    </w:rPr>
                  </w:pPr>
                  <w:r>
                    <w:rPr>
                      <w:rFonts w:hint="eastAsia" w:ascii="Times New Roman" w:hAnsi="Times New Roman" w:cs="Times New Roman"/>
                      <w:lang w:val="en-US" w:eastAsia="zh-CN"/>
                    </w:rPr>
                    <w:t>本项目为</w:t>
                  </w:r>
                  <w:r>
                    <w:rPr>
                      <w:rFonts w:hint="eastAsia" w:ascii="Times New Roman" w:hAnsi="Times New Roman" w:cs="Times New Roman"/>
                      <w:spacing w:val="2"/>
                      <w:sz w:val="21"/>
                      <w:szCs w:val="21"/>
                      <w:vertAlign w:val="baseline"/>
                      <w:lang w:val="en-US" w:eastAsia="zh-CN"/>
                    </w:rPr>
                    <w:t>脉石英矿露天开采，不涉及</w:t>
                  </w:r>
                  <w:r>
                    <w:rPr>
                      <w:rFonts w:hint="eastAsia" w:ascii="Times New Roman" w:hAnsi="Times New Roman" w:eastAsia="宋体" w:cs="Times New Roman"/>
                      <w:lang w:eastAsia="zh-CN"/>
                    </w:rPr>
                    <w:t>高硫煤、石煤、硫铁矿</w:t>
                  </w:r>
                  <w:r>
                    <w:rPr>
                      <w:rFonts w:hint="eastAsia" w:ascii="Times New Roman" w:hAnsi="Times New Roman" w:cs="Times New Roman"/>
                      <w:lang w:eastAsia="zh-CN"/>
                    </w:rPr>
                    <w:t>、</w:t>
                  </w:r>
                  <w:r>
                    <w:rPr>
                      <w:rFonts w:hint="eastAsia" w:ascii="Times New Roman" w:hAnsi="Times New Roman" w:eastAsia="宋体" w:cs="Times New Roman"/>
                      <w:lang w:eastAsia="zh-CN"/>
                    </w:rPr>
                    <w:t>煤层气、煤炭、铜矿、铅矿、锌矿、金矿、磷矿、石墨、</w:t>
                  </w:r>
                  <w:r>
                    <w:rPr>
                      <w:rFonts w:hint="eastAsia" w:ascii="Times New Roman" w:hAnsi="Times New Roman" w:cs="Times New Roman"/>
                      <w:lang w:eastAsia="zh-CN"/>
                    </w:rPr>
                    <w:t>脉石英岩</w:t>
                  </w:r>
                  <w:r>
                    <w:rPr>
                      <w:rFonts w:hint="eastAsia" w:ascii="Times New Roman" w:hAnsi="Times New Roman" w:eastAsia="宋体" w:cs="Times New Roman"/>
                      <w:lang w:eastAsia="zh-CN"/>
                    </w:rPr>
                    <w:t>、方解石、地热、矿泉水等矿产</w:t>
                  </w:r>
                  <w:r>
                    <w:rPr>
                      <w:rFonts w:hint="eastAsia" w:ascii="Times New Roman" w:hAnsi="Times New Roman" w:cs="Times New Roman"/>
                      <w:lang w:eastAsia="zh-CN"/>
                    </w:rPr>
                    <w:t>。</w:t>
                  </w:r>
                </w:p>
                <w:p w14:paraId="2A31E18D">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both"/>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本项目为</w:t>
                  </w:r>
                  <w:r>
                    <w:rPr>
                      <w:rFonts w:hint="eastAsia" w:ascii="Times New Roman" w:hAnsi="Times New Roman" w:cs="Times New Roman"/>
                      <w:spacing w:val="2"/>
                      <w:sz w:val="21"/>
                      <w:szCs w:val="21"/>
                      <w:vertAlign w:val="baseline"/>
                      <w:lang w:val="en-US" w:eastAsia="zh-CN"/>
                    </w:rPr>
                    <w:t>脉石英矿露天开采，不涉及</w:t>
                  </w:r>
                  <w:r>
                    <w:rPr>
                      <w:rFonts w:hint="eastAsia" w:ascii="Times New Roman" w:hAnsi="Times New Roman" w:eastAsia="宋体" w:cs="Times New Roman"/>
                      <w:lang w:eastAsia="zh-CN"/>
                    </w:rPr>
                    <w:t>原生汞矿、蓝石棉、可耕地的砖瓦用粘土</w:t>
                  </w:r>
                  <w:r>
                    <w:rPr>
                      <w:rFonts w:hint="eastAsia" w:ascii="Times New Roman" w:hAnsi="Times New Roman" w:cs="Times New Roman"/>
                      <w:lang w:eastAsia="zh-CN"/>
                    </w:rPr>
                    <w:t>、</w:t>
                  </w:r>
                  <w:r>
                    <w:rPr>
                      <w:rFonts w:hint="eastAsia" w:ascii="Times New Roman" w:hAnsi="Times New Roman" w:eastAsia="宋体" w:cs="Times New Roman"/>
                      <w:lang w:eastAsia="zh-CN"/>
                    </w:rPr>
                    <w:t>石煤、硫铁矿以及砂金、砂铁等重砂矿物</w:t>
                  </w:r>
                  <w:r>
                    <w:rPr>
                      <w:rFonts w:hint="eastAsia" w:ascii="Times New Roman" w:hAnsi="Times New Roman" w:cs="Times New Roman"/>
                      <w:lang w:eastAsia="zh-CN"/>
                    </w:rPr>
                    <w:t>，</w:t>
                  </w:r>
                  <w:r>
                    <w:rPr>
                      <w:rFonts w:hint="eastAsia" w:ascii="Times New Roman" w:hAnsi="Times New Roman" w:cs="Times New Roman"/>
                      <w:lang w:val="en-US" w:eastAsia="zh-CN"/>
                    </w:rPr>
                    <w:t>不涉及</w:t>
                  </w:r>
                  <w:r>
                    <w:rPr>
                      <w:rFonts w:hint="eastAsia" w:ascii="Times New Roman" w:hAnsi="Times New Roman" w:eastAsia="宋体" w:cs="Times New Roman"/>
                      <w:lang w:eastAsia="zh-CN"/>
                    </w:rPr>
                    <w:t>石煤、硫铁矿、汞矿、露天磷矿山。对煤层气、煤炭、铜矿、金矿、晶质石墨、石灰岩、脉石英、</w:t>
                  </w:r>
                  <w:r>
                    <w:rPr>
                      <w:rFonts w:hint="eastAsia" w:ascii="Times New Roman" w:hAnsi="Times New Roman" w:cs="Times New Roman"/>
                      <w:lang w:eastAsia="zh-CN"/>
                    </w:rPr>
                    <w:t>脉石英岩</w:t>
                  </w:r>
                  <w:r>
                    <w:rPr>
                      <w:rFonts w:hint="eastAsia" w:ascii="Times New Roman" w:hAnsi="Times New Roman" w:eastAsia="宋体" w:cs="Times New Roman"/>
                      <w:lang w:eastAsia="zh-CN"/>
                    </w:rPr>
                    <w:t>、方解石、长石、水泥用粘土、陶粒用粘土、地热、矿泉水等矿产</w:t>
                  </w:r>
                  <w:r>
                    <w:rPr>
                      <w:rFonts w:hint="eastAsia" w:ascii="Times New Roman" w:hAnsi="Times New Roman" w:cs="Times New Roman"/>
                      <w:lang w:eastAsia="zh-CN"/>
                    </w:rPr>
                    <w:t>。</w:t>
                  </w:r>
                </w:p>
              </w:tc>
              <w:tc>
                <w:tcPr>
                  <w:tcW w:w="544" w:type="pct"/>
                  <w:tcBorders>
                    <w:right w:val="single" w:color="000000" w:sz="2" w:space="0"/>
                  </w:tcBorders>
                  <w:vAlign w:val="center"/>
                </w:tcPr>
                <w:p w14:paraId="05E898D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124" w:firstLine="0" w:firstLineChars="0"/>
                    <w:jc w:val="center"/>
                    <w:textAlignment w:val="auto"/>
                    <w:rPr>
                      <w:rFonts w:hint="eastAsia" w:ascii="Times New Roman" w:hAnsi="Times New Roman" w:eastAsia="宋体" w:cs="Times New Roman"/>
                      <w:lang w:eastAsia="zh-CN"/>
                    </w:rPr>
                  </w:pPr>
                  <w:r>
                    <w:rPr>
                      <w:rFonts w:hint="eastAsia" w:ascii="Times New Roman" w:hAnsi="Times New Roman" w:cs="Times New Roman"/>
                      <w:lang w:eastAsia="zh-CN"/>
                    </w:rPr>
                    <w:t>符合</w:t>
                  </w:r>
                </w:p>
              </w:tc>
            </w:tr>
            <w:tr w14:paraId="665E68CB">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4502" w:hRule="atLeast"/>
              </w:trPr>
              <w:tc>
                <w:tcPr>
                  <w:tcW w:w="601" w:type="pct"/>
                  <w:tcBorders>
                    <w:left w:val="single" w:color="000000" w:sz="4" w:space="0"/>
                  </w:tcBorders>
                  <w:vAlign w:val="center"/>
                </w:tcPr>
                <w:p w14:paraId="52DE4819">
                  <w:pPr>
                    <w:pStyle w:val="7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五、加强矿产资源开发利用与保护</w:t>
                  </w:r>
                </w:p>
              </w:tc>
              <w:tc>
                <w:tcPr>
                  <w:tcW w:w="743" w:type="pct"/>
                  <w:vAlign w:val="center"/>
                </w:tcPr>
                <w:p w14:paraId="52BF95C9">
                  <w:pPr>
                    <w:pStyle w:val="7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二、优化开发利用结构</w:t>
                  </w:r>
                </w:p>
                <w:p w14:paraId="3B4D8A2B">
                  <w:pPr>
                    <w:pStyle w:val="7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（一）矿山最低开采规模</w:t>
                  </w:r>
                </w:p>
                <w:p w14:paraId="2D2C9374">
                  <w:pPr>
                    <w:pStyle w:val="7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lang w:val="en-US" w:eastAsia="zh-CN"/>
                    </w:rPr>
                  </w:pPr>
                </w:p>
              </w:tc>
              <w:tc>
                <w:tcPr>
                  <w:tcW w:w="2414" w:type="dxa"/>
                  <w:vAlign w:val="center"/>
                </w:tcPr>
                <w:p w14:paraId="6527F8FC">
                  <w:pPr>
                    <w:pStyle w:val="72"/>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按照矿山开采规模与矿区资源储量规模、矿山服务年限相适应的要求，新立采矿权实施新建矿山最低开采规模的规定。</w:t>
                  </w:r>
                </w:p>
                <w:p w14:paraId="301C9504">
                  <w:pPr>
                    <w:pStyle w:val="72"/>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已有采矿权矿山企业应当通过设备改造和技术升级，达到保留或技改矿山最低规模要求。全面落实上级矿产资源规划中确定的矿种最低开采规模。根据宝鸡市实际情况，为加强矿山企业</w:t>
                  </w:r>
                </w:p>
                <w:p w14:paraId="1C685443">
                  <w:pPr>
                    <w:pStyle w:val="72"/>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结构调整，引导节约集约利用矿产资源，实现矿山规模化、集</w:t>
                  </w:r>
                </w:p>
                <w:p w14:paraId="5D7AC38F">
                  <w:pPr>
                    <w:pStyle w:val="72"/>
                    <w:keepNext w:val="0"/>
                    <w:keepLines w:val="0"/>
                    <w:pageBreakBefore w:val="0"/>
                    <w:widowControl w:val="0"/>
                    <w:kinsoku/>
                    <w:wordWrap/>
                    <w:overflowPunct/>
                    <w:topLinePunct w:val="0"/>
                    <w:autoSpaceDE/>
                    <w:autoSpaceDN/>
                    <w:bidi w:val="0"/>
                    <w:adjustRightInd/>
                    <w:snapToGrid/>
                    <w:spacing w:line="240" w:lineRule="auto"/>
                    <w:ind w:left="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约化发展，对上级矿产资源规划中未涉及在本轮规划期内其他</w:t>
                  </w:r>
                </w:p>
                <w:p w14:paraId="040243F9">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lang w:eastAsia="zh-CN"/>
                    </w:rPr>
                  </w:pPr>
                  <w:r>
                    <w:rPr>
                      <w:rFonts w:hint="default" w:ascii="Times New Roman" w:hAnsi="Times New Roman" w:eastAsia="宋体" w:cs="Times New Roman"/>
                      <w:lang w:val="en-US" w:eastAsia="zh-CN"/>
                    </w:rPr>
                    <w:t>开采主要矿种，制定相应矿种最低开采规模，原则上新立采矿权矿山规模不低于中型</w:t>
                  </w:r>
                  <w:r>
                    <w:rPr>
                      <w:rFonts w:hint="eastAsia" w:ascii="Times New Roman" w:hAnsi="Times New Roman" w:cs="Times New Roman"/>
                      <w:lang w:val="en-US" w:eastAsia="zh-CN"/>
                    </w:rPr>
                    <w:t>。</w:t>
                  </w:r>
                </w:p>
              </w:tc>
              <w:tc>
                <w:tcPr>
                  <w:tcW w:w="2261" w:type="dxa"/>
                  <w:vAlign w:val="center"/>
                </w:tcPr>
                <w:p w14:paraId="7CED652E">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8" w:firstLineChars="200"/>
                    <w:jc w:val="both"/>
                    <w:textAlignment w:val="auto"/>
                    <w:rPr>
                      <w:rFonts w:hint="default" w:ascii="Times New Roman" w:hAnsi="Times New Roman" w:cs="Times New Roman"/>
                      <w:lang w:val="en-US" w:eastAsia="zh-CN"/>
                    </w:rPr>
                  </w:pPr>
                  <w:r>
                    <w:rPr>
                      <w:rFonts w:hint="eastAsia" w:ascii="Times New Roman" w:hAnsi="Times New Roman" w:cs="Times New Roman"/>
                      <w:spacing w:val="2"/>
                      <w:sz w:val="21"/>
                      <w:szCs w:val="21"/>
                      <w:vertAlign w:val="baseline"/>
                      <w:lang w:val="en-US" w:eastAsia="zh-CN"/>
                    </w:rPr>
                    <w:t>本项目在宝鸡市陈仓区梨树沟露天开采脉石英矿，产量为40万t/a，满足重点矿种最低开采规模中“脉石英”新建矿山不得低于10万t/a的要求。</w:t>
                  </w:r>
                </w:p>
              </w:tc>
              <w:tc>
                <w:tcPr>
                  <w:tcW w:w="544" w:type="pct"/>
                  <w:tcBorders>
                    <w:right w:val="single" w:color="000000" w:sz="2" w:space="0"/>
                  </w:tcBorders>
                  <w:vAlign w:val="center"/>
                </w:tcPr>
                <w:p w14:paraId="6CA066BE">
                  <w:pPr>
                    <w:pStyle w:val="72"/>
                    <w:keepNext w:val="0"/>
                    <w:keepLines w:val="0"/>
                    <w:pageBreakBefore w:val="0"/>
                    <w:widowControl w:val="0"/>
                    <w:kinsoku/>
                    <w:wordWrap/>
                    <w:overflowPunct/>
                    <w:topLinePunct w:val="0"/>
                    <w:autoSpaceDE/>
                    <w:autoSpaceDN/>
                    <w:bidi w:val="0"/>
                    <w:adjustRightInd/>
                    <w:snapToGrid/>
                    <w:spacing w:line="240" w:lineRule="auto"/>
                    <w:ind w:left="0" w:leftChars="0" w:right="124" w:firstLine="0" w:firstLineChars="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符合</w:t>
                  </w:r>
                </w:p>
              </w:tc>
            </w:tr>
            <w:tr w14:paraId="51B420F9">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01" w:type="pct"/>
                  <w:tcBorders>
                    <w:left w:val="single" w:color="000000" w:sz="4" w:space="0"/>
                  </w:tcBorders>
                  <w:vAlign w:val="center"/>
                </w:tcPr>
                <w:p w14:paraId="24D89EAE">
                  <w:pPr>
                    <w:pStyle w:val="7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六、推动矿业绿色发展</w:t>
                  </w:r>
                </w:p>
              </w:tc>
              <w:tc>
                <w:tcPr>
                  <w:tcW w:w="743" w:type="pct"/>
                  <w:vAlign w:val="center"/>
                </w:tcPr>
                <w:p w14:paraId="7D10548D">
                  <w:pPr>
                    <w:pStyle w:val="7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二、加强矿产资源绿色开采</w:t>
                  </w:r>
                </w:p>
              </w:tc>
              <w:tc>
                <w:tcPr>
                  <w:tcW w:w="2414" w:type="dxa"/>
                  <w:vAlign w:val="center"/>
                </w:tcPr>
                <w:p w14:paraId="1BAB8A9F">
                  <w:pPr>
                    <w:pStyle w:val="7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非金属矿山露天开采宜采用剥离一排土一开采一造地一复垦技术，地下开采应结合实际选择合理的开采技术。矿产资源开发利用指标应符合国家及行业相关规定要求。</w:t>
                  </w:r>
                </w:p>
              </w:tc>
              <w:tc>
                <w:tcPr>
                  <w:tcW w:w="2261" w:type="dxa"/>
                  <w:vAlign w:val="center"/>
                </w:tcPr>
                <w:p w14:paraId="5273CA55">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8" w:firstLineChars="200"/>
                    <w:jc w:val="both"/>
                    <w:textAlignment w:val="auto"/>
                    <w:rPr>
                      <w:rFonts w:hint="default" w:ascii="Times New Roman" w:hAnsi="Times New Roman" w:cs="Times New Roman"/>
                      <w:lang w:val="en-US" w:eastAsia="zh-CN"/>
                    </w:rPr>
                  </w:pPr>
                  <w:r>
                    <w:rPr>
                      <w:rFonts w:hint="eastAsia" w:ascii="Times New Roman" w:hAnsi="Times New Roman" w:cs="Times New Roman"/>
                      <w:spacing w:val="2"/>
                      <w:sz w:val="21"/>
                      <w:szCs w:val="21"/>
                      <w:vertAlign w:val="baseline"/>
                      <w:lang w:val="en-US" w:eastAsia="zh-CN"/>
                    </w:rPr>
                    <w:t>本项目在宝鸡市陈仓区梨树沟露天开采脉石英矿，开采方式为</w:t>
                  </w:r>
                  <w:r>
                    <w:rPr>
                      <w:rFonts w:hint="eastAsia" w:ascii="Times New Roman" w:hAnsi="Times New Roman" w:eastAsia="宋体" w:cs="Times New Roman"/>
                      <w:lang w:eastAsia="zh-CN"/>
                    </w:rPr>
                    <w:t>剥离一排土一开采一造地一复垦</w:t>
                  </w:r>
                  <w:r>
                    <w:rPr>
                      <w:rFonts w:hint="eastAsia" w:ascii="Times New Roman" w:hAnsi="Times New Roman" w:cs="Times New Roman"/>
                      <w:lang w:eastAsia="zh-CN"/>
                    </w:rPr>
                    <w:t>。</w:t>
                  </w:r>
                  <w:r>
                    <w:rPr>
                      <w:rFonts w:hint="eastAsia" w:ascii="Times New Roman" w:hAnsi="Times New Roman" w:cs="Times New Roman"/>
                      <w:lang w:val="en-US" w:eastAsia="zh-CN"/>
                    </w:rPr>
                    <w:t>矿石剥采率等指标满足</w:t>
                  </w:r>
                  <w:r>
                    <w:rPr>
                      <w:rFonts w:hint="eastAsia" w:ascii="Times New Roman" w:hAnsi="Times New Roman" w:eastAsia="宋体" w:cs="Times New Roman"/>
                      <w:lang w:eastAsia="zh-CN"/>
                    </w:rPr>
                    <w:t>国家及行业相关规定要求</w:t>
                  </w:r>
                  <w:r>
                    <w:rPr>
                      <w:rFonts w:hint="eastAsia" w:ascii="Times New Roman" w:hAnsi="Times New Roman" w:cs="Times New Roman"/>
                      <w:lang w:eastAsia="zh-CN"/>
                    </w:rPr>
                    <w:t>。</w:t>
                  </w:r>
                </w:p>
              </w:tc>
              <w:tc>
                <w:tcPr>
                  <w:tcW w:w="544" w:type="pct"/>
                  <w:tcBorders>
                    <w:right w:val="single" w:color="000000" w:sz="2" w:space="0"/>
                  </w:tcBorders>
                  <w:vAlign w:val="center"/>
                </w:tcPr>
                <w:p w14:paraId="79B38807">
                  <w:pPr>
                    <w:pStyle w:val="72"/>
                    <w:keepNext w:val="0"/>
                    <w:keepLines w:val="0"/>
                    <w:pageBreakBefore w:val="0"/>
                    <w:widowControl w:val="0"/>
                    <w:kinsoku/>
                    <w:wordWrap/>
                    <w:overflowPunct/>
                    <w:topLinePunct w:val="0"/>
                    <w:autoSpaceDE/>
                    <w:autoSpaceDN/>
                    <w:bidi w:val="0"/>
                    <w:adjustRightInd/>
                    <w:snapToGrid/>
                    <w:spacing w:line="240" w:lineRule="auto"/>
                    <w:ind w:left="0" w:leftChars="0" w:right="124" w:firstLine="0" w:firstLineChars="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符合</w:t>
                  </w:r>
                </w:p>
              </w:tc>
            </w:tr>
          </w:tbl>
          <w:p w14:paraId="6AEAF7BE">
            <w:pPr>
              <w:keepNext w:val="0"/>
              <w:keepLines w:val="0"/>
              <w:pageBreakBefore w:val="0"/>
              <w:widowControl/>
              <w:kinsoku w:val="0"/>
              <w:wordWrap/>
              <w:overflowPunct/>
              <w:topLinePunct w:val="0"/>
              <w:autoSpaceDE w:val="0"/>
              <w:autoSpaceDN w:val="0"/>
              <w:bidi w:val="0"/>
              <w:adjustRightInd/>
              <w:snapToGrid/>
              <w:spacing w:line="240" w:lineRule="auto"/>
              <w:ind w:left="0" w:leftChars="0" w:firstLine="0" w:firstLineChars="0"/>
              <w:jc w:val="center"/>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b/>
                <w:bCs/>
                <w:spacing w:val="-2"/>
                <w:sz w:val="24"/>
                <w:szCs w:val="24"/>
              </w:rPr>
              <w:t>表</w:t>
            </w:r>
            <w:r>
              <w:rPr>
                <w:rFonts w:hint="eastAsia" w:ascii="Times New Roman" w:hAnsi="Times New Roman" w:eastAsia="宋体" w:cs="Times New Roman"/>
                <w:b/>
                <w:bCs/>
                <w:spacing w:val="-2"/>
                <w:sz w:val="24"/>
                <w:szCs w:val="24"/>
                <w:lang w:val="en-US" w:eastAsia="zh-CN"/>
              </w:rPr>
              <w:t>1-4</w:t>
            </w:r>
            <w:r>
              <w:rPr>
                <w:rFonts w:hint="eastAsia" w:ascii="Times New Roman" w:hAnsi="Times New Roman" w:eastAsia="宋体" w:cs="Times New Roman"/>
                <w:b/>
                <w:bCs/>
                <w:spacing w:val="-2"/>
                <w:sz w:val="24"/>
                <w:szCs w:val="24"/>
                <w:lang w:eastAsia="zh-CN"/>
              </w:rPr>
              <w:t>与</w:t>
            </w:r>
            <w:r>
              <w:rPr>
                <w:rFonts w:hint="eastAsia" w:ascii="Times New Roman" w:hAnsi="Times New Roman" w:eastAsia="宋体" w:cs="Times New Roman"/>
                <w:b/>
                <w:bCs/>
                <w:spacing w:val="-2"/>
                <w:sz w:val="24"/>
                <w:szCs w:val="24"/>
                <w:lang w:val="en-US" w:eastAsia="zh-CN"/>
              </w:rPr>
              <w:t>《陈仓区矿产资源总体规划（2021—2025年）》</w:t>
            </w:r>
            <w:r>
              <w:rPr>
                <w:rFonts w:hint="eastAsia" w:ascii="Times New Roman" w:hAnsi="Times New Roman" w:eastAsia="宋体" w:cs="Times New Roman"/>
                <w:b/>
                <w:bCs/>
                <w:spacing w:val="-2"/>
                <w:sz w:val="24"/>
                <w:szCs w:val="24"/>
                <w:lang w:eastAsia="zh-CN"/>
              </w:rPr>
              <w:t>符合性分析</w:t>
            </w:r>
          </w:p>
          <w:tbl>
            <w:tblPr>
              <w:tblStyle w:val="73"/>
              <w:tblW w:w="4998" w:type="pct"/>
              <w:jc w:val="center"/>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Layout w:type="autofit"/>
              <w:tblCellMar>
                <w:top w:w="0" w:type="dxa"/>
                <w:left w:w="0" w:type="dxa"/>
                <w:bottom w:w="0" w:type="dxa"/>
                <w:right w:w="0" w:type="dxa"/>
              </w:tblCellMar>
            </w:tblPr>
            <w:tblGrid>
              <w:gridCol w:w="908"/>
              <w:gridCol w:w="910"/>
              <w:gridCol w:w="2990"/>
              <w:gridCol w:w="2005"/>
              <w:gridCol w:w="709"/>
            </w:tblGrid>
            <w:tr w14:paraId="533597A8">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3" w:type="pct"/>
                  <w:tcBorders>
                    <w:tl2br w:val="nil"/>
                    <w:tr2bl w:val="nil"/>
                  </w:tcBorders>
                  <w:vAlign w:val="center"/>
                </w:tcPr>
                <w:p w14:paraId="29DCCAA0">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规划章节</w:t>
                  </w:r>
                </w:p>
              </w:tc>
              <w:tc>
                <w:tcPr>
                  <w:tcW w:w="604" w:type="pct"/>
                  <w:tcBorders>
                    <w:tl2br w:val="nil"/>
                    <w:tr2bl w:val="nil"/>
                  </w:tcBorders>
                  <w:vAlign w:val="center"/>
                </w:tcPr>
                <w:p w14:paraId="57B42FC7">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内容主题</w:t>
                  </w:r>
                </w:p>
              </w:tc>
              <w:tc>
                <w:tcPr>
                  <w:tcW w:w="1987" w:type="pct"/>
                  <w:tcBorders>
                    <w:tl2br w:val="nil"/>
                    <w:tr2bl w:val="nil"/>
                  </w:tcBorders>
                  <w:vAlign w:val="center"/>
                </w:tcPr>
                <w:p w14:paraId="141E74F2">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b/>
                      <w:bCs/>
                      <w:lang w:eastAsia="zh-CN"/>
                    </w:rPr>
                  </w:pPr>
                  <w:r>
                    <w:rPr>
                      <w:rFonts w:hint="eastAsia" w:ascii="Times New Roman" w:hAnsi="Times New Roman" w:cs="Times New Roman"/>
                      <w:b/>
                      <w:bCs/>
                      <w:lang w:val="en-US" w:eastAsia="zh-CN"/>
                    </w:rPr>
                    <w:t>具体</w:t>
                  </w:r>
                  <w:r>
                    <w:rPr>
                      <w:rFonts w:hint="eastAsia" w:ascii="Times New Roman" w:hAnsi="Times New Roman" w:cs="Times New Roman"/>
                      <w:b/>
                      <w:bCs/>
                      <w:lang w:eastAsia="zh-CN"/>
                    </w:rPr>
                    <w:t>要求</w:t>
                  </w:r>
                </w:p>
              </w:tc>
              <w:tc>
                <w:tcPr>
                  <w:tcW w:w="1332" w:type="pct"/>
                  <w:tcBorders>
                    <w:tl2br w:val="nil"/>
                    <w:tr2bl w:val="nil"/>
                  </w:tcBorders>
                  <w:vAlign w:val="center"/>
                </w:tcPr>
                <w:p w14:paraId="1923A5D2">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s="Times New Roman"/>
                      <w:b/>
                      <w:bCs/>
                      <w:lang w:eastAsia="zh-CN"/>
                    </w:rPr>
                  </w:pPr>
                  <w:r>
                    <w:rPr>
                      <w:rFonts w:hint="eastAsia" w:ascii="Times New Roman" w:hAnsi="Times New Roman" w:cs="Times New Roman"/>
                      <w:b/>
                      <w:bCs/>
                      <w:lang w:eastAsia="zh-CN"/>
                    </w:rPr>
                    <w:t>本项目情况</w:t>
                  </w:r>
                </w:p>
              </w:tc>
              <w:tc>
                <w:tcPr>
                  <w:tcW w:w="471" w:type="pct"/>
                  <w:tcBorders>
                    <w:tl2br w:val="nil"/>
                    <w:tr2bl w:val="nil"/>
                  </w:tcBorders>
                  <w:vAlign w:val="center"/>
                </w:tcPr>
                <w:p w14:paraId="4661F6B5">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s="Times New Roman"/>
                      <w:b/>
                      <w:bCs/>
                      <w:lang w:eastAsia="zh-CN"/>
                    </w:rPr>
                  </w:pPr>
                  <w:r>
                    <w:rPr>
                      <w:rFonts w:hint="eastAsia" w:ascii="Times New Roman" w:hAnsi="Times New Roman" w:cs="Times New Roman"/>
                      <w:b/>
                      <w:bCs/>
                      <w:lang w:eastAsia="zh-CN"/>
                    </w:rPr>
                    <w:t>符合性</w:t>
                  </w:r>
                </w:p>
              </w:tc>
            </w:tr>
            <w:tr w14:paraId="1E2800D5">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3" w:type="pct"/>
                  <w:tcBorders>
                    <w:tl2br w:val="nil"/>
                    <w:tr2bl w:val="nil"/>
                  </w:tcBorders>
                  <w:vAlign w:val="center"/>
                </w:tcPr>
                <w:p w14:paraId="5FCC21FA">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四、加强矿产资源勘查开发利用与保护</w:t>
                  </w:r>
                </w:p>
              </w:tc>
              <w:tc>
                <w:tcPr>
                  <w:tcW w:w="604" w:type="pct"/>
                  <w:tcBorders>
                    <w:tl2br w:val="nil"/>
                    <w:tr2bl w:val="nil"/>
                  </w:tcBorders>
                  <w:vAlign w:val="center"/>
                </w:tcPr>
                <w:p w14:paraId="6C47C9BA">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四、严格规划准入管理</w:t>
                  </w:r>
                </w:p>
              </w:tc>
              <w:tc>
                <w:tcPr>
                  <w:tcW w:w="1987" w:type="pct"/>
                  <w:tcBorders>
                    <w:tl2br w:val="nil"/>
                    <w:tr2bl w:val="nil"/>
                  </w:tcBorders>
                  <w:vAlign w:val="center"/>
                </w:tcPr>
                <w:p w14:paraId="373FA281">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以保护生态环境为首要任务，突出源头控制，最大限度减轻矿业活动对生态环境的影响，实施严格的矿产资源勘查开发准入条件。</w:t>
                  </w:r>
                </w:p>
                <w:p w14:paraId="1DBF7850">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环境准入：严格执行环境影响评价制度，在允许矿产开发的区域新建、扩建、改建矿产资源开采项目，应进行环境影响评价，依法办理审批手续。执行陕西国家重点生态功能区产业准入负面清单（试行）、区域“三线一单”、秦岭重点保护区和一般保护区产业准入清单（试行）要求，产业政策准入门槛高于本规划的，以产业政策为准。科学编制矿山地质环境保护与土地复垦方案。矿产资源开发可能造成水土流失的，应当制定水土流失预防和治理的对策和措施。</w:t>
                  </w:r>
                </w:p>
                <w:p w14:paraId="23309EA2">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空间准入：严格落实国土空间管控要求和生态保护红线差别化管控要求。在秦岭核心保护区和重点保护区内禁止新设采矿权，秦岭主梁以北、封山育林、禁牧区内禁止新设采石采矿权。严格控制和规范在秦岭一般保护区内的矿业活动。露天开采的采石矿山应避让永久基本农田和生态保护红线及其他行业法律法规禁止开采的区域。</w:t>
                  </w:r>
                </w:p>
                <w:p w14:paraId="366E9574">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开采规模准入：根据矿山开采规模应与资源量规模相适应的原则，实施矿山最低开采规模的规定，新立采矿权执行新建矿山最低开采规模要求。</w:t>
                  </w:r>
                </w:p>
                <w:p w14:paraId="5490E8D3">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开发利用水平准入：禁止采用落后的、</w:t>
                  </w:r>
                  <w:r>
                    <w:rPr>
                      <w:rFonts w:hint="eastAsia" w:ascii="Times New Roman" w:hAnsi="Times New Roman" w:cs="Times New Roman"/>
                      <w:lang w:eastAsia="zh-CN"/>
                    </w:rPr>
                    <w:t>淘汰</w:t>
                  </w:r>
                  <w:r>
                    <w:rPr>
                      <w:rFonts w:hint="eastAsia" w:ascii="Times New Roman" w:hAnsi="Times New Roman" w:eastAsia="宋体" w:cs="Times New Roman"/>
                      <w:lang w:eastAsia="zh-CN"/>
                    </w:rPr>
                    <w:t>的、破坏和浪费矿产资源的开采和选矿技术，采选工艺应符合国家《矿产资源节约与综合利用先进适用技术目录》的最新版本要求。积极开展科技创新和技术革新，矿山企业应保障科技创新的资金投入。</w:t>
                  </w:r>
                </w:p>
              </w:tc>
              <w:tc>
                <w:tcPr>
                  <w:tcW w:w="1332" w:type="pct"/>
                  <w:tcBorders>
                    <w:tl2br w:val="nil"/>
                    <w:tr2bl w:val="nil"/>
                  </w:tcBorders>
                  <w:vAlign w:val="center"/>
                </w:tcPr>
                <w:p w14:paraId="44712894">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lang w:eastAsia="zh-CN"/>
                    </w:rPr>
                  </w:pPr>
                  <w:r>
                    <w:rPr>
                      <w:rFonts w:hint="eastAsia" w:ascii="Times New Roman" w:hAnsi="Times New Roman" w:cs="Times New Roman"/>
                      <w:lang w:eastAsia="zh-CN"/>
                    </w:rPr>
                    <w:t>本项目</w:t>
                  </w:r>
                  <w:r>
                    <w:rPr>
                      <w:rFonts w:hint="eastAsia" w:ascii="Times New Roman" w:hAnsi="Times New Roman" w:cs="Times New Roman"/>
                      <w:lang w:val="en-US" w:eastAsia="zh-CN"/>
                    </w:rPr>
                    <w:t>开采区属于陇山山系关山余脉，</w:t>
                  </w:r>
                  <w:r>
                    <w:rPr>
                      <w:rFonts w:hint="eastAsia" w:ascii="Times New Roman" w:hAnsi="Times New Roman" w:cs="Times New Roman"/>
                      <w:lang w:eastAsia="zh-CN"/>
                    </w:rPr>
                    <w:t>不属于</w:t>
                  </w:r>
                  <w:r>
                    <w:rPr>
                      <w:rFonts w:hint="eastAsia" w:ascii="Times New Roman" w:hAnsi="Times New Roman" w:eastAsia="宋体" w:cs="Times New Roman"/>
                      <w:lang w:eastAsia="zh-CN"/>
                    </w:rPr>
                    <w:t>秦岭核心保护区和重点保护区</w:t>
                  </w:r>
                  <w:r>
                    <w:rPr>
                      <w:rFonts w:hint="eastAsia" w:ascii="Times New Roman" w:hAnsi="Times New Roman" w:cs="Times New Roman"/>
                      <w:lang w:eastAsia="zh-CN"/>
                    </w:rPr>
                    <w:t>。</w:t>
                  </w:r>
                </w:p>
                <w:p w14:paraId="3A874B69">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both"/>
                    <w:textAlignment w:val="auto"/>
                    <w:rPr>
                      <w:rFonts w:hint="eastAsia" w:ascii="Times New Roman" w:hAnsi="Times New Roman" w:cs="Times New Roman"/>
                      <w:lang w:val="en-US" w:eastAsia="zh-CN"/>
                    </w:rPr>
                  </w:pPr>
                  <w:r>
                    <w:rPr>
                      <w:rFonts w:hint="eastAsia" w:ascii="Times New Roman" w:hAnsi="Times New Roman" w:cs="Times New Roman"/>
                      <w:spacing w:val="2"/>
                      <w:sz w:val="21"/>
                      <w:szCs w:val="21"/>
                      <w:vertAlign w:val="baseline"/>
                      <w:lang w:val="en-US" w:eastAsia="zh-CN"/>
                    </w:rPr>
                    <w:t>本项目</w:t>
                  </w:r>
                  <w:r>
                    <w:rPr>
                      <w:rFonts w:hint="eastAsia" w:ascii="Times New Roman" w:hAnsi="Times New Roman" w:eastAsia="宋体" w:cs="Times New Roman"/>
                      <w:lang w:eastAsia="zh-CN"/>
                    </w:rPr>
                    <w:t>严格实施国土空间管控措施，</w:t>
                  </w:r>
                  <w:r>
                    <w:rPr>
                      <w:rFonts w:hint="eastAsia" w:ascii="Times New Roman" w:hAnsi="Times New Roman" w:cs="Times New Roman"/>
                      <w:lang w:val="en-US" w:eastAsia="zh-CN"/>
                    </w:rPr>
                    <w:t>满足陕西省、关中地区及宝鸡市</w:t>
                  </w:r>
                  <w:r>
                    <w:rPr>
                      <w:rFonts w:hint="eastAsia" w:ascii="Times New Roman" w:hAnsi="Times New Roman" w:eastAsia="宋体" w:cs="Times New Roman"/>
                      <w:lang w:eastAsia="zh-CN"/>
                    </w:rPr>
                    <w:t>“三线一单”</w:t>
                  </w:r>
                  <w:r>
                    <w:rPr>
                      <w:rFonts w:hint="eastAsia" w:ascii="Times New Roman" w:hAnsi="Times New Roman" w:cs="Times New Roman"/>
                      <w:lang w:val="en-US" w:eastAsia="zh-CN"/>
                    </w:rPr>
                    <w:t>具体要求。</w:t>
                  </w:r>
                </w:p>
                <w:p w14:paraId="7E7A74B4">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both"/>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本项目已编制了</w:t>
                  </w:r>
                  <w:r>
                    <w:rPr>
                      <w:rFonts w:hint="eastAsia" w:ascii="Times New Roman" w:hAnsi="Times New Roman" w:eastAsia="宋体" w:cs="Times New Roman"/>
                      <w:lang w:eastAsia="zh-CN"/>
                    </w:rPr>
                    <w:t>矿山地质环境保护与土地复垦方案</w:t>
                  </w:r>
                  <w:r>
                    <w:rPr>
                      <w:rFonts w:hint="eastAsia" w:ascii="Times New Roman" w:hAnsi="Times New Roman" w:cs="Times New Roman"/>
                      <w:lang w:eastAsia="zh-CN"/>
                    </w:rPr>
                    <w:t>，</w:t>
                  </w:r>
                  <w:r>
                    <w:rPr>
                      <w:rFonts w:hint="eastAsia" w:ascii="Times New Roman" w:hAnsi="Times New Roman" w:cs="Times New Roman"/>
                      <w:lang w:val="en-US" w:eastAsia="zh-CN"/>
                    </w:rPr>
                    <w:t>水土保持方案编制中。</w:t>
                  </w:r>
                </w:p>
              </w:tc>
              <w:tc>
                <w:tcPr>
                  <w:tcW w:w="471" w:type="pct"/>
                  <w:tcBorders>
                    <w:tl2br w:val="nil"/>
                    <w:tr2bl w:val="nil"/>
                  </w:tcBorders>
                  <w:vAlign w:val="center"/>
                </w:tcPr>
                <w:p w14:paraId="13EE3140">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s="Times New Roman"/>
                      <w:lang w:eastAsia="zh-CN"/>
                    </w:rPr>
                  </w:pPr>
                  <w:r>
                    <w:rPr>
                      <w:rFonts w:hint="eastAsia" w:ascii="Times New Roman" w:hAnsi="Times New Roman" w:cs="Times New Roman"/>
                      <w:lang w:eastAsia="zh-CN"/>
                    </w:rPr>
                    <w:t>符合</w:t>
                  </w:r>
                </w:p>
              </w:tc>
            </w:tr>
            <w:tr w14:paraId="21DAA6D6">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4502" w:hRule="atLeast"/>
                <w:jc w:val="center"/>
              </w:trPr>
              <w:tc>
                <w:tcPr>
                  <w:tcW w:w="603" w:type="pct"/>
                  <w:vMerge w:val="restart"/>
                  <w:tcBorders>
                    <w:tl2br w:val="nil"/>
                    <w:tr2bl w:val="nil"/>
                  </w:tcBorders>
                  <w:vAlign w:val="center"/>
                </w:tcPr>
                <w:p w14:paraId="345976ED">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五、推动矿业绿色发展</w:t>
                  </w:r>
                </w:p>
              </w:tc>
              <w:tc>
                <w:tcPr>
                  <w:tcW w:w="604" w:type="pct"/>
                  <w:tcBorders>
                    <w:tl2br w:val="nil"/>
                    <w:tr2bl w:val="nil"/>
                  </w:tcBorders>
                  <w:vAlign w:val="center"/>
                </w:tcPr>
                <w:p w14:paraId="427CA2D9">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二、加强矿产资源绿色开采</w:t>
                  </w:r>
                </w:p>
              </w:tc>
              <w:tc>
                <w:tcPr>
                  <w:tcW w:w="1987" w:type="pct"/>
                  <w:tcBorders>
                    <w:tl2br w:val="nil"/>
                    <w:tr2bl w:val="nil"/>
                  </w:tcBorders>
                  <w:vAlign w:val="center"/>
                </w:tcPr>
                <w:p w14:paraId="4AB6C9A5">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非金属矿山露天开采宜采用剥离一排土一开采一造地一复垦技术，地下开采应结合实际选择合理的开采技术。矿产资源开发利用指标应符合国家及行业相关规定要求。</w:t>
                  </w:r>
                </w:p>
              </w:tc>
              <w:tc>
                <w:tcPr>
                  <w:tcW w:w="1332" w:type="pct"/>
                  <w:tcBorders>
                    <w:tl2br w:val="nil"/>
                    <w:tr2bl w:val="nil"/>
                  </w:tcBorders>
                  <w:vAlign w:val="center"/>
                </w:tcPr>
                <w:p w14:paraId="0A785083">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both"/>
                    <w:textAlignment w:val="auto"/>
                    <w:rPr>
                      <w:rFonts w:hint="default" w:ascii="Times New Roman" w:hAnsi="Times New Roman" w:cs="Times New Roman"/>
                      <w:lang w:val="en-US" w:eastAsia="zh-CN"/>
                    </w:rPr>
                  </w:pPr>
                  <w:r>
                    <w:rPr>
                      <w:rFonts w:hint="eastAsia" w:ascii="Times New Roman" w:hAnsi="Times New Roman" w:cs="Times New Roman"/>
                      <w:spacing w:val="2"/>
                      <w:sz w:val="21"/>
                      <w:szCs w:val="21"/>
                      <w:vertAlign w:val="baseline"/>
                      <w:lang w:val="en-US" w:eastAsia="zh-CN"/>
                    </w:rPr>
                    <w:t>本项目在宝鸡市陈仓区梨树沟露天开采脉石英矿，开采方式为</w:t>
                  </w:r>
                  <w:r>
                    <w:rPr>
                      <w:rFonts w:hint="eastAsia" w:ascii="Times New Roman" w:hAnsi="Times New Roman" w:eastAsia="宋体" w:cs="Times New Roman"/>
                      <w:lang w:eastAsia="zh-CN"/>
                    </w:rPr>
                    <w:t>剥离一排土一开采一造地一复垦</w:t>
                  </w:r>
                  <w:r>
                    <w:rPr>
                      <w:rFonts w:hint="eastAsia" w:ascii="Times New Roman" w:hAnsi="Times New Roman" w:cs="Times New Roman"/>
                      <w:lang w:eastAsia="zh-CN"/>
                    </w:rPr>
                    <w:t>。</w:t>
                  </w:r>
                  <w:r>
                    <w:rPr>
                      <w:rFonts w:hint="eastAsia" w:ascii="Times New Roman" w:hAnsi="Times New Roman" w:cs="Times New Roman"/>
                      <w:lang w:val="en-US" w:eastAsia="zh-CN"/>
                    </w:rPr>
                    <w:t>矿石剥采率等指标满足</w:t>
                  </w:r>
                  <w:r>
                    <w:rPr>
                      <w:rFonts w:hint="eastAsia" w:ascii="Times New Roman" w:hAnsi="Times New Roman" w:eastAsia="宋体" w:cs="Times New Roman"/>
                      <w:lang w:eastAsia="zh-CN"/>
                    </w:rPr>
                    <w:t>国家及行业相关规定要求</w:t>
                  </w:r>
                  <w:r>
                    <w:rPr>
                      <w:rFonts w:hint="eastAsia" w:ascii="Times New Roman" w:hAnsi="Times New Roman" w:cs="Times New Roman"/>
                      <w:lang w:eastAsia="zh-CN"/>
                    </w:rPr>
                    <w:t>。</w:t>
                  </w:r>
                </w:p>
              </w:tc>
              <w:tc>
                <w:tcPr>
                  <w:tcW w:w="471" w:type="pct"/>
                  <w:tcBorders>
                    <w:tl2br w:val="nil"/>
                    <w:tr2bl w:val="nil"/>
                  </w:tcBorders>
                  <w:vAlign w:val="center"/>
                </w:tcPr>
                <w:p w14:paraId="6BCE3DEC">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lang w:eastAsia="zh-CN"/>
                    </w:rPr>
                  </w:pPr>
                  <w:r>
                    <w:rPr>
                      <w:rFonts w:hint="eastAsia" w:ascii="Times New Roman" w:hAnsi="Times New Roman" w:cs="Times New Roman"/>
                      <w:lang w:val="en-US" w:eastAsia="zh-CN"/>
                    </w:rPr>
                    <w:t>符合</w:t>
                  </w:r>
                </w:p>
              </w:tc>
            </w:tr>
            <w:tr w14:paraId="7320D7AA">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3" w:type="pct"/>
                  <w:vMerge w:val="continue"/>
                  <w:tcBorders>
                    <w:tl2br w:val="nil"/>
                    <w:tr2bl w:val="nil"/>
                  </w:tcBorders>
                  <w:vAlign w:val="center"/>
                </w:tcPr>
                <w:p w14:paraId="7C2A5DC4">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lang w:val="en-US" w:eastAsia="zh-CN"/>
                    </w:rPr>
                  </w:pPr>
                </w:p>
              </w:tc>
              <w:tc>
                <w:tcPr>
                  <w:tcW w:w="604" w:type="pct"/>
                  <w:tcBorders>
                    <w:tl2br w:val="nil"/>
                    <w:tr2bl w:val="nil"/>
                  </w:tcBorders>
                  <w:vAlign w:val="center"/>
                </w:tcPr>
                <w:p w14:paraId="1CC2A062">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三、加大矿山地质环境治理恢复</w:t>
                  </w:r>
                </w:p>
              </w:tc>
              <w:tc>
                <w:tcPr>
                  <w:tcW w:w="1987" w:type="pct"/>
                  <w:tcBorders>
                    <w:tl2br w:val="nil"/>
                    <w:tr2bl w:val="nil"/>
                  </w:tcBorders>
                  <w:vAlign w:val="center"/>
                </w:tcPr>
                <w:p w14:paraId="0C7F861E">
                  <w:pPr>
                    <w:pStyle w:val="7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新建矿山地质环境治理恢复。新建（在建）矿山要严格落实矿山生态环境准入制度，将安全绿色开采、规范矿产品运输装载、创建绿色矿山作为先置条件。认真编制《矿山地质环境保护与土地复垦方案》，并提出矿山地质环境保护及生态恢复的具体措施。遵循（绿色）矿山建设与环境建设“三同时’制度，做到矿山环境保护设施建设要与矿山建设同时设计、同时施工、同时投入使用。应提出明确的矿地利用目标要求，并按规定缴纳矿山环境治理恢复与土地复垦基金，加强废水循环使用、固体废弃物处置利用，必须明确矿山剥离物的堆放、综合利用措施，提出固体废弃物合理处置措施。</w:t>
                  </w:r>
                </w:p>
              </w:tc>
              <w:tc>
                <w:tcPr>
                  <w:tcW w:w="1332" w:type="pct"/>
                  <w:tcBorders>
                    <w:tl2br w:val="nil"/>
                    <w:tr2bl w:val="nil"/>
                  </w:tcBorders>
                  <w:vAlign w:val="center"/>
                </w:tcPr>
                <w:p w14:paraId="3ECE58F7">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both"/>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本项目已编制了</w:t>
                  </w:r>
                  <w:r>
                    <w:rPr>
                      <w:rFonts w:hint="eastAsia" w:ascii="Times New Roman" w:hAnsi="Times New Roman" w:eastAsia="宋体" w:cs="Times New Roman"/>
                      <w:lang w:eastAsia="zh-CN"/>
                    </w:rPr>
                    <w:t>矿山地质环境保护与土地复垦方案</w:t>
                  </w:r>
                  <w:r>
                    <w:rPr>
                      <w:rFonts w:hint="eastAsia" w:ascii="Times New Roman" w:hAnsi="Times New Roman" w:cs="Times New Roman"/>
                      <w:lang w:eastAsia="zh-CN"/>
                    </w:rPr>
                    <w:t>，</w:t>
                  </w:r>
                  <w:r>
                    <w:rPr>
                      <w:rFonts w:hint="eastAsia" w:ascii="Times New Roman" w:hAnsi="Times New Roman" w:cs="Times New Roman"/>
                      <w:lang w:val="en-US" w:eastAsia="zh-CN"/>
                    </w:rPr>
                    <w:t>在开采过程中及闭矿期对</w:t>
                  </w:r>
                  <w:r>
                    <w:rPr>
                      <w:rFonts w:hint="eastAsia" w:ascii="Times New Roman" w:hAnsi="Times New Roman" w:eastAsia="宋体" w:cs="Times New Roman"/>
                      <w:lang w:eastAsia="zh-CN"/>
                    </w:rPr>
                    <w:t>矿山地质环境</w:t>
                  </w:r>
                  <w:r>
                    <w:rPr>
                      <w:rFonts w:hint="eastAsia" w:ascii="Times New Roman" w:hAnsi="Times New Roman" w:cs="Times New Roman"/>
                      <w:lang w:val="en-US" w:eastAsia="zh-CN"/>
                    </w:rPr>
                    <w:t>进行治理恢复及</w:t>
                  </w:r>
                  <w:r>
                    <w:rPr>
                      <w:rFonts w:hint="eastAsia" w:ascii="Times New Roman" w:hAnsi="Times New Roman" w:eastAsia="宋体" w:cs="Times New Roman"/>
                      <w:lang w:eastAsia="zh-CN"/>
                    </w:rPr>
                    <w:t>土地复垦</w:t>
                  </w:r>
                  <w:r>
                    <w:rPr>
                      <w:rFonts w:hint="eastAsia" w:ascii="Times New Roman" w:hAnsi="Times New Roman" w:cs="Times New Roman"/>
                      <w:lang w:eastAsia="zh-CN"/>
                    </w:rPr>
                    <w:t>。</w:t>
                  </w:r>
                </w:p>
              </w:tc>
              <w:tc>
                <w:tcPr>
                  <w:tcW w:w="471" w:type="pct"/>
                  <w:tcBorders>
                    <w:tl2br w:val="nil"/>
                    <w:tr2bl w:val="nil"/>
                  </w:tcBorders>
                  <w:vAlign w:val="center"/>
                </w:tcPr>
                <w:p w14:paraId="3CE95194">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符合</w:t>
                  </w:r>
                </w:p>
              </w:tc>
            </w:tr>
          </w:tbl>
          <w:p w14:paraId="5FD70996">
            <w:pPr>
              <w:pStyle w:val="46"/>
              <w:pageBreakBefore w:val="0"/>
              <w:kinsoku/>
              <w:overflowPunct/>
              <w:topLinePunct w:val="0"/>
              <w:bidi w:val="0"/>
              <w:spacing w:beforeLines="0" w:beforeAutospacing="0" w:afterLines="0" w:afterAutospacing="0" w:line="240" w:lineRule="auto"/>
              <w:ind w:left="0" w:firstLine="0" w:firstLineChars="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表1-</w:t>
            </w:r>
            <w:r>
              <w:rPr>
                <w:rFonts w:hint="eastAsia" w:ascii="Times New Roman"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14:textFill>
                  <w14:solidFill>
                    <w14:schemeClr w14:val="tx1"/>
                  </w14:solidFill>
                </w14:textFill>
              </w:rPr>
              <w:t>与《矿山生态环境保护与污染防治技术政策》（2013试行）</w:t>
            </w:r>
          </w:p>
          <w:p w14:paraId="5EFCCF7D">
            <w:pPr>
              <w:pStyle w:val="46"/>
              <w:pageBreakBefore w:val="0"/>
              <w:kinsoku/>
              <w:overflowPunct/>
              <w:topLinePunct w:val="0"/>
              <w:bidi w:val="0"/>
              <w:spacing w:beforeLines="0" w:beforeAutospacing="0" w:afterLines="0" w:afterAutospacing="0" w:line="240" w:lineRule="auto"/>
              <w:ind w:left="0" w:firstLine="0" w:firstLineChars="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符合性分析</w:t>
            </w:r>
          </w:p>
          <w:tbl>
            <w:tblPr>
              <w:tblStyle w:val="25"/>
              <w:tblW w:w="48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752"/>
              <w:gridCol w:w="2876"/>
              <w:gridCol w:w="2651"/>
              <w:gridCol w:w="1076"/>
            </w:tblGrid>
            <w:tr w14:paraId="1C1F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511" w:type="pct"/>
                  <w:shd w:val="clear" w:color="auto" w:fill="FFFFFF" w:themeFill="background1"/>
                  <w:vAlign w:val="center"/>
                </w:tcPr>
                <w:p w14:paraId="724D5DC8">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954" w:type="pct"/>
                  <w:shd w:val="clear" w:color="auto" w:fill="FFFFFF" w:themeFill="background1"/>
                  <w:vAlign w:val="center"/>
                </w:tcPr>
                <w:p w14:paraId="3C09672B">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政策要求</w:t>
                  </w:r>
                </w:p>
              </w:tc>
              <w:tc>
                <w:tcPr>
                  <w:tcW w:w="1801" w:type="pct"/>
                  <w:shd w:val="clear" w:color="auto" w:fill="FFFFFF" w:themeFill="background1"/>
                  <w:vAlign w:val="center"/>
                </w:tcPr>
                <w:p w14:paraId="5FAC5AF5">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项目情况</w:t>
                  </w:r>
                </w:p>
              </w:tc>
              <w:tc>
                <w:tcPr>
                  <w:tcW w:w="731" w:type="pct"/>
                  <w:shd w:val="clear" w:color="auto" w:fill="FFFFFF" w:themeFill="background1"/>
                  <w:vAlign w:val="center"/>
                </w:tcPr>
                <w:p w14:paraId="22B0364A">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符合性</w:t>
                  </w:r>
                </w:p>
              </w:tc>
            </w:tr>
            <w:tr w14:paraId="1912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shd w:val="clear" w:color="auto" w:fill="FFFFFF" w:themeFill="background1"/>
                  <w:vAlign w:val="center"/>
                </w:tcPr>
                <w:p w14:paraId="39538A98">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954" w:type="pct"/>
                  <w:shd w:val="clear" w:color="auto" w:fill="FFFFFF" w:themeFill="background1"/>
                  <w:vAlign w:val="center"/>
                </w:tcPr>
                <w:p w14:paraId="42D0B989">
                  <w:pPr>
                    <w:pStyle w:val="4"/>
                    <w:pageBreakBefore w:val="0"/>
                    <w:numPr>
                      <w:ilvl w:val="0"/>
                      <w:numId w:val="0"/>
                    </w:numPr>
                    <w:kinsoku/>
                    <w:overflowPunct/>
                    <w:topLinePunct w:val="0"/>
                    <w:bidi w:val="0"/>
                    <w:spacing w:beforeAutospacing="0" w:afterAutospacing="0" w:line="240" w:lineRule="auto"/>
                    <w:ind w:left="0"/>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依法划定的自然保护区、风景名胜区、森林公园、饮用水水源保护区、文物古迹所在地、地质一级保护区、基本农田保护区等重要生态保护地以及法律法规规定的禁采区域内采矿。禁止在重要道路、航道两侧及重要生态环境敏感目标可视范围内进行对景观破坏明显的露天开采</w:t>
                  </w:r>
                </w:p>
              </w:tc>
              <w:tc>
                <w:tcPr>
                  <w:tcW w:w="1801" w:type="pct"/>
                  <w:shd w:val="clear" w:color="auto" w:fill="FFFFFF" w:themeFill="background1"/>
                  <w:vAlign w:val="center"/>
                </w:tcPr>
                <w:p w14:paraId="20220712">
                  <w:pPr>
                    <w:pageBreakBefore w:val="0"/>
                    <w:kinsoku/>
                    <w:overflowPunct/>
                    <w:topLinePunct w:val="0"/>
                    <w:bidi w:val="0"/>
                    <w:spacing w:beforeAutospacing="0" w:afterAutospacing="0" w:line="240" w:lineRule="auto"/>
                    <w:ind w:left="0" w:firstLine="0" w:firstLineChars="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本项目不在依法划定的自然保护区、风景名胜区、森林公园、饮用水水源保护区、文物古迹所在地、地质一级保护区、基本农田保护区等重要生态保护地以及法律法规规定的禁采区域范围内。</w:t>
                  </w:r>
                </w:p>
              </w:tc>
              <w:tc>
                <w:tcPr>
                  <w:tcW w:w="731" w:type="pct"/>
                  <w:shd w:val="clear" w:color="auto" w:fill="FFFFFF" w:themeFill="background1"/>
                  <w:vAlign w:val="center"/>
                </w:tcPr>
                <w:p w14:paraId="3DE33F42">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6F3C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shd w:val="clear" w:color="auto" w:fill="FFFFFF" w:themeFill="background1"/>
                  <w:vAlign w:val="center"/>
                </w:tcPr>
                <w:p w14:paraId="137B8602">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954" w:type="pct"/>
                  <w:shd w:val="clear" w:color="auto" w:fill="FFFFFF" w:themeFill="background1"/>
                  <w:vAlign w:val="center"/>
                </w:tcPr>
                <w:p w14:paraId="67368A33">
                  <w:pPr>
                    <w:pStyle w:val="4"/>
                    <w:pageBreakBefore w:val="0"/>
                    <w:numPr>
                      <w:ilvl w:val="0"/>
                      <w:numId w:val="0"/>
                    </w:numPr>
                    <w:kinsoku/>
                    <w:overflowPunct/>
                    <w:topLinePunct w:val="0"/>
                    <w:bidi w:val="0"/>
                    <w:spacing w:beforeAutospacing="0" w:afterAutospacing="0" w:line="240" w:lineRule="auto"/>
                    <w:ind w:left="0"/>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矿产资源开发活动应符合国家和区域主体功能区规划、生态功能区划、生态环境保护规划的要求，采取有效预防和保护措施。避免或减轻矿产资源开发活动造成的生态破坏和环境污染</w:t>
                  </w:r>
                </w:p>
              </w:tc>
              <w:tc>
                <w:tcPr>
                  <w:tcW w:w="1801" w:type="pct"/>
                  <w:shd w:val="clear" w:color="auto" w:fill="FFFFFF" w:themeFill="background1"/>
                  <w:vAlign w:val="center"/>
                </w:tcPr>
                <w:p w14:paraId="4AE765B6">
                  <w:pPr>
                    <w:pStyle w:val="4"/>
                    <w:pageBreakBefore w:val="0"/>
                    <w:numPr>
                      <w:ilvl w:val="0"/>
                      <w:numId w:val="0"/>
                    </w:numPr>
                    <w:kinsoku/>
                    <w:overflowPunct/>
                    <w:topLinePunct w:val="0"/>
                    <w:bidi w:val="0"/>
                    <w:spacing w:beforeAutospacing="0" w:afterAutospacing="0" w:line="240" w:lineRule="auto"/>
                    <w:ind w:left="0"/>
                    <w:jc w:val="left"/>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eastAsia" w:ascii="Times New Roman" w:hAnsi="Times New Roman" w:cs="Times New Roman"/>
                      <w:color w:val="000000" w:themeColor="text1"/>
                      <w:sz w:val="21"/>
                      <w:szCs w:val="21"/>
                      <w:lang w:val="en-US" w:eastAsia="zh-CN"/>
                      <w14:textFill>
                        <w14:solidFill>
                          <w14:schemeClr w14:val="tx1"/>
                        </w14:solidFill>
                      </w14:textFill>
                    </w:rPr>
                    <w:t>建设</w:t>
                  </w:r>
                  <w:r>
                    <w:rPr>
                      <w:rFonts w:hint="default" w:ascii="Times New Roman" w:hAnsi="Times New Roman" w:eastAsia="宋体" w:cs="Times New Roman"/>
                      <w:color w:val="000000" w:themeColor="text1"/>
                      <w:sz w:val="21"/>
                      <w:szCs w:val="21"/>
                      <w14:textFill>
                        <w14:solidFill>
                          <w14:schemeClr w14:val="tx1"/>
                        </w14:solidFill>
                      </w14:textFill>
                    </w:rPr>
                    <w:t>符合当地的环境功能区规划，运营期均采取有效的污染防治措施，同时加强生态恢复治理措施。采用“边开采、边恢复”的方式，减轻开采活动中的生态影响</w:t>
                  </w:r>
                </w:p>
              </w:tc>
              <w:tc>
                <w:tcPr>
                  <w:tcW w:w="731" w:type="pct"/>
                  <w:shd w:val="clear" w:color="auto" w:fill="FFFFFF" w:themeFill="background1"/>
                  <w:vAlign w:val="center"/>
                </w:tcPr>
                <w:p w14:paraId="2094DCA0">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397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shd w:val="clear" w:color="auto" w:fill="FFFFFF" w:themeFill="background1"/>
                  <w:vAlign w:val="center"/>
                </w:tcPr>
                <w:p w14:paraId="405184CD">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954" w:type="pct"/>
                  <w:shd w:val="clear" w:color="auto" w:fill="FFFFFF" w:themeFill="background1"/>
                  <w:vAlign w:val="center"/>
                </w:tcPr>
                <w:p w14:paraId="4D2E2BA1">
                  <w:pPr>
                    <w:pageBreakBefore w:val="0"/>
                    <w:widowControl/>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1801" w:type="pct"/>
                  <w:vMerge w:val="restart"/>
                  <w:shd w:val="clear" w:color="auto" w:fill="FFFFFF" w:themeFill="background1"/>
                  <w:vAlign w:val="center"/>
                </w:tcPr>
                <w:p w14:paraId="7813A28E">
                  <w:pPr>
                    <w:pStyle w:val="4"/>
                    <w:pageBreakBefore w:val="0"/>
                    <w:numPr>
                      <w:ilvl w:val="0"/>
                      <w:numId w:val="0"/>
                    </w:numPr>
                    <w:kinsoku/>
                    <w:overflowPunct/>
                    <w:topLinePunct w:val="0"/>
                    <w:bidi w:val="0"/>
                    <w:spacing w:beforeAutospacing="0" w:afterAutospacing="0" w:line="240" w:lineRule="auto"/>
                    <w:ind w:left="0"/>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项目已编制</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矿山地质环境保护与土地复垦方案</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生态环境治理方案</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水土保持方案</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eastAsia="zh-CN"/>
                      <w14:textFill>
                        <w14:solidFill>
                          <w14:schemeClr w14:val="tx1"/>
                        </w14:solidFill>
                      </w14:textFill>
                    </w:rPr>
                    <w:t>正在编制中</w:t>
                  </w:r>
                  <w:r>
                    <w:rPr>
                      <w:rFonts w:hint="default" w:ascii="Times New Roman" w:hAnsi="Times New Roman" w:eastAsia="宋体" w:cs="Times New Roman"/>
                      <w:color w:val="000000" w:themeColor="text1"/>
                      <w:sz w:val="21"/>
                      <w:szCs w:val="21"/>
                      <w14:textFill>
                        <w14:solidFill>
                          <w14:schemeClr w14:val="tx1"/>
                        </w14:solidFill>
                      </w14:textFill>
                    </w:rPr>
                    <w:t>，建设单位运营过程中将按照相关土地复垦及生态恢复措施实施</w:t>
                  </w:r>
                </w:p>
              </w:tc>
              <w:tc>
                <w:tcPr>
                  <w:tcW w:w="731" w:type="pct"/>
                  <w:shd w:val="clear" w:color="auto" w:fill="FFFFFF" w:themeFill="background1"/>
                  <w:vAlign w:val="center"/>
                </w:tcPr>
                <w:p w14:paraId="0113AEAE">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021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shd w:val="clear" w:color="auto" w:fill="FFFFFF" w:themeFill="background1"/>
                  <w:vAlign w:val="center"/>
                </w:tcPr>
                <w:p w14:paraId="6063A73F">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954" w:type="pct"/>
                  <w:shd w:val="clear" w:color="auto" w:fill="FFFFFF" w:themeFill="background1"/>
                  <w:vAlign w:val="center"/>
                </w:tcPr>
                <w:p w14:paraId="062E9650">
                  <w:pPr>
                    <w:pageBreakBefore w:val="0"/>
                    <w:widowControl/>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所有矿山企业均应对照本标准各项要求，编制实施矿山生态环境保护与恢复治理方案</w:t>
                  </w:r>
                </w:p>
              </w:tc>
              <w:tc>
                <w:tcPr>
                  <w:tcW w:w="1801" w:type="pct"/>
                  <w:vMerge w:val="continue"/>
                  <w:shd w:val="clear" w:color="auto" w:fill="FFFFFF" w:themeFill="background1"/>
                  <w:vAlign w:val="center"/>
                </w:tcPr>
                <w:p w14:paraId="50C54F27">
                  <w:pPr>
                    <w:pStyle w:val="4"/>
                    <w:pageBreakBefore w:val="0"/>
                    <w:numPr>
                      <w:ilvl w:val="0"/>
                      <w:numId w:val="0"/>
                    </w:numPr>
                    <w:kinsoku/>
                    <w:overflowPunct/>
                    <w:topLinePunct w:val="0"/>
                    <w:bidi w:val="0"/>
                    <w:spacing w:beforeAutospacing="0" w:afterAutospacing="0" w:line="240" w:lineRule="auto"/>
                    <w:ind w:left="0"/>
                    <w:outlineLvl w:val="1"/>
                    <w:rPr>
                      <w:rFonts w:hint="default" w:ascii="Times New Roman" w:hAnsi="Times New Roman" w:eastAsia="宋体" w:cs="Times New Roman"/>
                      <w:color w:val="000000" w:themeColor="text1"/>
                      <w:sz w:val="21"/>
                      <w:szCs w:val="21"/>
                      <w14:textFill>
                        <w14:solidFill>
                          <w14:schemeClr w14:val="tx1"/>
                        </w14:solidFill>
                      </w14:textFill>
                    </w:rPr>
                  </w:pPr>
                </w:p>
              </w:tc>
              <w:tc>
                <w:tcPr>
                  <w:tcW w:w="731" w:type="pct"/>
                  <w:shd w:val="clear" w:color="auto" w:fill="FFFFFF" w:themeFill="background1"/>
                  <w:vAlign w:val="center"/>
                </w:tcPr>
                <w:p w14:paraId="598D103B">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457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shd w:val="clear" w:color="auto" w:fill="FFFFFF" w:themeFill="background1"/>
                  <w:vAlign w:val="center"/>
                </w:tcPr>
                <w:p w14:paraId="7D870989">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954" w:type="pct"/>
                  <w:shd w:val="clear" w:color="auto" w:fill="FFFFFF" w:themeFill="background1"/>
                  <w:vAlign w:val="center"/>
                </w:tcPr>
                <w:p w14:paraId="1E66DBCA">
                  <w:pPr>
                    <w:pageBreakBefore w:val="0"/>
                    <w:widowControl/>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恢复治理后的各类场地应实现：安全稳定，对人类和动植物不造成威胁；对周边环境不产生污染；与周边自然环境和景观相协调；恢复土地基本功能，因地制宜实现土地可持续利用；区域整体生态功能得到保护和恢复</w:t>
                  </w:r>
                </w:p>
              </w:tc>
              <w:tc>
                <w:tcPr>
                  <w:tcW w:w="1801" w:type="pct"/>
                  <w:shd w:val="clear" w:color="auto" w:fill="FFFFFF" w:themeFill="background1"/>
                  <w:vAlign w:val="center"/>
                </w:tcPr>
                <w:p w14:paraId="4645E99E">
                  <w:pPr>
                    <w:pStyle w:val="4"/>
                    <w:pageBreakBefore w:val="0"/>
                    <w:numPr>
                      <w:ilvl w:val="0"/>
                      <w:numId w:val="0"/>
                    </w:numPr>
                    <w:kinsoku/>
                    <w:overflowPunct/>
                    <w:topLinePunct w:val="0"/>
                    <w:bidi w:val="0"/>
                    <w:spacing w:beforeAutospacing="0" w:afterAutospacing="0" w:line="240" w:lineRule="auto"/>
                    <w:ind w:left="0"/>
                    <w:jc w:val="left"/>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项目将按照本环评报告的污染治理措施对项目产生的污染物进行治理，同时按照矿山地质环境保护与土地复垦方案做好矿山的生态保护与恢复。制定方案确保恢复治理后的场地应满足相关要求，恢复土地使用功能</w:t>
                  </w:r>
                </w:p>
              </w:tc>
              <w:tc>
                <w:tcPr>
                  <w:tcW w:w="731" w:type="pct"/>
                  <w:shd w:val="clear" w:color="auto" w:fill="FFFFFF" w:themeFill="background1"/>
                  <w:vAlign w:val="center"/>
                </w:tcPr>
                <w:p w14:paraId="458F8299">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14:paraId="127FE15E">
            <w:pPr>
              <w:pStyle w:val="46"/>
              <w:keepNext w:val="0"/>
              <w:keepLines w:val="0"/>
              <w:pageBreakBefore w:val="0"/>
              <w:widowControl w:val="0"/>
              <w:kinsoku/>
              <w:wordWrap/>
              <w:overflowPunct/>
              <w:topLinePunct w:val="0"/>
              <w:autoSpaceDE/>
              <w:autoSpaceDN/>
              <w:bidi w:val="0"/>
              <w:adjustRightInd w:val="0"/>
              <w:snapToGrid w:val="0"/>
              <w:spacing w:before="157" w:beforeLines="50" w:beforeAutospacing="0" w:afterLines="0" w:afterAutospacing="0" w:line="240" w:lineRule="auto"/>
              <w:ind w:left="0" w:firstLine="0" w:firstLineChars="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表1-</w:t>
            </w:r>
            <w:r>
              <w:rPr>
                <w:rFonts w:hint="eastAsia" w:ascii="Times New Roman"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14:textFill>
                  <w14:solidFill>
                    <w14:schemeClr w14:val="tx1"/>
                  </w14:solidFill>
                </w14:textFill>
              </w:rPr>
              <w:t>与《陕西省“</w:t>
            </w:r>
            <w:bookmarkStart w:id="4" w:name="_GoBack"/>
            <w:bookmarkEnd w:id="4"/>
            <w:r>
              <w:rPr>
                <w:rFonts w:hint="default" w:ascii="Times New Roman" w:hAnsi="Times New Roman" w:eastAsia="宋体" w:cs="Times New Roman"/>
                <w:b/>
                <w:bCs/>
                <w:color w:val="000000" w:themeColor="text1"/>
                <w:sz w:val="24"/>
                <w:szCs w:val="24"/>
                <w14:textFill>
                  <w14:solidFill>
                    <w14:schemeClr w14:val="tx1"/>
                  </w14:solidFill>
                </w14:textFill>
              </w:rPr>
              <w:t>十四五”规划》符合性分析</w:t>
            </w:r>
          </w:p>
          <w:tbl>
            <w:tblPr>
              <w:tblStyle w:val="25"/>
              <w:tblW w:w="48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3550"/>
              <w:gridCol w:w="2785"/>
              <w:gridCol w:w="1020"/>
            </w:tblGrid>
            <w:tr w14:paraId="1C427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413" w:type="pct"/>
                  <w:shd w:val="clear" w:color="auto" w:fill="FFFFFF" w:themeFill="background1"/>
                  <w:vAlign w:val="center"/>
                </w:tcPr>
                <w:p w14:paraId="6CB045D2">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政策要求</w:t>
                  </w:r>
                </w:p>
              </w:tc>
              <w:tc>
                <w:tcPr>
                  <w:tcW w:w="1893" w:type="pct"/>
                  <w:shd w:val="clear" w:color="auto" w:fill="FFFFFF" w:themeFill="background1"/>
                  <w:vAlign w:val="center"/>
                </w:tcPr>
                <w:p w14:paraId="6F8D67E2">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本项目情况</w:t>
                  </w:r>
                </w:p>
              </w:tc>
              <w:tc>
                <w:tcPr>
                  <w:tcW w:w="693" w:type="pct"/>
                  <w:shd w:val="clear" w:color="auto" w:fill="FFFFFF" w:themeFill="background1"/>
                  <w:vAlign w:val="center"/>
                </w:tcPr>
                <w:p w14:paraId="394FC6C9">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符合性</w:t>
                  </w:r>
                </w:p>
              </w:tc>
            </w:tr>
            <w:tr w14:paraId="4592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413" w:type="pct"/>
                  <w:shd w:val="clear" w:color="auto" w:fill="FFFFFF" w:themeFill="background1"/>
                  <w:vAlign w:val="center"/>
                </w:tcPr>
                <w:p w14:paraId="04A3276F">
                  <w:pPr>
                    <w:pStyle w:val="4"/>
                    <w:pageBreakBefore w:val="0"/>
                    <w:numPr>
                      <w:ilvl w:val="0"/>
                      <w:numId w:val="0"/>
                    </w:numPr>
                    <w:kinsoku/>
                    <w:overflowPunct/>
                    <w:topLinePunct w:val="0"/>
                    <w:bidi w:val="0"/>
                    <w:spacing w:beforeAutospacing="0" w:afterAutospacing="0" w:line="240" w:lineRule="auto"/>
                    <w:ind w:left="0"/>
                    <w:jc w:val="left"/>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进绿色矿山建设”中提出：全面调查评价历史遗留矿山生态破坏与污染状况，督促矿山企业依法依规编制矿山地质环境保护与土地复垦方案，制定落实露天矿山生态修复计划。重点实施矿区地质环境治理、地形地貌重塑、植被重建等生态修复和土壤、水体污染治理工程，按照“谁破坏谁修复”、“谁修复谁受益”的原则,盘活矿区自然资源，探索利用市场化方式推进矿山生态修复，开展矿区污染治理和生态景观修复试点示范。落实绿色矿山标准和评价制度，加快神府、榆神、黄陵、渭北、彬长等矿产资源集中开采区绿色矿山建设</w:t>
                  </w:r>
                </w:p>
              </w:tc>
              <w:tc>
                <w:tcPr>
                  <w:tcW w:w="1893" w:type="pct"/>
                  <w:shd w:val="clear" w:color="auto" w:fill="FFFFFF" w:themeFill="background1"/>
                  <w:vAlign w:val="center"/>
                </w:tcPr>
                <w:p w14:paraId="2F5C3000">
                  <w:pPr>
                    <w:pStyle w:val="4"/>
                    <w:pageBreakBefore w:val="0"/>
                    <w:numPr>
                      <w:ilvl w:val="0"/>
                      <w:numId w:val="0"/>
                    </w:numPr>
                    <w:kinsoku/>
                    <w:wordWrap w:val="0"/>
                    <w:overflowPunct/>
                    <w:topLinePunct w:val="0"/>
                    <w:bidi w:val="0"/>
                    <w:spacing w:beforeAutospacing="0" w:afterAutospacing="0" w:line="240" w:lineRule="auto"/>
                    <w:ind w:left="0"/>
                    <w:jc w:val="left"/>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矿山项目建设严格按照“建设资源节约型、环境友好型社会”和可持续发展的要求、《关于加快建设绿色矿山的实施意见》国土资规〔2017〕4号以及《砂石行业行业绿色矿山建设规范（DZ/T0316-2018）》，项目按照“边开采、边恢复”的原则，及时治理恢复矿山地质环境，复垦矿山占用土地和损毁土地</w:t>
                  </w:r>
                </w:p>
              </w:tc>
              <w:tc>
                <w:tcPr>
                  <w:tcW w:w="693" w:type="pct"/>
                  <w:shd w:val="clear" w:color="auto" w:fill="FFFFFF" w:themeFill="background1"/>
                  <w:vAlign w:val="center"/>
                </w:tcPr>
                <w:p w14:paraId="66E63740">
                  <w:pPr>
                    <w:pStyle w:val="4"/>
                    <w:pageBreakBefore w:val="0"/>
                    <w:numPr>
                      <w:ilvl w:val="0"/>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14:paraId="37F250E8">
            <w:pPr>
              <w:pStyle w:val="46"/>
              <w:keepNext w:val="0"/>
              <w:keepLines w:val="0"/>
              <w:pageBreakBefore w:val="0"/>
              <w:widowControl w:val="0"/>
              <w:kinsoku/>
              <w:wordWrap/>
              <w:overflowPunct/>
              <w:topLinePunct w:val="0"/>
              <w:autoSpaceDE/>
              <w:autoSpaceDN/>
              <w:bidi w:val="0"/>
              <w:adjustRightInd w:val="0"/>
              <w:snapToGrid w:val="0"/>
              <w:spacing w:before="157" w:beforeLines="50" w:beforeAutospacing="0" w:afterLines="0" w:afterAutospacing="0" w:line="240" w:lineRule="auto"/>
              <w:ind w:left="0" w:firstLine="0" w:firstLineChars="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表1-</w:t>
            </w:r>
            <w:r>
              <w:rPr>
                <w:rFonts w:hint="eastAsia" w:ascii="Times New Roman" w:cs="Times New Roman"/>
                <w:b/>
                <w:bCs/>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14:textFill>
                  <w14:solidFill>
                    <w14:schemeClr w14:val="tx1"/>
                  </w14:solidFill>
                </w14:textFill>
              </w:rPr>
              <w:t>与《砂石行业绿色矿山建设规范（DZ/T0316-2018）》符合性分析</w:t>
            </w:r>
          </w:p>
          <w:tbl>
            <w:tblPr>
              <w:tblStyle w:val="25"/>
              <w:tblW w:w="48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862"/>
              <w:gridCol w:w="2967"/>
              <w:gridCol w:w="2605"/>
              <w:gridCol w:w="921"/>
            </w:tblGrid>
            <w:tr w14:paraId="05F5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586" w:type="pct"/>
                  <w:shd w:val="clear" w:color="auto" w:fill="FFFFFF" w:themeFill="background1"/>
                  <w:vAlign w:val="center"/>
                </w:tcPr>
                <w:p w14:paraId="1014C3B7">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2016" w:type="pct"/>
                  <w:shd w:val="clear" w:color="auto" w:fill="FFFFFF" w:themeFill="background1"/>
                  <w:vAlign w:val="center"/>
                </w:tcPr>
                <w:p w14:paraId="1152EBA8">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政策要求</w:t>
                  </w:r>
                </w:p>
              </w:tc>
              <w:tc>
                <w:tcPr>
                  <w:tcW w:w="1770" w:type="pct"/>
                  <w:shd w:val="clear" w:color="auto" w:fill="FFFFFF" w:themeFill="background1"/>
                  <w:vAlign w:val="center"/>
                </w:tcPr>
                <w:p w14:paraId="796767A7">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本项目情况</w:t>
                  </w:r>
                </w:p>
              </w:tc>
              <w:tc>
                <w:tcPr>
                  <w:tcW w:w="626" w:type="pct"/>
                  <w:shd w:val="clear" w:color="auto" w:fill="FFFFFF" w:themeFill="background1"/>
                  <w:vAlign w:val="center"/>
                </w:tcPr>
                <w:p w14:paraId="75869D0F">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符合性</w:t>
                  </w:r>
                </w:p>
              </w:tc>
            </w:tr>
            <w:tr w14:paraId="3FAD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shd w:val="clear" w:color="auto" w:fill="FFFFFF" w:themeFill="background1"/>
                  <w:vAlign w:val="center"/>
                </w:tcPr>
                <w:p w14:paraId="0EA844D6">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2016" w:type="pct"/>
                  <w:shd w:val="clear" w:color="auto" w:fill="FFFFFF" w:themeFill="background1"/>
                  <w:vAlign w:val="center"/>
                </w:tcPr>
                <w:p w14:paraId="40337BFE">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矿区环境：</w:t>
                  </w:r>
                  <w:r>
                    <w:rPr>
                      <w:rFonts w:hint="default" w:ascii="Times New Roman" w:hAnsi="Times New Roman" w:eastAsia="宋体" w:cs="Times New Roman"/>
                      <w:color w:val="000000" w:themeColor="text1"/>
                      <w:sz w:val="21"/>
                      <w:szCs w:val="21"/>
                      <w14:textFill>
                        <w14:solidFill>
                          <w14:schemeClr w14:val="tx1"/>
                        </w14:solidFill>
                      </w14:textFill>
                    </w:rPr>
                    <w:t>5.2.3矿山生产过程中应采取喷雾、喷洒水或生物纳膜、加装除尘设备等措施处置粉尘，工作场所粉尘浓度应符合GBZ2.1-2007的规定。应对输送系统、生产线、料库等采取有效措施进行抑尘；做好车辆保洁，车辆驶离矿区必须冲洗，严禁运料遗撒和带泥上路，保持矿区及周边环境卫生。5.2.4应采用合理有效的技术措施对高噪音设备进行降噪处理，工作场所噪声限值应符合GBZ2.2-2007的要求，工业企业厂界噪声排放限值应符合GB12348的要求</w:t>
                  </w:r>
                </w:p>
              </w:tc>
              <w:tc>
                <w:tcPr>
                  <w:tcW w:w="1770" w:type="pct"/>
                  <w:shd w:val="clear" w:color="auto" w:fill="FFFFFF" w:themeFill="background1"/>
                  <w:vAlign w:val="center"/>
                </w:tcPr>
                <w:p w14:paraId="6C56B90D">
                  <w:pPr>
                    <w:keepNext w:val="0"/>
                    <w:keepLines w:val="0"/>
                    <w:pageBreakBefore w:val="0"/>
                    <w:widowControl w:val="0"/>
                    <w:kinsoku/>
                    <w:overflowPunct/>
                    <w:topLinePunct w:val="0"/>
                    <w:autoSpaceDE/>
                    <w:autoSpaceDN/>
                    <w:bidi w:val="0"/>
                    <w:adjustRightInd/>
                    <w:snapToGrid/>
                    <w:spacing w:beforeAutospacing="0" w:afterAutospacing="0" w:line="240" w:lineRule="auto"/>
                    <w:ind w:left="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①项目采矿区和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运输道路</w:t>
                  </w:r>
                  <w:r>
                    <w:rPr>
                      <w:rFonts w:hint="default" w:ascii="Times New Roman" w:hAnsi="Times New Roman" w:eastAsia="宋体" w:cs="Times New Roman"/>
                      <w:color w:val="000000" w:themeColor="text1"/>
                      <w:sz w:val="21"/>
                      <w:szCs w:val="21"/>
                      <w14:textFill>
                        <w14:solidFill>
                          <w14:schemeClr w14:val="tx1"/>
                        </w14:solidFill>
                      </w14:textFill>
                    </w:rPr>
                    <w:t>采用洒水抑尘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54D8E9B6">
                  <w:pPr>
                    <w:keepNext w:val="0"/>
                    <w:keepLines w:val="0"/>
                    <w:pageBreakBefore w:val="0"/>
                    <w:widowControl w:val="0"/>
                    <w:kinsoku/>
                    <w:overflowPunct/>
                    <w:topLinePunct w:val="0"/>
                    <w:autoSpaceDE/>
                    <w:autoSpaceDN/>
                    <w:bidi w:val="0"/>
                    <w:adjustRightInd/>
                    <w:snapToGrid/>
                    <w:spacing w:beforeAutospacing="0" w:afterAutospacing="0" w:line="240" w:lineRule="auto"/>
                    <w:ind w:left="0" w:firstLine="0" w:firstLineChars="0"/>
                    <w:jc w:val="both"/>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②进出车辆必须清洗，运输过程采用篷布遮盖，防止遗散</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6F00C457">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ind w:left="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③</w:t>
                  </w:r>
                  <w:r>
                    <w:rPr>
                      <w:rFonts w:hint="eastAsia" w:cs="Times New Roman"/>
                      <w:color w:val="000000" w:themeColor="text1"/>
                      <w:sz w:val="21"/>
                      <w:szCs w:val="21"/>
                      <w:lang w:val="en-US" w:eastAsia="zh-CN"/>
                      <w14:textFill>
                        <w14:solidFill>
                          <w14:schemeClr w14:val="tx1"/>
                        </w14:solidFill>
                      </w14:textFill>
                    </w:rPr>
                    <w:t>采矿区</w:t>
                  </w:r>
                  <w:r>
                    <w:rPr>
                      <w:rFonts w:hint="default" w:ascii="Times New Roman" w:hAnsi="Times New Roman" w:eastAsia="宋体" w:cs="Times New Roman"/>
                      <w:color w:val="000000" w:themeColor="text1"/>
                      <w:sz w:val="21"/>
                      <w:szCs w:val="21"/>
                      <w14:textFill>
                        <w14:solidFill>
                          <w14:schemeClr w14:val="tx1"/>
                        </w14:solidFill>
                      </w14:textFill>
                    </w:rPr>
                    <w:t>采用低噪声设备</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采矿区厂界噪声满足《工业企业厂界环境噪声排放标准》（GB21906-2008）标准</w:t>
                  </w:r>
                </w:p>
              </w:tc>
              <w:tc>
                <w:tcPr>
                  <w:tcW w:w="626" w:type="pct"/>
                  <w:shd w:val="clear" w:color="auto" w:fill="FFFFFF" w:themeFill="background1"/>
                  <w:vAlign w:val="center"/>
                </w:tcPr>
                <w:p w14:paraId="662BED0F">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99E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shd w:val="clear" w:color="auto" w:fill="FFFFFF" w:themeFill="background1"/>
                  <w:vAlign w:val="center"/>
                </w:tcPr>
                <w:p w14:paraId="2EE559F7">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2016" w:type="pct"/>
                  <w:shd w:val="clear" w:color="auto" w:fill="FFFFFF" w:themeFill="background1"/>
                  <w:vAlign w:val="center"/>
                </w:tcPr>
                <w:p w14:paraId="44DB6462">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资源开采方式：</w:t>
                  </w:r>
                  <w:r>
                    <w:rPr>
                      <w:rFonts w:hint="default" w:ascii="Times New Roman" w:hAnsi="Times New Roman" w:eastAsia="宋体" w:cs="Times New Roman"/>
                      <w:color w:val="000000" w:themeColor="text1"/>
                      <w:sz w:val="21"/>
                      <w:szCs w:val="21"/>
                      <w14:textFill>
                        <w14:solidFill>
                          <w14:schemeClr w14:val="tx1"/>
                        </w14:solidFill>
                      </w14:textFill>
                    </w:rPr>
                    <w:t>6.1.2采用先进的工艺技术与装备，做到绿色开采、绿色生产、绿色存贮、绿色运输。</w:t>
                  </w:r>
                </w:p>
                <w:p w14:paraId="566E4821">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6.1.3应贯彻“边开采、边恢复”的原则，及时治理恢复矿山地质环境，复垦矿山占用土地和损毁土地。治理率和复垦率应达到矿山地质环境保护与土地复垦方案的要求</w:t>
                  </w:r>
                </w:p>
              </w:tc>
              <w:tc>
                <w:tcPr>
                  <w:tcW w:w="1770" w:type="pct"/>
                  <w:shd w:val="clear" w:color="auto" w:fill="FFFFFF" w:themeFill="background1"/>
                  <w:vAlign w:val="center"/>
                </w:tcPr>
                <w:p w14:paraId="51F47D6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①根据《矿产资源节约与综合利用鼓励、限制和淘汰技术目录》（修订版），本项目矿山开采工艺不属于落后的、淘汰的、破坏和浪费矿产资源等技术和工艺；</w:t>
                  </w:r>
                </w:p>
                <w:p w14:paraId="52E34A8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②项目采用“边开采、边恢复”的开采方式，及时进行矿山复垦，运营期严格按照《矿山地质环境保护与土地复垦方案》实施，目前该方案已取得审查意见</w:t>
                  </w:r>
                </w:p>
              </w:tc>
              <w:tc>
                <w:tcPr>
                  <w:tcW w:w="626" w:type="pct"/>
                  <w:shd w:val="clear" w:color="auto" w:fill="FFFFFF" w:themeFill="background1"/>
                  <w:vAlign w:val="center"/>
                </w:tcPr>
                <w:p w14:paraId="2EED7B77">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2A9E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shd w:val="clear" w:color="auto" w:fill="FFFFFF" w:themeFill="background1"/>
                  <w:vAlign w:val="center"/>
                </w:tcPr>
                <w:p w14:paraId="586AC1DA">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2016" w:type="pct"/>
                  <w:shd w:val="clear" w:color="auto" w:fill="FFFFFF" w:themeFill="background1"/>
                  <w:vAlign w:val="center"/>
                </w:tcPr>
                <w:p w14:paraId="0AD58F36">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绿色开采：</w:t>
                  </w:r>
                  <w:r>
                    <w:rPr>
                      <w:rFonts w:hint="default" w:ascii="Times New Roman" w:hAnsi="Times New Roman" w:eastAsia="宋体" w:cs="Times New Roman"/>
                      <w:color w:val="000000" w:themeColor="text1"/>
                      <w:sz w:val="21"/>
                      <w:szCs w:val="21"/>
                      <w14:textFill>
                        <w14:solidFill>
                          <w14:schemeClr w14:val="tx1"/>
                        </w14:solidFill>
                      </w14:textFill>
                    </w:rPr>
                    <w:t>6.2.2采场准备应遵循采剥并举、剥离先行的原则，最大限度保留原生自然环境，减少对矿区植被破坏引起的视觉污染和环境扰动。</w:t>
                  </w:r>
                </w:p>
                <w:p w14:paraId="7A8FDCFF">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6.2.3排土场应通过勘测选择地质条件稳定的场所，做好防护措施，保证堆放安全，避免占压可采矿量，并方便未来矿区进行环境恢复治理和土地复垦时取用；</w:t>
                  </w:r>
                </w:p>
                <w:p w14:paraId="2A69EAD6">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6.2.4应执行矿山开采施工设计和资源开发利用方案，露天开采应实行自上而下台阶式开采，阶段坡面角、平台宽度及终了坡面角等主要参数应符合施工设计要求。开采台阶高度不宜大于15m</w:t>
                  </w:r>
                </w:p>
              </w:tc>
              <w:tc>
                <w:tcPr>
                  <w:tcW w:w="1770" w:type="pct"/>
                  <w:shd w:val="clear" w:color="auto" w:fill="FFFFFF" w:themeFill="background1"/>
                  <w:vAlign w:val="center"/>
                </w:tcPr>
                <w:p w14:paraId="59CB662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①项目</w:t>
                  </w:r>
                  <w:r>
                    <w:rPr>
                      <w:rFonts w:hint="eastAsia" w:cs="Times New Roman"/>
                      <w:color w:val="000000" w:themeColor="text1"/>
                      <w:sz w:val="21"/>
                      <w:szCs w:val="21"/>
                      <w:lang w:val="en-US" w:eastAsia="zh-CN"/>
                      <w14:textFill>
                        <w14:solidFill>
                          <w14:schemeClr w14:val="tx1"/>
                        </w14:solidFill>
                      </w14:textFill>
                    </w:rPr>
                    <w:t>新增</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开采面，需要表土剥离，</w:t>
                  </w:r>
                  <w:r>
                    <w:rPr>
                      <w:rFonts w:hint="default" w:ascii="Times New Roman" w:hAnsi="Times New Roman" w:eastAsia="宋体" w:cs="Times New Roman"/>
                      <w:color w:val="000000" w:themeColor="text1"/>
                      <w:sz w:val="21"/>
                      <w:szCs w:val="21"/>
                      <w14:textFill>
                        <w14:solidFill>
                          <w14:schemeClr w14:val="tx1"/>
                        </w14:solidFill>
                      </w14:textFill>
                    </w:rPr>
                    <w:t>施工期矿区剥离后的表土暂存于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采空区</w:t>
                  </w:r>
                  <w:r>
                    <w:rPr>
                      <w:rFonts w:hint="default" w:ascii="Times New Roman" w:hAnsi="Times New Roman" w:eastAsia="宋体" w:cs="Times New Roman"/>
                      <w:color w:val="000000" w:themeColor="text1"/>
                      <w:sz w:val="21"/>
                      <w:szCs w:val="21"/>
                      <w14:textFill>
                        <w14:solidFill>
                          <w14:schemeClr w14:val="tx1"/>
                        </w14:solidFill>
                      </w14:textFill>
                    </w:rPr>
                    <w:t>，后期用于矿区土地复垦</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本项目设置排土场。</w:t>
                  </w:r>
                </w:p>
                <w:p w14:paraId="5117798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项目设置排土场。</w:t>
                  </w:r>
                </w:p>
                <w:p w14:paraId="7A22CC1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③项目已取得了矿产资源开发利用方案的审查意见，露采方式为自上而下逐台阶开采，露采境界按如下参数进行圈定：安全平台宽</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m，清扫平台宽</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m，台阶高度1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m，台阶坡面角65°</w:t>
                  </w:r>
                </w:p>
              </w:tc>
              <w:tc>
                <w:tcPr>
                  <w:tcW w:w="626" w:type="pct"/>
                  <w:shd w:val="clear" w:color="auto" w:fill="FFFFFF" w:themeFill="background1"/>
                  <w:vAlign w:val="center"/>
                </w:tcPr>
                <w:p w14:paraId="31CF29D2">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EDD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586" w:type="pct"/>
                  <w:shd w:val="clear" w:color="auto" w:fill="FFFFFF" w:themeFill="background1"/>
                  <w:vAlign w:val="center"/>
                </w:tcPr>
                <w:p w14:paraId="4EA4F523">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2016" w:type="pct"/>
                  <w:shd w:val="clear" w:color="auto" w:fill="FFFFFF" w:themeFill="background1"/>
                  <w:vAlign w:val="center"/>
                </w:tcPr>
                <w:p w14:paraId="615A116C">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绿色生产：</w:t>
                  </w:r>
                  <w:r>
                    <w:rPr>
                      <w:rFonts w:hint="default" w:ascii="Times New Roman" w:hAnsi="Times New Roman" w:eastAsia="宋体" w:cs="Times New Roman"/>
                      <w:color w:val="000000" w:themeColor="text1"/>
                      <w:sz w:val="21"/>
                      <w:szCs w:val="21"/>
                      <w14:textFill>
                        <w14:solidFill>
                          <w14:schemeClr w14:val="tx1"/>
                        </w14:solidFill>
                      </w14:textFill>
                    </w:rPr>
                    <w:t>6.3.6干法生产应配备高效除尘设备，并保持与生产设备同步运行。湿法生产应配置泥粉和水分离、废水处理和循环使用系统；</w:t>
                  </w:r>
                </w:p>
                <w:p w14:paraId="268AF274">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6.3.7生产加工车间的产尘点要封闭，有利于形成负压除尘；皮带运输系统廊道应选用封闭方式，防止粉尘逸散；</w:t>
                  </w:r>
                </w:p>
                <w:p w14:paraId="0A15819F">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6.3.8应选用低噪声生产设备；对高噪强振的设备，应采取消声、减振措施；合理设计工艺布置，控制噪声传播；</w:t>
                  </w:r>
                </w:p>
                <w:p w14:paraId="7A9A85C3">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6.3.9砂石骨料成品堆场（库）应地面硬化，分类或分仓储存</w:t>
                  </w:r>
                </w:p>
              </w:tc>
              <w:tc>
                <w:tcPr>
                  <w:tcW w:w="1770" w:type="pct"/>
                  <w:shd w:val="clear" w:color="auto" w:fill="FFFFFF" w:themeFill="background1"/>
                  <w:vAlign w:val="center"/>
                </w:tcPr>
                <w:p w14:paraId="4342A50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破碎</w:t>
                  </w:r>
                  <w:r>
                    <w:rPr>
                      <w:rFonts w:hint="default" w:ascii="Times New Roman" w:hAnsi="Times New Roman" w:eastAsia="宋体" w:cs="Times New Roman"/>
                      <w:color w:val="000000" w:themeColor="text1"/>
                      <w:sz w:val="21"/>
                      <w:szCs w:val="21"/>
                      <w14:textFill>
                        <w14:solidFill>
                          <w14:schemeClr w14:val="tx1"/>
                        </w14:solidFill>
                      </w14:textFill>
                    </w:rPr>
                    <w:t>加工</w:t>
                  </w:r>
                  <w:r>
                    <w:rPr>
                      <w:rFonts w:hint="eastAsia" w:cs="Times New Roman"/>
                      <w:color w:val="000000" w:themeColor="text1"/>
                      <w:sz w:val="21"/>
                      <w:szCs w:val="21"/>
                      <w:lang w:eastAsia="zh-CN"/>
                      <w14:textFill>
                        <w14:solidFill>
                          <w14:schemeClr w14:val="tx1"/>
                        </w14:solidFill>
                      </w14:textFill>
                    </w:rPr>
                    <w:t>均委外，</w:t>
                  </w:r>
                  <w:r>
                    <w:rPr>
                      <w:rFonts w:hint="default" w:ascii="Times New Roman" w:hAnsi="Times New Roman" w:eastAsia="宋体" w:cs="Times New Roman"/>
                      <w:color w:val="000000" w:themeColor="text1"/>
                      <w:sz w:val="21"/>
                      <w:szCs w:val="21"/>
                      <w14:textFill>
                        <w14:solidFill>
                          <w14:schemeClr w14:val="tx1"/>
                        </w14:solidFill>
                      </w14:textFill>
                    </w:rPr>
                    <w:t>②</w:t>
                  </w:r>
                  <w:r>
                    <w:rPr>
                      <w:rFonts w:hint="default" w:ascii="Times New Roman" w:hAnsi="Times New Roman" w:eastAsia="宋体" w:cs="Times New Roman"/>
                      <w:color w:val="000000" w:themeColor="text1"/>
                      <w:sz w:val="21"/>
                      <w:szCs w:val="21"/>
                      <w:lang w:eastAsia="ja-JP"/>
                      <w14:textFill>
                        <w14:solidFill>
                          <w14:schemeClr w14:val="tx1"/>
                        </w14:solidFill>
                      </w14:textFill>
                    </w:rPr>
                    <w:t>项目</w:t>
                  </w:r>
                  <w:r>
                    <w:rPr>
                      <w:rFonts w:hint="eastAsia" w:cs="Times New Roman"/>
                      <w:color w:val="000000" w:themeColor="text1"/>
                      <w:sz w:val="21"/>
                      <w:szCs w:val="21"/>
                      <w:lang w:eastAsia="zh-CN"/>
                      <w14:textFill>
                        <w14:solidFill>
                          <w14:schemeClr w14:val="tx1"/>
                        </w14:solidFill>
                      </w14:textFill>
                    </w:rPr>
                    <w:t>采矿区设备</w:t>
                  </w:r>
                  <w:r>
                    <w:rPr>
                      <w:rFonts w:hint="default" w:ascii="Times New Roman" w:hAnsi="Times New Roman" w:eastAsia="宋体" w:cs="Times New Roman"/>
                      <w:color w:val="000000" w:themeColor="text1"/>
                      <w:sz w:val="21"/>
                      <w:szCs w:val="21"/>
                      <w:lang w:eastAsia="ja-JP"/>
                      <w14:textFill>
                        <w14:solidFill>
                          <w14:schemeClr w14:val="tx1"/>
                        </w14:solidFill>
                      </w14:textFill>
                    </w:rPr>
                    <w:t>采用消声减振措施</w:t>
                  </w:r>
                  <w:r>
                    <w:rPr>
                      <w:rFonts w:hint="default" w:ascii="Times New Roman" w:hAnsi="Times New Roman" w:eastAsia="宋体" w:cs="Times New Roman"/>
                      <w:color w:val="000000" w:themeColor="text1"/>
                      <w:sz w:val="21"/>
                      <w:szCs w:val="21"/>
                      <w14:textFill>
                        <w14:solidFill>
                          <w14:schemeClr w14:val="tx1"/>
                        </w14:solidFill>
                      </w14:textFill>
                    </w:rPr>
                    <w:t>；</w:t>
                  </w:r>
                </w:p>
                <w:p w14:paraId="15111F9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26" w:type="pct"/>
                  <w:shd w:val="clear" w:color="auto" w:fill="FFFFFF" w:themeFill="background1"/>
                  <w:vAlign w:val="center"/>
                </w:tcPr>
                <w:p w14:paraId="6D41481D">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3D68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shd w:val="clear" w:color="auto" w:fill="FFFFFF" w:themeFill="background1"/>
                  <w:vAlign w:val="center"/>
                </w:tcPr>
                <w:p w14:paraId="1A30F6E5">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2016" w:type="pct"/>
                  <w:shd w:val="clear" w:color="auto" w:fill="FFFFFF" w:themeFill="background1"/>
                  <w:vAlign w:val="center"/>
                </w:tcPr>
                <w:p w14:paraId="12796160">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绿色运输：</w:t>
                  </w:r>
                  <w:r>
                    <w:rPr>
                      <w:rFonts w:hint="default" w:ascii="Times New Roman" w:hAnsi="Times New Roman" w:eastAsia="宋体" w:cs="Times New Roman"/>
                      <w:color w:val="000000" w:themeColor="text1"/>
                      <w:sz w:val="21"/>
                      <w:szCs w:val="21"/>
                      <w14:textFill>
                        <w14:solidFill>
                          <w14:schemeClr w14:val="tx1"/>
                        </w14:solidFill>
                      </w14:textFill>
                    </w:rPr>
                    <w:t>6.4.1矿石的运输方式应结合矿山地形地质条件、岩石特性、开采方案、运输强度等因素，按JC/T2299选择运输方案。6.4.2砂石骨料产品短途汽车运输应符合相关环保、交通等法律规定。中长途转运时，应配置规模适宜、环保、安全措施完善的中转料场</w:t>
                  </w:r>
                </w:p>
              </w:tc>
              <w:tc>
                <w:tcPr>
                  <w:tcW w:w="1770" w:type="pct"/>
                  <w:shd w:val="clear" w:color="auto" w:fill="FFFFFF" w:themeFill="background1"/>
                  <w:vAlign w:val="center"/>
                </w:tcPr>
                <w:p w14:paraId="1639FE8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项目结合项目所在区域地形条件、工程特点及投资费用等，对比分析了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公路开拓—汽车</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平硐溜井、胶带运输方案</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B.</w:t>
                  </w:r>
                  <w:r>
                    <w:rPr>
                      <w:rFonts w:hint="default" w:ascii="Times New Roman" w:hAnsi="Times New Roman" w:eastAsia="宋体" w:cs="Times New Roman"/>
                      <w:color w:val="000000" w:themeColor="text1"/>
                      <w:sz w:val="21"/>
                      <w:szCs w:val="21"/>
                      <w14:textFill>
                        <w14:solidFill>
                          <w14:schemeClr w14:val="tx1"/>
                        </w14:solidFill>
                      </w14:textFill>
                    </w:rPr>
                    <w:t>公路开拓—汽车</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运输—溜槽放矿开拓运输方案两</w:t>
                  </w:r>
                  <w:r>
                    <w:rPr>
                      <w:rFonts w:hint="default" w:ascii="Times New Roman" w:hAnsi="Times New Roman" w:eastAsia="宋体" w:cs="Times New Roman"/>
                      <w:color w:val="000000" w:themeColor="text1"/>
                      <w:sz w:val="21"/>
                      <w:szCs w:val="21"/>
                      <w14:textFill>
                        <w14:solidFill>
                          <w14:schemeClr w14:val="tx1"/>
                        </w14:solidFill>
                      </w14:textFill>
                    </w:rPr>
                    <w:t>方式</w:t>
                  </w:r>
                </w:p>
              </w:tc>
              <w:tc>
                <w:tcPr>
                  <w:tcW w:w="626" w:type="pct"/>
                  <w:shd w:val="clear" w:color="auto" w:fill="FFFFFF" w:themeFill="background1"/>
                  <w:vAlign w:val="center"/>
                </w:tcPr>
                <w:p w14:paraId="6CCABD9E">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31B3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586" w:type="pct"/>
                  <w:shd w:val="clear" w:color="auto" w:fill="FFFFFF" w:themeFill="background1"/>
                  <w:vAlign w:val="center"/>
                </w:tcPr>
                <w:p w14:paraId="1512E390">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2016" w:type="pct"/>
                  <w:shd w:val="clear" w:color="auto" w:fill="FFFFFF" w:themeFill="background1"/>
                  <w:vAlign w:val="center"/>
                </w:tcPr>
                <w:p w14:paraId="40CADD54">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矿区生态环境恢复：</w:t>
                  </w:r>
                  <w:r>
                    <w:rPr>
                      <w:rFonts w:hint="default" w:ascii="Times New Roman" w:hAnsi="Times New Roman" w:eastAsia="宋体" w:cs="Times New Roman"/>
                      <w:color w:val="000000" w:themeColor="text1"/>
                      <w:sz w:val="21"/>
                      <w:szCs w:val="21"/>
                      <w14:textFill>
                        <w14:solidFill>
                          <w14:schemeClr w14:val="tx1"/>
                        </w14:solidFill>
                      </w14:textFill>
                    </w:rPr>
                    <w:t>6.5.1应按照矿山地质环境保护与土地复垦方案进行环境治理和土地复垦；</w:t>
                  </w:r>
                </w:p>
                <w:p w14:paraId="7DFB69BF">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6.5.2应建立环境监测机制，设置专门机构，配备专职管理人员和监测人员。</w:t>
                  </w:r>
                </w:p>
                <w:p w14:paraId="73053076">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6.5.3矿山开采结束闭坑时，应完成矿区的地质灾害治理，土地复垦率、终了边坡治理率达到100%</w:t>
                  </w:r>
                </w:p>
              </w:tc>
              <w:tc>
                <w:tcPr>
                  <w:tcW w:w="1770" w:type="pct"/>
                  <w:shd w:val="clear" w:color="auto" w:fill="FFFFFF" w:themeFill="background1"/>
                  <w:vAlign w:val="center"/>
                </w:tcPr>
                <w:p w14:paraId="26AEFF2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①项目采用“边开采、边恢复”的开采方式，及时进行矿山复垦，运营期严格按照《矿山地质环境保护与土地复垦方案》实施，服务期满后，项目土地复垦率可达100%；</w:t>
                  </w:r>
                </w:p>
                <w:p w14:paraId="22D33D0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②已制定污染物及生态恢复监测方案；</w:t>
                  </w:r>
                </w:p>
              </w:tc>
              <w:tc>
                <w:tcPr>
                  <w:tcW w:w="626" w:type="pct"/>
                  <w:shd w:val="clear" w:color="auto" w:fill="FFFFFF" w:themeFill="background1"/>
                  <w:vAlign w:val="center"/>
                </w:tcPr>
                <w:p w14:paraId="2DCF6DB4">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315A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shd w:val="clear" w:color="auto" w:fill="FFFFFF" w:themeFill="background1"/>
                  <w:vAlign w:val="center"/>
                </w:tcPr>
                <w:p w14:paraId="683DB498">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2016" w:type="pct"/>
                  <w:shd w:val="clear" w:color="auto" w:fill="FFFFFF" w:themeFill="background1"/>
                  <w:vAlign w:val="center"/>
                </w:tcPr>
                <w:p w14:paraId="2E27C8C7">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资源综合利用：</w:t>
                  </w:r>
                  <w:r>
                    <w:rPr>
                      <w:rFonts w:hint="default" w:ascii="Times New Roman" w:hAnsi="Times New Roman" w:eastAsia="宋体" w:cs="Times New Roman"/>
                      <w:color w:val="000000" w:themeColor="text1"/>
                      <w:sz w:val="21"/>
                      <w:szCs w:val="21"/>
                      <w14:textFill>
                        <w14:solidFill>
                          <w14:schemeClr w14:val="tx1"/>
                        </w14:solidFill>
                      </w14:textFill>
                    </w:rPr>
                    <w:t>7.1.2生产工艺技术和设备应符合国土资源部《矿产资源节约与综合利用鼓励、限制和淘汰技术目录》要求。剥离表土后，砂石矿山资源综合利用率不低于95%。</w:t>
                  </w:r>
                </w:p>
                <w:p w14:paraId="139D2F82">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7.4对排土场堆放的剥离表土或筛分后的渣土，用于环境治理、土地复垦和复绿等。</w:t>
                  </w:r>
                </w:p>
                <w:p w14:paraId="38E64B61">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7.5应配备完善的生产废水处理系统，经过固液分离处理后的清水应100%循环利用</w:t>
                  </w:r>
                </w:p>
                <w:p w14:paraId="71F89CA0">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p>
              </w:tc>
              <w:tc>
                <w:tcPr>
                  <w:tcW w:w="1770" w:type="pct"/>
                  <w:shd w:val="clear" w:color="auto" w:fill="FFFFFF" w:themeFill="background1"/>
                  <w:vAlign w:val="center"/>
                </w:tcPr>
                <w:p w14:paraId="4E45211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①根据《矿产资源节约与综合利用鼓励、限制和淘汰技术目录》（修订版），项目矿山开采工艺不属于落后的、淘汰的、破坏和浪费矿产资源等技术和工艺</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14:paraId="0F376AB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②矿区剥离表土暂存于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采空区</w:t>
                  </w:r>
                  <w:r>
                    <w:rPr>
                      <w:rFonts w:hint="default" w:ascii="Times New Roman" w:hAnsi="Times New Roman" w:eastAsia="宋体" w:cs="Times New Roman"/>
                      <w:color w:val="000000" w:themeColor="text1"/>
                      <w:sz w:val="21"/>
                      <w:szCs w:val="21"/>
                      <w14:textFill>
                        <w14:solidFill>
                          <w14:schemeClr w14:val="tx1"/>
                        </w14:solidFill>
                      </w14:textFill>
                    </w:rPr>
                    <w:t>，后期用于矿区土地复垦</w:t>
                  </w: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w:t>
                  </w:r>
                </w:p>
                <w:p w14:paraId="5FAB79B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shd w:val="clear" w:color="auto" w:fill="auto"/>
                      <w14:textFill>
                        <w14:solidFill>
                          <w14:schemeClr w14:val="tx1"/>
                        </w14:solidFill>
                      </w14:textFill>
                    </w:rPr>
                    <w:t>生活污水化粪池处理，经处理后的废水用于</w:t>
                  </w:r>
                  <w:r>
                    <w:rPr>
                      <w:rFonts w:hint="eastAsia" w:cs="Times New Roman"/>
                      <w:color w:val="000000" w:themeColor="text1"/>
                      <w:kern w:val="2"/>
                      <w:sz w:val="21"/>
                      <w:szCs w:val="21"/>
                      <w:highlight w:val="none"/>
                      <w:shd w:val="clear" w:color="auto" w:fill="auto"/>
                      <w:lang w:eastAsia="zh-CN"/>
                      <w14:textFill>
                        <w14:solidFill>
                          <w14:schemeClr w14:val="tx1"/>
                        </w14:solidFill>
                      </w14:textFill>
                    </w:rPr>
                    <w:t>周边农田施肥</w:t>
                  </w:r>
                  <w:r>
                    <w:rPr>
                      <w:rFonts w:hint="default" w:ascii="Times New Roman" w:hAnsi="Times New Roman" w:eastAsia="宋体" w:cs="Times New Roman"/>
                      <w:color w:val="000000" w:themeColor="text1"/>
                      <w:kern w:val="2"/>
                      <w:sz w:val="21"/>
                      <w:szCs w:val="21"/>
                      <w:highlight w:val="none"/>
                      <w:shd w:val="clear" w:color="auto" w:fill="auto"/>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实现废水100%循环利用</w:t>
                  </w:r>
                </w:p>
              </w:tc>
              <w:tc>
                <w:tcPr>
                  <w:tcW w:w="626" w:type="pct"/>
                  <w:shd w:val="clear" w:color="auto" w:fill="FFFFFF" w:themeFill="background1"/>
                  <w:vAlign w:val="center"/>
                </w:tcPr>
                <w:p w14:paraId="7D708989">
                  <w:pPr>
                    <w:pStyle w:val="20"/>
                    <w:pageBreakBefore w:val="0"/>
                    <w:kinsoku/>
                    <w:overflowPunct/>
                    <w:topLinePunct w:val="0"/>
                    <w:bidi w:val="0"/>
                    <w:spacing w:before="0" w:beforeAutospacing="0" w:after="0" w:afterAutospacing="0" w:line="240" w:lineRule="auto"/>
                    <w:ind w:firstLine="0" w:firstLineChars="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21C7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shd w:val="clear" w:color="auto" w:fill="FFFFFF" w:themeFill="background1"/>
                  <w:vAlign w:val="center"/>
                </w:tcPr>
                <w:p w14:paraId="208F13D1">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2016" w:type="pct"/>
                  <w:shd w:val="clear" w:color="auto" w:fill="FFFFFF" w:themeFill="background1"/>
                  <w:vAlign w:val="center"/>
                </w:tcPr>
                <w:p w14:paraId="40797C27">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粉尘排放：</w:t>
                  </w:r>
                  <w:r>
                    <w:rPr>
                      <w:rFonts w:hint="default" w:ascii="Times New Roman" w:hAnsi="Times New Roman" w:eastAsia="宋体" w:cs="Times New Roman"/>
                      <w:color w:val="000000" w:themeColor="text1"/>
                      <w:sz w:val="21"/>
                      <w:szCs w:val="21"/>
                      <w14:textFill>
                        <w14:solidFill>
                          <w14:schemeClr w14:val="tx1"/>
                        </w14:solidFill>
                      </w14:textFill>
                    </w:rPr>
                    <w:t>8.3.1矿石开采和砂石生产过程中，粉尘排放应符合GB16297的规定；对于环保要求严格的地区，要采取更有效的措施，控制粉尘排放，并达到地方环保要求的标准。</w:t>
                  </w:r>
                </w:p>
                <w:p w14:paraId="0763A8D0">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8.3.2生产企业应建立粉尘监测网络与评价制度，编制监测控制方案，并针对监测控制对象定期组织第三方监测和自我监测。</w:t>
                  </w:r>
                </w:p>
                <w:p w14:paraId="3AB76AA4">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8.3.3矿石开采和砂石生产过程中的粉尘控制应遵循源头抑制、过程协同控制、末端监控、系统联动集成的治理思路，达到环保节能和清洁生产的目的。</w:t>
                  </w:r>
                </w:p>
                <w:p w14:paraId="68917EFE">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8.3.4矿区应配置洒水车、高压喷雾车等设备，对无组织排放粉尘进行抑尘、降尘；宜采用水雾增湿除尘穿孔凿岩技术，在输气管道的回风过程中进行收尘。</w:t>
                  </w:r>
                </w:p>
                <w:p w14:paraId="7AE6CA08">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8.3.5应在装载机、破碎机、筛分机、整形机、制砂机、输送机端口等连续产生粉尘部位安装高效除尘装置。</w:t>
                  </w:r>
                </w:p>
              </w:tc>
              <w:tc>
                <w:tcPr>
                  <w:tcW w:w="1770" w:type="pct"/>
                  <w:shd w:val="clear" w:color="auto" w:fill="FFFFFF" w:themeFill="background1"/>
                  <w:vAlign w:val="center"/>
                </w:tcPr>
                <w:p w14:paraId="384EF38A">
                  <w:pPr>
                    <w:pageBreakBefore w:val="0"/>
                    <w:kinsoku/>
                    <w:overflowPunct/>
                    <w:topLinePunct w:val="0"/>
                    <w:bidi w:val="0"/>
                    <w:spacing w:beforeAutospacing="0" w:afterAutospacing="0" w:line="240" w:lineRule="auto"/>
                    <w:ind w:left="0" w:firstLine="0" w:firstLineChars="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①项目采矿区和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运输道路</w:t>
                  </w:r>
                  <w:r>
                    <w:rPr>
                      <w:rFonts w:hint="default" w:ascii="Times New Roman" w:hAnsi="Times New Roman" w:eastAsia="宋体" w:cs="Times New Roman"/>
                      <w:color w:val="000000" w:themeColor="text1"/>
                      <w:sz w:val="21"/>
                      <w:szCs w:val="21"/>
                      <w14:textFill>
                        <w14:solidFill>
                          <w14:schemeClr w14:val="tx1"/>
                        </w14:solidFill>
                      </w14:textFill>
                    </w:rPr>
                    <w:t>采用洒水抑尘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10DC07AC">
                  <w:pPr>
                    <w:pageBreakBefore w:val="0"/>
                    <w:kinsoku/>
                    <w:overflowPunct/>
                    <w:topLinePunct w:val="0"/>
                    <w:bidi w:val="0"/>
                    <w:spacing w:beforeAutospacing="0" w:afterAutospacing="0" w:line="240" w:lineRule="auto"/>
                    <w:ind w:left="0" w:firstLine="0" w:firstLineChars="0"/>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②进出车辆必须清洗，运输过程采用篷布遮盖，防止遗散</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04451211">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③项目合理布置设备位置，采用低噪声设备、基础减振等措施，采矿区厂界噪声满足《工业企业厂界环境噪声排放标准》（GB21906-2008）标准</w:t>
                  </w:r>
                </w:p>
              </w:tc>
              <w:tc>
                <w:tcPr>
                  <w:tcW w:w="626" w:type="pct"/>
                  <w:shd w:val="clear" w:color="auto" w:fill="FFFFFF" w:themeFill="background1"/>
                  <w:vAlign w:val="center"/>
                </w:tcPr>
                <w:p w14:paraId="52C6B69A">
                  <w:pPr>
                    <w:pStyle w:val="20"/>
                    <w:pageBreakBefore w:val="0"/>
                    <w:kinsoku/>
                    <w:overflowPunct/>
                    <w:topLinePunct w:val="0"/>
                    <w:bidi w:val="0"/>
                    <w:spacing w:before="0" w:beforeAutospacing="0" w:after="0" w:afterAutospacing="0" w:line="240" w:lineRule="auto"/>
                    <w:ind w:firstLine="0" w:firstLineChars="0"/>
                    <w:jc w:val="center"/>
                    <w:rPr>
                      <w:rFonts w:hint="default" w:ascii="Times New Roman" w:hAnsi="Times New Roman" w:eastAsia="宋体" w:cs="Times New Roman"/>
                      <w:color w:val="000000" w:themeColor="text1"/>
                      <w:kern w:val="2"/>
                      <w:sz w:val="21"/>
                      <w:szCs w:val="21"/>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shd w:val="clear" w:color="auto" w:fill="auto"/>
                      <w:lang w:val="en-US" w:eastAsia="zh-CN" w:bidi="ar-SA"/>
                      <w14:textFill>
                        <w14:solidFill>
                          <w14:schemeClr w14:val="tx1"/>
                        </w14:solidFill>
                      </w14:textFill>
                    </w:rPr>
                    <w:t>符合</w:t>
                  </w:r>
                </w:p>
              </w:tc>
            </w:tr>
            <w:tr w14:paraId="1FB0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586" w:type="pct"/>
                  <w:shd w:val="clear" w:color="auto" w:fill="FFFFFF" w:themeFill="background1"/>
                  <w:vAlign w:val="center"/>
                </w:tcPr>
                <w:p w14:paraId="3F0D14AA">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2016" w:type="pct"/>
                  <w:shd w:val="clear" w:color="auto" w:fill="FFFFFF" w:themeFill="background1"/>
                  <w:vAlign w:val="center"/>
                </w:tcPr>
                <w:p w14:paraId="620351F9">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污水排放：</w:t>
                  </w:r>
                  <w:r>
                    <w:rPr>
                      <w:rFonts w:hint="default" w:ascii="Times New Roman" w:hAnsi="Times New Roman" w:eastAsia="宋体" w:cs="Times New Roman"/>
                      <w:color w:val="000000" w:themeColor="text1"/>
                      <w:sz w:val="21"/>
                      <w:szCs w:val="21"/>
                      <w14:textFill>
                        <w14:solidFill>
                          <w14:schemeClr w14:val="tx1"/>
                        </w14:solidFill>
                      </w14:textFill>
                    </w:rPr>
                    <w:t>8.4.1矿区及厂区应建有雨水截（排）水沟和集水池，地表径流水经沉淀处理后达标排放。</w:t>
                  </w:r>
                </w:p>
                <w:p w14:paraId="37533223">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8.4.2矿区及厂区的生产排水、雨水和生活污水，应实现雨污分流、清污分流；</w:t>
                  </w:r>
                </w:p>
                <w:p w14:paraId="5E0C8017">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废油等废物的处理：</w:t>
                  </w:r>
                  <w:r>
                    <w:rPr>
                      <w:rFonts w:hint="default" w:ascii="Times New Roman" w:hAnsi="Times New Roman" w:eastAsia="宋体" w:cs="Times New Roman"/>
                      <w:color w:val="000000" w:themeColor="text1"/>
                      <w:sz w:val="21"/>
                      <w:szCs w:val="21"/>
                      <w14:textFill>
                        <w14:solidFill>
                          <w14:schemeClr w14:val="tx1"/>
                        </w14:solidFill>
                      </w14:textFill>
                    </w:rPr>
                    <w:t>生产中产生的废油要集中收集，设置独立的场所存放，并交有资质单位处理；</w:t>
                  </w:r>
                </w:p>
              </w:tc>
              <w:tc>
                <w:tcPr>
                  <w:tcW w:w="1770" w:type="pct"/>
                  <w:shd w:val="clear" w:color="auto" w:fill="FFFFFF" w:themeFill="background1"/>
                  <w:vAlign w:val="center"/>
                </w:tcPr>
                <w:p w14:paraId="2413494C">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①矿区及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安全平台</w:t>
                  </w:r>
                  <w:r>
                    <w:rPr>
                      <w:rFonts w:hint="default" w:ascii="Times New Roman" w:hAnsi="Times New Roman" w:eastAsia="宋体" w:cs="Times New Roman"/>
                      <w:color w:val="000000" w:themeColor="text1"/>
                      <w:sz w:val="21"/>
                      <w:szCs w:val="21"/>
                      <w14:textFill>
                        <w14:solidFill>
                          <w14:schemeClr w14:val="tx1"/>
                        </w14:solidFill>
                      </w14:textFill>
                    </w:rPr>
                    <w:t>建有雨水截（排）水沟和集水池，地表径流水经沉淀处理后达标排放；</w:t>
                  </w:r>
                </w:p>
                <w:p w14:paraId="0081619A">
                  <w:pPr>
                    <w:pStyle w:val="19"/>
                    <w:pageBreakBefore w:val="0"/>
                    <w:kinsoku/>
                    <w:overflowPunct/>
                    <w:topLinePunct w:val="0"/>
                    <w:bidi w:val="0"/>
                    <w:spacing w:beforeAutospacing="0" w:after="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②矿区实行雨污分流，生产废水全部回用，实现废水100%循环利用；</w:t>
                  </w:r>
                </w:p>
                <w:p w14:paraId="61B35547">
                  <w:pPr>
                    <w:pStyle w:val="19"/>
                    <w:pageBreakBefore w:val="0"/>
                    <w:kinsoku/>
                    <w:overflowPunct/>
                    <w:topLinePunct w:val="0"/>
                    <w:bidi w:val="0"/>
                    <w:spacing w:beforeAutospacing="0" w:after="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③项目废机油、废润滑油等暂存于危废暂存间，定期交由资质单位进行处置</w:t>
                  </w:r>
                </w:p>
              </w:tc>
              <w:tc>
                <w:tcPr>
                  <w:tcW w:w="626" w:type="pct"/>
                  <w:shd w:val="clear" w:color="auto" w:fill="FFFFFF" w:themeFill="background1"/>
                  <w:vAlign w:val="center"/>
                </w:tcPr>
                <w:p w14:paraId="2558036A">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14:paraId="6FFF893F">
            <w:pPr>
              <w:pStyle w:val="46"/>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eastAsia" w:ascii="Times New Roman" w:cs="Times New Roman"/>
                <w:b/>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14:textFill>
                  <w14:solidFill>
                    <w14:schemeClr w14:val="tx1"/>
                  </w14:solidFill>
                </w14:textFill>
              </w:rPr>
              <w:t>与</w:t>
            </w:r>
            <w:r>
              <w:rPr>
                <w:rFonts w:hint="eastAsia" w:ascii="Times New Roman" w:cs="Times New Roman"/>
                <w:b/>
                <w:bCs/>
                <w:color w:val="000000" w:themeColor="text1"/>
                <w:sz w:val="21"/>
                <w:szCs w:val="21"/>
                <w:lang w:eastAsia="zh-CN"/>
                <w14:textFill>
                  <w14:solidFill>
                    <w14:schemeClr w14:val="tx1"/>
                  </w14:solidFill>
                </w14:textFill>
              </w:rPr>
              <w:t>生态环境保护</w:t>
            </w:r>
            <w:r>
              <w:rPr>
                <w:rFonts w:hint="eastAsia" w:ascii="Times New Roman" w:cs="Times New Roman"/>
                <w:b/>
                <w:bCs/>
                <w:color w:val="000000" w:themeColor="text1"/>
                <w:sz w:val="21"/>
                <w:szCs w:val="21"/>
                <w:lang w:val="zh-CN"/>
                <w14:textFill>
                  <w14:solidFill>
                    <w14:schemeClr w14:val="tx1"/>
                  </w14:solidFill>
                </w14:textFill>
              </w:rPr>
              <w:t>其他</w:t>
            </w:r>
            <w:r>
              <w:rPr>
                <w:rFonts w:hint="default" w:ascii="Times New Roman" w:hAnsi="Times New Roman" w:eastAsia="宋体" w:cs="Times New Roman"/>
                <w:b/>
                <w:bCs/>
                <w:color w:val="000000" w:themeColor="text1"/>
                <w:sz w:val="21"/>
                <w:szCs w:val="21"/>
                <w:lang w:val="zh-CN"/>
                <w14:textFill>
                  <w14:solidFill>
                    <w14:schemeClr w14:val="tx1"/>
                  </w14:solidFill>
                </w14:textFill>
              </w:rPr>
              <w:t>文件</w:t>
            </w:r>
            <w:r>
              <w:rPr>
                <w:rFonts w:hint="default" w:ascii="Times New Roman" w:hAnsi="Times New Roman" w:eastAsia="宋体" w:cs="Times New Roman"/>
                <w:b/>
                <w:bCs/>
                <w:color w:val="000000" w:themeColor="text1"/>
                <w:sz w:val="21"/>
                <w:szCs w:val="21"/>
                <w14:textFill>
                  <w14:solidFill>
                    <w14:schemeClr w14:val="tx1"/>
                  </w14:solidFill>
                </w14:textFill>
              </w:rPr>
              <w:t>符合性分析</w:t>
            </w:r>
          </w:p>
          <w:tbl>
            <w:tblPr>
              <w:tblStyle w:val="25"/>
              <w:tblW w:w="48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450"/>
              <w:gridCol w:w="3151"/>
              <w:gridCol w:w="1724"/>
              <w:gridCol w:w="1027"/>
            </w:tblGrid>
            <w:tr w14:paraId="55DF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986" w:type="pct"/>
                  <w:shd w:val="clear" w:color="auto" w:fill="FFFFFF" w:themeFill="background1"/>
                  <w:vAlign w:val="center"/>
                </w:tcPr>
                <w:p w14:paraId="35E1370E">
                  <w:pPr>
                    <w:pStyle w:val="4"/>
                    <w:pageBreakBefore w:val="0"/>
                    <w:numPr>
                      <w:ilvl w:val="1"/>
                      <w:numId w:val="0"/>
                    </w:numPr>
                    <w:kinsoku/>
                    <w:overflowPunct/>
                    <w:topLinePunct w:val="0"/>
                    <w:bidi w:val="0"/>
                    <w:spacing w:beforeAutospacing="0" w:afterAutospacing="0" w:line="240" w:lineRule="auto"/>
                    <w:ind w:left="0"/>
                    <w:jc w:val="center"/>
                    <w:outlineLvl w:val="1"/>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名称</w:t>
                  </w:r>
                </w:p>
              </w:tc>
              <w:tc>
                <w:tcPr>
                  <w:tcW w:w="2142" w:type="pct"/>
                  <w:shd w:val="clear" w:color="auto" w:fill="FFFFFF" w:themeFill="background1"/>
                  <w:vAlign w:val="center"/>
                </w:tcPr>
                <w:p w14:paraId="33AFF1E9">
                  <w:pPr>
                    <w:pStyle w:val="4"/>
                    <w:pageBreakBefore w:val="0"/>
                    <w:numPr>
                      <w:ilvl w:val="1"/>
                      <w:numId w:val="0"/>
                    </w:numPr>
                    <w:kinsoku/>
                    <w:overflowPunct/>
                    <w:topLinePunct w:val="0"/>
                    <w:bidi w:val="0"/>
                    <w:spacing w:beforeAutospacing="0" w:afterAutospacing="0" w:line="240" w:lineRule="auto"/>
                    <w:ind w:left="0"/>
                    <w:jc w:val="center"/>
                    <w:outlineLvl w:val="1"/>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规划内容</w:t>
                  </w:r>
                </w:p>
              </w:tc>
              <w:tc>
                <w:tcPr>
                  <w:tcW w:w="1172" w:type="pct"/>
                  <w:shd w:val="clear" w:color="auto" w:fill="FFFFFF" w:themeFill="background1"/>
                  <w:vAlign w:val="center"/>
                </w:tcPr>
                <w:p w14:paraId="55A9981D">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本项目情况</w:t>
                  </w:r>
                </w:p>
              </w:tc>
              <w:tc>
                <w:tcPr>
                  <w:tcW w:w="698" w:type="pct"/>
                  <w:shd w:val="clear" w:color="auto" w:fill="FFFFFF" w:themeFill="background1"/>
                  <w:vAlign w:val="center"/>
                </w:tcPr>
                <w:p w14:paraId="7DE0F6D4">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符合性</w:t>
                  </w:r>
                </w:p>
              </w:tc>
            </w:tr>
            <w:tr w14:paraId="56F7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pct"/>
                  <w:shd w:val="clear" w:color="auto" w:fill="FFFFFF" w:themeFill="background1"/>
                  <w:vAlign w:val="center"/>
                </w:tcPr>
                <w:p w14:paraId="04DA31F7">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《宝鸡市</w:t>
                  </w:r>
                </w:p>
                <w:p w14:paraId="776CC941">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大气污染</w:t>
                  </w:r>
                </w:p>
                <w:p w14:paraId="23AA0DA6">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防治条例》</w:t>
                  </w:r>
                </w:p>
              </w:tc>
              <w:tc>
                <w:tcPr>
                  <w:tcW w:w="2142" w:type="pct"/>
                  <w:shd w:val="clear" w:color="auto" w:fill="FFFFFF" w:themeFill="background1"/>
                  <w:vAlign w:val="center"/>
                </w:tcPr>
                <w:p w14:paraId="74388CE2">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第三十四条施工单位应当制定具体的施工扬尘污染防治实施方案，在施工工地内采取下列防尘措施：</w:t>
                  </w:r>
                </w:p>
                <w:p w14:paraId="4547A622">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（一）应当设置硬质围挡，分段作业、择时施工，洒水抑尘、冲洗地面。</w:t>
                  </w:r>
                </w:p>
                <w:p w14:paraId="4DC49988">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（二）建筑土方、工程渣土、建筑垃圾应当及时清运；在场地内堆存的，应当采用密闭式防尘网遮盖。</w:t>
                  </w:r>
                </w:p>
                <w:p w14:paraId="58287972">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（三）车行道路采取硬化或者铺设礁渣、砾石或其他功能相当的材料等措施。</w:t>
                  </w:r>
                </w:p>
                <w:p w14:paraId="344AAE43">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（四）出入口内侧安装车辆冲洗设备，车辆冲洗干净后方可驶出。</w:t>
                  </w:r>
                </w:p>
                <w:p w14:paraId="5159FD25">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（五）施工作业产生泥浆的，设置泥浆池、泥浆沟，确保泥浆不溢流，废弃泥浆采用密封式罐车清运。</w:t>
                  </w:r>
                </w:p>
                <w:p w14:paraId="7146755D">
                  <w:pPr>
                    <w:pageBreakBefore w:val="0"/>
                    <w:kinsoku/>
                    <w:overflowPunct/>
                    <w:topLinePunct w:val="0"/>
                    <w:bidi w:val="0"/>
                    <w:spacing w:beforeAutospacing="0" w:afterAutospacing="0" w:line="240" w:lineRule="auto"/>
                    <w:ind w:left="0" w:firstLine="0" w:firstLineChars="0"/>
                    <w:rPr>
                      <w:rFonts w:hint="eastAsia"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（六）土方作业、拆除、爆破等易产生扬尘的工程，采取洒水抑尘措施</w:t>
                  </w:r>
                  <w:r>
                    <w:rPr>
                      <w:rFonts w:hint="eastAsia" w:cs="Times New Roman"/>
                      <w:color w:val="000000" w:themeColor="text1"/>
                      <w:sz w:val="21"/>
                      <w:szCs w:val="21"/>
                      <w:lang w:eastAsia="zh-CN"/>
                      <w14:textFill>
                        <w14:solidFill>
                          <w14:schemeClr w14:val="tx1"/>
                        </w14:solidFill>
                      </w14:textFill>
                    </w:rPr>
                    <w:t>。</w:t>
                  </w:r>
                </w:p>
                <w:p w14:paraId="7209EE29">
                  <w:pPr>
                    <w:pageBreakBefore w:val="0"/>
                    <w:kinsoku/>
                    <w:overflowPunct/>
                    <w:topLinePunct w:val="0"/>
                    <w:bidi w:val="0"/>
                    <w:spacing w:beforeAutospacing="0" w:afterAutospacing="0" w:line="240" w:lineRule="auto"/>
                    <w:ind w:left="0" w:firstLine="0" w:firstLineChars="0"/>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（七）公示扬尘污染防治措施、负责人、扬尘监督管理主管部门等信息。</w:t>
                  </w:r>
                </w:p>
                <w:p w14:paraId="444EE7C6">
                  <w:pPr>
                    <w:pageBreakBefore w:val="0"/>
                    <w:kinsoku/>
                    <w:overflowPunct/>
                    <w:topLinePunct w:val="0"/>
                    <w:bidi w:val="0"/>
                    <w:spacing w:beforeAutospacing="0" w:afterAutospacing="0" w:line="240" w:lineRule="auto"/>
                    <w:ind w:left="0" w:firstLine="0" w:firstLineChars="0"/>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（八）法律法规规定的其他污染防治措施。</w:t>
                  </w:r>
                </w:p>
              </w:tc>
              <w:tc>
                <w:tcPr>
                  <w:tcW w:w="1172" w:type="pct"/>
                  <w:shd w:val="clear" w:color="auto" w:fill="FFFFFF" w:themeFill="background1"/>
                  <w:vAlign w:val="center"/>
                </w:tcPr>
                <w:p w14:paraId="4403D84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本项目施工期间建筑垃圾及时清运、裸露地方密目网苫盖；对运输车辆出施工场地时进行冲洗等措施，符合污染条例的规定</w:t>
                  </w:r>
                  <w:r>
                    <w:rPr>
                      <w:rFonts w:hint="eastAsia" w:cs="Times New Roman"/>
                      <w:color w:val="000000" w:themeColor="text1"/>
                      <w:sz w:val="21"/>
                      <w:szCs w:val="21"/>
                      <w:lang w:eastAsia="zh-CN"/>
                      <w14:textFill>
                        <w14:solidFill>
                          <w14:schemeClr w14:val="tx1"/>
                        </w14:solidFill>
                      </w14:textFill>
                    </w:rPr>
                    <w:t>。</w:t>
                  </w:r>
                </w:p>
              </w:tc>
              <w:tc>
                <w:tcPr>
                  <w:tcW w:w="698" w:type="pct"/>
                  <w:shd w:val="clear" w:color="auto" w:fill="FFFFFF" w:themeFill="background1"/>
                  <w:vAlign w:val="center"/>
                </w:tcPr>
                <w:p w14:paraId="1DA3526A">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43B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pct"/>
                  <w:shd w:val="clear" w:color="auto" w:fill="FFFFFF" w:themeFill="background1"/>
                  <w:vAlign w:val="center"/>
                </w:tcPr>
                <w:p w14:paraId="334A551B">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《宝鸡市大气污染专项行动方案（2023-2027年）》（宝</w:t>
                  </w:r>
                </w:p>
                <w:p w14:paraId="73DB7810">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发〔2023〕</w:t>
                  </w:r>
                </w:p>
                <w:p w14:paraId="43841C8E">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8号）</w:t>
                  </w:r>
                </w:p>
              </w:tc>
              <w:tc>
                <w:tcPr>
                  <w:tcW w:w="2142" w:type="pct"/>
                  <w:shd w:val="clear" w:color="auto" w:fill="FFFFFF" w:themeFill="background1"/>
                  <w:vAlign w:val="center"/>
                </w:tcPr>
                <w:p w14:paraId="3CD353EA">
                  <w:pPr>
                    <w:pageBreakBefore w:val="0"/>
                    <w:kinsoku/>
                    <w:overflowPunct/>
                    <w:topLinePunct w:val="0"/>
                    <w:bidi w:val="0"/>
                    <w:spacing w:beforeAutospacing="0" w:afterAutospacing="0" w:line="240" w:lineRule="auto"/>
                    <w:ind w:left="0"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严格落实监管责任，实施网格化考核。关中生活污水地区以降低PM</w:t>
                  </w:r>
                  <w:r>
                    <w:rPr>
                      <w:rFonts w:hint="eastAsia" w:ascii="Times New Roman" w:hAnsi="Times New Roman" w:eastAsia="宋体" w:cs="Times New Roman"/>
                      <w:color w:val="000000" w:themeColor="text1"/>
                      <w:sz w:val="21"/>
                      <w:szCs w:val="21"/>
                      <w:vertAlign w:val="subscript"/>
                      <w14:textFill>
                        <w14:solidFill>
                          <w14:schemeClr w14:val="tx1"/>
                        </w14:solidFill>
                      </w14:textFill>
                    </w:rPr>
                    <w:t>10</w:t>
                  </w:r>
                  <w:r>
                    <w:rPr>
                      <w:rFonts w:hint="eastAsia" w:ascii="Times New Roman" w:hAnsi="Times New Roman" w:eastAsia="宋体" w:cs="Times New Roman"/>
                      <w:color w:val="000000" w:themeColor="text1"/>
                      <w:sz w:val="21"/>
                      <w:szCs w:val="21"/>
                      <w14:textFill>
                        <w14:solidFill>
                          <w14:schemeClr w14:val="tx1"/>
                        </w14:solidFill>
                      </w14:textFill>
                    </w:rPr>
                    <w:t>指标为导向建立动态管控机制，施工场地严格执行“六个百分百”，施工工地扬尘排放</w:t>
                  </w:r>
                </w:p>
                <w:p w14:paraId="785BF237">
                  <w:pPr>
                    <w:pageBreakBefore w:val="0"/>
                    <w:kinsoku/>
                    <w:overflowPunct/>
                    <w:topLinePunct w:val="0"/>
                    <w:bidi w:val="0"/>
                    <w:spacing w:beforeAutospacing="0" w:afterAutospacing="0" w:line="240" w:lineRule="auto"/>
                    <w:ind w:lef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超过《施工场界扬尘排放限值（DB61/1078-2017）》的立即停工整改</w:t>
                  </w:r>
                </w:p>
              </w:tc>
              <w:tc>
                <w:tcPr>
                  <w:tcW w:w="1172" w:type="pct"/>
                  <w:shd w:val="clear" w:color="auto" w:fill="FFFFFF" w:themeFill="background1"/>
                  <w:vAlign w:val="center"/>
                </w:tcPr>
                <w:p w14:paraId="5D5FA48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本项目施工过程中严格按照要求执行六个100%，并加强扬尘管控。</w:t>
                  </w:r>
                </w:p>
              </w:tc>
              <w:tc>
                <w:tcPr>
                  <w:tcW w:w="698" w:type="pct"/>
                  <w:shd w:val="clear" w:color="auto" w:fill="FFFFFF" w:themeFill="background1"/>
                  <w:vAlign w:val="center"/>
                </w:tcPr>
                <w:p w14:paraId="2B37A0B4">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684E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pct"/>
                  <w:shd w:val="clear" w:color="auto" w:fill="FFFFFF" w:themeFill="background1"/>
                  <w:vAlign w:val="center"/>
                </w:tcPr>
                <w:p w14:paraId="6C18750E">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非道路移动机械排放控制要求</w:t>
                  </w:r>
                </w:p>
              </w:tc>
              <w:tc>
                <w:tcPr>
                  <w:tcW w:w="2142" w:type="pct"/>
                  <w:shd w:val="clear" w:color="auto" w:fill="FFFFFF" w:themeFill="background1"/>
                  <w:vAlign w:val="center"/>
                </w:tcPr>
                <w:p w14:paraId="05C33249">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（1）禁止使用限制排放控制装置功效的失效策略；</w:t>
                  </w:r>
                </w:p>
                <w:p w14:paraId="4161A7BF">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（2）机械生产企业应明确告知用户及时添加并使用符合本标准要求的燃油及反应剂，以保证机械在实际使用中能够满足本标准的排放要求</w:t>
                  </w:r>
                </w:p>
              </w:tc>
              <w:tc>
                <w:tcPr>
                  <w:tcW w:w="1172" w:type="pct"/>
                  <w:shd w:val="clear" w:color="auto" w:fill="FFFFFF" w:themeFill="background1"/>
                  <w:vAlign w:val="center"/>
                </w:tcPr>
                <w:p w14:paraId="201B051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本次环评要求建设单位在施工过程中全部使用国三以上运输车辆及施工机械，并且该车辆机械必须贴有相应的排</w:t>
                  </w:r>
                </w:p>
                <w:p w14:paraId="7E0D03D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both"/>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放标准认证标识。符合要求的规定</w:t>
                  </w:r>
                  <w:r>
                    <w:rPr>
                      <w:rFonts w:hint="eastAsia" w:cs="Times New Roman"/>
                      <w:color w:val="000000" w:themeColor="text1"/>
                      <w:sz w:val="21"/>
                      <w:szCs w:val="21"/>
                      <w:lang w:eastAsia="zh-CN"/>
                      <w14:textFill>
                        <w14:solidFill>
                          <w14:schemeClr w14:val="tx1"/>
                        </w14:solidFill>
                      </w14:textFill>
                    </w:rPr>
                    <w:t>。</w:t>
                  </w:r>
                </w:p>
              </w:tc>
              <w:tc>
                <w:tcPr>
                  <w:tcW w:w="698" w:type="pct"/>
                  <w:shd w:val="clear" w:color="auto" w:fill="FFFFFF" w:themeFill="background1"/>
                  <w:vAlign w:val="center"/>
                </w:tcPr>
                <w:p w14:paraId="0A3594E7">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47A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pct"/>
                  <w:vMerge w:val="restart"/>
                  <w:shd w:val="clear" w:color="auto" w:fill="FFFFFF" w:themeFill="background1"/>
                  <w:vAlign w:val="center"/>
                </w:tcPr>
                <w:p w14:paraId="080A93CB">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《陕西省噪声污染防治行动计划（2023-2025年）》</w:t>
                  </w:r>
                </w:p>
              </w:tc>
              <w:tc>
                <w:tcPr>
                  <w:tcW w:w="2142" w:type="pct"/>
                  <w:shd w:val="clear" w:color="auto" w:fill="FFFFFF" w:themeFill="background1"/>
                  <w:vAlign w:val="center"/>
                </w:tcPr>
                <w:p w14:paraId="1A9B6DBE">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zh-CN" w:eastAsia="zh-CN" w:bidi="zh-CN"/>
                      <w14:textFill>
                        <w14:solidFill>
                          <w14:schemeClr w14:val="tx1"/>
                        </w14:solidFill>
                      </w14:textFill>
                    </w:rPr>
                    <w:t>加严噪声敏感建筑物集中区域施工要求。噪声敏感建筑物集中区域的施工场地应优先使用低噪声施工工艺和设备，采取减振降噪措施，加强进出场地运输车辆管理。建设单位应根据国家规定设置噪声自动监测系统</w:t>
                  </w:r>
                </w:p>
              </w:tc>
              <w:tc>
                <w:tcPr>
                  <w:tcW w:w="1172" w:type="pct"/>
                  <w:vMerge w:val="restart"/>
                  <w:shd w:val="clear" w:color="auto" w:fill="FFFFFF" w:themeFill="background1"/>
                  <w:vAlign w:val="center"/>
                </w:tcPr>
                <w:p w14:paraId="71F3ACB1">
                  <w:pPr>
                    <w:pStyle w:val="49"/>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工程施工场地远离村庄噪声敏感点位，建设单位选用低噪声设备，对设备进行维护保养，避免设备非正常工作产生的尖锐噪声，且对运输车进行管理，在经过村庄、学校等区域时，限速在20km/h行驶，禁止随意鸣笛；严格控制施工时间，根据不同季节正常休息时间，合理安排施工计划，避开夜间（22:00-06:00）昼间午休时间（12:00-14:00）施工，以免产生</w:t>
                  </w:r>
                </w:p>
                <w:p w14:paraId="2D598925">
                  <w:pPr>
                    <w:pStyle w:val="49"/>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both"/>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扰民现象。</w:t>
                  </w:r>
                </w:p>
              </w:tc>
              <w:tc>
                <w:tcPr>
                  <w:tcW w:w="698" w:type="pct"/>
                  <w:vMerge w:val="restart"/>
                  <w:shd w:val="clear" w:color="auto" w:fill="FFFFFF" w:themeFill="background1"/>
                  <w:vAlign w:val="center"/>
                </w:tcPr>
                <w:p w14:paraId="58F7C674">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37D9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pct"/>
                  <w:vMerge w:val="continue"/>
                  <w:shd w:val="clear" w:color="auto" w:fill="FFFFFF" w:themeFill="background1"/>
                  <w:vAlign w:val="center"/>
                </w:tcPr>
                <w:p w14:paraId="1E785031">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142" w:type="pct"/>
                  <w:shd w:val="clear" w:color="auto" w:fill="FFFFFF" w:themeFill="background1"/>
                  <w:vAlign w:val="center"/>
                </w:tcPr>
                <w:p w14:paraId="04979982">
                  <w:pPr>
                    <w:pageBreakBefore w:val="0"/>
                    <w:kinsoku/>
                    <w:overflowPunct/>
                    <w:topLinePunct w:val="0"/>
                    <w:bidi w:val="0"/>
                    <w:spacing w:beforeAutospacing="0" w:afterAutospacing="0" w:line="240" w:lineRule="auto"/>
                    <w:ind w:left="0"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加强夜间施工噪声管控。严格夜间施工噪声管控，完善夜间施工证明申报、审核、时限及施工管理要求，并依法进行公示公告</w:t>
                  </w:r>
                </w:p>
              </w:tc>
              <w:tc>
                <w:tcPr>
                  <w:tcW w:w="1172" w:type="pct"/>
                  <w:vMerge w:val="continue"/>
                  <w:shd w:val="clear" w:color="auto" w:fill="FFFFFF" w:themeFill="background1"/>
                  <w:vAlign w:val="center"/>
                </w:tcPr>
                <w:p w14:paraId="7A468B72">
                  <w:pPr>
                    <w:pStyle w:val="49"/>
                    <w:pageBreakBefore w:val="0"/>
                    <w:kinsoku/>
                    <w:overflowPunct/>
                    <w:topLinePunct w:val="0"/>
                    <w:bidi w:val="0"/>
                    <w:spacing w:beforeAutospacing="0" w:afterAutospacing="0" w:line="240" w:lineRule="auto"/>
                    <w:ind w:lef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98" w:type="pct"/>
                  <w:vMerge w:val="continue"/>
                  <w:shd w:val="clear" w:color="auto" w:fill="FFFFFF" w:themeFill="background1"/>
                  <w:vAlign w:val="center"/>
                </w:tcPr>
                <w:p w14:paraId="6CC6B399">
                  <w:pPr>
                    <w:pStyle w:val="4"/>
                    <w:pageBreakBefore w:val="0"/>
                    <w:numPr>
                      <w:ilvl w:val="1"/>
                      <w:numId w:val="0"/>
                    </w:numPr>
                    <w:kinsoku/>
                    <w:overflowPunct/>
                    <w:topLinePunct w:val="0"/>
                    <w:bidi w:val="0"/>
                    <w:spacing w:beforeAutospacing="0" w:afterAutospacing="0" w:line="240" w:lineRule="auto"/>
                    <w:ind w:left="0"/>
                    <w:jc w:val="center"/>
                    <w:outlineLvl w:val="1"/>
                    <w:rPr>
                      <w:rFonts w:hint="default" w:ascii="Times New Roman" w:hAnsi="Times New Roman" w:eastAsia="宋体" w:cs="Times New Roman"/>
                      <w:color w:val="000000" w:themeColor="text1"/>
                      <w:sz w:val="21"/>
                      <w:szCs w:val="21"/>
                      <w14:textFill>
                        <w14:solidFill>
                          <w14:schemeClr w14:val="tx1"/>
                        </w14:solidFill>
                      </w14:textFill>
                    </w:rPr>
                  </w:pPr>
                </w:p>
              </w:tc>
            </w:tr>
          </w:tbl>
          <w:p w14:paraId="1E7B7B03">
            <w:pPr>
              <w:rPr>
                <w:rFonts w:hint="default" w:cs="Times New Roman"/>
                <w:lang w:val="en-US" w:eastAsia="zh-CN"/>
              </w:rPr>
            </w:pPr>
            <w:r>
              <w:rPr>
                <w:rFonts w:hint="eastAsia" w:cs="Times New Roman"/>
                <w:b/>
                <w:bCs/>
                <w:lang w:val="en-US" w:eastAsia="zh-CN"/>
              </w:rPr>
              <w:t>4、选址合理性分析</w:t>
            </w:r>
          </w:p>
          <w:p w14:paraId="2964CD2C">
            <w:pPr>
              <w:pStyle w:val="23"/>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eastAsia"/>
                <w:lang w:val="en-US" w:eastAsia="zh-CN"/>
              </w:rPr>
            </w:pPr>
            <w:r>
              <w:rPr>
                <w:rFonts w:hint="eastAsia" w:cs="Times New Roman"/>
                <w:color w:val="auto"/>
                <w:highlight w:val="none"/>
                <w:lang w:val="en-US" w:eastAsia="zh-CN"/>
              </w:rPr>
              <w:t>本项目位于</w:t>
            </w:r>
            <w:r>
              <w:rPr>
                <w:rFonts w:hint="default" w:ascii="Times New Roman" w:hAnsi="Times New Roman" w:eastAsia="宋体" w:cs="Times New Roman"/>
                <w:color w:val="auto"/>
                <w:sz w:val="24"/>
                <w:szCs w:val="24"/>
                <w:highlight w:val="none"/>
              </w:rPr>
              <w:t>陕西省</w:t>
            </w:r>
            <w:r>
              <w:rPr>
                <w:rFonts w:hint="default" w:ascii="Times New Roman" w:hAnsi="Times New Roman" w:eastAsia="宋体" w:cs="Times New Roman"/>
                <w:color w:val="auto"/>
                <w:sz w:val="24"/>
                <w:szCs w:val="24"/>
                <w:highlight w:val="none"/>
                <w:lang w:val="en-US" w:eastAsia="zh-CN"/>
              </w:rPr>
              <w:t>宝鸡市陈仓区</w:t>
            </w:r>
            <w:r>
              <w:rPr>
                <w:rFonts w:hint="eastAsia" w:cs="Times New Roman"/>
                <w:color w:val="auto"/>
                <w:sz w:val="24"/>
                <w:szCs w:val="24"/>
                <w:highlight w:val="none"/>
                <w:lang w:val="en-US" w:eastAsia="zh-CN"/>
              </w:rPr>
              <w:t>香泉镇梨树沟，矿区范围涉及宝鸡市陈仓区，建设单位</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宝鸡昌锦瑞石英科技有限公司</w:t>
            </w:r>
            <w:r>
              <w:rPr>
                <w:rFonts w:hint="eastAsia" w:cs="Times New Roman"/>
                <w:color w:val="auto"/>
                <w:sz w:val="24"/>
                <w:szCs w:val="24"/>
                <w:highlight w:val="none"/>
                <w:lang w:val="en-US" w:eastAsia="zh-CN"/>
              </w:rPr>
              <w:t>）</w:t>
            </w:r>
            <w:r>
              <w:rPr>
                <w:rFonts w:hint="eastAsia" w:cs="Times New Roman"/>
                <w:color w:val="auto"/>
                <w:highlight w:val="none"/>
                <w:lang w:val="en-US" w:eastAsia="zh-CN"/>
              </w:rPr>
              <w:t>已取得</w:t>
            </w:r>
            <w:r>
              <w:rPr>
                <w:rFonts w:hint="eastAsia" w:ascii="Times New Roman" w:hAnsi="Times New Roman" w:eastAsia="宋体" w:cs="Times New Roman"/>
                <w:color w:val="auto"/>
                <w:sz w:val="24"/>
                <w:szCs w:val="24"/>
                <w:highlight w:val="none"/>
                <w:lang w:eastAsia="zh-CN"/>
              </w:rPr>
              <w:t>宝鸡昌锦瑞石英科技有限公司</w:t>
            </w:r>
            <w:r>
              <w:rPr>
                <w:rFonts w:hint="eastAsia" w:cs="Times New Roman"/>
                <w:color w:val="auto"/>
                <w:sz w:val="24"/>
                <w:szCs w:val="24"/>
                <w:highlight w:val="none"/>
                <w:lang w:eastAsia="zh-CN"/>
              </w:rPr>
              <w:t>梨树沟冶金用脉石英矿</w:t>
            </w:r>
            <w:r>
              <w:rPr>
                <w:rFonts w:hint="eastAsia" w:cs="Times New Roman"/>
                <w:color w:val="auto"/>
                <w:highlight w:val="none"/>
                <w:lang w:val="en-US" w:eastAsia="zh-CN"/>
              </w:rPr>
              <w:t>采矿权（见附件3），开采区用地勘测定界已由宝鸡市自然资源和规划局确认。根据《宝</w:t>
            </w:r>
            <w:r>
              <w:rPr>
                <w:rFonts w:hint="eastAsia" w:ascii="Times New Roman" w:hAnsi="Times New Roman" w:eastAsia="宋体" w:cs="Times New Roman"/>
                <w:color w:val="auto"/>
                <w:sz w:val="24"/>
                <w:szCs w:val="24"/>
                <w:highlight w:val="none"/>
                <w:lang w:eastAsia="zh-CN"/>
              </w:rPr>
              <w:t>鸡昌锦瑞石英科技有限公司</w:t>
            </w:r>
            <w:r>
              <w:rPr>
                <w:rFonts w:hint="eastAsia" w:cs="Times New Roman"/>
                <w:color w:val="auto"/>
                <w:sz w:val="24"/>
                <w:szCs w:val="24"/>
                <w:highlight w:val="none"/>
                <w:lang w:eastAsia="zh-CN"/>
              </w:rPr>
              <w:t>梨树沟冶金用脉石英矿</w:t>
            </w:r>
            <w:r>
              <w:rPr>
                <w:rFonts w:hint="eastAsia" w:cs="Times New Roman"/>
                <w:color w:val="auto"/>
                <w:sz w:val="24"/>
                <w:szCs w:val="24"/>
                <w:highlight w:val="none"/>
                <w:lang w:val="en-US" w:eastAsia="zh-CN"/>
              </w:rPr>
              <w:t>项目永久占用林地的报告审查意见</w:t>
            </w:r>
            <w:r>
              <w:rPr>
                <w:rFonts w:hint="eastAsia" w:cs="Times New Roman"/>
                <w:color w:val="auto"/>
                <w:highlight w:val="none"/>
                <w:lang w:val="en-US" w:eastAsia="zh-CN"/>
              </w:rPr>
              <w:t>》（见附件7），项目占用林地21公顷，均为国家二级公益林。根据宝鸡市陈仓区人民政府出具《关于陕西省宝鸡市陈仓区-陇县梨树沟-中南沟脉石英矿探矿权（陈仓区部分）出让意见的复函》（见附件6）用地范围不涉及基本农田保护区、生态红线等，符合“三区三线”管控要求</w:t>
            </w:r>
            <w:r>
              <w:rPr>
                <w:rFonts w:hint="eastAsia" w:ascii="Times New Roman" w:hAnsi="Times New Roman" w:eastAsia="宋体" w:cs="Times New Roman"/>
                <w:color w:val="auto"/>
                <w:highlight w:val="none"/>
                <w:lang w:val="en-US" w:eastAsia="zh-CN"/>
              </w:rPr>
              <w:t>。在落实工业场地各项环保措施及生态恢复后，从满足环境质量标准要求角度分析，选址基本合理。</w:t>
            </w:r>
          </w:p>
        </w:tc>
      </w:tr>
    </w:tbl>
    <w:p w14:paraId="1237E38D">
      <w:pPr>
        <w:pStyle w:val="20"/>
        <w:ind w:firstLine="600"/>
        <w:jc w:val="center"/>
        <w:outlineLvl w:val="0"/>
        <w:rPr>
          <w:rFonts w:hint="default" w:ascii="Times New Roman" w:hAnsi="Times New Roman" w:eastAsia="宋体" w:cs="Times New Roman"/>
          <w:snapToGrid w:val="0"/>
          <w:color w:val="FF0000"/>
          <w:sz w:val="30"/>
          <w:szCs w:val="30"/>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24CDB3C6">
      <w:pPr>
        <w:pStyle w:val="20"/>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二、建设内容</w:t>
      </w:r>
    </w:p>
    <w:tbl>
      <w:tblPr>
        <w:tblStyle w:val="24"/>
        <w:tblW w:w="553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8473"/>
      </w:tblGrid>
      <w:tr w14:paraId="333AC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4" w:hRule="atLeast"/>
          <w:jc w:val="center"/>
        </w:trPr>
        <w:tc>
          <w:tcPr>
            <w:tcW w:w="510" w:type="pct"/>
            <w:vAlign w:val="center"/>
          </w:tcPr>
          <w:p w14:paraId="351F11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地理</w:t>
            </w:r>
          </w:p>
          <w:p w14:paraId="4F8D0D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位置</w:t>
            </w:r>
          </w:p>
        </w:tc>
        <w:tc>
          <w:tcPr>
            <w:tcW w:w="4489" w:type="pct"/>
            <w:vAlign w:val="center"/>
          </w:tcPr>
          <w:p w14:paraId="4A772894">
            <w:pPr>
              <w:keepNext w:val="0"/>
              <w:keepLines w:val="0"/>
              <w:pageBreakBefore w:val="0"/>
              <w:widowControl w:val="0"/>
              <w:kinsoku/>
              <w:wordWrap/>
              <w:overflowPunct/>
              <w:topLinePunct w:val="0"/>
              <w:autoSpaceDE/>
              <w:autoSpaceDN/>
              <w:bidi w:val="0"/>
              <w:adjustRightInd w:val="0"/>
              <w:snapToGrid w:val="0"/>
              <w:spacing w:before="157" w:beforeLines="50"/>
              <w:ind w:firstLine="42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本项目位于</w:t>
            </w:r>
            <w:r>
              <w:rPr>
                <w:rFonts w:hint="default" w:ascii="Times New Roman" w:hAnsi="Times New Roman" w:eastAsia="宋体" w:cs="Times New Roman"/>
                <w:color w:val="auto"/>
                <w:sz w:val="24"/>
                <w:szCs w:val="24"/>
              </w:rPr>
              <w:t>陕西省</w:t>
            </w:r>
            <w:r>
              <w:rPr>
                <w:rFonts w:hint="default" w:ascii="Times New Roman" w:hAnsi="Times New Roman" w:eastAsia="宋体" w:cs="Times New Roman"/>
                <w:color w:val="auto"/>
                <w:sz w:val="24"/>
                <w:szCs w:val="24"/>
                <w:lang w:val="en-US" w:eastAsia="zh-CN"/>
              </w:rPr>
              <w:t>宝鸡市陈仓区</w:t>
            </w:r>
            <w:r>
              <w:rPr>
                <w:rFonts w:hint="default" w:ascii="Times New Roman" w:hAnsi="Times New Roman" w:cs="Times New Roman"/>
                <w:color w:val="auto"/>
                <w:sz w:val="24"/>
                <w:szCs w:val="24"/>
                <w:lang w:val="en-US" w:eastAsia="zh-CN"/>
              </w:rPr>
              <w:t>香泉镇梨树沟</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矿区中心坐标</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eastAsia="zh-CN"/>
              </w:rPr>
              <w:t>东经</w:t>
            </w:r>
            <w:r>
              <w:rPr>
                <w:rFonts w:hint="default" w:ascii="Times New Roman" w:hAnsi="Times New Roman" w:eastAsia="宋体" w:cs="Times New Roman"/>
                <w:color w:val="auto"/>
                <w:sz w:val="24"/>
                <w:szCs w:val="24"/>
              </w:rPr>
              <w:t>106度48分48.090秒，</w:t>
            </w:r>
            <w:r>
              <w:rPr>
                <w:rFonts w:hint="default" w:ascii="Times New Roman" w:hAnsi="Times New Roman" w:cs="Times New Roman"/>
                <w:color w:val="auto"/>
                <w:sz w:val="24"/>
                <w:szCs w:val="24"/>
                <w:lang w:eastAsia="zh-CN"/>
              </w:rPr>
              <w:t>北纬</w:t>
            </w:r>
            <w:r>
              <w:rPr>
                <w:rFonts w:hint="default" w:ascii="Times New Roman" w:hAnsi="Times New Roman" w:eastAsia="宋体" w:cs="Times New Roman"/>
                <w:color w:val="auto"/>
                <w:sz w:val="24"/>
                <w:szCs w:val="24"/>
              </w:rPr>
              <w:t>34度35分13.100秒，</w:t>
            </w:r>
            <w:r>
              <w:rPr>
                <w:rFonts w:hint="default" w:ascii="Times New Roman" w:hAnsi="Times New Roman" w:eastAsia="宋体" w:cs="Times New Roman"/>
                <w:color w:val="auto"/>
                <w:sz w:val="24"/>
                <w:szCs w:val="24"/>
                <w:lang w:val="en-US" w:eastAsia="zh-CN"/>
              </w:rPr>
              <w:t>矿区</w:t>
            </w:r>
            <w:r>
              <w:rPr>
                <w:rFonts w:hint="default" w:ascii="Times New Roman" w:hAnsi="Times New Roman" w:cs="Times New Roman"/>
                <w:color w:val="auto"/>
                <w:sz w:val="24"/>
                <w:szCs w:val="24"/>
                <w:lang w:val="en-US" w:eastAsia="zh-CN"/>
              </w:rPr>
              <w:t>范围</w:t>
            </w:r>
            <w:r>
              <w:rPr>
                <w:rFonts w:hint="default" w:ascii="Times New Roman" w:hAnsi="Times New Roman" w:eastAsia="宋体" w:cs="Times New Roman"/>
                <w:color w:val="auto"/>
                <w:sz w:val="24"/>
                <w:szCs w:val="24"/>
                <w:lang w:val="en-US" w:eastAsia="zh-CN"/>
              </w:rPr>
              <w:t>由</w:t>
            </w:r>
            <w:r>
              <w:rPr>
                <w:rFonts w:hint="default"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个拐点组成，矿区面积</w:t>
            </w:r>
            <w:r>
              <w:rPr>
                <w:rFonts w:hint="default" w:ascii="Times New Roman" w:hAnsi="Times New Roman" w:cs="Times New Roman"/>
                <w:color w:val="auto"/>
                <w:sz w:val="24"/>
                <w:szCs w:val="24"/>
                <w:lang w:val="en-US" w:eastAsia="zh-CN"/>
              </w:rPr>
              <w:t>约2.886</w:t>
            </w:r>
            <w:r>
              <w:rPr>
                <w:rFonts w:hint="default" w:ascii="Times New Roman" w:hAnsi="Times New Roman" w:eastAsia="宋体" w:cs="Times New Roman"/>
                <w:color w:val="auto"/>
                <w:sz w:val="24"/>
                <w:szCs w:val="24"/>
                <w:lang w:val="en-US" w:eastAsia="zh-CN"/>
              </w:rPr>
              <w:t>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，开采矿种为</w:t>
            </w:r>
            <w:r>
              <w:rPr>
                <w:rFonts w:hint="default" w:ascii="Times New Roman" w:hAnsi="Times New Roman" w:cs="Times New Roman"/>
                <w:color w:val="auto"/>
                <w:sz w:val="24"/>
                <w:szCs w:val="24"/>
                <w:lang w:val="en-US" w:eastAsia="zh-CN"/>
              </w:rPr>
              <w:t>冶金用脉石英矿</w:t>
            </w:r>
            <w:r>
              <w:rPr>
                <w:rFonts w:hint="default" w:ascii="Times New Roman" w:hAnsi="Times New Roman" w:eastAsia="宋体" w:cs="Times New Roman"/>
                <w:color w:val="auto"/>
                <w:sz w:val="24"/>
                <w:szCs w:val="24"/>
                <w:lang w:val="en-US" w:eastAsia="zh-CN"/>
              </w:rPr>
              <w:t>，开采方式为</w:t>
            </w:r>
            <w:r>
              <w:rPr>
                <w:rFonts w:hint="default" w:ascii="Times New Roman" w:hAnsi="Times New Roman" w:eastAsia="宋体" w:cs="Times New Roman"/>
                <w:color w:val="auto"/>
                <w:sz w:val="24"/>
                <w:szCs w:val="24"/>
              </w:rPr>
              <w:t>露天开采</w:t>
            </w:r>
            <w:r>
              <w:rPr>
                <w:rFonts w:hint="default" w:ascii="Times New Roman" w:hAnsi="Times New Roman" w:eastAsia="宋体" w:cs="Times New Roman"/>
                <w:color w:val="auto"/>
                <w:sz w:val="24"/>
                <w:szCs w:val="24"/>
                <w:lang w:val="en-US" w:eastAsia="zh-CN"/>
              </w:rPr>
              <w:t>。</w:t>
            </w:r>
          </w:p>
          <w:p w14:paraId="0D0293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表2-1</w:t>
            </w:r>
            <w:r>
              <w:rPr>
                <w:rFonts w:hint="default" w:ascii="Times New Roman" w:hAnsi="Times New Roman" w:eastAsia="宋体" w:cs="Times New Roman"/>
                <w:b/>
                <w:color w:val="000000" w:themeColor="text1"/>
                <w:sz w:val="24"/>
                <w:szCs w:val="24"/>
                <w14:textFill>
                  <w14:solidFill>
                    <w14:schemeClr w14:val="tx1"/>
                  </w14:solidFill>
                </w14:textFill>
              </w:rPr>
              <w:t>矿区范围拐点坐标一览表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3197"/>
              <w:gridCol w:w="3576"/>
            </w:tblGrid>
            <w:tr w14:paraId="1F30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vMerge w:val="restart"/>
                  <w:noWrap w:val="0"/>
                  <w:vAlign w:val="center"/>
                </w:tcPr>
                <w:p w14:paraId="4DFE35BB">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拐点编号</w:t>
                  </w:r>
                </w:p>
              </w:tc>
              <w:tc>
                <w:tcPr>
                  <w:tcW w:w="6659" w:type="dxa"/>
                  <w:gridSpan w:val="2"/>
                  <w:noWrap w:val="0"/>
                  <w:vAlign w:val="center"/>
                </w:tcPr>
                <w:p w14:paraId="692C80B1">
                  <w:pPr>
                    <w:pStyle w:val="68"/>
                    <w:keepNext w:val="0"/>
                    <w:keepLines w:val="0"/>
                    <w:pageBreakBefore w:val="0"/>
                    <w:kinsoku/>
                    <w:wordWrap/>
                    <w:overflowPunct/>
                    <w:topLinePunct w:val="0"/>
                    <w:bidi w:val="0"/>
                    <w:spacing w:before="0" w:beforeLines="0" w:after="0" w:afterLines="0"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2000</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国家大地</w:t>
                  </w:r>
                  <w:r>
                    <w:rPr>
                      <w:rFonts w:hint="default" w:ascii="Times New Roman" w:hAnsi="Times New Roman" w:eastAsia="宋体" w:cs="Times New Roman"/>
                      <w:b/>
                      <w:bCs/>
                      <w:color w:val="000000" w:themeColor="text1"/>
                      <w:sz w:val="21"/>
                      <w:szCs w:val="21"/>
                      <w14:textFill>
                        <w14:solidFill>
                          <w14:schemeClr w14:val="tx1"/>
                        </w14:solidFill>
                      </w14:textFill>
                    </w:rPr>
                    <w:t>坐标系</w:t>
                  </w:r>
                </w:p>
              </w:tc>
            </w:tr>
            <w:tr w14:paraId="29CE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vMerge w:val="continue"/>
                  <w:noWrap w:val="0"/>
                  <w:vAlign w:val="center"/>
                </w:tcPr>
                <w:p w14:paraId="23ED735C">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3143" w:type="dxa"/>
                  <w:noWrap w:val="0"/>
                  <w:vAlign w:val="center"/>
                </w:tcPr>
                <w:p w14:paraId="399C0495">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X坐标</w:t>
                  </w:r>
                </w:p>
              </w:tc>
              <w:tc>
                <w:tcPr>
                  <w:tcW w:w="3516" w:type="dxa"/>
                  <w:noWrap w:val="0"/>
                  <w:vAlign w:val="center"/>
                </w:tcPr>
                <w:p w14:paraId="7A1C179F">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Y坐标</w:t>
                  </w:r>
                </w:p>
              </w:tc>
            </w:tr>
            <w:tr w14:paraId="0A7E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noWrap w:val="0"/>
                  <w:vAlign w:val="center"/>
                </w:tcPr>
                <w:p w14:paraId="62702CAF">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143" w:type="dxa"/>
                  <w:noWrap w:val="0"/>
                  <w:vAlign w:val="center"/>
                </w:tcPr>
                <w:p w14:paraId="54269051">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3830226.58</w:t>
                  </w:r>
                </w:p>
              </w:tc>
              <w:tc>
                <w:tcPr>
                  <w:tcW w:w="3516" w:type="dxa"/>
                  <w:noWrap w:val="0"/>
                  <w:vAlign w:val="center"/>
                </w:tcPr>
                <w:p w14:paraId="1752ACC1">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36390138.1</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9</w:t>
                  </w:r>
                </w:p>
              </w:tc>
            </w:tr>
            <w:tr w14:paraId="3319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noWrap w:val="0"/>
                  <w:vAlign w:val="center"/>
                </w:tcPr>
                <w:p w14:paraId="33743FD0">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143" w:type="dxa"/>
                  <w:noWrap w:val="0"/>
                  <w:vAlign w:val="center"/>
                </w:tcPr>
                <w:p w14:paraId="2687D9BC">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3830226.58</w:t>
                  </w:r>
                </w:p>
              </w:tc>
              <w:tc>
                <w:tcPr>
                  <w:tcW w:w="3516" w:type="dxa"/>
                  <w:noWrap w:val="0"/>
                  <w:vAlign w:val="center"/>
                </w:tcPr>
                <w:p w14:paraId="49B54CBC">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36391539.35</w:t>
                  </w:r>
                </w:p>
              </w:tc>
            </w:tr>
            <w:tr w14:paraId="4DC9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noWrap w:val="0"/>
                  <w:vAlign w:val="center"/>
                </w:tcPr>
                <w:p w14:paraId="18995498">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143" w:type="dxa"/>
                  <w:noWrap w:val="0"/>
                  <w:vAlign w:val="center"/>
                </w:tcPr>
                <w:p w14:paraId="01BEA1AB">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3829935.</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70</w:t>
                  </w:r>
                </w:p>
              </w:tc>
              <w:tc>
                <w:tcPr>
                  <w:tcW w:w="3516" w:type="dxa"/>
                  <w:noWrap w:val="0"/>
                  <w:vAlign w:val="center"/>
                </w:tcPr>
                <w:p w14:paraId="59BB2BC8">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36391819.8</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8</w:t>
                  </w:r>
                </w:p>
              </w:tc>
            </w:tr>
            <w:tr w14:paraId="6F81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noWrap w:val="0"/>
                  <w:vAlign w:val="center"/>
                </w:tcPr>
                <w:p w14:paraId="00F86978">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143" w:type="dxa"/>
                  <w:noWrap w:val="0"/>
                  <w:vAlign w:val="center"/>
                </w:tcPr>
                <w:p w14:paraId="779D4A91">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3829725.87</w:t>
                  </w:r>
                </w:p>
              </w:tc>
              <w:tc>
                <w:tcPr>
                  <w:tcW w:w="3516" w:type="dxa"/>
                  <w:noWrap w:val="0"/>
                  <w:vAlign w:val="center"/>
                </w:tcPr>
                <w:p w14:paraId="007C2DF8">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36392109.7</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1</w:t>
                  </w:r>
                </w:p>
              </w:tc>
            </w:tr>
            <w:tr w14:paraId="4CBD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noWrap w:val="0"/>
                  <w:vAlign w:val="center"/>
                </w:tcPr>
                <w:p w14:paraId="5F2D53B2">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143" w:type="dxa"/>
                  <w:noWrap w:val="0"/>
                  <w:vAlign w:val="center"/>
                </w:tcPr>
                <w:p w14:paraId="7D41AB1C">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3829667.2</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3</w:t>
                  </w:r>
                </w:p>
              </w:tc>
              <w:tc>
                <w:tcPr>
                  <w:tcW w:w="3516" w:type="dxa"/>
                  <w:noWrap w:val="0"/>
                  <w:vAlign w:val="center"/>
                </w:tcPr>
                <w:p w14:paraId="425D27C5">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36392267.26</w:t>
                  </w:r>
                </w:p>
              </w:tc>
            </w:tr>
            <w:tr w14:paraId="2D973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noWrap w:val="0"/>
                  <w:vAlign w:val="center"/>
                </w:tcPr>
                <w:p w14:paraId="269E23D5">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143" w:type="dxa"/>
                  <w:noWrap w:val="0"/>
                  <w:vAlign w:val="center"/>
                </w:tcPr>
                <w:p w14:paraId="26563822">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3828700.7</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7</w:t>
                  </w:r>
                </w:p>
              </w:tc>
              <w:tc>
                <w:tcPr>
                  <w:tcW w:w="3516" w:type="dxa"/>
                  <w:noWrap w:val="0"/>
                  <w:vAlign w:val="center"/>
                </w:tcPr>
                <w:p w14:paraId="06CEF6D9">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36392267.260</w:t>
                  </w:r>
                </w:p>
              </w:tc>
            </w:tr>
            <w:tr w14:paraId="74FB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noWrap w:val="0"/>
                  <w:vAlign w:val="center"/>
                </w:tcPr>
                <w:p w14:paraId="3EB6CBA4">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143" w:type="dxa"/>
                  <w:noWrap w:val="0"/>
                  <w:vAlign w:val="center"/>
                </w:tcPr>
                <w:p w14:paraId="4FFF6BC3">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3828700.7</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7</w:t>
                  </w:r>
                </w:p>
              </w:tc>
              <w:tc>
                <w:tcPr>
                  <w:tcW w:w="3516" w:type="dxa"/>
                  <w:noWrap w:val="0"/>
                  <w:vAlign w:val="center"/>
                </w:tcPr>
                <w:p w14:paraId="65C48A34">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36391744.1</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8</w:t>
                  </w:r>
                </w:p>
              </w:tc>
            </w:tr>
            <w:tr w14:paraId="39A3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noWrap w:val="0"/>
                  <w:vAlign w:val="center"/>
                </w:tcPr>
                <w:p w14:paraId="01CB8384">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p>
              </w:tc>
              <w:tc>
                <w:tcPr>
                  <w:tcW w:w="3143" w:type="dxa"/>
                  <w:noWrap w:val="0"/>
                  <w:vAlign w:val="center"/>
                </w:tcPr>
                <w:p w14:paraId="76EFBBEE">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3829010.79</w:t>
                  </w:r>
                </w:p>
              </w:tc>
              <w:tc>
                <w:tcPr>
                  <w:tcW w:w="3516" w:type="dxa"/>
                  <w:noWrap w:val="0"/>
                  <w:vAlign w:val="center"/>
                </w:tcPr>
                <w:p w14:paraId="604D0892">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36390025.23</w:t>
                  </w:r>
                </w:p>
              </w:tc>
            </w:tr>
            <w:tr w14:paraId="764B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48" w:type="dxa"/>
                  <w:noWrap w:val="0"/>
                  <w:vAlign w:val="center"/>
                </w:tcPr>
                <w:p w14:paraId="42DD2EDF">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p>
              </w:tc>
              <w:tc>
                <w:tcPr>
                  <w:tcW w:w="3143" w:type="dxa"/>
                  <w:noWrap w:val="0"/>
                  <w:vAlign w:val="center"/>
                </w:tcPr>
                <w:p w14:paraId="529B3B99">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3829711.19</w:t>
                  </w:r>
                </w:p>
              </w:tc>
              <w:tc>
                <w:tcPr>
                  <w:tcW w:w="3516" w:type="dxa"/>
                  <w:noWrap w:val="0"/>
                  <w:vAlign w:val="center"/>
                </w:tcPr>
                <w:p w14:paraId="5F6E7592">
                  <w:pPr>
                    <w:keepNext w:val="0"/>
                    <w:keepLines w:val="0"/>
                    <w:pageBreakBefore w:val="0"/>
                    <w:widowControl/>
                    <w:suppressLineNumbers w:val="0"/>
                    <w:kinsoku/>
                    <w:wordWrap/>
                    <w:overflowPunct/>
                    <w:topLinePunct w:val="0"/>
                    <w:autoSpaceDE/>
                    <w:autoSpaceDN/>
                    <w:bidi w:val="0"/>
                    <w:adjustRightInd w:val="0"/>
                    <w:snapToGrid w:val="0"/>
                    <w:spacing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36390025.23</w:t>
                  </w:r>
                </w:p>
              </w:tc>
            </w:tr>
          </w:tbl>
          <w:p w14:paraId="793A15D1">
            <w:pPr>
              <w:adjustRightInd w:val="0"/>
              <w:snapToGrid w:val="0"/>
              <w:ind w:firstLine="420"/>
              <w:rPr>
                <w:rFonts w:hint="default" w:ascii="Times New Roman" w:hAnsi="Times New Roman" w:eastAsia="宋体" w:cs="Times New Roman"/>
                <w:color w:val="000000" w:themeColor="text1"/>
                <w:sz w:val="24"/>
                <w:szCs w:val="24"/>
                <w14:textFill>
                  <w14:solidFill>
                    <w14:schemeClr w14:val="tx1"/>
                  </w14:solidFill>
                </w14:textFill>
              </w:rPr>
            </w:pPr>
          </w:p>
        </w:tc>
      </w:tr>
      <w:tr w14:paraId="36CED8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10" w:type="pct"/>
            <w:vAlign w:val="center"/>
          </w:tcPr>
          <w:p w14:paraId="125E34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项目组成及规模</w:t>
            </w:r>
          </w:p>
        </w:tc>
        <w:tc>
          <w:tcPr>
            <w:tcW w:w="4489" w:type="pct"/>
            <w:vAlign w:val="center"/>
          </w:tcPr>
          <w:p w14:paraId="57853DD0">
            <w:pPr>
              <w:keepNext w:val="0"/>
              <w:keepLines w:val="0"/>
              <w:pageBreakBefore w:val="0"/>
              <w:widowControl w:val="0"/>
              <w:kinsoku/>
              <w:wordWrap/>
              <w:overflowPunct/>
              <w:topLinePunct w:val="0"/>
              <w:autoSpaceDE/>
              <w:autoSpaceDN/>
              <w:bidi w:val="0"/>
              <w:adjustRightInd w:val="0"/>
              <w:snapToGrid w:val="0"/>
              <w:spacing w:before="157" w:beforeLines="50"/>
              <w:ind w:firstLine="422"/>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1、项目背景及由来</w:t>
            </w:r>
          </w:p>
          <w:p w14:paraId="1C4E7A05">
            <w:pPr>
              <w:adjustRightInd w:val="0"/>
              <w:snapToGrid w:val="0"/>
              <w:ind w:firstLine="42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陕西从北向南，分布鄂尔多斯盆地、渭河盆地、秦岭、巴山等成矿带，成矿条件优越，矿产资源丰富，具有成矿区域特色明显、矿产种类基本齐全、能源矿产富集、资源潜在价值大、矿业产业优势突出等特点。全省矿产保有资源储量列全国前三位的有15种，居前十位的有60种。对国民经济有重要价值的矿产中，盐矿保有资源储量位居全国第一位，石油、天然气位居全国第三位、煤炭、钒矿、水泥用灰岩位居全国第四位，重晶石位居全国第五位，钼矿、磷矿、晶质石墨位居全国第七位，金矿位居全国第九位。秦岭造山带是全国重点成矿区带和陕西战略性金属非金属矿产分布区，已形成一批规模化、集约化开发和产业优势突出的矿集区，矿业及相关产业在全省经济高质量发展中具有十分重要的地位。但陕西非煤矿山规模小、基础差、工艺技术落后，需加快推进非煤矿山产业转型升级、高质量发展，走安全、环保、绿色、可持续的新发展之路</w:t>
            </w:r>
            <w:r>
              <w:rPr>
                <w:rFonts w:hint="default" w:ascii="Times New Roman" w:hAnsi="Times New Roman" w:eastAsia="宋体" w:cs="Times New Roman"/>
                <w:color w:val="auto"/>
                <w:sz w:val="24"/>
                <w:szCs w:val="24"/>
                <w:lang w:val="en-US" w:eastAsia="zh-CN"/>
              </w:rPr>
              <w:t>。</w:t>
            </w:r>
          </w:p>
          <w:p w14:paraId="5B8EC7B4">
            <w:pPr>
              <w:adjustRightInd w:val="0"/>
              <w:snapToGrid w:val="0"/>
              <w:ind w:firstLine="42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宝鸡昌锦瑞石英科技有限公司于2023年03月27日注册登记成立，住所为宝鸡市陈仓区香泉镇南峪村3组05号。经营范围：一般项目：矿物洗选加工（除稀土、放射性矿产、钨）；选矿；建筑用石加工；非金属矿物制品制造；非金属废料和碎屑加工处理；非金属矿及制品销售</w:t>
            </w:r>
            <w:r>
              <w:rPr>
                <w:rFonts w:hint="default" w:ascii="Times New Roman" w:hAnsi="Times New Roman" w:cs="Times New Roman"/>
                <w:color w:val="000000" w:themeColor="text1"/>
                <w:sz w:val="24"/>
                <w:szCs w:val="24"/>
                <w:lang w:val="en-US" w:eastAsia="zh-CN"/>
                <w14:textFill>
                  <w14:solidFill>
                    <w14:schemeClr w14:val="tx1"/>
                  </w14:solidFill>
                </w14:textFill>
              </w:rPr>
              <w:t>等。为充分合理开发利用陕西省宝鸡市陈仓区梨树沟冶金用脉石英矿矿区范围内保有的矿产资源，宝鸡昌锦瑞石英科技有限公司探矿权首次设立时间于2024年7月9日，由宝鸡市自然资源和规划局挂牌出让，宝鸡昌锦瑞石英科技有限公司通过现场揭牌方式竞得；该探矿权有效期为2024年7月9日-2029年7月8日；探矿权编号为T6103002024077040057918。拟申请的采矿权范围与资源估算范围一致。</w:t>
            </w:r>
          </w:p>
          <w:p w14:paraId="061FBF55">
            <w:pPr>
              <w:adjustRightInd w:val="0"/>
              <w:snapToGrid w:val="0"/>
              <w:ind w:firstLine="420"/>
              <w:rPr>
                <w:rFonts w:hint="default" w:ascii="Times New Roman" w:hAnsi="Times New Roman" w:eastAsia="宋体" w:cs="Times New Roman"/>
                <w:bCs/>
                <w:cap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w:t>
            </w:r>
            <w:r>
              <w:rPr>
                <w:rFonts w:hint="default" w:ascii="Times New Roman" w:hAnsi="Times New Roman" w:cs="Times New Roman"/>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default" w:ascii="Times New Roman" w:hAnsi="Times New Roman"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月建设单位委托</w:t>
            </w:r>
            <w:r>
              <w:rPr>
                <w:rFonts w:hint="default" w:ascii="Times New Roman" w:hAnsi="Times New Roman" w:cs="Times New Roman"/>
                <w:color w:val="000000" w:themeColor="text1"/>
                <w:sz w:val="24"/>
                <w:szCs w:val="24"/>
                <w:lang w:eastAsia="zh-CN"/>
                <w14:textFill>
                  <w14:solidFill>
                    <w14:schemeClr w14:val="tx1"/>
                  </w14:solidFill>
                </w14:textFill>
              </w:rPr>
              <w:t>宝鸡西北有色七一七总队</w:t>
            </w:r>
            <w:r>
              <w:rPr>
                <w:rFonts w:hint="default" w:ascii="Times New Roman" w:hAnsi="Times New Roman" w:eastAsia="宋体" w:cs="Times New Roman"/>
                <w:color w:val="000000" w:themeColor="text1"/>
                <w:sz w:val="24"/>
                <w:szCs w:val="24"/>
                <w14:textFill>
                  <w14:solidFill>
                    <w14:schemeClr w14:val="tx1"/>
                  </w14:solidFill>
                </w14:textFill>
              </w:rPr>
              <w:t>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编制了《</w:t>
            </w:r>
            <w:r>
              <w:rPr>
                <w:rFonts w:hint="default" w:ascii="Times New Roman" w:hAnsi="Times New Roman" w:cs="Times New Roman"/>
                <w:color w:val="000000" w:themeColor="text1"/>
                <w:sz w:val="24"/>
                <w:szCs w:val="24"/>
                <w:lang w:eastAsia="zh-CN"/>
                <w14:textFill>
                  <w14:solidFill>
                    <w14:schemeClr w14:val="tx1"/>
                  </w14:solidFill>
                </w14:textFill>
              </w:rPr>
              <w:t>陕西省宝鸡市陈仓区梨树沟冶金用脉石英矿矿产资源开发利用方案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》并通过了技术审查</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default" w:ascii="Times New Roman" w:hAnsi="Times New Roman"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日，建设单位取得了由宝鸡市自然资源和规划局颁发的《采矿许可证》，有效期自202</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default" w:ascii="Times New Roman" w:hAnsi="Times New Roman" w:cs="Times New Roman"/>
                <w:color w:val="000000" w:themeColor="text1"/>
                <w:sz w:val="24"/>
                <w:szCs w:val="24"/>
                <w:lang w:val="en-US" w:eastAsia="zh-CN"/>
                <w14:textFill>
                  <w14:solidFill>
                    <w14:schemeClr w14:val="tx1"/>
                  </w14:solidFill>
                </w14:textFill>
              </w:rPr>
              <w:t>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日至20</w:t>
            </w:r>
            <w:r>
              <w:rPr>
                <w:rFonts w:hint="default" w:ascii="Times New Roman" w:hAnsi="Times New Roman" w:cs="Times New Roman"/>
                <w:color w:val="000000" w:themeColor="text1"/>
                <w:sz w:val="24"/>
                <w:szCs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default" w:ascii="Times New Roman" w:hAnsi="Times New Roman" w:cs="Times New Roman"/>
                <w:color w:val="000000" w:themeColor="text1"/>
                <w:sz w:val="24"/>
                <w:szCs w:val="24"/>
                <w:lang w:val="en-US" w:eastAsia="zh-CN"/>
                <w14:textFill>
                  <w14:solidFill>
                    <w14:schemeClr w14:val="tx1"/>
                  </w14:solidFill>
                </w14:textFill>
              </w:rPr>
              <w:t>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w:t>
            </w:r>
            <w:r>
              <w:rPr>
                <w:rFonts w:hint="default" w:ascii="Times New Roman" w:hAnsi="Times New Roman" w:eastAsia="宋体" w:cs="Times New Roman"/>
                <w:color w:val="000000" w:themeColor="text1"/>
                <w:sz w:val="24"/>
                <w:szCs w:val="24"/>
                <w14:textFill>
                  <w14:solidFill>
                    <w14:schemeClr w14:val="tx1"/>
                  </w14:solidFill>
                </w14:textFill>
              </w:rPr>
              <w:t>生产规模</w:t>
            </w:r>
            <w:r>
              <w:rPr>
                <w:rFonts w:hint="default" w:ascii="Times New Roman" w:hAnsi="Times New Roman" w:cs="Times New Roman"/>
                <w:color w:val="000000" w:themeColor="text1"/>
                <w:sz w:val="24"/>
                <w:szCs w:val="24"/>
                <w:lang w:val="en-US" w:eastAsia="zh-CN"/>
                <w14:textFill>
                  <w14:solidFill>
                    <w14:schemeClr w14:val="tx1"/>
                  </w14:solidFill>
                </w14:textFill>
              </w:rPr>
              <w:t>40</w:t>
            </w:r>
            <w:r>
              <w:rPr>
                <w:rFonts w:hint="default" w:ascii="Times New Roman" w:hAnsi="Times New Roman" w:eastAsia="宋体" w:cs="Times New Roman"/>
                <w:color w:val="000000" w:themeColor="text1"/>
                <w:sz w:val="24"/>
                <w:szCs w:val="24"/>
                <w14:textFill>
                  <w14:solidFill>
                    <w14:schemeClr w14:val="tx1"/>
                  </w14:solidFill>
                </w14:textFill>
              </w:rPr>
              <w:t>×10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/a，采矿权人为</w:t>
            </w:r>
            <w:r>
              <w:rPr>
                <w:rFonts w:hint="default" w:ascii="Times New Roman" w:hAnsi="Times New Roman" w:cs="Times New Roman"/>
                <w:bCs/>
                <w:caps/>
                <w:color w:val="000000" w:themeColor="text1"/>
                <w:sz w:val="24"/>
                <w:szCs w:val="24"/>
                <w:lang w:eastAsia="zh-CN"/>
                <w14:textFill>
                  <w14:solidFill>
                    <w14:schemeClr w14:val="tx1"/>
                  </w14:solidFill>
                </w14:textFill>
              </w:rPr>
              <w:t>宝鸡昌锦瑞石英科技有限公司，证号：</w:t>
            </w:r>
            <w:r>
              <w:rPr>
                <w:rFonts w:hint="default" w:ascii="Times New Roman" w:hAnsi="Times New Roman" w:cs="Times New Roman"/>
                <w:bCs/>
                <w:caps/>
                <w:color w:val="000000" w:themeColor="text1"/>
                <w:sz w:val="24"/>
                <w:szCs w:val="24"/>
                <w:lang w:val="en-US" w:eastAsia="zh-CN"/>
                <w14:textFill>
                  <w14:solidFill>
                    <w14:schemeClr w14:val="tx1"/>
                  </w14:solidFill>
                </w14:textFill>
              </w:rPr>
              <w:t>C6103002025036110158081</w:t>
            </w:r>
            <w:r>
              <w:rPr>
                <w:rFonts w:hint="default" w:ascii="Times New Roman" w:hAnsi="Times New Roman" w:eastAsia="宋体" w:cs="Times New Roman"/>
                <w:bCs/>
                <w:caps/>
                <w:color w:val="000000" w:themeColor="text1"/>
                <w:sz w:val="24"/>
                <w:szCs w:val="24"/>
                <w14:textFill>
                  <w14:solidFill>
                    <w14:schemeClr w14:val="tx1"/>
                  </w14:solidFill>
                </w14:textFill>
              </w:rPr>
              <w:t>。</w:t>
            </w:r>
          </w:p>
          <w:p w14:paraId="712A5B87">
            <w:pPr>
              <w:adjustRightInd w:val="0"/>
              <w:snapToGrid w:val="0"/>
              <w:ind w:firstLine="42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2024年12月23日，</w:t>
            </w:r>
            <w:r>
              <w:rPr>
                <w:rFonts w:hint="default" w:ascii="Times New Roman" w:hAnsi="Times New Roman" w:cs="Times New Roman"/>
                <w:color w:val="000000" w:themeColor="text1"/>
                <w:sz w:val="24"/>
                <w:szCs w:val="24"/>
                <w:lang w:val="en-US" w:eastAsia="zh-CN"/>
                <w14:textFill>
                  <w14:solidFill>
                    <w14:schemeClr w14:val="tx1"/>
                  </w14:solidFill>
                </w14:textFill>
              </w:rPr>
              <w:t>建设单位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取得了陕西省企业投资项目备案确认书，项目代码为：2411-610304-04-01-306586。</w:t>
            </w:r>
          </w:p>
          <w:p w14:paraId="095E33A4">
            <w:pPr>
              <w:overflowPunct w:val="0"/>
              <w:topLinePunct/>
              <w:autoSpaceDE w:val="0"/>
              <w:autoSpaceDN w:val="0"/>
              <w:spacing w:line="360" w:lineRule="auto"/>
              <w:ind w:firstLine="480" w:firstLineChars="200"/>
              <w:jc w:val="left"/>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依据</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建设项目环境保护管理条例</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国务院令628号）规定，该项目</w:t>
            </w:r>
            <w:r>
              <w:rPr>
                <w:rFonts w:hint="default" w:ascii="Times New Roman" w:hAnsi="Times New Roman" w:eastAsia="宋体" w:cs="Times New Roman"/>
                <w:color w:val="000000" w:themeColor="text1"/>
                <w:kern w:val="0"/>
                <w:sz w:val="24"/>
                <w14:textFill>
                  <w14:solidFill>
                    <w14:schemeClr w14:val="tx1"/>
                  </w14:solidFill>
                </w14:textFill>
              </w:rPr>
              <w:t>需要办理环境影响评价</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查阅</w:t>
            </w:r>
            <w:r>
              <w:rPr>
                <w:rFonts w:hint="default" w:ascii="Times New Roman" w:hAnsi="Times New Roman" w:eastAsia="宋体" w:cs="Times New Roman"/>
                <w:color w:val="000000" w:themeColor="text1"/>
                <w:kern w:val="0"/>
                <w:sz w:val="24"/>
                <w14:textFill>
                  <w14:solidFill>
                    <w14:schemeClr w14:val="tx1"/>
                  </w14:solidFill>
                </w14:textFill>
              </w:rPr>
              <w:t>《建设项目环境影响评价分类管理名录》（2021年）</w:t>
            </w:r>
            <w:r>
              <w:rPr>
                <w:rFonts w:hint="default" w:ascii="Times New Roman" w:hAnsi="Times New Roman"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项目行业属于八、非金属矿采选业10中11土砂石开采101（不含河道采砂项目），编制环境影响报告表，详见表2-2。</w:t>
            </w:r>
          </w:p>
          <w:p w14:paraId="1F0608E8">
            <w:pPr>
              <w:overflowPunct w:val="0"/>
              <w:topLinePunct/>
              <w:autoSpaceDE w:val="0"/>
              <w:autoSpaceDN w:val="0"/>
              <w:spacing w:line="360" w:lineRule="auto"/>
              <w:ind w:firstLine="480" w:firstLineChars="200"/>
              <w:jc w:val="left"/>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本次环评分类按照八、非金属矿采选业10中11土砂石开采101（不含河道采砂项目），参考《建设项目环境影响报告表编制技术指南（生态影响类）（试行）》进行评价。</w:t>
            </w:r>
          </w:p>
          <w:p w14:paraId="2F495F0D">
            <w:pPr>
              <w:pStyle w:val="31"/>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表</w:t>
            </w:r>
            <w:r>
              <w:rPr>
                <w:rFonts w:hint="default" w:ascii="Times New Roman" w:hAnsi="Times New Roman" w:cs="Times New Roman"/>
                <w:b/>
                <w:color w:val="000000" w:themeColor="text1"/>
                <w:sz w:val="24"/>
                <w:szCs w:val="24"/>
                <w:lang w:val="en-US" w:eastAsia="zh-CN"/>
                <w14:textFill>
                  <w14:solidFill>
                    <w14:schemeClr w14:val="tx1"/>
                  </w14:solidFill>
                </w14:textFill>
              </w:rPr>
              <w:t>2</w:t>
            </w:r>
            <w:r>
              <w:rPr>
                <w:rFonts w:hint="default" w:ascii="Times New Roman" w:hAnsi="Times New Roman" w:cs="Times New Roman"/>
                <w:b/>
                <w:color w:val="000000" w:themeColor="text1"/>
                <w:sz w:val="24"/>
                <w:szCs w:val="24"/>
                <w14:textFill>
                  <w14:solidFill>
                    <w14:schemeClr w14:val="tx1"/>
                  </w14:solidFill>
                </w14:textFill>
              </w:rPr>
              <w:t>-</w:t>
            </w:r>
            <w:r>
              <w:rPr>
                <w:rFonts w:hint="default" w:ascii="Times New Roman" w:hAnsi="Times New Roman" w:cs="Times New Roman"/>
                <w:b/>
                <w:color w:val="000000" w:themeColor="text1"/>
                <w:sz w:val="24"/>
                <w:szCs w:val="24"/>
                <w:lang w:val="en-US" w:eastAsia="zh-CN"/>
                <w14:textFill>
                  <w14:solidFill>
                    <w14:schemeClr w14:val="tx1"/>
                  </w14:solidFill>
                </w14:textFill>
              </w:rPr>
              <w:t>2</w:t>
            </w:r>
            <w:r>
              <w:rPr>
                <w:rFonts w:hint="default" w:ascii="Times New Roman" w:hAnsi="Times New Roman" w:cs="Times New Roman"/>
                <w:b/>
                <w:color w:val="000000" w:themeColor="text1"/>
                <w:sz w:val="24"/>
                <w:szCs w:val="24"/>
                <w14:textFill>
                  <w14:solidFill>
                    <w14:schemeClr w14:val="tx1"/>
                  </w14:solidFill>
                </w14:textFill>
              </w:rPr>
              <w:t>《建设项目环境影响评价分类管理名录》摘录</w:t>
            </w:r>
          </w:p>
          <w:tbl>
            <w:tblPr>
              <w:tblStyle w:val="24"/>
              <w:tblW w:w="81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1741"/>
              <w:gridCol w:w="1770"/>
              <w:gridCol w:w="3345"/>
              <w:gridCol w:w="693"/>
            </w:tblGrid>
            <w:tr w14:paraId="2D82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gridSpan w:val="2"/>
                  <w:noWrap w:val="0"/>
                  <w:vAlign w:val="center"/>
                </w:tcPr>
                <w:p w14:paraId="0B8D89D0">
                  <w:pPr>
                    <w:pStyle w:val="31"/>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八、非金属矿采选业10</w:t>
                  </w:r>
                </w:p>
              </w:tc>
              <w:tc>
                <w:tcPr>
                  <w:tcW w:w="1770" w:type="dxa"/>
                  <w:noWrap w:val="0"/>
                  <w:vAlign w:val="center"/>
                </w:tcPr>
                <w:p w14:paraId="123FF196">
                  <w:pPr>
                    <w:pStyle w:val="31"/>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报告书</w:t>
                  </w:r>
                </w:p>
              </w:tc>
              <w:tc>
                <w:tcPr>
                  <w:tcW w:w="3345" w:type="dxa"/>
                  <w:noWrap w:val="0"/>
                  <w:vAlign w:val="center"/>
                </w:tcPr>
                <w:p w14:paraId="4C31162E">
                  <w:pPr>
                    <w:pStyle w:val="31"/>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报告表</w:t>
                  </w:r>
                </w:p>
              </w:tc>
              <w:tc>
                <w:tcPr>
                  <w:tcW w:w="693" w:type="dxa"/>
                  <w:noWrap w:val="0"/>
                  <w:vAlign w:val="center"/>
                </w:tcPr>
                <w:p w14:paraId="64040DF8">
                  <w:pPr>
                    <w:pStyle w:val="31"/>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登记表</w:t>
                  </w:r>
                </w:p>
              </w:tc>
            </w:tr>
            <w:tr w14:paraId="27B3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noWrap w:val="0"/>
                  <w:vAlign w:val="center"/>
                </w:tcPr>
                <w:p w14:paraId="6C076642">
                  <w:pPr>
                    <w:pStyle w:val="31"/>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1741" w:type="dxa"/>
                  <w:noWrap w:val="0"/>
                  <w:vAlign w:val="center"/>
                </w:tcPr>
                <w:p w14:paraId="6DC2CEBC">
                  <w:pPr>
                    <w:pStyle w:val="31"/>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土砂石开采101（不含河道采砂项目）</w:t>
                  </w:r>
                </w:p>
              </w:tc>
              <w:tc>
                <w:tcPr>
                  <w:tcW w:w="1770" w:type="dxa"/>
                  <w:noWrap w:val="0"/>
                  <w:vAlign w:val="center"/>
                </w:tcPr>
                <w:p w14:paraId="3B22292A">
                  <w:pPr>
                    <w:pStyle w:val="31"/>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涉及环境敏感区的（不含单独的矿石破碎、集运；不含矿区修复治理工程）</w:t>
                  </w:r>
                </w:p>
              </w:tc>
              <w:tc>
                <w:tcPr>
                  <w:tcW w:w="3345" w:type="dxa"/>
                  <w:noWrap w:val="0"/>
                  <w:vAlign w:val="center"/>
                </w:tcPr>
                <w:p w14:paraId="618ACD09">
                  <w:pPr>
                    <w:pStyle w:val="31"/>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其他</w:t>
                  </w:r>
                </w:p>
              </w:tc>
              <w:tc>
                <w:tcPr>
                  <w:tcW w:w="693" w:type="dxa"/>
                  <w:noWrap w:val="0"/>
                  <w:vAlign w:val="center"/>
                </w:tcPr>
                <w:p w14:paraId="4CAE0D10">
                  <w:pPr>
                    <w:pStyle w:val="31"/>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r>
          </w:tbl>
          <w:p w14:paraId="3F192342">
            <w:pPr>
              <w:keepNext w:val="0"/>
              <w:keepLines w:val="0"/>
              <w:pageBreakBefore w:val="0"/>
              <w:widowControl w:val="0"/>
              <w:kinsoku/>
              <w:wordWrap/>
              <w:overflowPunct/>
              <w:topLinePunct w:val="0"/>
              <w:autoSpaceDE/>
              <w:autoSpaceDN/>
              <w:bidi w:val="0"/>
              <w:adjustRightInd w:val="0"/>
              <w:snapToGrid w:val="0"/>
              <w:spacing w:before="157" w:beforeLines="50"/>
              <w:ind w:firstLine="422"/>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2、</w:t>
            </w:r>
            <w:r>
              <w:rPr>
                <w:rFonts w:hint="default" w:ascii="Times New Roman" w:hAnsi="Times New Roman" w:cs="Times New Roman"/>
                <w:b/>
                <w:bCs/>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b/>
                <w:bCs/>
                <w:color w:val="000000" w:themeColor="text1"/>
                <w:sz w:val="24"/>
                <w:szCs w:val="24"/>
                <w14:textFill>
                  <w14:solidFill>
                    <w14:schemeClr w14:val="tx1"/>
                  </w14:solidFill>
                </w14:textFill>
              </w:rPr>
              <w:t>情况</w:t>
            </w:r>
          </w:p>
          <w:p w14:paraId="2F0A3787">
            <w:pPr>
              <w:pStyle w:val="4"/>
              <w:numPr>
                <w:ilvl w:val="1"/>
                <w:numId w:val="0"/>
              </w:numPr>
              <w:ind w:firstLine="42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14:textFill>
                  <w14:solidFill>
                    <w14:schemeClr w14:val="tx1"/>
                  </w14:solidFill>
                </w14:textFill>
              </w:rPr>
              <w:instrText xml:space="preserve"> = 1 \* GB2 \* MERGEFORMAT </w:instrText>
            </w:r>
            <w:r>
              <w:rPr>
                <w:rFonts w:hint="default" w:ascii="Times New Roman" w:hAnsi="Times New Roman" w:eastAsia="宋体" w:cs="Times New Roman"/>
                <w:b/>
                <w:bCs/>
                <w:color w:val="000000" w:themeColor="text1"/>
                <w:sz w:val="21"/>
                <w:szCs w:val="21"/>
                <w14:textFill>
                  <w14:solidFill>
                    <w14:schemeClr w14:val="tx1"/>
                  </w14:solidFill>
                </w14:textFill>
              </w:rPr>
              <w:fldChar w:fldCharType="separate"/>
            </w:r>
            <w:r>
              <w:rPr>
                <w:rFonts w:hint="default" w:ascii="Times New Roman" w:hAnsi="Times New Roman" w:cs="Times New Roman"/>
                <w:b/>
                <w:bCs/>
                <w:color w:val="000000" w:themeColor="text1"/>
                <w:sz w:val="21"/>
                <w:szCs w:val="21"/>
                <w14:textFill>
                  <w14:solidFill>
                    <w14:schemeClr w14:val="tx1"/>
                  </w14:solidFill>
                </w14:textFill>
              </w:rPr>
              <w:t>⑴</w:t>
            </w:r>
            <w:r>
              <w:rPr>
                <w:rFonts w:hint="default" w:ascii="Times New Roman" w:hAnsi="Times New Roman" w:eastAsia="宋体" w:cs="Times New Roman"/>
                <w:b/>
                <w:bCs/>
                <w:color w:val="000000" w:themeColor="text1"/>
                <w:sz w:val="21"/>
                <w:szCs w:val="21"/>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t>开采对象</w:t>
            </w:r>
          </w:p>
          <w:p w14:paraId="6E289800">
            <w:pPr>
              <w:pStyle w:val="51"/>
              <w:ind w:firstLine="42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开采对象：矿区范围内圈定的KT1-1、KT1-2、KT3</w:t>
            </w:r>
            <w:r>
              <w:rPr>
                <w:rFonts w:hint="eastAsia" w:ascii="Times New Roman" w:hAnsi="Times New Roman" w:cs="Times New Roman"/>
                <w:color w:val="000000" w:themeColor="text1"/>
                <w:sz w:val="24"/>
                <w:szCs w:val="24"/>
                <w:lang w:val="en-US" w:eastAsia="zh-CN"/>
                <w14:textFill>
                  <w14:solidFill>
                    <w14:schemeClr w14:val="tx1"/>
                  </w14:solidFill>
                </w14:textFill>
              </w:rPr>
              <w:t>石英</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矿体。</w:t>
            </w:r>
          </w:p>
          <w:p w14:paraId="7488A35C">
            <w:pPr>
              <w:pStyle w:val="51"/>
              <w:ind w:firstLine="42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开采方式：露天开采。</w:t>
            </w:r>
          </w:p>
          <w:p w14:paraId="58F1B56C">
            <w:pPr>
              <w:pStyle w:val="51"/>
              <w:ind w:firstLine="42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台阶参数：矿体开采台阶高度12m，KT1-1开采标高1594m-1786m，KT1-2开采标高1600m-1792m，KT3开采标高1570m-1644m。每隔两个安全平台设一个清扫平台，安全平台宽4m，清扫平台宽8m。</w:t>
            </w:r>
          </w:p>
          <w:p w14:paraId="120A0222">
            <w:pPr>
              <w:pStyle w:val="51"/>
              <w:ind w:firstLine="42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最终边坡角：KT1-1最终边坡角：42°58′；KT1-2最终边坡角：43°19′；KT1-3最终边坡角：24°29′。</w:t>
            </w:r>
          </w:p>
          <w:p w14:paraId="25839DD0">
            <w:pPr>
              <w:pStyle w:val="51"/>
              <w:ind w:firstLine="42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 2 \* GB2 \* MERGEFORMAT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cs="Times New Roman"/>
                <w:b/>
                <w:bCs/>
                <w:color w:val="000000" w:themeColor="text1"/>
                <w14:textFill>
                  <w14:solidFill>
                    <w14:schemeClr w14:val="tx1"/>
                  </w14:solidFill>
                </w14:textFill>
              </w:rPr>
              <w:t>⑵</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t>开采规模</w:t>
            </w:r>
          </w:p>
          <w:p w14:paraId="34FE0300">
            <w:pPr>
              <w:pStyle w:val="51"/>
              <w:ind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宝鸡市自然资源和规划局颁发的</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宝鸡昌锦瑞石英科技有限公司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采矿许可证</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矿山开采</w:t>
            </w:r>
            <w:r>
              <w:rPr>
                <w:rFonts w:hint="default" w:ascii="Times New Roman" w:hAnsi="Times New Roman" w:eastAsia="宋体" w:cs="Times New Roman"/>
                <w:color w:val="000000" w:themeColor="text1"/>
                <w:sz w:val="24"/>
                <w:szCs w:val="24"/>
                <w14:textFill>
                  <w14:solidFill>
                    <w14:schemeClr w14:val="tx1"/>
                  </w14:solidFill>
                </w14:textFill>
              </w:rPr>
              <w:t>规模为</w:t>
            </w:r>
            <w:r>
              <w:rPr>
                <w:rFonts w:hint="default" w:ascii="Times New Roman" w:hAnsi="Times New Roman" w:cs="Times New Roman"/>
                <w:color w:val="000000" w:themeColor="text1"/>
                <w:sz w:val="24"/>
                <w:szCs w:val="24"/>
                <w:lang w:val="en-US" w:eastAsia="zh-CN"/>
                <w14:textFill>
                  <w14:solidFill>
                    <w14:schemeClr w14:val="tx1"/>
                  </w14:solidFill>
                </w14:textFill>
              </w:rPr>
              <w:t>40</w:t>
            </w:r>
            <w:r>
              <w:rPr>
                <w:rFonts w:hint="default" w:ascii="Times New Roman" w:hAnsi="Times New Roman" w:cs="Times New Roman"/>
                <w:color w:val="000000" w:themeColor="text1"/>
                <w:sz w:val="24"/>
                <w:szCs w:val="24"/>
                <w:lang w:eastAsia="zh-CN"/>
                <w14:textFill>
                  <w14:solidFill>
                    <w14:schemeClr w14:val="tx1"/>
                  </w14:solidFill>
                </w14:textFill>
              </w:rPr>
              <w:t>万吨</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年</w:t>
            </w:r>
            <w:r>
              <w:rPr>
                <w:rFonts w:hint="default" w:ascii="Times New Roman" w:hAnsi="Times New Roman" w:eastAsia="宋体" w:cs="Times New Roman"/>
                <w:color w:val="000000" w:themeColor="text1"/>
                <w:sz w:val="24"/>
                <w:szCs w:val="24"/>
                <w14:textFill>
                  <w14:solidFill>
                    <w14:schemeClr w14:val="tx1"/>
                  </w14:solidFill>
                </w14:textFill>
              </w:rPr>
              <w:t>。</w:t>
            </w:r>
          </w:p>
          <w:p w14:paraId="2F94B7EB">
            <w:pPr>
              <w:pStyle w:val="51"/>
              <w:ind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根据《陕西省宝鸡市陈仓区梨树沟冶金用脉石英矿勘探地质报告》矿产资源储量评审备案的复函（宝市自然资矿储备字[2024]1号），以2024年8月30日为资源估算基准日，矿区累计查明资源量769.58万吨</w:t>
            </w:r>
            <w:r>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t>。</w:t>
            </w:r>
          </w:p>
          <w:p w14:paraId="544B47E5">
            <w:pPr>
              <w:pStyle w:val="51"/>
              <w:ind w:firstLine="422"/>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 3 \* GB2 \* MERGEFORMAT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cs="Times New Roman"/>
                <w:b/>
                <w:bCs/>
                <w:color w:val="000000" w:themeColor="text1"/>
                <w14:textFill>
                  <w14:solidFill>
                    <w14:schemeClr w14:val="tx1"/>
                  </w14:solidFill>
                </w14:textFill>
              </w:rPr>
              <w:t>⑶</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t>开采技术条件</w:t>
            </w:r>
          </w:p>
          <w:p w14:paraId="3C54D56D">
            <w:pPr>
              <w:pStyle w:val="51"/>
              <w:ind w:firstLine="422"/>
              <w:rPr>
                <w:rFonts w:hint="default" w:ascii="Times New Roman" w:hAnsi="Times New Roman" w:eastAsia="宋体" w:cs="Times New Roman"/>
                <w:b w:val="0"/>
                <w:bCs w:val="0"/>
                <w:color w:val="000000" w:themeColor="text1"/>
                <w:kern w:val="0"/>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①水文地质条件</w:t>
            </w:r>
          </w:p>
          <w:p w14:paraId="3A5E7CED">
            <w:pPr>
              <w:pStyle w:val="51"/>
              <w:ind w:firstLine="422"/>
              <w:rPr>
                <w:rFonts w:hint="default" w:ascii="Times New Roman" w:hAnsi="Times New Roman" w:eastAsia="宋体" w:cs="Times New Roman"/>
                <w:b w:val="0"/>
                <w:bCs w:val="0"/>
                <w:color w:val="000000" w:themeColor="text1"/>
                <w:kern w:val="0"/>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矿区水文地质单元为渭河二级支流香泉河流，位于陇山地区，属中山中切割侵蚀地貌，矿床未来露天开采，主要充水因素为大气降水。矿体最低赋存标高1570m，矿区侵蚀基准面标高1400m，矿体位于最低侵蚀基准面以上，大气降水能自然排水。矿区地下水类型主要为第四系松散岩类孔隙水、结晶岩类裂隙水，由于发育的构造多为先拉张后挤压，多闭合，其富水性、透水性均极弱。地表第四系覆盖较薄，分布局限，富水性差且有良好的隔水层。水文地质类型属以基岩裂隙含水为主，水文地质条件简单的矿床。</w:t>
            </w:r>
          </w:p>
          <w:p w14:paraId="5B9C70C6">
            <w:pPr>
              <w:pStyle w:val="51"/>
              <w:ind w:firstLine="422"/>
              <w:rPr>
                <w:rFonts w:hint="default" w:ascii="Times New Roman" w:hAnsi="Times New Roman" w:eastAsia="宋体" w:cs="Times New Roman"/>
                <w:b w:val="0"/>
                <w:bCs w:val="0"/>
                <w:color w:val="000000" w:themeColor="text1"/>
                <w:kern w:val="0"/>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②工程地质条件</w:t>
            </w:r>
          </w:p>
          <w:p w14:paraId="695DEA5A">
            <w:pPr>
              <w:pStyle w:val="51"/>
              <w:ind w:firstLine="422"/>
              <w:rPr>
                <w:rFonts w:hint="default" w:ascii="Times New Roman" w:hAnsi="Times New Roman" w:eastAsia="宋体" w:cs="Times New Roman"/>
                <w:b w:val="0"/>
                <w:bCs w:val="0"/>
                <w:color w:val="000000" w:themeColor="text1"/>
                <w:kern w:val="0"/>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矿体围岩为脉石英岩，属坚硬岩类，岩体完整，构造破碎带、蚀变带、风化带等较不发育，稳定性好：矿体为石英脉，岩体较完整，结构面一般不发育，稳定性较好：本区露天采矿后整体边坡角不大于27°，开采底板属极弱-弱富水，地下水对采矿边坡稳定性的影响较小。工程地质类型为坚硬岩为主的矿床，属块状岩类简单类型。</w:t>
            </w:r>
          </w:p>
          <w:p w14:paraId="24802149">
            <w:pPr>
              <w:pStyle w:val="51"/>
              <w:ind w:firstLine="422"/>
              <w:rPr>
                <w:rFonts w:hint="default" w:ascii="Times New Roman" w:hAnsi="Times New Roman" w:eastAsia="宋体" w:cs="Times New Roman"/>
                <w:b w:val="0"/>
                <w:bCs w:val="0"/>
                <w:color w:val="000000" w:themeColor="text1"/>
                <w:kern w:val="0"/>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③环境地质条件</w:t>
            </w:r>
          </w:p>
          <w:p w14:paraId="1880513B">
            <w:pPr>
              <w:pStyle w:val="51"/>
              <w:ind w:firstLine="422"/>
              <w:rPr>
                <w:rFonts w:hint="default" w:ascii="Times New Roman" w:hAnsi="Times New Roman" w:eastAsia="宋体" w:cs="Times New Roman"/>
                <w:b w:val="0"/>
                <w:bCs w:val="0"/>
                <w:color w:val="000000" w:themeColor="text1"/>
                <w:kern w:val="0"/>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矿体围岩为脉石英岩，属坚硬岩类，岩体完整，构造破碎带、蚀变带、风化带等较不发育，稳定性好：矿体为石英脉，岩体较完整，结构面一般不发育，稳定性较好：本区露天采矿后整体边坡角不大于27°，开采底板属极弱-弱富水，地下水对采矿边坡稳定性的影响较小。工程地质类型为坚硬岩为主的矿床，属块状岩类简单类型，来开采中，要合理避让陕西省陇县秦岭细鳞鲑国家级自然保护区范围，以免细鳞鲑的保护受到本区矿业活动影响。矿区地质环境类型质量良好。</w:t>
            </w:r>
          </w:p>
          <w:p w14:paraId="0112EF5D">
            <w:pPr>
              <w:pStyle w:val="51"/>
              <w:ind w:firstLine="422"/>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 4 \* GB2 \* MERGEFORMAT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cs="Times New Roman"/>
                <w:b/>
                <w:bCs/>
                <w:color w:val="000000" w:themeColor="text1"/>
                <w14:textFill>
                  <w14:solidFill>
                    <w14:schemeClr w14:val="tx1"/>
                  </w14:solidFill>
                </w14:textFill>
              </w:rPr>
              <w:t>⑷</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t>开采方案</w:t>
            </w:r>
          </w:p>
          <w:p w14:paraId="3F8C29D6">
            <w:pPr>
              <w:pStyle w:val="51"/>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①开采方式</w:t>
            </w:r>
          </w:p>
          <w:p w14:paraId="700CF22D">
            <w:pPr>
              <w:pStyle w:val="51"/>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根据该矿山自然地形条件、道路布置及开采情况，并结合《采矿许可证》批准的开采方式，本</w:t>
            </w:r>
            <w:r>
              <w:rPr>
                <w:rFonts w:hint="default" w:ascii="Times New Roman" w:hAnsi="Times New Roman" w:cs="Times New Roman"/>
                <w:color w:val="auto"/>
                <w:sz w:val="24"/>
                <w:szCs w:val="24"/>
                <w:lang w:val="en-US" w:eastAsia="zh-CN"/>
              </w:rPr>
              <w:t>项目</w:t>
            </w:r>
            <w:r>
              <w:rPr>
                <w:rFonts w:hint="default" w:ascii="Times New Roman" w:hAnsi="Times New Roman" w:eastAsia="宋体" w:cs="Times New Roman"/>
                <w:color w:val="auto"/>
                <w:sz w:val="24"/>
                <w:szCs w:val="24"/>
              </w:rPr>
              <w:t>矿体采用露天开采，以充分利用露天开采机械化程度高、成本低、作业条件好等优点。本次方案圈定露天境界时最小底宽取30m，设计KT1-1开采标高1594m-1788m，KT1-2开采标高1600m-1795m，KT3开采标高1570m-1644m。</w:t>
            </w:r>
          </w:p>
          <w:p w14:paraId="51047187">
            <w:pPr>
              <w:pStyle w:val="51"/>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②露天采场边坡参数</w:t>
            </w:r>
          </w:p>
          <w:p w14:paraId="605EDF63">
            <w:pPr>
              <w:pStyle w:val="51"/>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rPr>
              <w:t>台阶高度：</w:t>
            </w:r>
            <w:r>
              <w:rPr>
                <w:rFonts w:hint="default" w:ascii="Times New Roman" w:hAnsi="Times New Roman" w:eastAsia="宋体" w:cs="Times New Roman"/>
                <w:color w:val="000000" w:themeColor="text1"/>
                <w:sz w:val="24"/>
                <w:szCs w:val="24"/>
                <w14:textFill>
                  <w14:solidFill>
                    <w14:schemeClr w14:val="tx1"/>
                  </w14:solidFill>
                </w14:textFill>
              </w:rPr>
              <w:t>根据《金属非金属矿山安全规程》（GB16423-2020）：坚硬稳固的矿岩爆破，机械铲装，台阶高度不大于机械的最大挖掘高度的1.5倍。参考采矿设计手册第三卷（冶金工业出版社，1991年），挖掘机斗容为1-2m³时，台阶高度为10-12m。周边大规模（百万吨）石灰岩矿山台阶高度也不超过15m。方案选用1.9m³ZX450H型履带式挖掘机进行铲装作业，由于ZX450H型履带式挖掘机最大挖掘高度约10.95m，根据《金属非金属矿山安全规程》，台阶高度不大于机械最大挖掘高度的1.5倍即16.4m（10.95m×1.5=16.4m）；根据采矿设计手册第三卷（冶金工业出版社，1991年），台阶高度为10-12m。本方案根据所选定的采掘设备规格、类型依据有关的规范、规程及以及考虑到恢复治理时的难易度和参考麻池石英矿的情况，综合确定台阶高度为10m。</w:t>
            </w:r>
          </w:p>
          <w:p w14:paraId="26C3A324">
            <w:pPr>
              <w:pStyle w:val="51"/>
              <w:ind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台阶坡面角：根据终了开采高差、周边相似矿山的开采实践以及该矿体赋存情况，方案确定本矿床台阶坡面角为矿体倾角，上部削顶的部分台阶坡面角位60-65°。</w:t>
            </w:r>
          </w:p>
          <w:p w14:paraId="0F472862">
            <w:pPr>
              <w:pStyle w:val="51"/>
              <w:ind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平台设置：每隔两个安全平台设一个清扫平台，安全平台宽3m，清扫平台宽6m。</w:t>
            </w:r>
          </w:p>
          <w:p w14:paraId="1A626786">
            <w:pPr>
              <w:pStyle w:val="51"/>
              <w:ind w:firstLine="42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最终边坡角：A-A’剖面：47°55′（1644m-1570m）；B-B’剖面：35°15′（1782m-1660m），25°32′（1660m-1600m）；C-C’剖面：48°19′（1732m-1684m），27°54′（1684m-1594m）；D-D’剖面：45°3′（1780m-1744m），25°26′（1744m-1604m）</w:t>
            </w:r>
            <w:r>
              <w:rPr>
                <w:rFonts w:hint="default" w:ascii="Times New Roman" w:hAnsi="Times New Roman" w:cs="Times New Roman"/>
                <w:color w:val="000000" w:themeColor="text1"/>
                <w:sz w:val="24"/>
                <w:szCs w:val="24"/>
                <w:lang w:val="en-US" w:eastAsia="zh-CN"/>
                <w14:textFill>
                  <w14:solidFill>
                    <w14:schemeClr w14:val="tx1"/>
                  </w14:solidFill>
                </w14:textFill>
              </w:rPr>
              <w:t>。</w:t>
            </w:r>
          </w:p>
          <w:p w14:paraId="6541FFB2">
            <w:pPr>
              <w:pStyle w:val="51"/>
              <w:ind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③开采顺序</w:t>
            </w:r>
          </w:p>
          <w:p w14:paraId="65E68DCD">
            <w:pPr>
              <w:pStyle w:val="51"/>
              <w:ind w:firstLine="42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各矿体内部开采总顺序为自上而下分台阶开采，根据矿区地形条件、圈定的露天开采境界及矿体赋存特征，方案设计基建期需完成KT1-1矿体采场上部1714m及以上的削顶剥离平台至最终境界，首采地段布置在采场1704m、1694m平台，两个台阶同时生产，工作线近南北方向布置，向东、南方向进行推进。</w:t>
            </w:r>
          </w:p>
          <w:p w14:paraId="175DBEDE">
            <w:pPr>
              <w:adjustRightInd w:val="0"/>
              <w:snapToGrid w:val="0"/>
              <w:ind w:firstLine="422"/>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instrText xml:space="preserve"> = 5 \* GB2 \* MERGEFORMAT </w:instrTex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b/>
                <w:bCs/>
                <w:color w:val="000000" w:themeColor="text1"/>
                <w14:textFill>
                  <w14:solidFill>
                    <w14:schemeClr w14:val="tx1"/>
                  </w14:solidFill>
                </w14:textFill>
              </w:rPr>
              <w:t>⑸</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服务年限</w:t>
            </w:r>
          </w:p>
          <w:p w14:paraId="697A3660">
            <w:pPr>
              <w:adjustRightInd w:val="0"/>
              <w:snapToGrid w:val="0"/>
              <w:ind w:firstLine="42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宝鸡昌锦瑞石英科技有限公司梨树沟冶金用脉石英矿40万吨/年露天采矿工程可行性研究报告</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，结合生产规模及矿山具体情况进行排产，矿山服务年限</w:t>
            </w:r>
            <w:r>
              <w:rPr>
                <w:rFonts w:hint="default" w:ascii="Times New Roman" w:hAnsi="Times New Roman" w:cs="Times New Roman"/>
                <w:color w:val="000000" w:themeColor="text1"/>
                <w:sz w:val="24"/>
                <w:szCs w:val="24"/>
                <w:lang w:val="en-US" w:eastAsia="zh-CN"/>
                <w14:textFill>
                  <w14:solidFill>
                    <w14:schemeClr w14:val="tx1"/>
                  </w14:solidFill>
                </w14:textFill>
              </w:rPr>
              <w:t>18.1</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46860311">
            <w:pPr>
              <w:adjustRightInd w:val="0"/>
              <w:snapToGrid w:val="0"/>
              <w:ind w:firstLine="422"/>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 6 \* GB2 \* MERGEFORMAT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cs="Times New Roman"/>
                <w:b/>
                <w:bCs/>
                <w:color w:val="000000" w:themeColor="text1"/>
                <w14:textFill>
                  <w14:solidFill>
                    <w14:schemeClr w14:val="tx1"/>
                  </w14:solidFill>
                </w14:textFill>
              </w:rPr>
              <w:t>⑹</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t>露天开采运输方案</w:t>
            </w:r>
          </w:p>
          <w:p w14:paraId="2DC7ACF7">
            <w:pPr>
              <w:adjustRightInd w:val="0"/>
              <w:snapToGrid w:val="0"/>
              <w:ind w:firstLine="42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开采技术条件、矿山开采现状等</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矿石运输选用20t级矿用自卸汽车。开采的矿石汽车运输至委外破碎筛分处理。矿山采矿平台至麻池破碎加工生产线运输道路长度约7km（期间要经过两段平硐，第一段平硐长1km，第二段平硐长0.7km），经计算，全矿配置11辆20t矿用自卸汽车。</w:t>
            </w:r>
          </w:p>
          <w:p w14:paraId="0477E961">
            <w:pPr>
              <w:numPr>
                <w:ilvl w:val="0"/>
                <w:numId w:val="0"/>
              </w:numPr>
              <w:adjustRightInd w:val="0"/>
              <w:snapToGrid w:val="0"/>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 7 \* GB2 \* MERGEFORMAT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cs="Times New Roman"/>
                <w:b/>
                <w:bCs/>
                <w:color w:val="000000" w:themeColor="text1"/>
                <w14:textFill>
                  <w14:solidFill>
                    <w14:schemeClr w14:val="tx1"/>
                  </w14:solidFill>
                </w14:textFill>
              </w:rPr>
              <w:t>⑺</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t>采矿</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方法</w:t>
            </w:r>
          </w:p>
          <w:p w14:paraId="0180920B">
            <w:pPr>
              <w:adjustRightInd w:val="0"/>
              <w:snapToGrid w:val="0"/>
              <w:ind w:firstLine="42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依据该矿区的地形地质条件、矿体赋存状况及开采现状，设计矿山采用自上而下台阶式开采，台阶高度15m，工作台阶坡面角75°，终了台阶坡面角65°，最小工作平盘宽度40m，设计两个台阶同时生产，各平台布置一台挖掘机进行铲装。根据385-8型履带式挖掘机的斗容及选用的运输方式，参照同类生产矿山的经验，设计取单台挖掘机工作线长度最小60m。</w:t>
            </w:r>
          </w:p>
          <w:p w14:paraId="3A0C85CA">
            <w:pPr>
              <w:adjustRightInd w:val="0"/>
              <w:snapToGrid w:val="0"/>
              <w:ind w:firstLine="42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矿山通过潜孔钻机向下钻凿炮孔，爆破的矿石由挖掘机、装载机铲装至自卸汽车，由自卸汽车运输至溜矿平台</w:t>
            </w:r>
            <w:r>
              <w:rPr>
                <w:rFonts w:hint="default" w:ascii="Times New Roman" w:hAnsi="Times New Roman" w:cs="Times New Roman"/>
                <w:color w:val="000000" w:themeColor="text1"/>
                <w:sz w:val="24"/>
                <w:szCs w:val="24"/>
                <w:lang w:val="en-US" w:eastAsia="zh-CN"/>
                <w14:textFill>
                  <w14:solidFill>
                    <w14:schemeClr w14:val="tx1"/>
                  </w14:solidFill>
                </w14:textFill>
              </w:rPr>
              <w:t>80</w:t>
            </w:r>
            <w:r>
              <w:rPr>
                <w:rFonts w:hint="default" w:ascii="Times New Roman" w:hAnsi="Times New Roman" w:eastAsia="宋体" w:cs="Times New Roman"/>
                <w:color w:val="000000" w:themeColor="text1"/>
                <w:sz w:val="24"/>
                <w:szCs w:val="24"/>
                <w14:textFill>
                  <w14:solidFill>
                    <w14:schemeClr w14:val="tx1"/>
                  </w14:solidFill>
                </w14:textFill>
              </w:rPr>
              <w:t>5m，经溜槽溜矿至采场底部745m装矿平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台，通过挖掘机、装载机铲装至自卸车后运至加工厂原料场。</w:t>
            </w:r>
          </w:p>
          <w:p w14:paraId="64A32B74">
            <w:pPr>
              <w:adjustRightInd w:val="0"/>
              <w:snapToGrid w:val="0"/>
              <w:ind w:firstLine="422"/>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8）矿体特征</w:t>
            </w:r>
          </w:p>
          <w:p w14:paraId="51711802">
            <w:pPr>
              <w:adjustRightInd w:val="0"/>
              <w:snapToGrid w:val="0"/>
              <w:ind w:firstLine="422"/>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勘查区共圈定矿体6条，编号分别为KT1-1、KT1-2，KT1-3、KT3、KT2-1、KT2-2。其中KT1-1、KT1-2、KT3为主要矿体，其特征如下：</w:t>
            </w:r>
          </w:p>
          <w:p w14:paraId="70813367">
            <w:pPr>
              <w:adjustRightInd w:val="0"/>
              <w:snapToGrid w:val="0"/>
              <w:ind w:firstLine="422"/>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KT1-1矿体：分布于梨树沟脑10-3勘探线间，沿山脊西坡呈皮壳状顺坡分布，产于q1-1石英脉中，受F10剥离断层控制平面形态呈不规则面状，剖面形态呈板状。矿体地表由13条探槽控制，控制矿体长290m；倾向延伸由10个钻孔控制，控制矿体倾向延伸120～557m，总体产状250°∠22°；矿体地表出露标高1594～1788m，赋存标高1594～1788m；工程矿体真厚度9.27～39.87m，平均真厚度22.66m，厚度变化系数39.30%，属稳定类型。矿体沿走向、倾向具备中部厚大，向边部逐渐变薄尖灭的规律。矿石为青灰～灰白色石英脉，石英一般95%～99%，含少量花岗质构造碎屑。有益组分Si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90.05%～99.07%，平均95.62%，品位变化系数4.49%，属均匀类型；有害组分Al</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0.05%～8.55%，平均1.15%；Fe2O30.06%～1.65%，平均0.31%；CaO0.01%～4.69%，平均0.77%；P</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b w:val="0"/>
                <w:bCs w:val="0"/>
                <w:color w:val="000000" w:themeColor="text1"/>
                <w:sz w:val="24"/>
                <w:szCs w:val="24"/>
                <w14:textFill>
                  <w14:solidFill>
                    <w14:schemeClr w14:val="tx1"/>
                  </w14:solidFill>
                </w14:textFill>
              </w:rPr>
              <w:t>0.01%～0.86%，平均0.04%。有益组分SiO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含量具备沿走向南部高于北部、沿倾向浅部高于深部的特征。</w:t>
            </w:r>
          </w:p>
          <w:p w14:paraId="10BD1DE3">
            <w:pPr>
              <w:adjustRightInd w:val="0"/>
              <w:snapToGrid w:val="0"/>
              <w:ind w:firstLine="422"/>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KT1-2矿体：分布于梨树沟脑1-27勘探线间，位于KT1-1矿体的南部，沿山脊西坡下部呈不规则面状顺坡分布，产于q1-2石英脉中，受F10剥离断层控制平面形态呈不规则面状，剖面形态呈板状。矿体地表由27条探槽控制，控制矿体长630m；倾向延伸由18个钻孔控制，控制矿体倾向延伸115～430m，总体产状280°∠27°；矿体地表出露标高1600～1792m，赋存标高1600～1792m；工程矿体真厚度2.30～37.78m，平均真厚度16.80m，厚度变化系数67.28%，属较稳定类型。矿体沿走向、倾向中部厚大，向边部逐渐变薄尖灭。矿石为青灰～灰白色石英脉，石英一般92%～98%，含少量花岗质构造碎屑。有益组分Si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90.09%～99.70%，平均95.20%，品位变化系数2.35%，属均匀类型；有害组分Al</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0.12%～4.92%，平均1.75%；Fe</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0.05%～1.47%，平均0.27%；CaO0.04%～2.70%，平均0.68%；P</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b w:val="0"/>
                <w:bCs w:val="0"/>
                <w:color w:val="000000" w:themeColor="text1"/>
                <w:sz w:val="24"/>
                <w:szCs w:val="24"/>
                <w14:textFill>
                  <w14:solidFill>
                    <w14:schemeClr w14:val="tx1"/>
                  </w14:solidFill>
                </w14:textFill>
              </w:rPr>
              <w:t>0.00%～0.06%，平均0.03%，有益组分SiO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含量变化具备沿走向北部高于南部、沿倾向浅部高于深部的规律</w:t>
            </w:r>
            <w:r>
              <w:rPr>
                <w:rFonts w:hint="default" w:ascii="Times New Roman" w:hAnsi="Times New Roman" w:cs="Times New Roman"/>
                <w:b w:val="0"/>
                <w:bCs w:val="0"/>
                <w:color w:val="000000" w:themeColor="text1"/>
                <w:sz w:val="24"/>
                <w:szCs w:val="24"/>
                <w:lang w:eastAsia="zh-CN"/>
                <w14:textFill>
                  <w14:solidFill>
                    <w14:schemeClr w14:val="tx1"/>
                  </w14:solidFill>
                </w14:textFill>
              </w:rPr>
              <w:t>。</w:t>
            </w:r>
          </w:p>
          <w:p w14:paraId="30AA1E18">
            <w:pPr>
              <w:adjustRightInd w:val="0"/>
              <w:snapToGrid w:val="0"/>
              <w:ind w:firstLine="422"/>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KT3矿体：分布于梨树沟脑北侧山坡4勘探线，赋存于q2脉石英中，受F10剥离断层控制平面形态呈水滴状，剖面上呈板状。矿体地表由5条探槽工程揭露，深部由1个ZK4-4钻孔控制，矿体长约85m，宽度约70m，矿体倾向延伸约75m。总体产状110°∠25°，矿体出露标高1574～1636m，赋存标高1570～1636m。单工程矿体真厚度8.56～35.35m，矿体平均真厚度21.94m，厚度变化系数61.16%，厚度较稳定。矿体中部（4勘探线）厚度大，沿走向向两侧逐渐变薄至尖灭</w:t>
            </w:r>
            <w:r>
              <w:rPr>
                <w:rFonts w:hint="eastAsia" w:ascii="Times New Roman" w:hAnsi="Times New Roman"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矿石为浅灰～灰白色石英脉岩，矿石SiO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平均94.76%，Al</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平均1.97%，Fe</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平均0.23%，CaO平均0.96%，P</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b w:val="0"/>
                <w:bCs w:val="0"/>
                <w:color w:val="000000" w:themeColor="text1"/>
                <w:sz w:val="24"/>
                <w:szCs w:val="24"/>
                <w14:textFill>
                  <w14:solidFill>
                    <w14:schemeClr w14:val="tx1"/>
                  </w14:solidFill>
                </w14:textFill>
              </w:rPr>
              <w:t>平均0.02%；单工程矿体SiO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平均94.35%～94.86%，Al</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平均1.77%～2.83%，Fe</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平均0.22%～0.24%，CaO平均0.11%～1.17%，P</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b w:val="0"/>
                <w:bCs w:val="0"/>
                <w:color w:val="000000" w:themeColor="text1"/>
                <w:sz w:val="24"/>
                <w:szCs w:val="24"/>
                <w14:textFill>
                  <w14:solidFill>
                    <w14:schemeClr w14:val="tx1"/>
                  </w14:solidFill>
                </w14:textFill>
              </w:rPr>
              <w:t>平均0.02%～0.04%。单样品SiO290.08%～98.58%，品位变化系数2.03%，属稳定类型，Al</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0.41%～4.61%，Fe</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0.03%～0.51%，CaO0.05%～2.83%，P</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b w:val="0"/>
                <w:bCs w:val="0"/>
                <w:color w:val="000000" w:themeColor="text1"/>
                <w:sz w:val="24"/>
                <w:szCs w:val="24"/>
                <w14:textFill>
                  <w14:solidFill>
                    <w14:schemeClr w14:val="tx1"/>
                  </w14:solidFill>
                </w14:textFill>
              </w:rPr>
              <w:t>0.01%～0.15%。</w:t>
            </w:r>
          </w:p>
          <w:p w14:paraId="74FA1609">
            <w:pPr>
              <w:adjustRightInd w:val="0"/>
              <w:snapToGrid w:val="0"/>
              <w:ind w:firstLine="422"/>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9）矿石质量</w:t>
            </w:r>
          </w:p>
          <w:p w14:paraId="1661062D">
            <w:pPr>
              <w:adjustRightInd w:val="0"/>
              <w:snapToGrid w:val="0"/>
              <w:ind w:firstLine="422"/>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矿石矿物为石英（95%～98%），脉石矿物有白云母（＜1%）、绢云母（＜1%）、方解石（＜1%）等，金属矿物有黄铁矿（＜1%）。</w:t>
            </w:r>
          </w:p>
          <w:p w14:paraId="67A581E5">
            <w:pPr>
              <w:adjustRightInd w:val="0"/>
              <w:snapToGrid w:val="0"/>
              <w:ind w:firstLine="422"/>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脉石英具细-粗粒结构，碎裂结构，块状构造。</w:t>
            </w:r>
          </w:p>
          <w:p w14:paraId="1A4A1B27">
            <w:pPr>
              <w:adjustRightInd w:val="0"/>
              <w:snapToGrid w:val="0"/>
              <w:ind w:firstLine="422"/>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对圈定的六条脉石英矿体采集的751个样品进行有益、有害组分统计，矿石中有益组分SiO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一般90.05%～99.70%，平均96.17%；有害组分Al</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一般0.05%～4.98%，平均1.52%；Fe</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一般0.03%～1.65%，平均0.40%；CaO一般0.01%～2.83%，平均0.23%；P</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b w:val="0"/>
                <w:bCs w:val="0"/>
                <w:color w:val="000000" w:themeColor="text1"/>
                <w:sz w:val="24"/>
                <w:szCs w:val="24"/>
                <w14:textFill>
                  <w14:solidFill>
                    <w14:schemeClr w14:val="tx1"/>
                  </w14:solidFill>
                </w14:textFill>
              </w:rPr>
              <w:t>一般0.00%～0.15%，平均0.02%。矿石质量均符合冶金熔剂用指标要求，有益元素SiO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含量高，有害元素Al</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、Fe</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、CaO、P</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O</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b w:val="0"/>
                <w:bCs w:val="0"/>
                <w:color w:val="000000" w:themeColor="text1"/>
                <w:sz w:val="24"/>
                <w:szCs w:val="24"/>
                <w14:textFill>
                  <w14:solidFill>
                    <w14:schemeClr w14:val="tx1"/>
                  </w14:solidFill>
                </w14:textFill>
              </w:rPr>
              <w:t>含量低。</w:t>
            </w:r>
          </w:p>
          <w:p w14:paraId="2A66C984">
            <w:pPr>
              <w:adjustRightInd w:val="0"/>
              <w:snapToGrid w:val="0"/>
              <w:ind w:firstLine="422"/>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矿石自然类型为青灰～灰白色块状石英脉，工业类型为冶金硅质原料矿。</w:t>
            </w:r>
          </w:p>
          <w:p w14:paraId="49D562B7">
            <w:pPr>
              <w:adjustRightInd w:val="0"/>
              <w:snapToGrid w:val="0"/>
              <w:ind w:firstLine="422"/>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矿体顶板剥蚀，底板为二长花岗岩，分布稳定，与矿体界线清晰，矿体内局部含花岗质构造碎屑的石英脉</w:t>
            </w:r>
            <w:r>
              <w:rPr>
                <w:rFonts w:hint="default" w:ascii="Times New Roman" w:hAnsi="Times New Roman" w:cs="Times New Roman"/>
                <w:b w:val="0"/>
                <w:bCs w:val="0"/>
                <w:color w:val="000000" w:themeColor="text1"/>
                <w:sz w:val="24"/>
                <w:szCs w:val="24"/>
                <w:lang w:eastAsia="zh-CN"/>
                <w14:textFill>
                  <w14:solidFill>
                    <w14:schemeClr w14:val="tx1"/>
                  </w14:solidFill>
                </w14:textFill>
              </w:rPr>
              <w:t>。</w:t>
            </w:r>
          </w:p>
          <w:p w14:paraId="2F740CE1">
            <w:pPr>
              <w:adjustRightInd w:val="0"/>
              <w:snapToGrid w:val="0"/>
              <w:ind w:firstLine="422"/>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3、工程内容</w:t>
            </w:r>
          </w:p>
          <w:p w14:paraId="1012BE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本项目矿山爆破委托专业的民爆公司，采用露天开采方式，采用带式挖掘机进行分层开采，同时利用挖掘机/装载机卸料，公路汽车开拓运输。本项目总用地面积约2.8</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86</w:t>
            </w:r>
            <w:r>
              <w:rPr>
                <w:rFonts w:hint="default" w:ascii="Times New Roman" w:hAnsi="Times New Roman" w:eastAsia="宋体" w:cs="Times New Roman"/>
                <w:b w:val="0"/>
                <w:bCs/>
                <w:color w:val="000000" w:themeColor="text1"/>
                <w:sz w:val="24"/>
                <w:szCs w:val="24"/>
                <w14:textFill>
                  <w14:solidFill>
                    <w14:schemeClr w14:val="tx1"/>
                  </w14:solidFill>
                </w14:textFill>
              </w:rPr>
              <w:t>km</w:t>
            </w:r>
            <w:r>
              <w:rPr>
                <w:rFonts w:hint="default" w:ascii="Times New Roman" w:hAnsi="Times New Roman" w:eastAsia="宋体" w:cs="Times New Roman"/>
                <w:b w:val="0"/>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 w:val="0"/>
                <w:bCs/>
                <w:color w:val="000000" w:themeColor="text1"/>
                <w:sz w:val="24"/>
                <w:szCs w:val="24"/>
                <w14:textFill>
                  <w14:solidFill>
                    <w14:schemeClr w14:val="tx1"/>
                  </w14:solidFill>
                </w14:textFill>
              </w:rPr>
              <w:t>。项目主要建设内容为露天采场、原料堆场及矿山运输道路，破碎筛分委处理，不在本次评价范围内。</w:t>
            </w:r>
          </w:p>
          <w:p w14:paraId="4AC3676B">
            <w:pPr>
              <w:spacing w:line="240" w:lineRule="auto"/>
              <w:ind w:firstLine="0" w:firstLineChars="0"/>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表2-</w:t>
            </w:r>
            <w:r>
              <w:rPr>
                <w:rFonts w:hint="eastAsia" w:ascii="Times New Roman" w:hAnsi="Times New Roman" w:cs="Times New Roman"/>
                <w:b/>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14:textFill>
                  <w14:solidFill>
                    <w14:schemeClr w14:val="tx1"/>
                  </w14:solidFill>
                </w14:textFill>
              </w:rPr>
              <w:t>工程主要建设内容</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45"/>
              <w:gridCol w:w="652"/>
              <w:gridCol w:w="848"/>
              <w:gridCol w:w="5205"/>
              <w:gridCol w:w="797"/>
            </w:tblGrid>
            <w:tr w14:paraId="7F8E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8" w:hRule="atLeast"/>
                <w:jc w:val="center"/>
              </w:trPr>
              <w:tc>
                <w:tcPr>
                  <w:tcW w:w="1361" w:type="pct"/>
                  <w:gridSpan w:val="3"/>
                  <w:tcBorders>
                    <w:tl2br w:val="nil"/>
                    <w:tr2bl w:val="nil"/>
                  </w:tcBorders>
                  <w:shd w:val="clear" w:color="auto" w:fill="auto"/>
                  <w:vAlign w:val="center"/>
                </w:tcPr>
                <w:p w14:paraId="59506E43">
                  <w:pPr>
                    <w:adjustRightInd w:val="0"/>
                    <w:spacing w:line="240" w:lineRule="auto"/>
                    <w:ind w:firstLine="0" w:firstLineChars="0"/>
                    <w:jc w:val="center"/>
                    <w:rPr>
                      <w:rFonts w:hint="default" w:ascii="Times New Roman" w:hAnsi="Times New Roman" w:eastAsia="宋体" w:cs="Times New Roman"/>
                      <w:b/>
                      <w:bCs w:val="0"/>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shd w:val="clear" w:color="auto" w:fill="auto"/>
                      <w14:textFill>
                        <w14:solidFill>
                          <w14:schemeClr w14:val="tx1"/>
                        </w14:solidFill>
                      </w14:textFill>
                    </w:rPr>
                    <w:t>项目组成</w:t>
                  </w:r>
                </w:p>
              </w:tc>
              <w:tc>
                <w:tcPr>
                  <w:tcW w:w="3155" w:type="pct"/>
                  <w:tcBorders>
                    <w:tl2br w:val="nil"/>
                    <w:tr2bl w:val="nil"/>
                  </w:tcBorders>
                  <w:shd w:val="clear" w:color="auto" w:fill="auto"/>
                  <w:vAlign w:val="center"/>
                </w:tcPr>
                <w:p w14:paraId="6AF87A29">
                  <w:pPr>
                    <w:adjustRightInd w:val="0"/>
                    <w:spacing w:line="240" w:lineRule="auto"/>
                    <w:ind w:firstLine="0" w:firstLineChars="0"/>
                    <w:jc w:val="center"/>
                    <w:rPr>
                      <w:rFonts w:hint="default" w:ascii="Times New Roman" w:hAnsi="Times New Roman" w:eastAsia="宋体" w:cs="Times New Roman"/>
                      <w:b/>
                      <w:bCs w:val="0"/>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shd w:val="clear" w:color="auto" w:fill="auto"/>
                      <w14:textFill>
                        <w14:solidFill>
                          <w14:schemeClr w14:val="tx1"/>
                        </w14:solidFill>
                      </w14:textFill>
                    </w:rPr>
                    <w:t>建设内容</w:t>
                  </w:r>
                </w:p>
              </w:tc>
              <w:tc>
                <w:tcPr>
                  <w:tcW w:w="483" w:type="pct"/>
                  <w:tcBorders>
                    <w:tl2br w:val="nil"/>
                    <w:tr2bl w:val="nil"/>
                  </w:tcBorders>
                  <w:shd w:val="clear" w:color="auto" w:fill="auto"/>
                  <w:vAlign w:val="center"/>
                </w:tcPr>
                <w:p w14:paraId="26FFCCEE">
                  <w:pPr>
                    <w:adjustRightInd w:val="0"/>
                    <w:spacing w:line="240" w:lineRule="auto"/>
                    <w:ind w:firstLine="0" w:firstLineChars="0"/>
                    <w:jc w:val="center"/>
                    <w:rPr>
                      <w:rFonts w:hint="default" w:ascii="Times New Roman" w:hAnsi="Times New Roman" w:eastAsia="宋体" w:cs="Times New Roman"/>
                      <w:b/>
                      <w:bCs w:val="0"/>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shd w:val="clear" w:color="auto" w:fill="auto"/>
                      <w:lang w:val="en-US" w:eastAsia="zh-CN"/>
                      <w14:textFill>
                        <w14:solidFill>
                          <w14:schemeClr w14:val="tx1"/>
                        </w14:solidFill>
                      </w14:textFill>
                    </w:rPr>
                    <w:t>备注</w:t>
                  </w:r>
                </w:p>
              </w:tc>
            </w:tr>
            <w:tr w14:paraId="1E6F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tcBorders>
                    <w:tl2br w:val="nil"/>
                    <w:tr2bl w:val="nil"/>
                  </w:tcBorders>
                  <w:shd w:val="clear" w:color="auto" w:fill="auto"/>
                  <w:vAlign w:val="center"/>
                </w:tcPr>
                <w:p w14:paraId="7FDC21A0">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主体</w:t>
                  </w:r>
                </w:p>
                <w:p w14:paraId="14D8F305">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工程</w:t>
                  </w:r>
                </w:p>
              </w:tc>
              <w:tc>
                <w:tcPr>
                  <w:tcW w:w="908" w:type="pct"/>
                  <w:gridSpan w:val="2"/>
                  <w:tcBorders>
                    <w:tl2br w:val="nil"/>
                    <w:tr2bl w:val="nil"/>
                  </w:tcBorders>
                  <w:shd w:val="clear" w:color="auto" w:fill="auto"/>
                  <w:vAlign w:val="center"/>
                </w:tcPr>
                <w:p w14:paraId="45AA520D">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露天</w:t>
                  </w:r>
                </w:p>
                <w:p w14:paraId="4FE2D437">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采场</w:t>
                  </w:r>
                </w:p>
              </w:tc>
              <w:tc>
                <w:tcPr>
                  <w:tcW w:w="3155" w:type="pct"/>
                  <w:tcBorders>
                    <w:tl2br w:val="nil"/>
                    <w:tr2bl w:val="nil"/>
                  </w:tcBorders>
                  <w:shd w:val="clear" w:color="auto" w:fill="auto"/>
                  <w:vAlign w:val="center"/>
                </w:tcPr>
                <w:p w14:paraId="4AA914D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在露天采场开采，</w:t>
                  </w: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生产规模</w:t>
                  </w:r>
                  <w:r>
                    <w:rPr>
                      <w:rFonts w:hint="default"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为4</w:t>
                  </w: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0×10</w:t>
                  </w:r>
                  <w:r>
                    <w:rPr>
                      <w:rFonts w:hint="default" w:ascii="Times New Roman" w:hAnsi="Times New Roman" w:eastAsia="宋体" w:cs="Times New Roman"/>
                      <w:b w:val="0"/>
                      <w:bCs/>
                      <w:color w:val="000000" w:themeColor="text1"/>
                      <w:sz w:val="21"/>
                      <w:szCs w:val="21"/>
                      <w:highlight w:val="none"/>
                      <w:shd w:val="clear" w:color="auto" w:fill="auto"/>
                      <w:vertAlign w:val="superscript"/>
                      <w14:textFill>
                        <w14:solidFill>
                          <w14:schemeClr w14:val="tx1"/>
                        </w14:solidFill>
                      </w14:textFill>
                    </w:rPr>
                    <w:t>4</w:t>
                  </w: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shd w:val="clear" w:color="auto" w:fill="auto"/>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/a，</w:t>
                  </w: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设置KT1-1、KT1-2、KT3共计3个开采面，开采标高为1570m～179</w:t>
                  </w:r>
                  <w:r>
                    <w:rPr>
                      <w:rFonts w:hint="default"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m。</w:t>
                  </w:r>
                </w:p>
              </w:tc>
              <w:tc>
                <w:tcPr>
                  <w:tcW w:w="483" w:type="pct"/>
                  <w:tcBorders>
                    <w:tl2br w:val="nil"/>
                    <w:tr2bl w:val="nil"/>
                  </w:tcBorders>
                  <w:shd w:val="clear" w:color="auto" w:fill="auto"/>
                  <w:vAlign w:val="center"/>
                </w:tcPr>
                <w:p w14:paraId="5D80D8DB">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新建</w:t>
                  </w:r>
                </w:p>
              </w:tc>
            </w:tr>
            <w:tr w14:paraId="459E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pct"/>
                  <w:vMerge w:val="restart"/>
                  <w:tcBorders>
                    <w:tl2br w:val="nil"/>
                    <w:tr2bl w:val="nil"/>
                  </w:tcBorders>
                  <w:shd w:val="clear" w:color="auto" w:fill="auto"/>
                  <w:vAlign w:val="center"/>
                </w:tcPr>
                <w:p w14:paraId="7F645D25">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辅助工程</w:t>
                  </w:r>
                </w:p>
              </w:tc>
              <w:tc>
                <w:tcPr>
                  <w:tcW w:w="908" w:type="pct"/>
                  <w:gridSpan w:val="2"/>
                  <w:tcBorders>
                    <w:tl2br w:val="nil"/>
                    <w:tr2bl w:val="nil"/>
                  </w:tcBorders>
                  <w:shd w:val="clear" w:color="auto" w:fill="auto"/>
                  <w:vAlign w:val="center"/>
                </w:tcPr>
                <w:p w14:paraId="15F33AB6">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办公楼</w:t>
                  </w:r>
                </w:p>
              </w:tc>
              <w:tc>
                <w:tcPr>
                  <w:tcW w:w="3155" w:type="pct"/>
                  <w:tcBorders>
                    <w:tl2br w:val="nil"/>
                    <w:tr2bl w:val="nil"/>
                  </w:tcBorders>
                  <w:shd w:val="clear" w:color="auto" w:fill="auto"/>
                  <w:vAlign w:val="center"/>
                </w:tcPr>
                <w:p w14:paraId="71B20957">
                  <w:pPr>
                    <w:adjustRightInd w:val="0"/>
                    <w:spacing w:line="240" w:lineRule="auto"/>
                    <w:ind w:firstLine="0" w:firstLineChars="0"/>
                    <w:jc w:val="left"/>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占地180</w:t>
                  </w:r>
                  <w:r>
                    <w:rPr>
                      <w:rFonts w:hint="default" w:ascii="Times New Roman" w:hAnsi="Times New Roman" w:eastAsia="宋体" w:cs="Times New Roman"/>
                      <w:b w:val="0"/>
                      <w:bCs/>
                      <w:color w:val="000000" w:themeColor="text1"/>
                      <w:kern w:val="2"/>
                      <w:sz w:val="21"/>
                      <w:szCs w:val="21"/>
                      <w:highlight w:val="none"/>
                      <w:shd w:val="clear" w:color="auto" w:fill="auto"/>
                      <w14:textFill>
                        <w14:solidFill>
                          <w14:schemeClr w14:val="tx1"/>
                        </w14:solidFill>
                      </w14:textFill>
                    </w:rPr>
                    <w:t>m</w:t>
                  </w:r>
                  <w:r>
                    <w:rPr>
                      <w:rFonts w:hint="default" w:ascii="Times New Roman" w:hAnsi="Times New Roman" w:eastAsia="宋体" w:cs="Times New Roman"/>
                      <w:b w:val="0"/>
                      <w:bCs/>
                      <w:color w:val="000000" w:themeColor="text1"/>
                      <w:kern w:val="2"/>
                      <w:sz w:val="21"/>
                      <w:szCs w:val="21"/>
                      <w:highlight w:val="none"/>
                      <w:shd w:val="clear" w:color="auto" w:fill="auto"/>
                      <w:vertAlign w:val="superscript"/>
                      <w14:textFill>
                        <w14:solidFill>
                          <w14:schemeClr w14:val="tx1"/>
                        </w14:solidFill>
                      </w14:textFill>
                    </w:rPr>
                    <w:t>2</w:t>
                  </w:r>
                  <w:r>
                    <w:rPr>
                      <w:rFonts w:hint="default" w:ascii="Times New Roman" w:hAnsi="Times New Roman" w:eastAsia="宋体" w:cs="Times New Roman"/>
                      <w:b w:val="0"/>
                      <w:bCs/>
                      <w:color w:val="000000" w:themeColor="text1"/>
                      <w:kern w:val="2"/>
                      <w:sz w:val="21"/>
                      <w:szCs w:val="21"/>
                      <w:highlight w:val="none"/>
                      <w:shd w:val="clear" w:color="auto" w:fill="auto"/>
                      <w:vertAlign w:val="baseli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砖混结构，</w:t>
                  </w:r>
                  <w:r>
                    <w:rPr>
                      <w:rFonts w:hint="default" w:ascii="Times New Roman" w:hAnsi="Times New Roman" w:eastAsia="宋体" w:cs="Times New Roman"/>
                      <w:b w:val="0"/>
                      <w:bCs/>
                      <w:color w:val="000000" w:themeColor="text1"/>
                      <w:kern w:val="2"/>
                      <w:sz w:val="21"/>
                      <w:szCs w:val="21"/>
                      <w:highlight w:val="none"/>
                      <w:shd w:val="clear" w:color="auto" w:fill="auto"/>
                      <w:vertAlign w:val="baseline"/>
                      <w:lang w:val="en-US" w:eastAsia="zh-CN"/>
                      <w14:textFill>
                        <w14:solidFill>
                          <w14:schemeClr w14:val="tx1"/>
                        </w14:solidFill>
                      </w14:textFill>
                    </w:rPr>
                    <w:t>办公楼1楼设置食堂，提供早中晚3餐</w:t>
                  </w:r>
                </w:p>
              </w:tc>
              <w:tc>
                <w:tcPr>
                  <w:tcW w:w="483" w:type="pct"/>
                  <w:tcBorders>
                    <w:tl2br w:val="nil"/>
                    <w:tr2bl w:val="nil"/>
                  </w:tcBorders>
                  <w:shd w:val="clear" w:color="auto" w:fill="auto"/>
                  <w:vAlign w:val="center"/>
                </w:tcPr>
                <w:p w14:paraId="74A85A3F">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租赁麻池矿区</w:t>
                  </w:r>
                </w:p>
              </w:tc>
            </w:tr>
            <w:tr w14:paraId="0191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52" w:type="pct"/>
                  <w:vMerge w:val="continue"/>
                  <w:tcBorders>
                    <w:tl2br w:val="nil"/>
                    <w:tr2bl w:val="nil"/>
                  </w:tcBorders>
                  <w:shd w:val="clear" w:color="auto" w:fill="auto"/>
                  <w:vAlign w:val="center"/>
                </w:tcPr>
                <w:p w14:paraId="25165388">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908" w:type="pct"/>
                  <w:gridSpan w:val="2"/>
                  <w:tcBorders>
                    <w:tl2br w:val="nil"/>
                    <w:tr2bl w:val="nil"/>
                  </w:tcBorders>
                  <w:shd w:val="clear" w:color="auto" w:fill="auto"/>
                  <w:vAlign w:val="center"/>
                </w:tcPr>
                <w:p w14:paraId="14DD5C97">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宿舍</w:t>
                  </w:r>
                </w:p>
              </w:tc>
              <w:tc>
                <w:tcPr>
                  <w:tcW w:w="3155" w:type="pct"/>
                  <w:tcBorders>
                    <w:tl2br w:val="nil"/>
                    <w:tr2bl w:val="nil"/>
                  </w:tcBorders>
                  <w:shd w:val="clear" w:color="auto" w:fill="auto"/>
                  <w:vAlign w:val="center"/>
                </w:tcPr>
                <w:p w14:paraId="0E75ACCB">
                  <w:pPr>
                    <w:adjustRightInd w:val="0"/>
                    <w:spacing w:line="240" w:lineRule="auto"/>
                    <w:ind w:firstLine="0" w:firstLineChars="0"/>
                    <w:jc w:val="left"/>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占地340</w:t>
                  </w:r>
                  <w:r>
                    <w:rPr>
                      <w:rFonts w:hint="default" w:ascii="Times New Roman" w:hAnsi="Times New Roman" w:eastAsia="宋体" w:cs="Times New Roman"/>
                      <w:b w:val="0"/>
                      <w:bCs/>
                      <w:color w:val="000000" w:themeColor="text1"/>
                      <w:kern w:val="2"/>
                      <w:sz w:val="21"/>
                      <w:szCs w:val="21"/>
                      <w:highlight w:val="none"/>
                      <w:shd w:val="clear" w:color="auto" w:fill="auto"/>
                      <w14:textFill>
                        <w14:solidFill>
                          <w14:schemeClr w14:val="tx1"/>
                        </w14:solidFill>
                      </w14:textFill>
                    </w:rPr>
                    <w:t>m</w:t>
                  </w:r>
                  <w:r>
                    <w:rPr>
                      <w:rFonts w:hint="default" w:ascii="Times New Roman" w:hAnsi="Times New Roman" w:eastAsia="宋体" w:cs="Times New Roman"/>
                      <w:b w:val="0"/>
                      <w:bCs/>
                      <w:color w:val="000000" w:themeColor="text1"/>
                      <w:kern w:val="2"/>
                      <w:sz w:val="21"/>
                      <w:szCs w:val="21"/>
                      <w:highlight w:val="none"/>
                      <w:shd w:val="clear" w:color="auto" w:fill="auto"/>
                      <w:vertAlign w:val="superscript"/>
                      <w14:textFill>
                        <w14:solidFill>
                          <w14:schemeClr w14:val="tx1"/>
                        </w14:solidFill>
                      </w14:textFill>
                    </w:rPr>
                    <w:t>2</w:t>
                  </w:r>
                  <w:r>
                    <w:rPr>
                      <w:rFonts w:hint="default" w:ascii="Times New Roman" w:hAnsi="Times New Roman" w:cs="Times New Roman"/>
                      <w:b w:val="0"/>
                      <w:bCs/>
                      <w:color w:val="000000" w:themeColor="text1"/>
                      <w:kern w:val="2"/>
                      <w:sz w:val="21"/>
                      <w:szCs w:val="21"/>
                      <w:highlight w:val="none"/>
                      <w:shd w:val="clear" w:color="auto" w:fill="auto"/>
                      <w:vertAlign w:val="baseli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砖混结构，</w:t>
                  </w:r>
                  <w:r>
                    <w:rPr>
                      <w:rFonts w:hint="default" w:ascii="Times New Roman" w:hAnsi="Times New Roman" w:eastAsia="宋体" w:cs="Times New Roman"/>
                      <w:b w:val="0"/>
                      <w:bCs/>
                      <w:color w:val="000000" w:themeColor="text1"/>
                      <w:kern w:val="2"/>
                      <w:sz w:val="21"/>
                      <w:szCs w:val="21"/>
                      <w:highlight w:val="none"/>
                      <w:shd w:val="clear" w:color="auto" w:fill="auto"/>
                      <w:vertAlign w:val="baseline"/>
                      <w:lang w:val="en-US" w:eastAsia="zh-CN"/>
                      <w14:textFill>
                        <w14:solidFill>
                          <w14:schemeClr w14:val="tx1"/>
                        </w14:solidFill>
                      </w14:textFill>
                    </w:rPr>
                    <w:t>宿舍楼配备</w:t>
                  </w:r>
                  <w:r>
                    <w:rPr>
                      <w:rFonts w:hint="default" w:ascii="Times New Roman" w:hAnsi="Times New Roman" w:cs="Times New Roman"/>
                      <w:b w:val="0"/>
                      <w:bCs/>
                      <w:color w:val="000000" w:themeColor="text1"/>
                      <w:kern w:val="2"/>
                      <w:sz w:val="21"/>
                      <w:szCs w:val="21"/>
                      <w:highlight w:val="none"/>
                      <w:shd w:val="clear" w:color="auto" w:fill="auto"/>
                      <w:vertAlign w:val="baseline"/>
                      <w:lang w:val="en-US" w:eastAsia="zh-CN"/>
                      <w14:textFill>
                        <w14:solidFill>
                          <w14:schemeClr w14:val="tx1"/>
                        </w14:solidFill>
                      </w14:textFill>
                    </w:rPr>
                    <w:t>浴室</w:t>
                  </w:r>
                  <w:r>
                    <w:rPr>
                      <w:rFonts w:hint="default" w:ascii="Times New Roman" w:hAnsi="Times New Roman" w:eastAsia="宋体" w:cs="Times New Roman"/>
                      <w:b w:val="0"/>
                      <w:bCs/>
                      <w:color w:val="000000" w:themeColor="text1"/>
                      <w:kern w:val="2"/>
                      <w:sz w:val="21"/>
                      <w:szCs w:val="21"/>
                      <w:highlight w:val="none"/>
                      <w:shd w:val="clear" w:color="auto" w:fill="auto"/>
                      <w:vertAlign w:val="baseline"/>
                      <w:lang w:val="en-US" w:eastAsia="zh-CN"/>
                      <w14:textFill>
                        <w14:solidFill>
                          <w14:schemeClr w14:val="tx1"/>
                        </w14:solidFill>
                      </w14:textFill>
                    </w:rPr>
                    <w:t>，占地</w:t>
                  </w: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72</w:t>
                  </w:r>
                  <w:r>
                    <w:rPr>
                      <w:rFonts w:hint="default" w:ascii="Times New Roman" w:hAnsi="Times New Roman" w:eastAsia="宋体" w:cs="Times New Roman"/>
                      <w:b w:val="0"/>
                      <w:bCs/>
                      <w:color w:val="000000" w:themeColor="text1"/>
                      <w:kern w:val="2"/>
                      <w:sz w:val="21"/>
                      <w:szCs w:val="21"/>
                      <w:highlight w:val="none"/>
                      <w:shd w:val="clear" w:color="auto" w:fill="auto"/>
                      <w14:textFill>
                        <w14:solidFill>
                          <w14:schemeClr w14:val="tx1"/>
                        </w14:solidFill>
                      </w14:textFill>
                    </w:rPr>
                    <w:t>m</w:t>
                  </w:r>
                  <w:r>
                    <w:rPr>
                      <w:rFonts w:hint="default" w:ascii="Times New Roman" w:hAnsi="Times New Roman" w:eastAsia="宋体" w:cs="Times New Roman"/>
                      <w:b w:val="0"/>
                      <w:bCs/>
                      <w:color w:val="000000" w:themeColor="text1"/>
                      <w:kern w:val="2"/>
                      <w:sz w:val="21"/>
                      <w:szCs w:val="21"/>
                      <w:highlight w:val="none"/>
                      <w:shd w:val="clear" w:color="auto" w:fill="auto"/>
                      <w:vertAlign w:val="superscript"/>
                      <w14:textFill>
                        <w14:solidFill>
                          <w14:schemeClr w14:val="tx1"/>
                        </w14:solidFill>
                      </w14:textFill>
                    </w:rPr>
                    <w:t>2</w:t>
                  </w:r>
                </w:p>
              </w:tc>
              <w:tc>
                <w:tcPr>
                  <w:tcW w:w="483" w:type="pct"/>
                  <w:tcBorders>
                    <w:tl2br w:val="nil"/>
                    <w:tr2bl w:val="nil"/>
                  </w:tcBorders>
                  <w:shd w:val="clear" w:color="auto" w:fill="auto"/>
                  <w:vAlign w:val="center"/>
                </w:tcPr>
                <w:p w14:paraId="08B51B37">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依托</w:t>
                  </w:r>
                </w:p>
              </w:tc>
            </w:tr>
            <w:tr w14:paraId="5A10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vMerge w:val="continue"/>
                  <w:tcBorders>
                    <w:tl2br w:val="nil"/>
                    <w:tr2bl w:val="nil"/>
                  </w:tcBorders>
                  <w:shd w:val="clear" w:color="auto" w:fill="auto"/>
                  <w:vAlign w:val="center"/>
                </w:tcPr>
                <w:p w14:paraId="4F31C943">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908" w:type="pct"/>
                  <w:gridSpan w:val="2"/>
                  <w:tcBorders>
                    <w:tl2br w:val="nil"/>
                    <w:tr2bl w:val="nil"/>
                  </w:tcBorders>
                  <w:shd w:val="clear" w:color="auto" w:fill="auto"/>
                  <w:vAlign w:val="center"/>
                </w:tcPr>
                <w:p w14:paraId="3900E170">
                  <w:pPr>
                    <w:adjustRightInd w:val="0"/>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洗车台</w:t>
                  </w:r>
                </w:p>
              </w:tc>
              <w:tc>
                <w:tcPr>
                  <w:tcW w:w="3155" w:type="pct"/>
                  <w:tcBorders>
                    <w:tl2br w:val="nil"/>
                    <w:tr2bl w:val="nil"/>
                  </w:tcBorders>
                  <w:shd w:val="clear" w:color="auto" w:fill="auto"/>
                  <w:vAlign w:val="center"/>
                </w:tcPr>
                <w:p w14:paraId="3CFA339A">
                  <w:pPr>
                    <w:pStyle w:val="20"/>
                    <w:spacing w:before="0" w:beforeAutospacing="0" w:after="0" w:afterAutospacing="0" w:line="240" w:lineRule="auto"/>
                    <w:ind w:firstLine="0" w:firstLineChars="0"/>
                    <w:jc w:val="both"/>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shd w:val="clear" w:color="auto" w:fill="auto"/>
                      <w14:textFill>
                        <w14:solidFill>
                          <w14:schemeClr w14:val="tx1"/>
                        </w14:solidFill>
                      </w14:textFill>
                    </w:rPr>
                    <w:t>位于厂区进门处，主要用于进出</w:t>
                  </w:r>
                  <w:r>
                    <w:rPr>
                      <w:rFonts w:hint="default" w:ascii="Times New Roman" w:hAnsi="Times New Roman" w:cs="Times New Roman"/>
                      <w:b w:val="0"/>
                      <w:bCs/>
                      <w:color w:val="000000" w:themeColor="text1"/>
                      <w:kern w:val="2"/>
                      <w:sz w:val="21"/>
                      <w:szCs w:val="21"/>
                      <w:highlight w:val="none"/>
                      <w:shd w:val="clear" w:color="auto" w:fill="auto"/>
                      <w:lang w:eastAsia="zh-CN"/>
                      <w14:textFill>
                        <w14:solidFill>
                          <w14:schemeClr w14:val="tx1"/>
                        </w14:solidFill>
                      </w14:textFill>
                    </w:rPr>
                    <w:t>厂</w:t>
                  </w:r>
                  <w:r>
                    <w:rPr>
                      <w:rFonts w:hint="default" w:ascii="Times New Roman" w:hAnsi="Times New Roman" w:eastAsia="宋体" w:cs="Times New Roman"/>
                      <w:b w:val="0"/>
                      <w:bCs/>
                      <w:color w:val="000000" w:themeColor="text1"/>
                      <w:kern w:val="2"/>
                      <w:sz w:val="21"/>
                      <w:szCs w:val="21"/>
                      <w:highlight w:val="none"/>
                      <w:shd w:val="clear" w:color="auto" w:fill="auto"/>
                      <w14:textFill>
                        <w14:solidFill>
                          <w14:schemeClr w14:val="tx1"/>
                        </w14:solidFill>
                      </w14:textFill>
                    </w:rPr>
                    <w:t>车辆的清洗</w:t>
                  </w:r>
                </w:p>
              </w:tc>
              <w:tc>
                <w:tcPr>
                  <w:tcW w:w="483" w:type="pct"/>
                  <w:tcBorders>
                    <w:tl2br w:val="nil"/>
                    <w:tr2bl w:val="nil"/>
                  </w:tcBorders>
                  <w:shd w:val="clear" w:color="auto" w:fill="auto"/>
                  <w:vAlign w:val="center"/>
                </w:tcPr>
                <w:p w14:paraId="439B4E4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新建</w:t>
                  </w:r>
                </w:p>
              </w:tc>
            </w:tr>
            <w:tr w14:paraId="3BD6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vMerge w:val="continue"/>
                  <w:tcBorders>
                    <w:tl2br w:val="nil"/>
                    <w:tr2bl w:val="nil"/>
                  </w:tcBorders>
                  <w:shd w:val="clear" w:color="auto" w:fill="auto"/>
                  <w:vAlign w:val="center"/>
                </w:tcPr>
                <w:p w14:paraId="6F81C485">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908" w:type="pct"/>
                  <w:gridSpan w:val="2"/>
                  <w:vMerge w:val="restart"/>
                  <w:tcBorders>
                    <w:tl2br w:val="nil"/>
                    <w:tr2bl w:val="nil"/>
                  </w:tcBorders>
                  <w:shd w:val="clear" w:color="auto" w:fill="auto"/>
                  <w:vAlign w:val="center"/>
                </w:tcPr>
                <w:p w14:paraId="0937B60F">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厂区道路</w:t>
                  </w:r>
                </w:p>
              </w:tc>
              <w:tc>
                <w:tcPr>
                  <w:tcW w:w="3155" w:type="pct"/>
                  <w:tcBorders>
                    <w:tl2br w:val="nil"/>
                    <w:tr2bl w:val="nil"/>
                  </w:tcBorders>
                  <w:shd w:val="clear" w:color="auto" w:fill="auto"/>
                  <w:vAlign w:val="center"/>
                </w:tcPr>
                <w:p w14:paraId="6AC7CFF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both"/>
                    <w:textAlignment w:val="auto"/>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修建一条路面宽度6m的运输道路，总长度约为3376.045m。</w:t>
                  </w:r>
                </w:p>
              </w:tc>
              <w:tc>
                <w:tcPr>
                  <w:tcW w:w="483" w:type="pct"/>
                  <w:tcBorders>
                    <w:tl2br w:val="nil"/>
                    <w:tr2bl w:val="nil"/>
                  </w:tcBorders>
                  <w:shd w:val="clear" w:color="auto" w:fill="auto"/>
                  <w:vAlign w:val="center"/>
                </w:tcPr>
                <w:p w14:paraId="5CF72140">
                  <w:pPr>
                    <w:adjustRightInd w:val="0"/>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新建</w:t>
                  </w:r>
                </w:p>
              </w:tc>
            </w:tr>
            <w:tr w14:paraId="1B3A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pct"/>
                  <w:vMerge w:val="continue"/>
                  <w:tcBorders>
                    <w:tl2br w:val="nil"/>
                    <w:tr2bl w:val="nil"/>
                  </w:tcBorders>
                  <w:shd w:val="clear" w:color="auto" w:fill="auto"/>
                  <w:vAlign w:val="center"/>
                </w:tcPr>
                <w:p w14:paraId="412169AB">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908" w:type="pct"/>
                  <w:gridSpan w:val="2"/>
                  <w:vMerge w:val="continue"/>
                  <w:tcBorders>
                    <w:tl2br w:val="nil"/>
                    <w:tr2bl w:val="nil"/>
                  </w:tcBorders>
                  <w:shd w:val="clear" w:color="auto" w:fill="auto"/>
                  <w:vAlign w:val="center"/>
                </w:tcPr>
                <w:p w14:paraId="643BB77E">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p>
              </w:tc>
              <w:tc>
                <w:tcPr>
                  <w:tcW w:w="3155" w:type="pct"/>
                  <w:tcBorders>
                    <w:tl2br w:val="nil"/>
                    <w:tr2bl w:val="nil"/>
                  </w:tcBorders>
                  <w:shd w:val="clear" w:color="auto" w:fill="auto"/>
                  <w:vAlign w:val="center"/>
                </w:tcPr>
                <w:p w14:paraId="7451966E">
                  <w:pPr>
                    <w:adjustRightInd w:val="0"/>
                    <w:spacing w:line="240" w:lineRule="auto"/>
                    <w:ind w:firstLine="0" w:firstLineChars="0"/>
                    <w:jc w:val="left"/>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在矿区范围内计划修建矿区运输道路（随着矿区开采掘进，开采平台的逐步形成，逐步形成简易的运输道路），长300m，宽4m，采用碎石路面</w:t>
                  </w:r>
                </w:p>
              </w:tc>
              <w:tc>
                <w:tcPr>
                  <w:tcW w:w="483" w:type="pct"/>
                  <w:tcBorders>
                    <w:tl2br w:val="nil"/>
                    <w:tr2bl w:val="nil"/>
                  </w:tcBorders>
                  <w:shd w:val="clear" w:color="auto" w:fill="auto"/>
                  <w:vAlign w:val="center"/>
                </w:tcPr>
                <w:p w14:paraId="28D33E83">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新建</w:t>
                  </w:r>
                </w:p>
              </w:tc>
            </w:tr>
            <w:tr w14:paraId="5E02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vMerge w:val="restart"/>
                  <w:tcBorders>
                    <w:tl2br w:val="nil"/>
                    <w:tr2bl w:val="nil"/>
                  </w:tcBorders>
                  <w:shd w:val="clear" w:color="auto" w:fill="auto"/>
                  <w:vAlign w:val="center"/>
                </w:tcPr>
                <w:p w14:paraId="0842887D">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贮运</w:t>
                  </w:r>
                </w:p>
                <w:p w14:paraId="0D4BC59D">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工程</w:t>
                  </w:r>
                </w:p>
              </w:tc>
              <w:tc>
                <w:tcPr>
                  <w:tcW w:w="908" w:type="pct"/>
                  <w:gridSpan w:val="2"/>
                  <w:tcBorders>
                    <w:tl2br w:val="nil"/>
                    <w:tr2bl w:val="nil"/>
                  </w:tcBorders>
                  <w:shd w:val="clear" w:color="auto" w:fill="auto"/>
                  <w:vAlign w:val="center"/>
                </w:tcPr>
                <w:p w14:paraId="5E5746CE">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成品堆场</w:t>
                  </w:r>
                </w:p>
              </w:tc>
              <w:tc>
                <w:tcPr>
                  <w:tcW w:w="3155" w:type="pct"/>
                  <w:tcBorders>
                    <w:tl2br w:val="nil"/>
                    <w:tr2bl w:val="nil"/>
                  </w:tcBorders>
                  <w:shd w:val="clear" w:color="auto" w:fill="auto"/>
                  <w:vAlign w:val="center"/>
                </w:tcPr>
                <w:p w14:paraId="4A659920">
                  <w:pPr>
                    <w:adjustRightInd w:val="0"/>
                    <w:spacing w:line="240" w:lineRule="auto"/>
                    <w:ind w:firstLine="0" w:firstLineChars="0"/>
                    <w:jc w:val="left"/>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原料临时堆场占地2</w:t>
                  </w: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00</w:t>
                  </w:r>
                  <w:r>
                    <w:rPr>
                      <w:rFonts w:hint="default" w:ascii="Times New Roman" w:hAnsi="Times New Roman" w:eastAsia="宋体" w:cs="Times New Roman"/>
                      <w:b w:val="0"/>
                      <w:bCs/>
                      <w:color w:val="000000" w:themeColor="text1"/>
                      <w:kern w:val="2"/>
                      <w:sz w:val="21"/>
                      <w:szCs w:val="21"/>
                      <w:highlight w:val="none"/>
                      <w:shd w:val="clear" w:color="auto" w:fill="auto"/>
                      <w14:textFill>
                        <w14:solidFill>
                          <w14:schemeClr w14:val="tx1"/>
                        </w14:solidFill>
                      </w14:textFill>
                    </w:rPr>
                    <w:t>m</w:t>
                  </w:r>
                  <w:r>
                    <w:rPr>
                      <w:rFonts w:hint="default" w:ascii="Times New Roman" w:hAnsi="Times New Roman" w:eastAsia="宋体" w:cs="Times New Roman"/>
                      <w:b w:val="0"/>
                      <w:bCs/>
                      <w:color w:val="000000" w:themeColor="text1"/>
                      <w:kern w:val="2"/>
                      <w:sz w:val="21"/>
                      <w:szCs w:val="21"/>
                      <w:highlight w:val="none"/>
                      <w:shd w:val="clear" w:color="auto" w:fill="auto"/>
                      <w:vertAlign w:val="superscript"/>
                      <w14:textFill>
                        <w14:solidFill>
                          <w14:schemeClr w14:val="tx1"/>
                        </w14:solidFill>
                      </w14:textFill>
                    </w:rPr>
                    <w:t>2</w:t>
                  </w:r>
                  <w:r>
                    <w:rPr>
                      <w:rFonts w:hint="default" w:ascii="Times New Roman" w:hAnsi="Times New Roman" w:eastAsia="宋体" w:cs="Times New Roman"/>
                      <w:b w:val="0"/>
                      <w:bCs/>
                      <w:color w:val="000000" w:themeColor="text1"/>
                      <w:kern w:val="2"/>
                      <w:sz w:val="21"/>
                      <w:szCs w:val="21"/>
                      <w:highlight w:val="none"/>
                      <w:shd w:val="clear" w:color="auto" w:fill="auto"/>
                      <w:vertAlign w:val="baseline"/>
                      <w:lang w:eastAsia="zh-CN"/>
                      <w14:textFill>
                        <w14:solidFill>
                          <w14:schemeClr w14:val="tx1"/>
                        </w14:solidFill>
                      </w14:textFill>
                    </w:rPr>
                    <w:t>，</w:t>
                  </w:r>
                  <w:r>
                    <w:rPr>
                      <w:rFonts w:hint="default" w:ascii="Times New Roman" w:hAnsi="Times New Roman" w:cs="Times New Roman"/>
                      <w:b w:val="0"/>
                      <w:bCs/>
                      <w:color w:val="000000" w:themeColor="text1"/>
                      <w:kern w:val="2"/>
                      <w:sz w:val="21"/>
                      <w:szCs w:val="21"/>
                      <w:highlight w:val="none"/>
                      <w:shd w:val="clear" w:color="auto" w:fill="auto"/>
                      <w:vertAlign w:val="baseline"/>
                      <w:lang w:val="en-US" w:eastAsia="zh-CN"/>
                      <w14:textFill>
                        <w14:solidFill>
                          <w14:schemeClr w14:val="tx1"/>
                        </w14:solidFill>
                      </w14:textFill>
                    </w:rPr>
                    <w:t>设置拦挡墙（高1m、长100m），</w:t>
                  </w:r>
                  <w:r>
                    <w:rPr>
                      <w:rFonts w:hint="default" w:ascii="Times New Roman" w:hAnsi="Times New Roman" w:eastAsia="宋体" w:cs="Times New Roman"/>
                      <w:b w:val="0"/>
                      <w:bCs/>
                      <w:color w:val="000000" w:themeColor="text1"/>
                      <w:kern w:val="2"/>
                      <w:sz w:val="21"/>
                      <w:szCs w:val="21"/>
                      <w:highlight w:val="none"/>
                      <w:shd w:val="clear" w:color="auto" w:fill="auto"/>
                      <w:vertAlign w:val="baseline"/>
                      <w:lang w:val="en-US" w:eastAsia="zh-CN"/>
                      <w14:textFill>
                        <w14:solidFill>
                          <w14:schemeClr w14:val="tx1"/>
                        </w14:solidFill>
                      </w14:textFill>
                    </w:rPr>
                    <w:t>场地硬化</w:t>
                  </w:r>
                </w:p>
              </w:tc>
              <w:tc>
                <w:tcPr>
                  <w:tcW w:w="483" w:type="pct"/>
                  <w:tcBorders>
                    <w:tl2br w:val="nil"/>
                    <w:tr2bl w:val="nil"/>
                  </w:tcBorders>
                  <w:shd w:val="clear" w:color="auto" w:fill="auto"/>
                  <w:vAlign w:val="center"/>
                </w:tcPr>
                <w:p w14:paraId="1531A268">
                  <w:pPr>
                    <w:adjustRightInd w:val="0"/>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新建</w:t>
                  </w:r>
                </w:p>
              </w:tc>
            </w:tr>
            <w:tr w14:paraId="5EE1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vMerge w:val="continue"/>
                  <w:tcBorders>
                    <w:tl2br w:val="nil"/>
                    <w:tr2bl w:val="nil"/>
                  </w:tcBorders>
                  <w:shd w:val="clear" w:color="auto" w:fill="auto"/>
                  <w:vAlign w:val="center"/>
                </w:tcPr>
                <w:p w14:paraId="09D0648A">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908" w:type="pct"/>
                  <w:gridSpan w:val="2"/>
                  <w:tcBorders>
                    <w:tl2br w:val="nil"/>
                    <w:tr2bl w:val="nil"/>
                  </w:tcBorders>
                  <w:shd w:val="clear" w:color="auto" w:fill="auto"/>
                  <w:vAlign w:val="center"/>
                </w:tcPr>
                <w:p w14:paraId="37432BA8">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表土堆场</w:t>
                  </w:r>
                </w:p>
              </w:tc>
              <w:tc>
                <w:tcPr>
                  <w:tcW w:w="3155" w:type="pct"/>
                  <w:tcBorders>
                    <w:tl2br w:val="nil"/>
                    <w:tr2bl w:val="nil"/>
                  </w:tcBorders>
                  <w:shd w:val="clear" w:color="auto" w:fill="auto"/>
                  <w:vAlign w:val="center"/>
                </w:tcPr>
                <w:p w14:paraId="1D0D96C8">
                  <w:pPr>
                    <w:adjustRightInd w:val="0"/>
                    <w:spacing w:line="240" w:lineRule="auto"/>
                    <w:ind w:firstLine="0" w:firstLineChars="0"/>
                    <w:jc w:val="left"/>
                    <w:rPr>
                      <w:rFonts w:hint="default"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共设置2个排土场。</w:t>
                  </w:r>
                </w:p>
                <w:p w14:paraId="7413993F">
                  <w:pPr>
                    <w:adjustRightInd w:val="0"/>
                    <w:spacing w:line="240" w:lineRule="auto"/>
                    <w:ind w:firstLine="0" w:firstLineChars="0"/>
                    <w:jc w:val="left"/>
                    <w:rPr>
                      <w:rFonts w:hint="default"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1#排土场位于KT3矿体南侧的冲沟内，长度约140m，宽度约55m，底标高为1540m，顶标高为1570m，堆积高度30m，1#排土场总容积为10.39×104m³；2#排土场位于KT1-2矿体南段北段中间的冲沟内，长度约170m，宽度约75m，底标高为1670m，顶标高为1700m，堆积高度30m，2#排土场总容积为29.78×104m³；2个排土场总容积为40.17×104m³。</w:t>
                  </w:r>
                </w:p>
              </w:tc>
              <w:tc>
                <w:tcPr>
                  <w:tcW w:w="483" w:type="pct"/>
                  <w:tcBorders>
                    <w:tl2br w:val="nil"/>
                    <w:tr2bl w:val="nil"/>
                  </w:tcBorders>
                  <w:shd w:val="clear" w:color="auto" w:fill="auto"/>
                  <w:vAlign w:val="center"/>
                </w:tcPr>
                <w:p w14:paraId="7F488FA9">
                  <w:pPr>
                    <w:adjustRightInd w:val="0"/>
                    <w:spacing w:line="240" w:lineRule="auto"/>
                    <w:ind w:firstLine="0" w:firstLineChars="0"/>
                    <w:jc w:val="cente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新建</w:t>
                  </w:r>
                </w:p>
              </w:tc>
            </w:tr>
            <w:tr w14:paraId="4C43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vMerge w:val="continue"/>
                  <w:tcBorders>
                    <w:tl2br w:val="nil"/>
                    <w:tr2bl w:val="nil"/>
                  </w:tcBorders>
                  <w:shd w:val="clear" w:color="auto" w:fill="auto"/>
                  <w:vAlign w:val="center"/>
                </w:tcPr>
                <w:p w14:paraId="2D3F66F8">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908" w:type="pct"/>
                  <w:gridSpan w:val="2"/>
                  <w:tcBorders>
                    <w:tl2br w:val="nil"/>
                    <w:tr2bl w:val="nil"/>
                  </w:tcBorders>
                  <w:shd w:val="clear" w:color="auto" w:fill="auto"/>
                  <w:vAlign w:val="center"/>
                </w:tcPr>
                <w:p w14:paraId="2A411186">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内部运输</w:t>
                  </w:r>
                </w:p>
              </w:tc>
              <w:tc>
                <w:tcPr>
                  <w:tcW w:w="3155" w:type="pct"/>
                  <w:tcBorders>
                    <w:tl2br w:val="nil"/>
                    <w:tr2bl w:val="nil"/>
                  </w:tcBorders>
                  <w:shd w:val="clear" w:color="auto" w:fill="auto"/>
                  <w:vAlign w:val="center"/>
                </w:tcPr>
                <w:p w14:paraId="7275CD80">
                  <w:pPr>
                    <w:adjustRightInd w:val="0"/>
                    <w:spacing w:line="240" w:lineRule="auto"/>
                    <w:ind w:firstLine="0" w:firstLineChars="0"/>
                    <w:jc w:val="left"/>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采用</w:t>
                  </w: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11辆</w:t>
                  </w: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载重</w:t>
                  </w:r>
                  <w:r>
                    <w:rPr>
                      <w:rFonts w:hint="default"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20</w:t>
                  </w: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t的矿用自卸汽车运输</w:t>
                  </w:r>
                </w:p>
              </w:tc>
              <w:tc>
                <w:tcPr>
                  <w:tcW w:w="483" w:type="pct"/>
                  <w:tcBorders>
                    <w:tl2br w:val="nil"/>
                    <w:tr2bl w:val="nil"/>
                  </w:tcBorders>
                  <w:shd w:val="clear" w:color="auto" w:fill="auto"/>
                  <w:vAlign w:val="center"/>
                </w:tcPr>
                <w:p w14:paraId="7DA6A659">
                  <w:pPr>
                    <w:adjustRightInd w:val="0"/>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新建</w:t>
                  </w:r>
                </w:p>
              </w:tc>
            </w:tr>
            <w:tr w14:paraId="49E4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vMerge w:val="restart"/>
                  <w:tcBorders>
                    <w:tl2br w:val="nil"/>
                    <w:tr2bl w:val="nil"/>
                  </w:tcBorders>
                  <w:shd w:val="clear" w:color="auto" w:fill="auto"/>
                  <w:vAlign w:val="center"/>
                </w:tcPr>
                <w:p w14:paraId="0B04AF1D">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公用</w:t>
                  </w:r>
                </w:p>
                <w:p w14:paraId="4BC24570">
                  <w:pPr>
                    <w:adjustRightInd w:val="0"/>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工程</w:t>
                  </w:r>
                </w:p>
              </w:tc>
              <w:tc>
                <w:tcPr>
                  <w:tcW w:w="908" w:type="pct"/>
                  <w:gridSpan w:val="2"/>
                  <w:tcBorders>
                    <w:tl2br w:val="nil"/>
                    <w:tr2bl w:val="nil"/>
                  </w:tcBorders>
                  <w:shd w:val="clear" w:color="auto" w:fill="auto"/>
                  <w:vAlign w:val="center"/>
                </w:tcPr>
                <w:p w14:paraId="3DB9AD98">
                  <w:pPr>
                    <w:adjustRightIn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shd w:val="clear" w:color="auto" w:fill="auto"/>
                      <w:lang w:val="en-US" w:eastAsia="zh-CN" w:bidi="ar-SA"/>
                    </w:rPr>
                  </w:pPr>
                  <w:r>
                    <w:rPr>
                      <w:rFonts w:hint="default" w:ascii="Times New Roman" w:hAnsi="Times New Roman" w:eastAsia="宋体" w:cs="Times New Roman"/>
                      <w:b w:val="0"/>
                      <w:bCs/>
                      <w:color w:val="auto"/>
                      <w:sz w:val="21"/>
                      <w:szCs w:val="21"/>
                      <w:highlight w:val="none"/>
                      <w:shd w:val="clear" w:color="auto" w:fill="auto"/>
                    </w:rPr>
                    <w:t>供电</w:t>
                  </w:r>
                </w:p>
              </w:tc>
              <w:tc>
                <w:tcPr>
                  <w:tcW w:w="3155" w:type="pct"/>
                  <w:tcBorders>
                    <w:tl2br w:val="nil"/>
                    <w:tr2bl w:val="nil"/>
                  </w:tcBorders>
                  <w:shd w:val="clear" w:color="auto" w:fill="auto"/>
                  <w:vAlign w:val="center"/>
                </w:tcPr>
                <w:p w14:paraId="3F6ACCFA">
                  <w:pPr>
                    <w:adjustRightInd w:val="0"/>
                    <w:spacing w:line="240" w:lineRule="auto"/>
                    <w:ind w:firstLine="0" w:firstLineChars="0"/>
                    <w:jc w:val="left"/>
                    <w:rPr>
                      <w:rFonts w:hint="default" w:ascii="Times New Roman" w:hAnsi="Times New Roman" w:eastAsia="宋体" w:cs="Times New Roman"/>
                      <w:b w:val="0"/>
                      <w:bCs/>
                      <w:color w:val="auto"/>
                      <w:kern w:val="2"/>
                      <w:sz w:val="21"/>
                      <w:szCs w:val="21"/>
                      <w:highlight w:val="none"/>
                      <w:shd w:val="clear" w:color="auto" w:fill="auto"/>
                      <w:lang w:val="en-US" w:eastAsia="zh-CN" w:bidi="ar-SA"/>
                    </w:rPr>
                  </w:pPr>
                  <w:r>
                    <w:rPr>
                      <w:rFonts w:hint="default" w:ascii="Times New Roman" w:hAnsi="Times New Roman" w:eastAsia="宋体" w:cs="Times New Roman"/>
                      <w:b w:val="0"/>
                      <w:bCs/>
                      <w:color w:val="auto"/>
                      <w:sz w:val="21"/>
                      <w:szCs w:val="21"/>
                      <w:highlight w:val="none"/>
                      <w:shd w:val="clear" w:color="auto" w:fill="auto"/>
                      <w:lang w:val="en-US" w:eastAsia="zh-CN"/>
                    </w:rPr>
                    <w:t>由麻池村10KV变电所供应，引一路10kv架空专线至场地配电室</w:t>
                  </w:r>
                </w:p>
              </w:tc>
              <w:tc>
                <w:tcPr>
                  <w:tcW w:w="483" w:type="pct"/>
                  <w:tcBorders>
                    <w:tl2br w:val="nil"/>
                    <w:tr2bl w:val="nil"/>
                  </w:tcBorders>
                  <w:shd w:val="clear" w:color="auto" w:fill="auto"/>
                  <w:vAlign w:val="center"/>
                </w:tcPr>
                <w:p w14:paraId="20E506C0">
                  <w:pPr>
                    <w:adjustRightInd w:val="0"/>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新建</w:t>
                  </w:r>
                </w:p>
              </w:tc>
            </w:tr>
            <w:tr w14:paraId="21C2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vMerge w:val="continue"/>
                  <w:tcBorders>
                    <w:tl2br w:val="nil"/>
                    <w:tr2bl w:val="nil"/>
                  </w:tcBorders>
                  <w:shd w:val="clear" w:color="auto" w:fill="auto"/>
                  <w:vAlign w:val="center"/>
                </w:tcPr>
                <w:p w14:paraId="1FD88665">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908" w:type="pct"/>
                  <w:gridSpan w:val="2"/>
                  <w:tcBorders>
                    <w:tl2br w:val="nil"/>
                    <w:tr2bl w:val="nil"/>
                  </w:tcBorders>
                  <w:shd w:val="clear" w:color="auto" w:fill="auto"/>
                  <w:vAlign w:val="center"/>
                </w:tcPr>
                <w:p w14:paraId="59B4FF17">
                  <w:pPr>
                    <w:adjustRightIn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shd w:val="clear" w:color="auto" w:fill="auto"/>
                      <w:lang w:val="en-US" w:eastAsia="zh-CN" w:bidi="ar-SA"/>
                    </w:rPr>
                  </w:pPr>
                  <w:r>
                    <w:rPr>
                      <w:rFonts w:hint="default" w:ascii="Times New Roman" w:hAnsi="Times New Roman" w:eastAsia="宋体" w:cs="Times New Roman"/>
                      <w:b w:val="0"/>
                      <w:bCs/>
                      <w:color w:val="auto"/>
                      <w:sz w:val="21"/>
                      <w:szCs w:val="21"/>
                      <w:highlight w:val="none"/>
                      <w:shd w:val="clear" w:color="auto" w:fill="auto"/>
                    </w:rPr>
                    <w:t>供水</w:t>
                  </w:r>
                </w:p>
              </w:tc>
              <w:tc>
                <w:tcPr>
                  <w:tcW w:w="3155" w:type="pct"/>
                  <w:tcBorders>
                    <w:tl2br w:val="nil"/>
                    <w:tr2bl w:val="nil"/>
                  </w:tcBorders>
                  <w:shd w:val="clear" w:color="auto" w:fill="auto"/>
                  <w:vAlign w:val="center"/>
                </w:tcPr>
                <w:p w14:paraId="5BED0A7E">
                  <w:pPr>
                    <w:adjustRightInd w:val="0"/>
                    <w:spacing w:line="240" w:lineRule="auto"/>
                    <w:ind w:firstLine="0" w:firstLineChars="0"/>
                    <w:jc w:val="left"/>
                    <w:rPr>
                      <w:rFonts w:hint="default" w:ascii="Times New Roman" w:hAnsi="Times New Roman" w:eastAsia="宋体" w:cs="Times New Roman"/>
                      <w:b w:val="0"/>
                      <w:bCs/>
                      <w:color w:val="auto"/>
                      <w:kern w:val="2"/>
                      <w:sz w:val="21"/>
                      <w:szCs w:val="21"/>
                      <w:highlight w:val="none"/>
                      <w:shd w:val="clear" w:color="auto" w:fill="auto"/>
                      <w:lang w:val="en-US" w:eastAsia="zh-CN" w:bidi="ar-SA"/>
                    </w:rPr>
                  </w:pPr>
                  <w:r>
                    <w:rPr>
                      <w:rFonts w:hint="default" w:ascii="Times New Roman" w:hAnsi="Times New Roman" w:eastAsia="宋体" w:cs="Times New Roman"/>
                      <w:b w:val="0"/>
                      <w:bCs/>
                      <w:color w:val="auto"/>
                      <w:kern w:val="2"/>
                      <w:sz w:val="21"/>
                      <w:highlight w:val="none"/>
                      <w:shd w:val="clear" w:color="auto" w:fill="auto"/>
                      <w:lang w:val="en-US" w:eastAsia="zh-CN"/>
                    </w:rPr>
                    <w:t>生产用水主要取周边山沟天然溪水，枯水期水量不足时，取当地香泉河河水补充。生活用水水源依托麻池加工厂现有设施自备井供水</w:t>
                  </w:r>
                </w:p>
              </w:tc>
              <w:tc>
                <w:tcPr>
                  <w:tcW w:w="483" w:type="pct"/>
                  <w:tcBorders>
                    <w:tl2br w:val="nil"/>
                    <w:tr2bl w:val="nil"/>
                  </w:tcBorders>
                  <w:shd w:val="clear" w:color="auto" w:fill="auto"/>
                  <w:vAlign w:val="center"/>
                </w:tcPr>
                <w:p w14:paraId="6C47C5AD">
                  <w:pPr>
                    <w:adjustRightInd w:val="0"/>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新建</w:t>
                  </w:r>
                </w:p>
              </w:tc>
            </w:tr>
            <w:tr w14:paraId="29EB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vMerge w:val="continue"/>
                  <w:tcBorders>
                    <w:tl2br w:val="nil"/>
                    <w:tr2bl w:val="nil"/>
                  </w:tcBorders>
                  <w:shd w:val="clear" w:color="auto" w:fill="auto"/>
                  <w:vAlign w:val="center"/>
                </w:tcPr>
                <w:p w14:paraId="0BB03D30">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908" w:type="pct"/>
                  <w:gridSpan w:val="2"/>
                  <w:tcBorders>
                    <w:tl2br w:val="nil"/>
                    <w:tr2bl w:val="nil"/>
                  </w:tcBorders>
                  <w:shd w:val="clear" w:color="auto" w:fill="auto"/>
                  <w:vAlign w:val="center"/>
                </w:tcPr>
                <w:p w14:paraId="212F69E3">
                  <w:pPr>
                    <w:adjustRightInd w:val="0"/>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采暖</w:t>
                  </w:r>
                </w:p>
              </w:tc>
              <w:tc>
                <w:tcPr>
                  <w:tcW w:w="3155" w:type="pct"/>
                  <w:tcBorders>
                    <w:tl2br w:val="nil"/>
                    <w:tr2bl w:val="nil"/>
                  </w:tcBorders>
                  <w:shd w:val="clear" w:color="auto" w:fill="auto"/>
                  <w:vAlign w:val="center"/>
                </w:tcPr>
                <w:p w14:paraId="33FEDF0B">
                  <w:pPr>
                    <w:adjustRightInd w:val="0"/>
                    <w:spacing w:line="240" w:lineRule="auto"/>
                    <w:ind w:firstLine="0" w:firstLineChars="0"/>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办公、生活各采暖建筑均采用单体空调进行采暖</w:t>
                  </w:r>
                </w:p>
              </w:tc>
              <w:tc>
                <w:tcPr>
                  <w:tcW w:w="483" w:type="pct"/>
                  <w:tcBorders>
                    <w:tl2br w:val="nil"/>
                    <w:tr2bl w:val="nil"/>
                  </w:tcBorders>
                  <w:shd w:val="clear" w:color="auto" w:fill="auto"/>
                  <w:vAlign w:val="center"/>
                </w:tcPr>
                <w:p w14:paraId="2F135FF8">
                  <w:pPr>
                    <w:adjustRightInd w:val="0"/>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依托</w:t>
                  </w:r>
                </w:p>
              </w:tc>
            </w:tr>
            <w:tr w14:paraId="7213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vMerge w:val="restart"/>
                  <w:tcBorders>
                    <w:tl2br w:val="nil"/>
                    <w:tr2bl w:val="nil"/>
                  </w:tcBorders>
                  <w:shd w:val="clear" w:color="auto" w:fill="auto"/>
                  <w:vAlign w:val="center"/>
                </w:tcPr>
                <w:p w14:paraId="2925C5BF">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环保工程</w:t>
                  </w:r>
                </w:p>
              </w:tc>
              <w:tc>
                <w:tcPr>
                  <w:tcW w:w="395" w:type="pct"/>
                  <w:vMerge w:val="restart"/>
                  <w:tcBorders>
                    <w:tl2br w:val="nil"/>
                    <w:tr2bl w:val="nil"/>
                  </w:tcBorders>
                  <w:shd w:val="clear" w:color="auto" w:fill="auto"/>
                  <w:vAlign w:val="center"/>
                </w:tcPr>
                <w:p w14:paraId="0372B387">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废气</w:t>
                  </w:r>
                </w:p>
                <w:p w14:paraId="5CA54C7F">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治理</w:t>
                  </w:r>
                </w:p>
              </w:tc>
              <w:tc>
                <w:tcPr>
                  <w:tcW w:w="512" w:type="pct"/>
                  <w:vMerge w:val="restart"/>
                  <w:tcBorders>
                    <w:tl2br w:val="nil"/>
                    <w:tr2bl w:val="nil"/>
                  </w:tcBorders>
                  <w:shd w:val="clear" w:color="auto" w:fill="auto"/>
                  <w:vAlign w:val="center"/>
                </w:tcPr>
                <w:p w14:paraId="6DED419E">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采</w:t>
                  </w: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矿</w:t>
                  </w: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场</w:t>
                  </w:r>
                </w:p>
              </w:tc>
              <w:tc>
                <w:tcPr>
                  <w:tcW w:w="3155" w:type="pct"/>
                  <w:tcBorders>
                    <w:tl2br w:val="nil"/>
                    <w:tr2bl w:val="nil"/>
                  </w:tcBorders>
                  <w:shd w:val="clear" w:color="auto" w:fill="auto"/>
                  <w:vAlign w:val="center"/>
                </w:tcPr>
                <w:p w14:paraId="59D142E6">
                  <w:pPr>
                    <w:adjustRightInd w:val="0"/>
                    <w:spacing w:line="240" w:lineRule="auto"/>
                    <w:ind w:firstLine="0" w:firstLineChars="0"/>
                    <w:jc w:val="left"/>
                    <w:rPr>
                      <w:rFonts w:hint="default" w:ascii="Times New Roman" w:hAnsi="Times New Roman" w:eastAsia="宋体" w:cs="Times New Roman"/>
                      <w:b w:val="0"/>
                      <w:bCs/>
                      <w:color w:val="000000" w:themeColor="text1"/>
                      <w:kern w:val="2"/>
                      <w:sz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1"/>
                      <w:highlight w:val="none"/>
                      <w:shd w:val="clear" w:color="auto" w:fill="auto"/>
                      <w:lang w:val="en-US" w:eastAsia="zh-CN"/>
                      <w14:textFill>
                        <w14:solidFill>
                          <w14:schemeClr w14:val="tx1"/>
                        </w14:solidFill>
                      </w14:textFill>
                    </w:rPr>
                    <w:t>采取</w:t>
                  </w:r>
                  <w:r>
                    <w:rPr>
                      <w:rFonts w:hint="default" w:ascii="Times New Roman" w:hAnsi="Times New Roman" w:cs="Times New Roman"/>
                      <w:b w:val="0"/>
                      <w:bCs/>
                      <w:color w:val="000000" w:themeColor="text1"/>
                      <w:kern w:val="2"/>
                      <w:sz w:val="21"/>
                      <w:highlight w:val="none"/>
                      <w:shd w:val="clear" w:color="auto" w:fill="auto"/>
                      <w:lang w:val="en-US" w:eastAsia="zh-CN"/>
                      <w14:textFill>
                        <w14:solidFill>
                          <w14:schemeClr w14:val="tx1"/>
                        </w14:solidFill>
                      </w14:textFill>
                    </w:rPr>
                    <w:t>干</w:t>
                  </w:r>
                  <w:r>
                    <w:rPr>
                      <w:rFonts w:hint="default" w:ascii="Times New Roman" w:hAnsi="Times New Roman" w:eastAsia="宋体" w:cs="Times New Roman"/>
                      <w:b w:val="0"/>
                      <w:bCs/>
                      <w:color w:val="000000" w:themeColor="text1"/>
                      <w:kern w:val="2"/>
                      <w:sz w:val="21"/>
                      <w:highlight w:val="none"/>
                      <w:shd w:val="clear" w:color="auto" w:fill="auto"/>
                      <w:lang w:val="en-US" w:eastAsia="zh-CN"/>
                      <w14:textFill>
                        <w14:solidFill>
                          <w14:schemeClr w14:val="tx1"/>
                        </w14:solidFill>
                      </w14:textFill>
                    </w:rPr>
                    <w:t>式钻孔，多排微差爆破</w:t>
                  </w:r>
                </w:p>
              </w:tc>
              <w:tc>
                <w:tcPr>
                  <w:tcW w:w="483" w:type="pct"/>
                  <w:tcBorders>
                    <w:tl2br w:val="nil"/>
                    <w:tr2bl w:val="nil"/>
                  </w:tcBorders>
                  <w:shd w:val="clear" w:color="auto" w:fill="auto"/>
                  <w:vAlign w:val="center"/>
                </w:tcPr>
                <w:p w14:paraId="5E577D88">
                  <w:pPr>
                    <w:adjustRightInd w:val="0"/>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新建</w:t>
                  </w:r>
                </w:p>
              </w:tc>
            </w:tr>
            <w:tr w14:paraId="663A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pct"/>
                  <w:vMerge w:val="continue"/>
                  <w:tcBorders>
                    <w:tl2br w:val="nil"/>
                    <w:tr2bl w:val="nil"/>
                  </w:tcBorders>
                  <w:shd w:val="clear" w:color="auto" w:fill="auto"/>
                  <w:vAlign w:val="center"/>
                </w:tcPr>
                <w:p w14:paraId="5D6FA999">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p>
              </w:tc>
              <w:tc>
                <w:tcPr>
                  <w:tcW w:w="395" w:type="pct"/>
                  <w:vMerge w:val="continue"/>
                  <w:tcBorders>
                    <w:tl2br w:val="nil"/>
                    <w:tr2bl w:val="nil"/>
                  </w:tcBorders>
                  <w:shd w:val="clear" w:color="auto" w:fill="auto"/>
                  <w:vAlign w:val="center"/>
                </w:tcPr>
                <w:p w14:paraId="37C61107">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512" w:type="pct"/>
                  <w:vMerge w:val="continue"/>
                  <w:tcBorders>
                    <w:tl2br w:val="nil"/>
                    <w:tr2bl w:val="nil"/>
                  </w:tcBorders>
                  <w:shd w:val="clear" w:color="auto" w:fill="auto"/>
                  <w:vAlign w:val="center"/>
                </w:tcPr>
                <w:p w14:paraId="02295524">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3155" w:type="pct"/>
                  <w:tcBorders>
                    <w:tl2br w:val="nil"/>
                    <w:tr2bl w:val="nil"/>
                  </w:tcBorders>
                  <w:shd w:val="clear" w:color="auto" w:fill="auto"/>
                  <w:vAlign w:val="center"/>
                </w:tcPr>
                <w:p w14:paraId="56CC0919">
                  <w:pPr>
                    <w:adjustRightInd w:val="0"/>
                    <w:spacing w:line="240" w:lineRule="auto"/>
                    <w:ind w:firstLine="0" w:firstLineChars="0"/>
                    <w:jc w:val="left"/>
                    <w:rPr>
                      <w:rFonts w:hint="default" w:ascii="Times New Roman" w:hAnsi="Times New Roman" w:eastAsia="宋体" w:cs="Times New Roman"/>
                      <w:b w:val="0"/>
                      <w:bCs/>
                      <w:color w:val="000000" w:themeColor="text1"/>
                      <w:kern w:val="2"/>
                      <w:sz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1"/>
                      <w:highlight w:val="none"/>
                      <w:shd w:val="clear" w:color="auto" w:fill="auto"/>
                      <w:lang w:val="en-US" w:eastAsia="zh-CN"/>
                      <w14:textFill>
                        <w14:solidFill>
                          <w14:schemeClr w14:val="tx1"/>
                        </w14:solidFill>
                      </w14:textFill>
                    </w:rPr>
                    <w:t>配备1台洒水车，洒水抑尘、</w:t>
                  </w:r>
                  <w:r>
                    <w:rPr>
                      <w:rFonts w:hint="default" w:ascii="Times New Roman" w:hAnsi="Times New Roman" w:cs="Times New Roman"/>
                      <w:b w:val="0"/>
                      <w:bCs/>
                      <w:color w:val="000000" w:themeColor="text1"/>
                      <w:kern w:val="2"/>
                      <w:sz w:val="21"/>
                      <w:highlight w:val="none"/>
                      <w:shd w:val="clear" w:color="auto" w:fill="auto"/>
                      <w:lang w:val="en-US" w:eastAsia="zh-CN"/>
                      <w14:textFill>
                        <w14:solidFill>
                          <w14:schemeClr w14:val="tx1"/>
                        </w14:solidFill>
                      </w14:textFill>
                    </w:rPr>
                    <w:t>摇臂</w:t>
                  </w:r>
                  <w:r>
                    <w:rPr>
                      <w:rFonts w:hint="default" w:ascii="Times New Roman" w:hAnsi="Times New Roman" w:eastAsia="宋体" w:cs="Times New Roman"/>
                      <w:b w:val="0"/>
                      <w:bCs/>
                      <w:color w:val="000000" w:themeColor="text1"/>
                      <w:kern w:val="2"/>
                      <w:sz w:val="21"/>
                      <w:highlight w:val="none"/>
                      <w:shd w:val="clear" w:color="auto" w:fill="auto"/>
                      <w:lang w:val="en-US" w:eastAsia="zh-CN"/>
                      <w14:textFill>
                        <w14:solidFill>
                          <w14:schemeClr w14:val="tx1"/>
                        </w14:solidFill>
                      </w14:textFill>
                    </w:rPr>
                    <w:t>式喷头</w:t>
                  </w:r>
                </w:p>
              </w:tc>
              <w:tc>
                <w:tcPr>
                  <w:tcW w:w="483" w:type="pct"/>
                  <w:tcBorders>
                    <w:tl2br w:val="nil"/>
                    <w:tr2bl w:val="nil"/>
                  </w:tcBorders>
                  <w:shd w:val="clear" w:color="auto" w:fill="auto"/>
                  <w:vAlign w:val="center"/>
                </w:tcPr>
                <w:p w14:paraId="31126437">
                  <w:pPr>
                    <w:adjustRightInd w:val="0"/>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新建</w:t>
                  </w:r>
                </w:p>
              </w:tc>
            </w:tr>
            <w:tr w14:paraId="6296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vMerge w:val="continue"/>
                  <w:tcBorders>
                    <w:tl2br w:val="nil"/>
                    <w:tr2bl w:val="nil"/>
                  </w:tcBorders>
                  <w:shd w:val="clear" w:color="auto" w:fill="auto"/>
                  <w:vAlign w:val="center"/>
                </w:tcPr>
                <w:p w14:paraId="10B6184A">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p>
              </w:tc>
              <w:tc>
                <w:tcPr>
                  <w:tcW w:w="395" w:type="pct"/>
                  <w:vMerge w:val="restart"/>
                  <w:tcBorders>
                    <w:tl2br w:val="nil"/>
                    <w:tr2bl w:val="nil"/>
                  </w:tcBorders>
                  <w:shd w:val="clear" w:color="auto" w:fill="auto"/>
                  <w:vAlign w:val="center"/>
                </w:tcPr>
                <w:p w14:paraId="4FB78E3C">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废水</w:t>
                  </w:r>
                </w:p>
                <w:p w14:paraId="6B1AA03E">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治理</w:t>
                  </w:r>
                </w:p>
              </w:tc>
              <w:tc>
                <w:tcPr>
                  <w:tcW w:w="512" w:type="pct"/>
                  <w:tcBorders>
                    <w:tl2br w:val="nil"/>
                    <w:tr2bl w:val="nil"/>
                  </w:tcBorders>
                  <w:shd w:val="clear" w:color="auto" w:fill="auto"/>
                  <w:vAlign w:val="center"/>
                </w:tcPr>
                <w:p w14:paraId="288A0D32">
                  <w:pPr>
                    <w:adjustRightInd w:val="0"/>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采场雨水</w:t>
                  </w:r>
                </w:p>
              </w:tc>
              <w:tc>
                <w:tcPr>
                  <w:tcW w:w="3155" w:type="pct"/>
                  <w:tcBorders>
                    <w:tl2br w:val="nil"/>
                    <w:tr2bl w:val="nil"/>
                  </w:tcBorders>
                  <w:shd w:val="clear" w:color="auto" w:fill="auto"/>
                  <w:vAlign w:val="center"/>
                </w:tcPr>
                <w:p w14:paraId="51A0133C">
                  <w:pPr>
                    <w:adjustRightInd w:val="0"/>
                    <w:spacing w:line="240" w:lineRule="auto"/>
                    <w:ind w:firstLine="0" w:firstLineChars="0"/>
                    <w:rPr>
                      <w:rFonts w:hint="default" w:ascii="Times New Roman" w:hAnsi="Times New Roman" w:eastAsia="宋体" w:cs="Times New Roman"/>
                      <w:b w:val="0"/>
                      <w:bCs/>
                      <w:color w:val="000000" w:themeColor="text1"/>
                      <w:kern w:val="2"/>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kern w:val="2"/>
                      <w:sz w:val="21"/>
                      <w:highlight w:val="none"/>
                      <w:shd w:val="clear" w:color="auto" w:fill="auto"/>
                      <w14:textFill>
                        <w14:solidFill>
                          <w14:schemeClr w14:val="tx1"/>
                        </w14:solidFill>
                      </w14:textFill>
                    </w:rPr>
                    <w:t>露天采坑内各清扫平台上设置截排水沟、安全平台设临时排水沟，将雨水排出至沉淀池，经沉淀净化处理后用于道路除尘、绿化等。</w:t>
                  </w:r>
                </w:p>
              </w:tc>
              <w:tc>
                <w:tcPr>
                  <w:tcW w:w="483" w:type="pct"/>
                  <w:tcBorders>
                    <w:tl2br w:val="nil"/>
                    <w:tr2bl w:val="nil"/>
                  </w:tcBorders>
                  <w:shd w:val="clear" w:color="auto" w:fill="auto"/>
                  <w:vAlign w:val="center"/>
                </w:tcPr>
                <w:p w14:paraId="77E74750">
                  <w:pPr>
                    <w:adjustRightInd w:val="0"/>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新建</w:t>
                  </w:r>
                </w:p>
              </w:tc>
            </w:tr>
            <w:tr w14:paraId="397F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vMerge w:val="continue"/>
                  <w:tcBorders>
                    <w:tl2br w:val="nil"/>
                    <w:tr2bl w:val="nil"/>
                  </w:tcBorders>
                  <w:shd w:val="clear" w:color="auto" w:fill="auto"/>
                  <w:vAlign w:val="center"/>
                </w:tcPr>
                <w:p w14:paraId="40550CB7">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p>
              </w:tc>
              <w:tc>
                <w:tcPr>
                  <w:tcW w:w="395" w:type="pct"/>
                  <w:vMerge w:val="continue"/>
                  <w:tcBorders>
                    <w:tl2br w:val="nil"/>
                    <w:tr2bl w:val="nil"/>
                  </w:tcBorders>
                  <w:shd w:val="clear" w:color="auto" w:fill="auto"/>
                  <w:vAlign w:val="center"/>
                </w:tcPr>
                <w:p w14:paraId="05819A5B">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512" w:type="pct"/>
                  <w:tcBorders>
                    <w:tl2br w:val="nil"/>
                    <w:tr2bl w:val="nil"/>
                  </w:tcBorders>
                  <w:shd w:val="clear" w:color="auto" w:fill="auto"/>
                  <w:vAlign w:val="center"/>
                </w:tcPr>
                <w:p w14:paraId="5D2BDE1F">
                  <w:pPr>
                    <w:adjustRightInd w:val="0"/>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车辆清洗废水</w:t>
                  </w:r>
                </w:p>
              </w:tc>
              <w:tc>
                <w:tcPr>
                  <w:tcW w:w="3155" w:type="pct"/>
                  <w:tcBorders>
                    <w:tl2br w:val="nil"/>
                    <w:tr2bl w:val="nil"/>
                  </w:tcBorders>
                  <w:shd w:val="clear" w:color="auto" w:fill="auto"/>
                  <w:vAlign w:val="center"/>
                </w:tcPr>
                <w:p w14:paraId="5796513D">
                  <w:pPr>
                    <w:pStyle w:val="20"/>
                    <w:spacing w:before="0" w:beforeAutospacing="0" w:after="0" w:afterAutospacing="0" w:line="240" w:lineRule="auto"/>
                    <w:ind w:firstLine="0" w:firstLineChars="0"/>
                    <w:rPr>
                      <w:rFonts w:hint="default" w:ascii="Times New Roman" w:hAnsi="Times New Roman" w:eastAsia="宋体" w:cs="Times New Roman"/>
                      <w:b w:val="0"/>
                      <w:bCs/>
                      <w:color w:val="000000" w:themeColor="text1"/>
                      <w:kern w:val="2"/>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b w:val="0"/>
                      <w:bCs/>
                      <w:color w:val="000000" w:themeColor="text1"/>
                      <w:kern w:val="2"/>
                      <w:sz w:val="21"/>
                      <w:szCs w:val="21"/>
                      <w:highlight w:val="none"/>
                      <w:shd w:val="clear" w:color="auto" w:fill="auto"/>
                      <w:lang w:val="en-US" w:eastAsia="zh-CN"/>
                      <w14:textFill>
                        <w14:solidFill>
                          <w14:schemeClr w14:val="tx1"/>
                        </w14:solidFill>
                      </w14:textFill>
                    </w:rPr>
                    <w:t>洗车废水</w:t>
                  </w:r>
                  <w:r>
                    <w:rPr>
                      <w:rFonts w:hint="default" w:ascii="Times New Roman" w:hAnsi="Times New Roman" w:eastAsia="宋体" w:cs="Times New Roman"/>
                      <w:b w:val="0"/>
                      <w:bCs/>
                      <w:color w:val="000000" w:themeColor="text1"/>
                      <w:kern w:val="2"/>
                      <w:sz w:val="21"/>
                      <w:szCs w:val="21"/>
                      <w:highlight w:val="none"/>
                      <w:shd w:val="clear" w:color="auto" w:fill="auto"/>
                      <w14:textFill>
                        <w14:solidFill>
                          <w14:schemeClr w14:val="tx1"/>
                        </w14:solidFill>
                      </w14:textFill>
                    </w:rPr>
                    <w:t>采用沉淀池处理回用于车辆清洗</w:t>
                  </w:r>
                </w:p>
              </w:tc>
              <w:tc>
                <w:tcPr>
                  <w:tcW w:w="483" w:type="pct"/>
                  <w:tcBorders>
                    <w:tl2br w:val="nil"/>
                    <w:tr2bl w:val="nil"/>
                  </w:tcBorders>
                  <w:shd w:val="clear" w:color="auto" w:fill="auto"/>
                  <w:vAlign w:val="center"/>
                </w:tcPr>
                <w:p w14:paraId="78E8BF67">
                  <w:pPr>
                    <w:adjustRightInd w:val="0"/>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新建</w:t>
                  </w:r>
                </w:p>
              </w:tc>
            </w:tr>
            <w:tr w14:paraId="2BE7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vMerge w:val="continue"/>
                  <w:tcBorders>
                    <w:tl2br w:val="nil"/>
                    <w:tr2bl w:val="nil"/>
                  </w:tcBorders>
                  <w:shd w:val="clear" w:color="auto" w:fill="auto"/>
                  <w:vAlign w:val="center"/>
                </w:tcPr>
                <w:p w14:paraId="66E45D2E">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p>
              </w:tc>
              <w:tc>
                <w:tcPr>
                  <w:tcW w:w="395" w:type="pct"/>
                  <w:vMerge w:val="continue"/>
                  <w:tcBorders>
                    <w:tl2br w:val="nil"/>
                    <w:tr2bl w:val="nil"/>
                  </w:tcBorders>
                  <w:shd w:val="clear" w:color="auto" w:fill="auto"/>
                  <w:vAlign w:val="center"/>
                </w:tcPr>
                <w:p w14:paraId="2FD42195">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512" w:type="pct"/>
                  <w:tcBorders>
                    <w:tl2br w:val="nil"/>
                    <w:tr2bl w:val="nil"/>
                  </w:tcBorders>
                  <w:shd w:val="clear" w:color="auto" w:fill="auto"/>
                  <w:vAlign w:val="center"/>
                </w:tcPr>
                <w:p w14:paraId="206D964D">
                  <w:pPr>
                    <w:adjustRightInd w:val="0"/>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生活污水</w:t>
                  </w:r>
                </w:p>
              </w:tc>
              <w:tc>
                <w:tcPr>
                  <w:tcW w:w="3155" w:type="pct"/>
                  <w:tcBorders>
                    <w:tl2br w:val="nil"/>
                    <w:tr2bl w:val="nil"/>
                  </w:tcBorders>
                  <w:shd w:val="clear" w:color="auto" w:fill="auto"/>
                  <w:vAlign w:val="center"/>
                </w:tcPr>
                <w:p w14:paraId="58668AB5">
                  <w:pPr>
                    <w:pStyle w:val="20"/>
                    <w:spacing w:before="0" w:beforeAutospacing="0" w:after="0" w:afterAutospacing="0" w:line="240" w:lineRule="auto"/>
                    <w:ind w:firstLine="0" w:firstLineChars="0"/>
                    <w:rPr>
                      <w:rFonts w:hint="default" w:ascii="Times New Roman" w:hAnsi="Times New Roman" w:eastAsia="宋体" w:cs="Times New Roman"/>
                      <w:b w:val="0"/>
                      <w:bCs/>
                      <w:color w:val="000000" w:themeColor="text1"/>
                      <w:kern w:val="2"/>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shd w:val="clear" w:color="auto" w:fill="auto"/>
                      <w14:textFill>
                        <w14:solidFill>
                          <w14:schemeClr w14:val="tx1"/>
                        </w14:solidFill>
                      </w14:textFill>
                    </w:rPr>
                    <w:t>生活污水进入化粪池处理，用于</w:t>
                  </w:r>
                  <w:r>
                    <w:rPr>
                      <w:rFonts w:hint="eastAsia" w:ascii="Times New Roman" w:hAnsi="Times New Roman" w:cs="Times New Roman"/>
                      <w:b w:val="0"/>
                      <w:bCs/>
                      <w:color w:val="000000" w:themeColor="text1"/>
                      <w:kern w:val="2"/>
                      <w:sz w:val="21"/>
                      <w:szCs w:val="21"/>
                      <w:highlight w:val="none"/>
                      <w:shd w:val="clear" w:color="auto" w:fill="auto"/>
                      <w:lang w:eastAsia="zh-CN"/>
                      <w14:textFill>
                        <w14:solidFill>
                          <w14:schemeClr w14:val="tx1"/>
                        </w14:solidFill>
                      </w14:textFill>
                    </w:rPr>
                    <w:t>周边农田施肥</w:t>
                  </w:r>
                  <w:r>
                    <w:rPr>
                      <w:rFonts w:hint="default" w:ascii="Times New Roman" w:hAnsi="Times New Roman" w:eastAsia="宋体" w:cs="Times New Roman"/>
                      <w:b w:val="0"/>
                      <w:bCs/>
                      <w:color w:val="000000" w:themeColor="text1"/>
                      <w:kern w:val="2"/>
                      <w:sz w:val="21"/>
                      <w:szCs w:val="21"/>
                      <w:highlight w:val="none"/>
                      <w:shd w:val="clear" w:color="auto" w:fill="auto"/>
                      <w14:textFill>
                        <w14:solidFill>
                          <w14:schemeClr w14:val="tx1"/>
                        </w14:solidFill>
                      </w14:textFill>
                    </w:rPr>
                    <w:t>等</w:t>
                  </w:r>
                </w:p>
              </w:tc>
              <w:tc>
                <w:tcPr>
                  <w:tcW w:w="483" w:type="pct"/>
                  <w:tcBorders>
                    <w:tl2br w:val="nil"/>
                    <w:tr2bl w:val="nil"/>
                  </w:tcBorders>
                  <w:shd w:val="clear" w:color="auto" w:fill="auto"/>
                  <w:vAlign w:val="center"/>
                </w:tcPr>
                <w:p w14:paraId="0D929FD2">
                  <w:pPr>
                    <w:adjustRightInd w:val="0"/>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依托</w:t>
                  </w:r>
                </w:p>
              </w:tc>
            </w:tr>
            <w:tr w14:paraId="4072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vMerge w:val="continue"/>
                  <w:tcBorders>
                    <w:tl2br w:val="nil"/>
                    <w:tr2bl w:val="nil"/>
                  </w:tcBorders>
                  <w:shd w:val="clear" w:color="auto" w:fill="auto"/>
                  <w:vAlign w:val="center"/>
                </w:tcPr>
                <w:p w14:paraId="3B5C8FA8">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395" w:type="pct"/>
                  <w:tcBorders>
                    <w:tl2br w:val="nil"/>
                    <w:tr2bl w:val="nil"/>
                  </w:tcBorders>
                  <w:shd w:val="clear" w:color="auto" w:fill="auto"/>
                  <w:vAlign w:val="center"/>
                </w:tcPr>
                <w:p w14:paraId="4C963EF3">
                  <w:pPr>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噪声</w:t>
                  </w:r>
                </w:p>
                <w:p w14:paraId="7DC8085C">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控制</w:t>
                  </w:r>
                </w:p>
              </w:tc>
              <w:tc>
                <w:tcPr>
                  <w:tcW w:w="512" w:type="pct"/>
                  <w:tcBorders>
                    <w:tl2br w:val="nil"/>
                    <w:tr2bl w:val="nil"/>
                  </w:tcBorders>
                  <w:shd w:val="clear" w:color="auto" w:fill="auto"/>
                  <w:vAlign w:val="center"/>
                </w:tcPr>
                <w:p w14:paraId="4D30F73D">
                  <w:pPr>
                    <w:spacing w:line="240" w:lineRule="auto"/>
                    <w:ind w:firstLine="0" w:firstLineChars="0"/>
                    <w:jc w:val="center"/>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采矿区</w:t>
                  </w:r>
                </w:p>
              </w:tc>
              <w:tc>
                <w:tcPr>
                  <w:tcW w:w="3155" w:type="pct"/>
                  <w:tcBorders>
                    <w:tl2br w:val="nil"/>
                    <w:tr2bl w:val="nil"/>
                  </w:tcBorders>
                  <w:shd w:val="clear" w:color="auto" w:fill="auto"/>
                  <w:vAlign w:val="center"/>
                </w:tcPr>
                <w:p w14:paraId="54695088">
                  <w:pPr>
                    <w:pStyle w:val="20"/>
                    <w:spacing w:before="0" w:beforeAutospacing="0" w:after="0" w:afterAutospacing="0" w:line="240" w:lineRule="auto"/>
                    <w:ind w:firstLine="0" w:firstLineChars="0"/>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shd w:val="clear" w:color="auto" w:fill="auto"/>
                      <w14:textFill>
                        <w14:solidFill>
                          <w14:schemeClr w14:val="tx1"/>
                        </w14:solidFill>
                      </w14:textFill>
                    </w:rPr>
                    <w:t>采用低噪声设备，夜间禁止爆破</w:t>
                  </w:r>
                </w:p>
              </w:tc>
              <w:tc>
                <w:tcPr>
                  <w:tcW w:w="483" w:type="pct"/>
                  <w:tcBorders>
                    <w:tl2br w:val="nil"/>
                    <w:tr2bl w:val="nil"/>
                  </w:tcBorders>
                  <w:shd w:val="clear" w:color="auto" w:fill="auto"/>
                  <w:vAlign w:val="center"/>
                </w:tcPr>
                <w:p w14:paraId="72926F88">
                  <w:pPr>
                    <w:adjustRightInd w:val="0"/>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新建</w:t>
                  </w:r>
                </w:p>
              </w:tc>
            </w:tr>
            <w:tr w14:paraId="0CDE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vMerge w:val="continue"/>
                  <w:tcBorders>
                    <w:tl2br w:val="nil"/>
                    <w:tr2bl w:val="nil"/>
                  </w:tcBorders>
                  <w:shd w:val="clear" w:color="auto" w:fill="auto"/>
                  <w:vAlign w:val="center"/>
                </w:tcPr>
                <w:p w14:paraId="0BD24363">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395" w:type="pct"/>
                  <w:vMerge w:val="restart"/>
                  <w:tcBorders>
                    <w:tl2br w:val="nil"/>
                    <w:tr2bl w:val="nil"/>
                  </w:tcBorders>
                  <w:shd w:val="clear" w:color="auto" w:fill="auto"/>
                  <w:vAlign w:val="center"/>
                </w:tcPr>
                <w:p w14:paraId="44F82581">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固废</w:t>
                  </w:r>
                </w:p>
                <w:p w14:paraId="69A3F0AC">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t>处置</w:t>
                  </w:r>
                </w:p>
              </w:tc>
              <w:tc>
                <w:tcPr>
                  <w:tcW w:w="512" w:type="pct"/>
                  <w:tcBorders>
                    <w:tl2br w:val="nil"/>
                    <w:tr2bl w:val="nil"/>
                  </w:tcBorders>
                  <w:shd w:val="clear" w:color="auto" w:fill="auto"/>
                  <w:vAlign w:val="center"/>
                </w:tcPr>
                <w:p w14:paraId="5AA68B7B">
                  <w:pPr>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危废暂存间</w:t>
                  </w:r>
                </w:p>
              </w:tc>
              <w:tc>
                <w:tcPr>
                  <w:tcW w:w="3155" w:type="pct"/>
                  <w:tcBorders>
                    <w:tl2br w:val="nil"/>
                    <w:tr2bl w:val="nil"/>
                  </w:tcBorders>
                  <w:shd w:val="clear" w:color="auto" w:fill="auto"/>
                  <w:vAlign w:val="center"/>
                </w:tcPr>
                <w:p w14:paraId="131E4B83">
                  <w:pPr>
                    <w:pStyle w:val="20"/>
                    <w:spacing w:before="0" w:beforeAutospacing="0" w:after="0" w:afterAutospacing="0" w:line="240" w:lineRule="auto"/>
                    <w:ind w:firstLine="0" w:firstLineChars="0"/>
                    <w:jc w:val="both"/>
                    <w:rPr>
                      <w:rFonts w:hint="default" w:ascii="Times New Roman" w:hAnsi="Times New Roman" w:eastAsia="宋体" w:cs="Times New Roman"/>
                      <w:b w:val="0"/>
                      <w:bCs/>
                      <w:color w:val="000000" w:themeColor="text1"/>
                      <w:kern w:val="2"/>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设置</w:t>
                  </w:r>
                  <w:r>
                    <w:rPr>
                      <w:rFonts w:hint="default"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有</w:t>
                  </w: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危废暂存间一处，面积</w:t>
                  </w: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shd w:val="clear" w:color="auto" w:fill="auto"/>
                      <w:vertAlign w:val="superscript"/>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2"/>
                      <w:sz w:val="21"/>
                      <w:szCs w:val="21"/>
                      <w:highlight w:val="none"/>
                      <w:shd w:val="clear" w:color="auto" w:fill="auto"/>
                      <w14:textFill>
                        <w14:solidFill>
                          <w14:schemeClr w14:val="tx1"/>
                        </w14:solidFill>
                      </w14:textFill>
                    </w:rPr>
                    <w:t>，高度为</w:t>
                  </w:r>
                  <w:r>
                    <w:rPr>
                      <w:rFonts w:hint="default" w:ascii="Times New Roman" w:hAnsi="Times New Roman" w:eastAsia="宋体" w:cs="Times New Roman"/>
                      <w:b w:val="0"/>
                      <w:bCs/>
                      <w:color w:val="000000" w:themeColor="text1"/>
                      <w:kern w:val="2"/>
                      <w:sz w:val="21"/>
                      <w:szCs w:val="21"/>
                      <w:highlight w:val="none"/>
                      <w:shd w:val="clear" w:color="auto" w:fill="auto"/>
                      <w:lang w:val="en-US" w:eastAsia="zh-CN"/>
                      <w14:textFill>
                        <w14:solidFill>
                          <w14:schemeClr w14:val="tx1"/>
                        </w14:solidFill>
                      </w14:textFill>
                    </w:rPr>
                    <w:t>2.8</w:t>
                  </w:r>
                  <w:r>
                    <w:rPr>
                      <w:rFonts w:hint="default" w:ascii="Times New Roman" w:hAnsi="Times New Roman" w:eastAsia="宋体" w:cs="Times New Roman"/>
                      <w:b w:val="0"/>
                      <w:bCs/>
                      <w:color w:val="000000" w:themeColor="text1"/>
                      <w:kern w:val="2"/>
                      <w:sz w:val="21"/>
                      <w:szCs w:val="21"/>
                      <w:highlight w:val="none"/>
                      <w:shd w:val="clear" w:color="auto" w:fill="auto"/>
                      <w14:textFill>
                        <w14:solidFill>
                          <w14:schemeClr w14:val="tx1"/>
                        </w14:solidFill>
                      </w14:textFill>
                    </w:rPr>
                    <w:t>m</w:t>
                  </w:r>
                </w:p>
              </w:tc>
              <w:tc>
                <w:tcPr>
                  <w:tcW w:w="483" w:type="pct"/>
                  <w:tcBorders>
                    <w:tl2br w:val="nil"/>
                    <w:tr2bl w:val="nil"/>
                  </w:tcBorders>
                  <w:shd w:val="clear" w:color="auto" w:fill="auto"/>
                  <w:vAlign w:val="center"/>
                </w:tcPr>
                <w:p w14:paraId="1F05D9EB">
                  <w:pPr>
                    <w:adjustRightInd w:val="0"/>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新建</w:t>
                  </w:r>
                </w:p>
              </w:tc>
            </w:tr>
            <w:tr w14:paraId="2759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vMerge w:val="continue"/>
                  <w:tcBorders>
                    <w:tl2br w:val="nil"/>
                    <w:tr2bl w:val="nil"/>
                  </w:tcBorders>
                  <w:shd w:val="clear" w:color="auto" w:fill="auto"/>
                  <w:vAlign w:val="center"/>
                </w:tcPr>
                <w:p w14:paraId="10BCAA9D">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395" w:type="pct"/>
                  <w:vMerge w:val="continue"/>
                  <w:tcBorders>
                    <w:tl2br w:val="nil"/>
                    <w:tr2bl w:val="nil"/>
                  </w:tcBorders>
                  <w:shd w:val="clear" w:color="auto" w:fill="auto"/>
                  <w:vAlign w:val="center"/>
                </w:tcPr>
                <w:p w14:paraId="28A31AE4">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512" w:type="pct"/>
                  <w:tcBorders>
                    <w:tl2br w:val="nil"/>
                    <w:tr2bl w:val="nil"/>
                  </w:tcBorders>
                  <w:shd w:val="clear" w:color="auto" w:fill="auto"/>
                  <w:vAlign w:val="center"/>
                </w:tcPr>
                <w:p w14:paraId="64337C5B">
                  <w:pPr>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采区表土</w:t>
                  </w:r>
                </w:p>
              </w:tc>
              <w:tc>
                <w:tcPr>
                  <w:tcW w:w="3155" w:type="pct"/>
                  <w:tcBorders>
                    <w:tl2br w:val="nil"/>
                    <w:tr2bl w:val="nil"/>
                  </w:tcBorders>
                  <w:shd w:val="clear" w:color="auto" w:fill="auto"/>
                  <w:vAlign w:val="center"/>
                </w:tcPr>
                <w:p w14:paraId="379DCCCD">
                  <w:pPr>
                    <w:pStyle w:val="20"/>
                    <w:spacing w:before="0" w:beforeAutospacing="0" w:after="0" w:afterAutospacing="0" w:line="240" w:lineRule="auto"/>
                    <w:ind w:firstLine="0" w:firstLineChars="0"/>
                    <w:jc w:val="both"/>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对采区表土进行剥离，临时堆放在采空区，采取临时挡护措施，利用编织袋挡护、密目网临时苫盖等措施</w:t>
                  </w:r>
                </w:p>
              </w:tc>
              <w:tc>
                <w:tcPr>
                  <w:tcW w:w="483" w:type="pct"/>
                  <w:tcBorders>
                    <w:tl2br w:val="nil"/>
                    <w:tr2bl w:val="nil"/>
                  </w:tcBorders>
                  <w:shd w:val="clear" w:color="auto" w:fill="auto"/>
                  <w:vAlign w:val="center"/>
                </w:tcPr>
                <w:p w14:paraId="222AF446">
                  <w:pPr>
                    <w:adjustRightInd w:val="0"/>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新建</w:t>
                  </w:r>
                </w:p>
              </w:tc>
            </w:tr>
            <w:tr w14:paraId="4635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vMerge w:val="continue"/>
                  <w:tcBorders>
                    <w:tl2br w:val="nil"/>
                    <w:tr2bl w:val="nil"/>
                  </w:tcBorders>
                  <w:shd w:val="clear" w:color="auto" w:fill="auto"/>
                  <w:vAlign w:val="center"/>
                </w:tcPr>
                <w:p w14:paraId="3E123DCE">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395" w:type="pct"/>
                  <w:vMerge w:val="continue"/>
                  <w:tcBorders>
                    <w:tl2br w:val="nil"/>
                    <w:tr2bl w:val="nil"/>
                  </w:tcBorders>
                  <w:shd w:val="clear" w:color="auto" w:fill="auto"/>
                  <w:vAlign w:val="center"/>
                </w:tcPr>
                <w:p w14:paraId="1A66CBAD">
                  <w:pPr>
                    <w:adjustRightInd w:val="0"/>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14:textFill>
                        <w14:solidFill>
                          <w14:schemeClr w14:val="tx1"/>
                        </w14:solidFill>
                      </w14:textFill>
                    </w:rPr>
                  </w:pPr>
                </w:p>
              </w:tc>
              <w:tc>
                <w:tcPr>
                  <w:tcW w:w="512" w:type="pct"/>
                  <w:tcBorders>
                    <w:tl2br w:val="nil"/>
                    <w:tr2bl w:val="nil"/>
                  </w:tcBorders>
                  <w:shd w:val="clear" w:color="auto" w:fill="auto"/>
                  <w:vAlign w:val="center"/>
                </w:tcPr>
                <w:p w14:paraId="313CC185">
                  <w:pPr>
                    <w:spacing w:line="240" w:lineRule="auto"/>
                    <w:ind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生活垃圾</w:t>
                  </w:r>
                </w:p>
              </w:tc>
              <w:tc>
                <w:tcPr>
                  <w:tcW w:w="3155" w:type="pct"/>
                  <w:tcBorders>
                    <w:tl2br w:val="nil"/>
                    <w:tr2bl w:val="nil"/>
                  </w:tcBorders>
                  <w:shd w:val="clear" w:color="auto" w:fill="auto"/>
                  <w:vAlign w:val="center"/>
                </w:tcPr>
                <w:p w14:paraId="11D37DDD">
                  <w:pPr>
                    <w:pStyle w:val="20"/>
                    <w:spacing w:before="0" w:beforeAutospacing="0" w:after="0" w:afterAutospacing="0" w:line="240" w:lineRule="auto"/>
                    <w:ind w:firstLine="0" w:firstLineChars="0"/>
                    <w:jc w:val="both"/>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定期由</w:t>
                  </w:r>
                  <w:r>
                    <w:rPr>
                      <w:rFonts w:hint="default"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香泉镇</w:t>
                  </w: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村民转运，交由</w:t>
                  </w:r>
                  <w:r>
                    <w:rPr>
                      <w:rFonts w:hint="default" w:ascii="Times New Roman" w:hAnsi="Times New Roman" w:cs="Times New Roman"/>
                      <w:b w:val="0"/>
                      <w:bCs/>
                      <w:color w:val="000000" w:themeColor="text1"/>
                      <w:sz w:val="21"/>
                      <w:szCs w:val="21"/>
                      <w:highlight w:val="none"/>
                      <w:shd w:val="clear" w:color="auto" w:fill="auto"/>
                      <w:lang w:val="en-US" w:eastAsia="zh-CN"/>
                      <w14:textFill>
                        <w14:solidFill>
                          <w14:schemeClr w14:val="tx1"/>
                        </w14:solidFill>
                      </w14:textFill>
                    </w:rPr>
                    <w:t>香泉</w:t>
                  </w: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镇环卫部门处置</w:t>
                  </w:r>
                </w:p>
              </w:tc>
              <w:tc>
                <w:tcPr>
                  <w:tcW w:w="483" w:type="pct"/>
                  <w:tcBorders>
                    <w:tl2br w:val="nil"/>
                    <w:tr2bl w:val="nil"/>
                  </w:tcBorders>
                  <w:shd w:val="clear" w:color="auto" w:fill="auto"/>
                  <w:vAlign w:val="center"/>
                </w:tcPr>
                <w:p w14:paraId="66AB40AB">
                  <w:pPr>
                    <w:adjustRightInd w:val="0"/>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shd w:val="clear" w:color="auto" w:fill="auto"/>
                      <w:lang w:val="en-US" w:eastAsia="zh-CN"/>
                      <w14:textFill>
                        <w14:solidFill>
                          <w14:schemeClr w14:val="tx1"/>
                        </w14:solidFill>
                      </w14:textFill>
                    </w:rPr>
                    <w:t>依托</w:t>
                  </w:r>
                </w:p>
              </w:tc>
            </w:tr>
          </w:tbl>
          <w:p w14:paraId="61035D7E">
            <w:pPr>
              <w:keepNext w:val="0"/>
              <w:keepLines w:val="0"/>
              <w:pageBreakBefore w:val="0"/>
              <w:widowControl w:val="0"/>
              <w:numPr>
                <w:ilvl w:val="0"/>
                <w:numId w:val="2"/>
              </w:numPr>
              <w:kinsoku/>
              <w:wordWrap/>
              <w:overflowPunct/>
              <w:topLinePunct w:val="0"/>
              <w:autoSpaceDE/>
              <w:autoSpaceDN/>
              <w:bidi w:val="0"/>
              <w:adjustRightInd w:val="0"/>
              <w:snapToGrid w:val="0"/>
              <w:spacing w:before="157" w:beforeLines="50"/>
              <w:ind w:left="0" w:leftChars="0"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产品方案</w:t>
            </w:r>
          </w:p>
          <w:p w14:paraId="4B9D7B42">
            <w:pPr>
              <w:pStyle w:val="51"/>
              <w:ind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14:textFill>
                  <w14:solidFill>
                    <w14:schemeClr w14:val="tx1"/>
                  </w14:solidFill>
                </w14:textFill>
              </w:rPr>
              <w:t>产品</w:t>
            </w:r>
            <w:r>
              <w:rPr>
                <w:rFonts w:hint="default" w:ascii="Times New Roman" w:hAnsi="Times New Roman" w:cs="Times New Roman"/>
                <w:color w:val="000000" w:themeColor="text1"/>
                <w:sz w:val="24"/>
                <w:szCs w:val="24"/>
                <w:lang w:val="en-US" w:eastAsia="zh-CN"/>
                <w14:textFill>
                  <w14:solidFill>
                    <w14:schemeClr w14:val="tx1"/>
                  </w14:solidFill>
                </w14:textFill>
              </w:rPr>
              <w:t>方案</w:t>
            </w:r>
            <w:r>
              <w:rPr>
                <w:rFonts w:hint="default" w:ascii="Times New Roman" w:hAnsi="Times New Roman" w:eastAsia="宋体" w:cs="Times New Roman"/>
                <w:color w:val="000000" w:themeColor="text1"/>
                <w:sz w:val="24"/>
                <w:szCs w:val="24"/>
                <w14:textFill>
                  <w14:solidFill>
                    <w14:schemeClr w14:val="tx1"/>
                  </w14:solidFill>
                </w14:textFill>
              </w:rPr>
              <w:t>见表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w:t>
            </w:r>
          </w:p>
          <w:p w14:paraId="31F6A603">
            <w:pPr>
              <w:pStyle w:val="53"/>
              <w:spacing w:after="0" w:afterLines="0" w:line="240" w:lineRule="auto"/>
              <w:ind w:firstLine="422"/>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14:textFill>
                  <w14:solidFill>
                    <w14:schemeClr w14:val="tx1"/>
                  </w14:solidFill>
                </w14:textFill>
              </w:rPr>
              <w:t>产品方案一览表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1"/>
              <w:gridCol w:w="2284"/>
              <w:gridCol w:w="3218"/>
              <w:gridCol w:w="1571"/>
            </w:tblGrid>
            <w:tr w14:paraId="7A1DE0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10" w:type="pct"/>
                  <w:tcBorders>
                    <w:right w:val="single" w:color="auto" w:sz="4" w:space="0"/>
                  </w:tcBorders>
                  <w:noWrap w:val="0"/>
                  <w:vAlign w:val="center"/>
                </w:tcPr>
                <w:p w14:paraId="72E24BCB">
                  <w:pPr>
                    <w:pStyle w:val="6"/>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385" w:type="pct"/>
                  <w:tcBorders>
                    <w:left w:val="single" w:color="auto" w:sz="4" w:space="0"/>
                  </w:tcBorders>
                  <w:noWrap w:val="0"/>
                  <w:vAlign w:val="center"/>
                </w:tcPr>
                <w:p w14:paraId="4D18501A">
                  <w:pPr>
                    <w:pStyle w:val="6"/>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产品名称</w:t>
                  </w:r>
                </w:p>
              </w:tc>
              <w:tc>
                <w:tcPr>
                  <w:tcW w:w="1951" w:type="pct"/>
                  <w:noWrap w:val="0"/>
                  <w:vAlign w:val="center"/>
                </w:tcPr>
                <w:p w14:paraId="2592F6BE">
                  <w:pPr>
                    <w:pStyle w:val="6"/>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项目年产量</w:t>
                  </w:r>
                  <w:r>
                    <w:rPr>
                      <w:rFonts w:hint="default" w:ascii="Times New Roman" w:hAnsi="Times New Roman" w:eastAsia="宋体" w:cs="Times New Roman"/>
                      <w:b/>
                      <w:bCs/>
                      <w:color w:val="000000" w:themeColor="text1"/>
                      <w:sz w:val="21"/>
                      <w:szCs w:val="21"/>
                      <w14:textFill>
                        <w14:solidFill>
                          <w14:schemeClr w14:val="tx1"/>
                        </w14:solidFill>
                      </w14:textFill>
                    </w:rPr>
                    <w:t>（</w:t>
                  </w:r>
                  <w:r>
                    <w:rPr>
                      <w:rFonts w:hint="default" w:ascii="Times New Roman" w:hAnsi="Times New Roman" w:cs="Times New Roman"/>
                      <w:b/>
                      <w:bCs/>
                      <w:color w:val="000000" w:themeColor="text1"/>
                      <w:sz w:val="21"/>
                      <w:szCs w:val="21"/>
                      <w:lang w:eastAsia="zh-CN"/>
                      <w14:textFill>
                        <w14:solidFill>
                          <w14:schemeClr w14:val="tx1"/>
                        </w14:solidFill>
                      </w14:textFill>
                    </w:rPr>
                    <w:t>万吨</w:t>
                  </w:r>
                  <w:r>
                    <w:rPr>
                      <w:rFonts w:hint="default" w:ascii="Times New Roman" w:hAnsi="Times New Roman" w:eastAsia="宋体" w:cs="Times New Roman"/>
                      <w:b/>
                      <w:bCs/>
                      <w:color w:val="000000" w:themeColor="text1"/>
                      <w:sz w:val="21"/>
                      <w:szCs w:val="21"/>
                      <w:lang w:val="en-GB"/>
                      <w14:textFill>
                        <w14:solidFill>
                          <w14:schemeClr w14:val="tx1"/>
                        </w14:solidFill>
                      </w14:textFill>
                    </w:rPr>
                    <w:t>/a</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952" w:type="pct"/>
                  <w:noWrap w:val="0"/>
                  <w:vAlign w:val="center"/>
                </w:tcPr>
                <w:p w14:paraId="1BCEF9A9">
                  <w:pPr>
                    <w:pStyle w:val="6"/>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备注</w:t>
                  </w:r>
                </w:p>
              </w:tc>
            </w:tr>
            <w:tr w14:paraId="45EDCD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10" w:type="pct"/>
                  <w:tcBorders>
                    <w:right w:val="single" w:color="auto" w:sz="4" w:space="0"/>
                  </w:tcBorders>
                  <w:noWrap w:val="0"/>
                  <w:vAlign w:val="center"/>
                </w:tcPr>
                <w:p w14:paraId="3C4D4D29">
                  <w:pPr>
                    <w:pStyle w:val="6"/>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385" w:type="pct"/>
                  <w:tcBorders>
                    <w:left w:val="single" w:color="auto" w:sz="4" w:space="0"/>
                  </w:tcBorders>
                  <w:noWrap w:val="0"/>
                  <w:vAlign w:val="center"/>
                </w:tcPr>
                <w:p w14:paraId="774500CE">
                  <w:pPr>
                    <w:pStyle w:val="6"/>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石英矿</w:t>
                  </w:r>
                </w:p>
              </w:tc>
              <w:tc>
                <w:tcPr>
                  <w:tcW w:w="1951" w:type="pct"/>
                  <w:noWrap w:val="0"/>
                  <w:vAlign w:val="center"/>
                </w:tcPr>
                <w:p w14:paraId="277E325D">
                  <w:pPr>
                    <w:pStyle w:val="6"/>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40</w:t>
                  </w:r>
                </w:p>
              </w:tc>
              <w:tc>
                <w:tcPr>
                  <w:tcW w:w="952" w:type="pct"/>
                  <w:tcBorders>
                    <w:left w:val="single" w:color="auto" w:sz="4" w:space="0"/>
                  </w:tcBorders>
                  <w:noWrap w:val="0"/>
                  <w:vAlign w:val="center"/>
                </w:tcPr>
                <w:p w14:paraId="05A01862">
                  <w:pPr>
                    <w:pStyle w:val="6"/>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bl>
          <w:p w14:paraId="653AE50D">
            <w:pPr>
              <w:keepNext w:val="0"/>
              <w:keepLines w:val="0"/>
              <w:pageBreakBefore w:val="0"/>
              <w:widowControl w:val="0"/>
              <w:kinsoku/>
              <w:wordWrap/>
              <w:overflowPunct/>
              <w:topLinePunct w:val="0"/>
              <w:autoSpaceDE/>
              <w:autoSpaceDN/>
              <w:bidi w:val="0"/>
              <w:adjustRightInd w:val="0"/>
              <w:snapToGrid w:val="0"/>
              <w:spacing w:before="157" w:beforeLines="50"/>
              <w:ind w:firstLine="422"/>
              <w:textAlignment w:val="auto"/>
              <w:rPr>
                <w:rFonts w:hint="default" w:ascii="Times New Roman" w:hAnsi="Times New Roman" w:eastAsia="宋体" w:cs="Times New Roman"/>
                <w:b/>
                <w:color w:val="000000" w:themeColor="text1"/>
                <w:kern w:val="0"/>
                <w:sz w:val="24"/>
                <w:szCs w:val="24"/>
                <w14:textFill>
                  <w14:solidFill>
                    <w14:schemeClr w14:val="tx1"/>
                  </w14:solidFill>
                </w14:textFill>
              </w:rPr>
            </w:pPr>
            <w:r>
              <w:rPr>
                <w:rFonts w:hint="default" w:ascii="Times New Roman" w:hAnsi="Times New Roman" w:eastAsia="宋体" w:cs="Times New Roman"/>
                <w:b/>
                <w:color w:val="000000" w:themeColor="text1"/>
                <w:kern w:val="0"/>
                <w:sz w:val="24"/>
                <w:szCs w:val="24"/>
                <w:lang w:val="en-US" w:eastAsia="zh-CN"/>
                <w14:textFill>
                  <w14:solidFill>
                    <w14:schemeClr w14:val="tx1"/>
                  </w14:solidFill>
                </w14:textFill>
              </w:rPr>
              <w:t>5</w:t>
            </w:r>
            <w:r>
              <w:rPr>
                <w:rFonts w:hint="default" w:ascii="Times New Roman" w:hAnsi="Times New Roman" w:eastAsia="宋体" w:cs="Times New Roman"/>
                <w:b/>
                <w:color w:val="000000" w:themeColor="text1"/>
                <w:kern w:val="0"/>
                <w:sz w:val="24"/>
                <w:szCs w:val="24"/>
                <w14:textFill>
                  <w14:solidFill>
                    <w14:schemeClr w14:val="tx1"/>
                  </w14:solidFill>
                </w14:textFill>
              </w:rPr>
              <w:t>、主要原辅材料</w:t>
            </w:r>
          </w:p>
          <w:p w14:paraId="4D960AB6">
            <w:pPr>
              <w:adjustRightInd w:val="0"/>
              <w:snapToGrid w:val="0"/>
              <w:ind w:firstLine="42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项目矿山爆破委托专业的民爆公司，爆破过程原辅材料用量如下表所示，矿区不设爆破材料库，爆破物料不进行暂存。</w:t>
            </w:r>
          </w:p>
          <w:p w14:paraId="5550A0ED">
            <w:pPr>
              <w:spacing w:line="240" w:lineRule="auto"/>
              <w:ind w:firstLine="422"/>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14:textFill>
                  <w14:solidFill>
                    <w14:schemeClr w14:val="tx1"/>
                  </w14:solidFill>
                </w14:textFill>
              </w:rPr>
              <w:t>主要原辅材料消耗量一览表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657"/>
              <w:gridCol w:w="1501"/>
              <w:gridCol w:w="1221"/>
              <w:gridCol w:w="1310"/>
              <w:gridCol w:w="3555"/>
            </w:tblGrid>
            <w:tr w14:paraId="383B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398" w:type="pct"/>
                  <w:tcBorders>
                    <w:tl2br w:val="nil"/>
                    <w:tr2bl w:val="nil"/>
                  </w:tcBorders>
                  <w:shd w:val="clear" w:color="auto" w:fill="FFFFFF" w:themeFill="background1"/>
                  <w:vAlign w:val="center"/>
                </w:tcPr>
                <w:p w14:paraId="73CA704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910" w:type="pct"/>
                  <w:tcBorders>
                    <w:tl2br w:val="nil"/>
                    <w:tr2bl w:val="nil"/>
                  </w:tcBorders>
                  <w:shd w:val="clear" w:color="auto" w:fill="FFFFFF" w:themeFill="background1"/>
                  <w:vAlign w:val="center"/>
                </w:tcPr>
                <w:p w14:paraId="611E9F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名称</w:t>
                  </w:r>
                </w:p>
              </w:tc>
              <w:tc>
                <w:tcPr>
                  <w:tcW w:w="740" w:type="pct"/>
                  <w:tcBorders>
                    <w:tl2br w:val="nil"/>
                    <w:tr2bl w:val="nil"/>
                  </w:tcBorders>
                  <w:shd w:val="clear" w:color="auto" w:fill="FFFFFF" w:themeFill="background1"/>
                  <w:vAlign w:val="center"/>
                </w:tcPr>
                <w:p w14:paraId="443474F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单位</w:t>
                  </w:r>
                </w:p>
              </w:tc>
              <w:tc>
                <w:tcPr>
                  <w:tcW w:w="794" w:type="pct"/>
                  <w:tcBorders>
                    <w:tl2br w:val="nil"/>
                    <w:tr2bl w:val="nil"/>
                  </w:tcBorders>
                  <w:shd w:val="clear" w:color="auto" w:fill="FFFFFF" w:themeFill="background1"/>
                  <w:vAlign w:val="center"/>
                </w:tcPr>
                <w:p w14:paraId="6581EC3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用量</w:t>
                  </w:r>
                </w:p>
              </w:tc>
              <w:tc>
                <w:tcPr>
                  <w:tcW w:w="2155" w:type="pct"/>
                  <w:tcBorders>
                    <w:tl2br w:val="nil"/>
                    <w:tr2bl w:val="nil"/>
                  </w:tcBorders>
                  <w:shd w:val="clear" w:color="auto" w:fill="FFFFFF" w:themeFill="background1"/>
                  <w:vAlign w:val="center"/>
                </w:tcPr>
                <w:p w14:paraId="232AD08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备注</w:t>
                  </w:r>
                </w:p>
              </w:tc>
            </w:tr>
            <w:tr w14:paraId="1786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shd w:val="clear" w:color="auto" w:fill="FFFFFF" w:themeFill="background1"/>
                  <w:vAlign w:val="center"/>
                </w:tcPr>
                <w:p w14:paraId="0122297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910" w:type="pct"/>
                  <w:tcBorders>
                    <w:tl2br w:val="nil"/>
                    <w:tr2bl w:val="nil"/>
                  </w:tcBorders>
                  <w:shd w:val="clear" w:color="auto" w:fill="FFFFFF" w:themeFill="background1"/>
                  <w:vAlign w:val="center"/>
                </w:tcPr>
                <w:p w14:paraId="7091F47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乳化炸药</w:t>
                  </w:r>
                </w:p>
              </w:tc>
              <w:tc>
                <w:tcPr>
                  <w:tcW w:w="740" w:type="pct"/>
                  <w:tcBorders>
                    <w:tl2br w:val="nil"/>
                    <w:tr2bl w:val="nil"/>
                  </w:tcBorders>
                  <w:shd w:val="clear" w:color="auto" w:fill="FFFFFF" w:themeFill="background1"/>
                  <w:vAlign w:val="center"/>
                </w:tcPr>
                <w:p w14:paraId="3A165D3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794" w:type="pct"/>
                  <w:tcBorders>
                    <w:tl2br w:val="nil"/>
                    <w:tr2bl w:val="nil"/>
                  </w:tcBorders>
                  <w:shd w:val="clear" w:color="auto" w:fill="FFFFFF" w:themeFill="background1"/>
                  <w:vAlign w:val="center"/>
                </w:tcPr>
                <w:p w14:paraId="0CB6917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2155" w:type="pct"/>
                  <w:vMerge w:val="restart"/>
                  <w:tcBorders>
                    <w:tl2br w:val="nil"/>
                    <w:tr2bl w:val="nil"/>
                  </w:tcBorders>
                  <w:shd w:val="clear" w:color="auto" w:fill="FFFFFF" w:themeFill="background1"/>
                  <w:vAlign w:val="center"/>
                </w:tcPr>
                <w:p w14:paraId="54EF55D5">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本项目矿山爆破委托专业的民爆公司，矿区不设爆破材料库，爆破物料不进行暂存</w:t>
                  </w:r>
                </w:p>
              </w:tc>
            </w:tr>
            <w:tr w14:paraId="70E4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98" w:type="pct"/>
                  <w:tcBorders>
                    <w:tl2br w:val="nil"/>
                    <w:tr2bl w:val="nil"/>
                  </w:tcBorders>
                  <w:shd w:val="clear" w:color="auto" w:fill="FFFFFF" w:themeFill="background1"/>
                  <w:vAlign w:val="center"/>
                </w:tcPr>
                <w:p w14:paraId="39AAC34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910" w:type="pct"/>
                  <w:tcBorders>
                    <w:tl2br w:val="nil"/>
                    <w:tr2bl w:val="nil"/>
                  </w:tcBorders>
                  <w:shd w:val="clear" w:color="auto" w:fill="FFFFFF" w:themeFill="background1"/>
                  <w:vAlign w:val="center"/>
                </w:tcPr>
                <w:p w14:paraId="537A533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电雷管</w:t>
                  </w:r>
                </w:p>
              </w:tc>
              <w:tc>
                <w:tcPr>
                  <w:tcW w:w="740" w:type="pct"/>
                  <w:tcBorders>
                    <w:tl2br w:val="nil"/>
                    <w:tr2bl w:val="nil"/>
                  </w:tcBorders>
                  <w:shd w:val="clear" w:color="auto" w:fill="FFFFFF" w:themeFill="background1"/>
                  <w:vAlign w:val="center"/>
                </w:tcPr>
                <w:p w14:paraId="008AFD0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发/a</w:t>
                  </w:r>
                </w:p>
              </w:tc>
              <w:tc>
                <w:tcPr>
                  <w:tcW w:w="794" w:type="pct"/>
                  <w:tcBorders>
                    <w:tl2br w:val="nil"/>
                    <w:tr2bl w:val="nil"/>
                  </w:tcBorders>
                  <w:shd w:val="clear" w:color="auto" w:fill="FFFFFF" w:themeFill="background1"/>
                  <w:vAlign w:val="center"/>
                </w:tcPr>
                <w:p w14:paraId="14DCE40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3200</w:t>
                  </w:r>
                </w:p>
              </w:tc>
              <w:tc>
                <w:tcPr>
                  <w:tcW w:w="2155" w:type="pct"/>
                  <w:vMerge w:val="continue"/>
                  <w:tcBorders>
                    <w:tl2br w:val="nil"/>
                    <w:tr2bl w:val="nil"/>
                  </w:tcBorders>
                  <w:shd w:val="clear" w:color="auto" w:fill="FFFFFF" w:themeFill="background1"/>
                  <w:vAlign w:val="center"/>
                </w:tcPr>
                <w:p w14:paraId="21891EC6">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6864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shd w:val="clear" w:color="auto" w:fill="FFFFFF" w:themeFill="background1"/>
                  <w:vAlign w:val="center"/>
                </w:tcPr>
                <w:p w14:paraId="3018141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910" w:type="pct"/>
                  <w:tcBorders>
                    <w:tl2br w:val="nil"/>
                    <w:tr2bl w:val="nil"/>
                  </w:tcBorders>
                  <w:shd w:val="clear" w:color="auto" w:fill="FFFFFF" w:themeFill="background1"/>
                  <w:vAlign w:val="center"/>
                </w:tcPr>
                <w:p w14:paraId="79BF9A4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导爆管</w:t>
                  </w:r>
                </w:p>
              </w:tc>
              <w:tc>
                <w:tcPr>
                  <w:tcW w:w="740" w:type="pct"/>
                  <w:tcBorders>
                    <w:tl2br w:val="nil"/>
                    <w:tr2bl w:val="nil"/>
                  </w:tcBorders>
                  <w:shd w:val="clear" w:color="auto" w:fill="FFFFFF" w:themeFill="background1"/>
                  <w:vAlign w:val="center"/>
                </w:tcPr>
                <w:p w14:paraId="3D89849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m/a</w:t>
                  </w:r>
                </w:p>
              </w:tc>
              <w:tc>
                <w:tcPr>
                  <w:tcW w:w="794" w:type="pct"/>
                  <w:tcBorders>
                    <w:tl2br w:val="nil"/>
                    <w:tr2bl w:val="nil"/>
                  </w:tcBorders>
                  <w:shd w:val="clear" w:color="auto" w:fill="FFFFFF" w:themeFill="background1"/>
                  <w:vAlign w:val="center"/>
                </w:tcPr>
                <w:p w14:paraId="0BB11E1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22000</w:t>
                  </w:r>
                </w:p>
              </w:tc>
              <w:tc>
                <w:tcPr>
                  <w:tcW w:w="2155" w:type="pct"/>
                  <w:vMerge w:val="continue"/>
                  <w:tcBorders>
                    <w:tl2br w:val="nil"/>
                    <w:tr2bl w:val="nil"/>
                  </w:tcBorders>
                  <w:shd w:val="clear" w:color="auto" w:fill="FFFFFF" w:themeFill="background1"/>
                  <w:vAlign w:val="center"/>
                </w:tcPr>
                <w:p w14:paraId="6A1871FD">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26DD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shd w:val="clear" w:color="auto" w:fill="FFFFFF" w:themeFill="background1"/>
                  <w:vAlign w:val="center"/>
                </w:tcPr>
                <w:p w14:paraId="51E92CB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910" w:type="pct"/>
                  <w:tcBorders>
                    <w:tl2br w:val="nil"/>
                    <w:tr2bl w:val="nil"/>
                  </w:tcBorders>
                  <w:shd w:val="clear" w:color="auto" w:fill="FFFFFF" w:themeFill="background1"/>
                  <w:vAlign w:val="center"/>
                </w:tcPr>
                <w:p w14:paraId="79C3983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柴油</w:t>
                  </w:r>
                </w:p>
              </w:tc>
              <w:tc>
                <w:tcPr>
                  <w:tcW w:w="740" w:type="pct"/>
                  <w:tcBorders>
                    <w:tl2br w:val="nil"/>
                    <w:tr2bl w:val="nil"/>
                  </w:tcBorders>
                  <w:shd w:val="clear" w:color="auto" w:fill="FFFFFF" w:themeFill="background1"/>
                  <w:vAlign w:val="center"/>
                </w:tcPr>
                <w:p w14:paraId="6FDA7ED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794" w:type="pct"/>
                  <w:tcBorders>
                    <w:tl2br w:val="nil"/>
                    <w:tr2bl w:val="nil"/>
                  </w:tcBorders>
                  <w:shd w:val="clear" w:color="auto" w:fill="FFFFFF" w:themeFill="background1"/>
                  <w:vAlign w:val="center"/>
                </w:tcPr>
                <w:p w14:paraId="5347201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18</w:t>
                  </w:r>
                </w:p>
              </w:tc>
              <w:tc>
                <w:tcPr>
                  <w:tcW w:w="2155" w:type="pct"/>
                  <w:tcBorders>
                    <w:tl2br w:val="nil"/>
                    <w:tr2bl w:val="nil"/>
                  </w:tcBorders>
                  <w:shd w:val="clear" w:color="auto" w:fill="FFFFFF" w:themeFill="background1"/>
                  <w:vAlign w:val="center"/>
                </w:tcPr>
                <w:p w14:paraId="7ADA9B5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不设置油库，随用随送</w:t>
                  </w:r>
                </w:p>
              </w:tc>
            </w:tr>
            <w:tr w14:paraId="196E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shd w:val="clear" w:color="auto" w:fill="FFFFFF" w:themeFill="background1"/>
                  <w:vAlign w:val="center"/>
                </w:tcPr>
                <w:p w14:paraId="757F7CE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910" w:type="pct"/>
                  <w:tcBorders>
                    <w:tl2br w:val="nil"/>
                    <w:tr2bl w:val="nil"/>
                  </w:tcBorders>
                  <w:shd w:val="clear" w:color="auto" w:fill="FFFFFF" w:themeFill="background1"/>
                  <w:vAlign w:val="center"/>
                </w:tcPr>
                <w:p w14:paraId="315AACE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机油</w:t>
                  </w:r>
                </w:p>
              </w:tc>
              <w:tc>
                <w:tcPr>
                  <w:tcW w:w="740" w:type="pct"/>
                  <w:tcBorders>
                    <w:tl2br w:val="nil"/>
                    <w:tr2bl w:val="nil"/>
                  </w:tcBorders>
                  <w:shd w:val="clear" w:color="auto" w:fill="FFFFFF" w:themeFill="background1"/>
                  <w:vAlign w:val="center"/>
                </w:tcPr>
                <w:p w14:paraId="695F62E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794" w:type="pct"/>
                  <w:tcBorders>
                    <w:tl2br w:val="nil"/>
                    <w:tr2bl w:val="nil"/>
                  </w:tcBorders>
                  <w:shd w:val="clear" w:color="auto" w:fill="FFFFFF" w:themeFill="background1"/>
                  <w:vAlign w:val="center"/>
                </w:tcPr>
                <w:p w14:paraId="1B32A12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w:t>
                  </w:r>
                </w:p>
              </w:tc>
              <w:tc>
                <w:tcPr>
                  <w:tcW w:w="2155" w:type="pct"/>
                  <w:tcBorders>
                    <w:tl2br w:val="nil"/>
                    <w:tr2bl w:val="nil"/>
                  </w:tcBorders>
                  <w:shd w:val="clear" w:color="auto" w:fill="FFFFFF" w:themeFill="background1"/>
                  <w:vAlign w:val="center"/>
                </w:tcPr>
                <w:p w14:paraId="5992244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，汽运</w:t>
                  </w:r>
                </w:p>
              </w:tc>
            </w:tr>
            <w:tr w14:paraId="2090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shd w:val="clear" w:color="auto" w:fill="FFFFFF" w:themeFill="background1"/>
                  <w:vAlign w:val="center"/>
                </w:tcPr>
                <w:p w14:paraId="35E8B2B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w:t>
                  </w:r>
                </w:p>
              </w:tc>
              <w:tc>
                <w:tcPr>
                  <w:tcW w:w="910" w:type="pct"/>
                  <w:tcBorders>
                    <w:tl2br w:val="nil"/>
                    <w:tr2bl w:val="nil"/>
                  </w:tcBorders>
                  <w:shd w:val="clear" w:color="auto" w:fill="FFFFFF" w:themeFill="background1"/>
                  <w:vAlign w:val="center"/>
                </w:tcPr>
                <w:p w14:paraId="00A7E65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润滑油</w:t>
                  </w:r>
                </w:p>
              </w:tc>
              <w:tc>
                <w:tcPr>
                  <w:tcW w:w="740" w:type="pct"/>
                  <w:tcBorders>
                    <w:tl2br w:val="nil"/>
                    <w:tr2bl w:val="nil"/>
                  </w:tcBorders>
                  <w:shd w:val="clear" w:color="auto" w:fill="FFFFFF" w:themeFill="background1"/>
                  <w:vAlign w:val="center"/>
                </w:tcPr>
                <w:p w14:paraId="054D6BE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794" w:type="pct"/>
                  <w:tcBorders>
                    <w:tl2br w:val="nil"/>
                    <w:tr2bl w:val="nil"/>
                  </w:tcBorders>
                  <w:shd w:val="clear" w:color="auto" w:fill="FFFFFF" w:themeFill="background1"/>
                  <w:vAlign w:val="center"/>
                </w:tcPr>
                <w:p w14:paraId="12808B5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2.8</w:t>
                  </w:r>
                </w:p>
              </w:tc>
              <w:tc>
                <w:tcPr>
                  <w:tcW w:w="2155" w:type="pct"/>
                  <w:tcBorders>
                    <w:tl2br w:val="nil"/>
                    <w:tr2bl w:val="nil"/>
                  </w:tcBorders>
                  <w:shd w:val="clear" w:color="auto" w:fill="FFFFFF" w:themeFill="background1"/>
                  <w:vAlign w:val="center"/>
                </w:tcPr>
                <w:p w14:paraId="4AD156C8">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外购</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，汽运</w:t>
                  </w:r>
                </w:p>
              </w:tc>
            </w:tr>
            <w:tr w14:paraId="2BE7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shd w:val="clear" w:color="auto" w:fill="FFFFFF" w:themeFill="background1"/>
                  <w:vAlign w:val="center"/>
                </w:tcPr>
                <w:p w14:paraId="68355BC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910" w:type="pct"/>
                  <w:tcBorders>
                    <w:tl2br w:val="nil"/>
                    <w:tr2bl w:val="nil"/>
                  </w:tcBorders>
                  <w:shd w:val="clear" w:color="auto" w:fill="FFFFFF" w:themeFill="background1"/>
                  <w:vAlign w:val="center"/>
                </w:tcPr>
                <w:p w14:paraId="6625621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w:t>
                  </w:r>
                </w:p>
              </w:tc>
              <w:tc>
                <w:tcPr>
                  <w:tcW w:w="740" w:type="pct"/>
                  <w:tcBorders>
                    <w:tl2br w:val="nil"/>
                    <w:tr2bl w:val="nil"/>
                  </w:tcBorders>
                  <w:shd w:val="clear" w:color="auto" w:fill="FFFFFF" w:themeFill="background1"/>
                  <w:vAlign w:val="center"/>
                </w:tcPr>
                <w:p w14:paraId="10AE694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794" w:type="pct"/>
                  <w:tcBorders>
                    <w:tl2br w:val="nil"/>
                    <w:tr2bl w:val="nil"/>
                  </w:tcBorders>
                  <w:shd w:val="clear" w:color="auto" w:fill="FFFFFF" w:themeFill="background1"/>
                  <w:vAlign w:val="center"/>
                </w:tcPr>
                <w:p w14:paraId="7346505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14610</w:t>
                  </w:r>
                </w:p>
              </w:tc>
              <w:tc>
                <w:tcPr>
                  <w:tcW w:w="2155" w:type="pct"/>
                  <w:tcBorders>
                    <w:tl2br w:val="nil"/>
                    <w:tr2bl w:val="nil"/>
                  </w:tcBorders>
                  <w:shd w:val="clear" w:color="auto" w:fill="FFFFFF" w:themeFill="background1"/>
                  <w:vAlign w:val="center"/>
                </w:tcPr>
                <w:p w14:paraId="7F4E4D20">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55F4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shd w:val="clear" w:color="auto" w:fill="FFFFFF" w:themeFill="background1"/>
                  <w:vAlign w:val="center"/>
                </w:tcPr>
                <w:p w14:paraId="1A5E85E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910" w:type="pct"/>
                  <w:tcBorders>
                    <w:tl2br w:val="nil"/>
                    <w:tr2bl w:val="nil"/>
                  </w:tcBorders>
                  <w:shd w:val="clear" w:color="auto" w:fill="FFFFFF" w:themeFill="background1"/>
                  <w:vAlign w:val="center"/>
                </w:tcPr>
                <w:p w14:paraId="40A12F5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w:t>
                  </w:r>
                </w:p>
              </w:tc>
              <w:tc>
                <w:tcPr>
                  <w:tcW w:w="740" w:type="pct"/>
                  <w:tcBorders>
                    <w:tl2br w:val="nil"/>
                    <w:tr2bl w:val="nil"/>
                  </w:tcBorders>
                  <w:shd w:val="clear" w:color="auto" w:fill="FFFFFF" w:themeFill="background1"/>
                  <w:vAlign w:val="center"/>
                </w:tcPr>
                <w:p w14:paraId="4723D99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rPr>
                    <w:t>4</w:t>
                  </w:r>
                  <w:r>
                    <w:rPr>
                      <w:rFonts w:hint="default" w:ascii="Times New Roman" w:hAnsi="Times New Roman" w:eastAsia="宋体" w:cs="Times New Roman"/>
                      <w:color w:val="auto"/>
                      <w:sz w:val="21"/>
                      <w:szCs w:val="21"/>
                      <w:highlight w:val="none"/>
                    </w:rPr>
                    <w:t>kWh</w:t>
                  </w:r>
                </w:p>
              </w:tc>
              <w:tc>
                <w:tcPr>
                  <w:tcW w:w="794" w:type="pct"/>
                  <w:tcBorders>
                    <w:tl2br w:val="nil"/>
                    <w:tr2bl w:val="nil"/>
                  </w:tcBorders>
                  <w:shd w:val="clear" w:color="auto" w:fill="FFFFFF" w:themeFill="background1"/>
                  <w:vAlign w:val="center"/>
                </w:tcPr>
                <w:p w14:paraId="3AC70A4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2155" w:type="pct"/>
                  <w:tcBorders>
                    <w:tl2br w:val="nil"/>
                    <w:tr2bl w:val="nil"/>
                  </w:tcBorders>
                  <w:shd w:val="clear" w:color="auto" w:fill="FFFFFF" w:themeFill="background1"/>
                  <w:vAlign w:val="center"/>
                </w:tcPr>
                <w:p w14:paraId="4E07CB57">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14:paraId="666765E4">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ind w:left="57" w:leftChars="0" w:firstLine="420" w:firstLineChars="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6、</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主要</w:t>
            </w:r>
            <w:r>
              <w:rPr>
                <w:rFonts w:hint="default" w:ascii="Times New Roman" w:hAnsi="Times New Roman" w:eastAsia="宋体" w:cs="Times New Roman"/>
                <w:b/>
                <w:bCs/>
                <w:color w:val="000000" w:themeColor="text1"/>
                <w:sz w:val="24"/>
                <w:szCs w:val="24"/>
                <w14:textFill>
                  <w14:solidFill>
                    <w14:schemeClr w14:val="tx1"/>
                  </w14:solidFill>
                </w14:textFill>
              </w:rPr>
              <w:t>设备</w:t>
            </w:r>
          </w:p>
          <w:p w14:paraId="6DB7310E">
            <w:pPr>
              <w:spacing w:line="240" w:lineRule="auto"/>
              <w:ind w:firstLine="422"/>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7主要</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设备一览表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854"/>
              <w:gridCol w:w="779"/>
              <w:gridCol w:w="1642"/>
              <w:gridCol w:w="3626"/>
              <w:gridCol w:w="1343"/>
            </w:tblGrid>
            <w:tr w14:paraId="1F79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3" w:hRule="atLeast"/>
                <w:jc w:val="center"/>
              </w:trPr>
              <w:tc>
                <w:tcPr>
                  <w:tcW w:w="518"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8E29C6C">
                  <w:pPr>
                    <w:pStyle w:val="54"/>
                    <w:spacing w:line="240" w:lineRule="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项目</w:t>
                  </w:r>
                </w:p>
              </w:tc>
              <w:tc>
                <w:tcPr>
                  <w:tcW w:w="47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E139AB0">
                  <w:pPr>
                    <w:pStyle w:val="54"/>
                    <w:spacing w:line="240" w:lineRule="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995" w:type="pct"/>
                  <w:tcBorders>
                    <w:top w:val="single" w:color="auto" w:sz="4" w:space="0"/>
                    <w:left w:val="nil"/>
                    <w:bottom w:val="single" w:color="auto" w:sz="4" w:space="0"/>
                    <w:right w:val="single" w:color="auto" w:sz="4" w:space="0"/>
                  </w:tcBorders>
                  <w:shd w:val="clear" w:color="auto" w:fill="FFFFFF" w:themeFill="background1"/>
                  <w:vAlign w:val="center"/>
                </w:tcPr>
                <w:p w14:paraId="4452CDDC">
                  <w:pPr>
                    <w:pStyle w:val="54"/>
                    <w:spacing w:line="240" w:lineRule="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6B764988">
                  <w:pPr>
                    <w:pStyle w:val="54"/>
                    <w:spacing w:line="240" w:lineRule="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规格型号</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35C461B0">
                  <w:pPr>
                    <w:pStyle w:val="54"/>
                    <w:spacing w:line="240" w:lineRule="auto"/>
                    <w:rPr>
                      <w:rFonts w:hint="default" w:ascii="Times New Roman" w:hAnsi="Times New Roman" w:eastAsia="宋体" w:cs="Times New Roman"/>
                      <w:b/>
                      <w:bCs/>
                      <w:color w:val="000000" w:themeColor="text1"/>
                      <w:sz w:val="21"/>
                      <w:szCs w:val="21"/>
                      <w:lang w:val="en-US"/>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设备</w:t>
                  </w:r>
                </w:p>
              </w:tc>
            </w:tr>
            <w:tr w14:paraId="08706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18" w:type="pct"/>
                  <w:vMerge w:val="restart"/>
                  <w:tcBorders>
                    <w:top w:val="nil"/>
                    <w:left w:val="single" w:color="auto" w:sz="4" w:space="0"/>
                    <w:right w:val="single" w:color="auto" w:sz="4" w:space="0"/>
                  </w:tcBorders>
                  <w:shd w:val="clear" w:color="auto" w:fill="FFFFFF" w:themeFill="background1"/>
                  <w:vAlign w:val="center"/>
                </w:tcPr>
                <w:p w14:paraId="6A8FF1CF">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采矿区</w:t>
                  </w:r>
                </w:p>
              </w:tc>
              <w:tc>
                <w:tcPr>
                  <w:tcW w:w="472" w:type="pct"/>
                  <w:tcBorders>
                    <w:top w:val="nil"/>
                    <w:left w:val="single" w:color="auto" w:sz="4" w:space="0"/>
                    <w:bottom w:val="single" w:color="auto" w:sz="4" w:space="0"/>
                    <w:right w:val="single" w:color="auto" w:sz="4" w:space="0"/>
                  </w:tcBorders>
                  <w:shd w:val="clear" w:color="auto" w:fill="FFFFFF" w:themeFill="background1"/>
                  <w:vAlign w:val="center"/>
                </w:tcPr>
                <w:p w14:paraId="2E9ADE03">
                  <w:pPr>
                    <w:pStyle w:val="54"/>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995" w:type="pct"/>
                  <w:tcBorders>
                    <w:top w:val="nil"/>
                    <w:left w:val="nil"/>
                    <w:bottom w:val="single" w:color="auto" w:sz="4" w:space="0"/>
                    <w:right w:val="single" w:color="auto" w:sz="4" w:space="0"/>
                  </w:tcBorders>
                  <w:shd w:val="clear" w:color="auto" w:fill="FFFFFF" w:themeFill="background1"/>
                  <w:vAlign w:val="center"/>
                </w:tcPr>
                <w:p w14:paraId="0E0C88A6">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潜孔钻</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机</w:t>
                  </w: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4562A4B9">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JK590BC-3AW型孔径Φ105mm，自带捕尘装置</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0B5319D5">
                  <w:pPr>
                    <w:pStyle w:val="54"/>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台</w:t>
                  </w:r>
                </w:p>
              </w:tc>
            </w:tr>
            <w:tr w14:paraId="5B94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18" w:type="pct"/>
                  <w:vMerge w:val="continue"/>
                  <w:tcBorders>
                    <w:left w:val="single" w:color="auto" w:sz="4" w:space="0"/>
                    <w:right w:val="single" w:color="auto" w:sz="4" w:space="0"/>
                  </w:tcBorders>
                  <w:shd w:val="clear" w:color="auto" w:fill="FFFFFF" w:themeFill="background1"/>
                  <w:vAlign w:val="center"/>
                </w:tcPr>
                <w:p w14:paraId="223CEF3B">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72" w:type="pct"/>
                  <w:tcBorders>
                    <w:top w:val="nil"/>
                    <w:left w:val="single" w:color="auto" w:sz="4" w:space="0"/>
                    <w:bottom w:val="single" w:color="auto" w:sz="4" w:space="0"/>
                    <w:right w:val="single" w:color="auto" w:sz="4" w:space="0"/>
                  </w:tcBorders>
                  <w:shd w:val="clear" w:color="auto" w:fill="FFFFFF" w:themeFill="background1"/>
                  <w:vAlign w:val="center"/>
                </w:tcPr>
                <w:p w14:paraId="057B8848">
                  <w:pPr>
                    <w:pStyle w:val="54"/>
                    <w:spacing w:line="240" w:lineRule="auto"/>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995" w:type="pct"/>
                  <w:tcBorders>
                    <w:top w:val="nil"/>
                    <w:left w:val="nil"/>
                    <w:bottom w:val="single" w:color="auto" w:sz="4" w:space="0"/>
                    <w:right w:val="single" w:color="auto" w:sz="4" w:space="0"/>
                  </w:tcBorders>
                  <w:shd w:val="clear" w:color="auto" w:fill="FFFFFF" w:themeFill="background1"/>
                  <w:vAlign w:val="center"/>
                </w:tcPr>
                <w:p w14:paraId="19DB2E7D">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手持凿岩机</w:t>
                  </w: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796B6297">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YT-28</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38548579">
                  <w:pPr>
                    <w:pStyle w:val="54"/>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2台</w:t>
                  </w:r>
                </w:p>
              </w:tc>
            </w:tr>
            <w:tr w14:paraId="3A22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18" w:type="pct"/>
                  <w:vMerge w:val="continue"/>
                  <w:tcBorders>
                    <w:left w:val="single" w:color="auto" w:sz="4" w:space="0"/>
                    <w:right w:val="single" w:color="auto" w:sz="4" w:space="0"/>
                  </w:tcBorders>
                  <w:shd w:val="clear" w:color="auto" w:fill="FFFFFF" w:themeFill="background1"/>
                  <w:vAlign w:val="center"/>
                </w:tcPr>
                <w:p w14:paraId="00FAFC42">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72" w:type="pct"/>
                  <w:vMerge w:val="restart"/>
                  <w:tcBorders>
                    <w:top w:val="nil"/>
                    <w:left w:val="single" w:color="auto" w:sz="4" w:space="0"/>
                    <w:right w:val="single" w:color="auto" w:sz="4" w:space="0"/>
                  </w:tcBorders>
                  <w:shd w:val="clear" w:color="auto" w:fill="FFFFFF" w:themeFill="background1"/>
                  <w:vAlign w:val="center"/>
                </w:tcPr>
                <w:p w14:paraId="424577E2">
                  <w:pPr>
                    <w:pStyle w:val="54"/>
                    <w:spacing w:line="240" w:lineRule="auto"/>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995" w:type="pct"/>
                  <w:vMerge w:val="restart"/>
                  <w:tcBorders>
                    <w:top w:val="nil"/>
                    <w:left w:val="nil"/>
                    <w:right w:val="single" w:color="auto" w:sz="4" w:space="0"/>
                  </w:tcBorders>
                  <w:shd w:val="clear" w:color="auto" w:fill="FFFFFF" w:themeFill="background1"/>
                  <w:vAlign w:val="center"/>
                </w:tcPr>
                <w:p w14:paraId="62776DBD">
                  <w:pPr>
                    <w:pStyle w:val="54"/>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履带式</w:t>
                  </w:r>
                  <w:r>
                    <w:rPr>
                      <w:rFonts w:hint="default" w:ascii="Times New Roman" w:hAnsi="Times New Roman" w:eastAsia="宋体" w:cs="Times New Roman"/>
                      <w:color w:val="000000" w:themeColor="text1"/>
                      <w:sz w:val="21"/>
                      <w:szCs w:val="21"/>
                      <w14:textFill>
                        <w14:solidFill>
                          <w14:schemeClr w14:val="tx1"/>
                        </w14:solidFill>
                      </w14:textFill>
                    </w:rPr>
                    <w:t>挖掘机</w:t>
                  </w: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461932CF">
                  <w:pPr>
                    <w:keepNext w:val="0"/>
                    <w:keepLines w:val="0"/>
                    <w:pageBreakBefore w:val="0"/>
                    <w:widowControl w:val="0"/>
                    <w:kinsoku/>
                    <w:wordWrap/>
                    <w:overflowPunct/>
                    <w:topLinePunct w:val="0"/>
                    <w:autoSpaceDE/>
                    <w:autoSpaceDN/>
                    <w:bidi w:val="0"/>
                    <w:adjustRightInd/>
                    <w:snapToGrid/>
                    <w:spacing w:beforeLines="0" w:afterLines="-2147483648"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ZX450H型</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斗容：1.9m³</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5372F1CB">
                  <w:pPr>
                    <w:pStyle w:val="54"/>
                    <w:spacing w:line="240" w:lineRule="auto"/>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台</w:t>
                  </w:r>
                </w:p>
              </w:tc>
            </w:tr>
            <w:tr w14:paraId="17F2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18" w:type="pct"/>
                  <w:vMerge w:val="continue"/>
                  <w:tcBorders>
                    <w:left w:val="single" w:color="auto" w:sz="4" w:space="0"/>
                    <w:right w:val="single" w:color="auto" w:sz="4" w:space="0"/>
                  </w:tcBorders>
                  <w:shd w:val="clear" w:color="auto" w:fill="FFFFFF" w:themeFill="background1"/>
                  <w:vAlign w:val="center"/>
                </w:tcPr>
                <w:p w14:paraId="34286E20">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72" w:type="pct"/>
                  <w:vMerge w:val="continue"/>
                  <w:tcBorders>
                    <w:left w:val="single" w:color="auto" w:sz="4" w:space="0"/>
                    <w:bottom w:val="single" w:color="auto" w:sz="4" w:space="0"/>
                    <w:right w:val="single" w:color="auto" w:sz="4" w:space="0"/>
                  </w:tcBorders>
                  <w:shd w:val="clear" w:color="auto" w:fill="FFFFFF" w:themeFill="background1"/>
                  <w:vAlign w:val="center"/>
                </w:tcPr>
                <w:p w14:paraId="7437B120">
                  <w:pPr>
                    <w:pStyle w:val="54"/>
                    <w:spacing w:line="240" w:lineRule="auto"/>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995" w:type="pct"/>
                  <w:vMerge w:val="continue"/>
                  <w:tcBorders>
                    <w:left w:val="nil"/>
                    <w:bottom w:val="single" w:color="auto" w:sz="4" w:space="0"/>
                    <w:right w:val="single" w:color="auto" w:sz="4" w:space="0"/>
                  </w:tcBorders>
                  <w:shd w:val="clear" w:color="auto" w:fill="FFFFFF" w:themeFill="background1"/>
                  <w:vAlign w:val="center"/>
                </w:tcPr>
                <w:p w14:paraId="20301487">
                  <w:pPr>
                    <w:pStyle w:val="54"/>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24CA44A5">
                  <w:pPr>
                    <w:keepNext w:val="0"/>
                    <w:keepLines w:val="0"/>
                    <w:pageBreakBefore w:val="0"/>
                    <w:widowControl w:val="0"/>
                    <w:kinsoku/>
                    <w:wordWrap/>
                    <w:overflowPunct/>
                    <w:topLinePunct w:val="0"/>
                    <w:autoSpaceDE/>
                    <w:autoSpaceDN/>
                    <w:bidi w:val="0"/>
                    <w:adjustRightInd/>
                    <w:snapToGrid/>
                    <w:spacing w:beforeLines="0" w:afterLines="-2147483648"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PC220-8，斗容：1.0m³</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513018F5">
                  <w:pPr>
                    <w:pStyle w:val="54"/>
                    <w:spacing w:line="240" w:lineRule="auto"/>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台</w:t>
                  </w:r>
                </w:p>
              </w:tc>
            </w:tr>
            <w:tr w14:paraId="3D48E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18" w:type="pct"/>
                  <w:vMerge w:val="continue"/>
                  <w:tcBorders>
                    <w:left w:val="single" w:color="auto" w:sz="4" w:space="0"/>
                    <w:right w:val="single" w:color="auto" w:sz="4" w:space="0"/>
                  </w:tcBorders>
                  <w:shd w:val="clear" w:color="auto" w:fill="FFFFFF" w:themeFill="background1"/>
                  <w:vAlign w:val="center"/>
                </w:tcPr>
                <w:p w14:paraId="1182D0E4">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72" w:type="pct"/>
                  <w:tcBorders>
                    <w:top w:val="nil"/>
                    <w:left w:val="single" w:color="auto" w:sz="4" w:space="0"/>
                    <w:bottom w:val="single" w:color="auto" w:sz="4" w:space="0"/>
                    <w:right w:val="single" w:color="auto" w:sz="4" w:space="0"/>
                  </w:tcBorders>
                  <w:shd w:val="clear" w:color="auto" w:fill="FFFFFF" w:themeFill="background1"/>
                  <w:vAlign w:val="center"/>
                </w:tcPr>
                <w:p w14:paraId="3384B886">
                  <w:pPr>
                    <w:pStyle w:val="54"/>
                    <w:spacing w:line="240" w:lineRule="auto"/>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995" w:type="pct"/>
                  <w:tcBorders>
                    <w:top w:val="nil"/>
                    <w:left w:val="nil"/>
                    <w:bottom w:val="single" w:color="auto" w:sz="4" w:space="0"/>
                    <w:right w:val="single" w:color="auto" w:sz="4" w:space="0"/>
                  </w:tcBorders>
                  <w:shd w:val="clear" w:color="auto" w:fill="FFFFFF" w:themeFill="background1"/>
                  <w:vAlign w:val="center"/>
                </w:tcPr>
                <w:p w14:paraId="5EBF6442">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自卸汽车</w:t>
                  </w: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3F904070">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UQ-20（额定载重20t）</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53317F1B">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辆</w:t>
                  </w:r>
                </w:p>
              </w:tc>
            </w:tr>
            <w:tr w14:paraId="7A8C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18" w:type="pct"/>
                  <w:vMerge w:val="continue"/>
                  <w:tcBorders>
                    <w:left w:val="single" w:color="auto" w:sz="4" w:space="0"/>
                    <w:right w:val="single" w:color="auto" w:sz="4" w:space="0"/>
                  </w:tcBorders>
                  <w:shd w:val="clear" w:color="auto" w:fill="FFFFFF" w:themeFill="background1"/>
                  <w:vAlign w:val="center"/>
                </w:tcPr>
                <w:p w14:paraId="6867D34A">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72" w:type="pct"/>
                  <w:tcBorders>
                    <w:top w:val="nil"/>
                    <w:left w:val="single" w:color="auto" w:sz="4" w:space="0"/>
                    <w:bottom w:val="single" w:color="auto" w:sz="4" w:space="0"/>
                    <w:right w:val="single" w:color="auto" w:sz="4" w:space="0"/>
                  </w:tcBorders>
                  <w:shd w:val="clear" w:color="auto" w:fill="FFFFFF" w:themeFill="background1"/>
                  <w:vAlign w:val="center"/>
                </w:tcPr>
                <w:p w14:paraId="5A773907">
                  <w:pPr>
                    <w:pStyle w:val="54"/>
                    <w:spacing w:line="240" w:lineRule="auto"/>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t>5</w:t>
                  </w:r>
                </w:p>
              </w:tc>
              <w:tc>
                <w:tcPr>
                  <w:tcW w:w="995" w:type="pct"/>
                  <w:tcBorders>
                    <w:top w:val="nil"/>
                    <w:left w:val="nil"/>
                    <w:bottom w:val="single" w:color="auto" w:sz="4" w:space="0"/>
                    <w:right w:val="single" w:color="auto" w:sz="4" w:space="0"/>
                  </w:tcBorders>
                  <w:shd w:val="clear" w:color="auto" w:fill="FFFFFF" w:themeFill="background1"/>
                  <w:vAlign w:val="center"/>
                </w:tcPr>
                <w:p w14:paraId="5EAA9FDA">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空压机</w:t>
                  </w: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4746C1CB">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10-13型</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48F4DA66">
                  <w:pPr>
                    <w:pStyle w:val="54"/>
                    <w:spacing w:line="240" w:lineRule="auto"/>
                    <w:ind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台</w:t>
                  </w:r>
                </w:p>
              </w:tc>
            </w:tr>
            <w:tr w14:paraId="3567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18" w:type="pct"/>
                  <w:vMerge w:val="continue"/>
                  <w:tcBorders>
                    <w:left w:val="single" w:color="auto" w:sz="4" w:space="0"/>
                    <w:right w:val="single" w:color="auto" w:sz="4" w:space="0"/>
                  </w:tcBorders>
                  <w:shd w:val="clear" w:color="auto" w:fill="FFFFFF" w:themeFill="background1"/>
                  <w:vAlign w:val="center"/>
                </w:tcPr>
                <w:p w14:paraId="090E6F78">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7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AE86526">
                  <w:pPr>
                    <w:pStyle w:val="54"/>
                    <w:spacing w:line="240" w:lineRule="auto"/>
                    <w:ind w:firstLine="0" w:firstLineChars="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w:t>
                  </w:r>
                </w:p>
              </w:tc>
              <w:tc>
                <w:tcPr>
                  <w:tcW w:w="995" w:type="pct"/>
                  <w:tcBorders>
                    <w:top w:val="single" w:color="auto" w:sz="4" w:space="0"/>
                    <w:left w:val="nil"/>
                    <w:bottom w:val="single" w:color="auto" w:sz="4" w:space="0"/>
                    <w:right w:val="single" w:color="auto" w:sz="4" w:space="0"/>
                  </w:tcBorders>
                  <w:shd w:val="clear" w:color="auto" w:fill="FFFFFF" w:themeFill="background1"/>
                  <w:vAlign w:val="center"/>
                </w:tcPr>
                <w:p w14:paraId="7D353055">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洒水车</w:t>
                  </w: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50E1375E">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3A2F68D5">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1台</w:t>
                  </w:r>
                </w:p>
              </w:tc>
            </w:tr>
            <w:tr w14:paraId="552F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18" w:type="pct"/>
                  <w:vMerge w:val="continue"/>
                  <w:tcBorders>
                    <w:left w:val="single" w:color="auto" w:sz="4" w:space="0"/>
                    <w:bottom w:val="single" w:color="auto" w:sz="4" w:space="0"/>
                    <w:right w:val="single" w:color="auto" w:sz="4" w:space="0"/>
                  </w:tcBorders>
                  <w:shd w:val="clear" w:color="auto" w:fill="FFFFFF" w:themeFill="background1"/>
                  <w:vAlign w:val="center"/>
                </w:tcPr>
                <w:p w14:paraId="4ED87262">
                  <w:pPr>
                    <w:pStyle w:val="54"/>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7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2B54F56">
                  <w:pPr>
                    <w:pStyle w:val="54"/>
                    <w:spacing w:line="240" w:lineRule="auto"/>
                    <w:ind w:firstLine="0" w:firstLineChars="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995" w:type="pct"/>
                  <w:tcBorders>
                    <w:top w:val="single" w:color="auto" w:sz="4" w:space="0"/>
                    <w:left w:val="nil"/>
                    <w:bottom w:val="single" w:color="auto" w:sz="4" w:space="0"/>
                    <w:right w:val="single" w:color="auto" w:sz="4" w:space="0"/>
                  </w:tcBorders>
                  <w:shd w:val="clear" w:color="auto" w:fill="FFFFFF" w:themeFill="background1"/>
                  <w:vAlign w:val="center"/>
                </w:tcPr>
                <w:p w14:paraId="2AE5CE14">
                  <w:pPr>
                    <w:pStyle w:val="54"/>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喷雾设施</w:t>
                  </w:r>
                </w:p>
              </w:tc>
              <w:tc>
                <w:tcPr>
                  <w:tcW w:w="2198" w:type="pct"/>
                  <w:tcBorders>
                    <w:top w:val="single" w:color="auto" w:sz="4" w:space="0"/>
                    <w:left w:val="nil"/>
                    <w:bottom w:val="single" w:color="auto" w:sz="4" w:space="0"/>
                    <w:right w:val="single" w:color="auto" w:sz="4" w:space="0"/>
                  </w:tcBorders>
                  <w:shd w:val="clear" w:color="auto" w:fill="FFFFFF" w:themeFill="background1"/>
                  <w:vAlign w:val="center"/>
                </w:tcPr>
                <w:p w14:paraId="66543113">
                  <w:pPr>
                    <w:pStyle w:val="54"/>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814" w:type="pct"/>
                  <w:tcBorders>
                    <w:top w:val="single" w:color="auto" w:sz="4" w:space="0"/>
                    <w:left w:val="nil"/>
                    <w:bottom w:val="single" w:color="auto" w:sz="4" w:space="0"/>
                    <w:right w:val="single" w:color="auto" w:sz="4" w:space="0"/>
                  </w:tcBorders>
                  <w:shd w:val="clear" w:color="auto" w:fill="FFFFFF" w:themeFill="background1"/>
                  <w:vAlign w:val="center"/>
                </w:tcPr>
                <w:p w14:paraId="07092294">
                  <w:pPr>
                    <w:pStyle w:val="54"/>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2台</w:t>
                  </w:r>
                </w:p>
              </w:tc>
            </w:tr>
          </w:tbl>
          <w:p w14:paraId="2B09BC4A">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ind w:left="57" w:leftChars="0" w:firstLine="420" w:firstLineChars="0"/>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、公用工程</w:t>
            </w:r>
          </w:p>
          <w:p w14:paraId="66B33509">
            <w:pPr>
              <w:pStyle w:val="51"/>
              <w:numPr>
                <w:ilvl w:val="0"/>
                <w:numId w:val="0"/>
              </w:numPr>
              <w:ind w:leftChars="200"/>
              <w:rPr>
                <w:rFonts w:hint="default" w:ascii="Times New Roman" w:hAnsi="Times New Roman" w:eastAsia="宋体" w:cs="Times New Roman"/>
                <w:b w:val="0"/>
                <w:bCs w:val="0"/>
                <w:color w:val="000000" w:themeColor="text1"/>
                <w:kern w:val="2"/>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2"/>
                <w:sz w:val="24"/>
                <w:szCs w:val="24"/>
                <w14:textFill>
                  <w14:solidFill>
                    <w14:schemeClr w14:val="tx1"/>
                  </w14:solidFill>
                </w14:textFill>
              </w:rPr>
              <w:instrText xml:space="preserve"> = 1 \* GB2 \* MERGEFORMAT </w:instrText>
            </w:r>
            <w:r>
              <w:rPr>
                <w:rFonts w:hint="default" w:ascii="Times New Roman" w:hAnsi="Times New Roman" w:eastAsia="宋体" w:cs="Times New Roman"/>
                <w:b w:val="0"/>
                <w:bCs w:val="0"/>
                <w:color w:val="000000" w:themeColor="text1"/>
                <w:kern w:val="2"/>
                <w:sz w:val="24"/>
                <w:szCs w:val="24"/>
                <w14:textFill>
                  <w14:solidFill>
                    <w14:schemeClr w14:val="tx1"/>
                  </w14:solidFill>
                </w14:textFill>
              </w:rPr>
              <w:fldChar w:fldCharType="separate"/>
            </w:r>
            <w:r>
              <w:rPr>
                <w:rFonts w:hint="default" w:ascii="Times New Roman" w:hAnsi="Times New Roman" w:cs="Times New Roman"/>
                <w:b w:val="0"/>
                <w:bCs w:val="0"/>
                <w:color w:val="000000" w:themeColor="text1"/>
                <w14:textFill>
                  <w14:solidFill>
                    <w14:schemeClr w14:val="tx1"/>
                  </w14:solidFill>
                </w14:textFill>
              </w:rPr>
              <w:t>⑴</w:t>
            </w:r>
            <w:r>
              <w:rPr>
                <w:rFonts w:hint="default" w:ascii="Times New Roman" w:hAnsi="Times New Roman" w:eastAsia="宋体" w:cs="Times New Roman"/>
                <w:b w:val="0"/>
                <w:bCs w:val="0"/>
                <w:color w:val="000000" w:themeColor="text1"/>
                <w:kern w:val="2"/>
                <w:sz w:val="24"/>
                <w:szCs w:val="24"/>
                <w14:textFill>
                  <w14:solidFill>
                    <w14:schemeClr w14:val="tx1"/>
                  </w14:solidFill>
                </w14:textFill>
              </w:rPr>
              <w:fldChar w:fldCharType="end"/>
            </w:r>
            <w:r>
              <w:rPr>
                <w:rFonts w:hint="default" w:ascii="Times New Roman" w:hAnsi="Times New Roman" w:eastAsia="宋体" w:cs="Times New Roman"/>
                <w:b w:val="0"/>
                <w:bCs w:val="0"/>
                <w:color w:val="000000" w:themeColor="text1"/>
                <w:kern w:val="2"/>
                <w:sz w:val="24"/>
                <w:szCs w:val="24"/>
                <w14:textFill>
                  <w14:solidFill>
                    <w14:schemeClr w14:val="tx1"/>
                  </w14:solidFill>
                </w14:textFill>
              </w:rPr>
              <w:t>供电</w:t>
            </w:r>
          </w:p>
          <w:p w14:paraId="0A112051">
            <w:pPr>
              <w:pStyle w:val="51"/>
              <w:ind w:firstLine="420"/>
              <w:rPr>
                <w:rFonts w:hint="default" w:ascii="Times New Roman" w:hAnsi="Times New Roman" w:eastAsia="宋体" w:cs="Times New Roman"/>
                <w:b w:val="0"/>
                <w:bCs w:val="0"/>
                <w:color w:val="auto"/>
                <w:kern w:val="2"/>
                <w:sz w:val="24"/>
                <w:szCs w:val="24"/>
              </w:rPr>
            </w:pPr>
            <w:r>
              <w:rPr>
                <w:rFonts w:hint="default" w:ascii="Times New Roman" w:hAnsi="Times New Roman" w:eastAsia="宋体" w:cs="Times New Roman"/>
                <w:b w:val="0"/>
                <w:bCs w:val="0"/>
                <w:color w:val="auto"/>
                <w:kern w:val="2"/>
                <w:sz w:val="24"/>
                <w:szCs w:val="24"/>
                <w:lang w:val="en-US" w:eastAsia="zh-CN"/>
              </w:rPr>
              <w:t>由麻池村10KV变电所供应，引一路10kv架空专线至场地配电室，可满足矿山生产用电</w:t>
            </w:r>
            <w:r>
              <w:rPr>
                <w:rFonts w:hint="default" w:ascii="Times New Roman" w:hAnsi="Times New Roman" w:eastAsia="宋体" w:cs="Times New Roman"/>
                <w:b w:val="0"/>
                <w:bCs w:val="0"/>
                <w:color w:val="auto"/>
                <w:kern w:val="2"/>
                <w:sz w:val="24"/>
                <w:szCs w:val="24"/>
              </w:rPr>
              <w:t>。</w:t>
            </w:r>
          </w:p>
          <w:p w14:paraId="63DB90D7">
            <w:pPr>
              <w:pStyle w:val="51"/>
              <w:numPr>
                <w:ilvl w:val="0"/>
                <w:numId w:val="0"/>
              </w:numPr>
              <w:ind w:left="480" w:leftChars="0"/>
              <w:rPr>
                <w:rFonts w:hint="default" w:ascii="Times New Roman" w:hAnsi="Times New Roman" w:eastAsia="宋体" w:cs="Times New Roman"/>
                <w:b w:val="0"/>
                <w:bCs w:val="0"/>
                <w:color w:val="000000" w:themeColor="text1"/>
                <w:kern w:val="2"/>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2"/>
                <w:sz w:val="24"/>
                <w:szCs w:val="24"/>
                <w14:textFill>
                  <w14:solidFill>
                    <w14:schemeClr w14:val="tx1"/>
                  </w14:solidFill>
                </w14:textFill>
              </w:rPr>
              <w:instrText xml:space="preserve"> = 2 \* GB2 \* MERGEFORMAT </w:instrText>
            </w:r>
            <w:r>
              <w:rPr>
                <w:rFonts w:hint="default" w:ascii="Times New Roman" w:hAnsi="Times New Roman" w:eastAsia="宋体" w:cs="Times New Roman"/>
                <w:b w:val="0"/>
                <w:bCs w:val="0"/>
                <w:color w:val="000000" w:themeColor="text1"/>
                <w:kern w:val="2"/>
                <w:sz w:val="24"/>
                <w:szCs w:val="24"/>
                <w14:textFill>
                  <w14:solidFill>
                    <w14:schemeClr w14:val="tx1"/>
                  </w14:solidFill>
                </w14:textFill>
              </w:rPr>
              <w:fldChar w:fldCharType="separate"/>
            </w:r>
            <w:r>
              <w:rPr>
                <w:rFonts w:hint="default" w:ascii="Times New Roman" w:hAnsi="Times New Roman" w:cs="Times New Roman"/>
                <w:b w:val="0"/>
                <w:bCs w:val="0"/>
                <w:color w:val="000000" w:themeColor="text1"/>
                <w14:textFill>
                  <w14:solidFill>
                    <w14:schemeClr w14:val="tx1"/>
                  </w14:solidFill>
                </w14:textFill>
              </w:rPr>
              <w:t>⑵</w:t>
            </w:r>
            <w:r>
              <w:rPr>
                <w:rFonts w:hint="default" w:ascii="Times New Roman" w:hAnsi="Times New Roman" w:eastAsia="宋体" w:cs="Times New Roman"/>
                <w:b w:val="0"/>
                <w:bCs w:val="0"/>
                <w:color w:val="000000" w:themeColor="text1"/>
                <w:kern w:val="2"/>
                <w:sz w:val="24"/>
                <w:szCs w:val="24"/>
                <w14:textFill>
                  <w14:solidFill>
                    <w14:schemeClr w14:val="tx1"/>
                  </w14:solidFill>
                </w14:textFill>
              </w:rPr>
              <w:fldChar w:fldCharType="end"/>
            </w:r>
            <w:r>
              <w:rPr>
                <w:rFonts w:hint="default" w:ascii="Times New Roman" w:hAnsi="Times New Roman" w:eastAsia="宋体" w:cs="Times New Roman"/>
                <w:b w:val="0"/>
                <w:bCs w:val="0"/>
                <w:color w:val="000000" w:themeColor="text1"/>
                <w:kern w:val="2"/>
                <w:sz w:val="24"/>
                <w:szCs w:val="24"/>
                <w14:textFill>
                  <w14:solidFill>
                    <w14:schemeClr w14:val="tx1"/>
                  </w14:solidFill>
                </w14:textFill>
              </w:rPr>
              <w:t>给水</w:t>
            </w:r>
          </w:p>
          <w:p w14:paraId="2BC790DA">
            <w:pPr>
              <w:pStyle w:val="51"/>
              <w:ind w:firstLine="42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kern w:val="2"/>
                <w:sz w:val="24"/>
                <w:szCs w:val="24"/>
                <w:lang w:val="en-US" w:eastAsia="zh-CN"/>
                <w14:textFill>
                  <w14:solidFill>
                    <w14:schemeClr w14:val="tx1"/>
                  </w14:solidFill>
                </w14:textFill>
              </w:rPr>
              <w:t>生活</w:t>
            </w:r>
            <w:r>
              <w:rPr>
                <w:rFonts w:hint="default" w:ascii="Times New Roman" w:hAnsi="Times New Roman" w:cs="Times New Roman"/>
                <w:color w:val="000000" w:themeColor="text1"/>
                <w:kern w:val="2"/>
                <w:sz w:val="24"/>
                <w:szCs w:val="24"/>
                <w:lang w:val="en-US" w:eastAsia="zh-CN"/>
                <w14:textFill>
                  <w14:solidFill>
                    <w14:schemeClr w14:val="tx1"/>
                  </w14:solidFill>
                </w14:textFill>
              </w:rPr>
              <w:t>给水采用</w:t>
            </w:r>
            <w:r>
              <w:rPr>
                <w:rFonts w:hint="eastAsia" w:ascii="Times New Roman" w:hAnsi="Times New Roman" w:cs="Times New Roman"/>
                <w:color w:val="000000" w:themeColor="text1"/>
                <w:kern w:val="2"/>
                <w:sz w:val="24"/>
                <w:szCs w:val="24"/>
                <w:lang w:val="en-US" w:eastAsia="zh-CN"/>
                <w14:textFill>
                  <w14:solidFill>
                    <w14:schemeClr w14:val="tx1"/>
                  </w14:solidFill>
                </w14:textFill>
              </w:rPr>
              <w:t>租赁麻池矿</w:t>
            </w:r>
            <w:r>
              <w:rPr>
                <w:rFonts w:hint="default" w:ascii="Times New Roman" w:hAnsi="Times New Roman" w:cs="Times New Roman"/>
                <w:color w:val="000000" w:themeColor="text1"/>
                <w:kern w:val="2"/>
                <w:sz w:val="24"/>
                <w:szCs w:val="24"/>
                <w:lang w:val="en-US" w:eastAsia="zh-CN"/>
                <w14:textFill>
                  <w14:solidFill>
                    <w14:schemeClr w14:val="tx1"/>
                  </w14:solidFill>
                </w14:textFill>
              </w:rPr>
              <w:t>现有给水设施。</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生产用水主要取</w:t>
            </w:r>
            <w:r>
              <w:rPr>
                <w:rFonts w:hint="eastAsia" w:ascii="Times New Roman" w:hAnsi="Times New Roman" w:cs="Times New Roman"/>
                <w:color w:val="000000" w:themeColor="text1"/>
                <w:kern w:val="2"/>
                <w:sz w:val="24"/>
                <w:szCs w:val="24"/>
                <w:lang w:val="en-US" w:eastAsia="zh-CN"/>
                <w14:textFill>
                  <w14:solidFill>
                    <w14:schemeClr w14:val="tx1"/>
                  </w14:solidFill>
                </w14:textFill>
              </w:rPr>
              <w:t>周边山</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沟天然溪水，枯水期水量不足时，取当地</w:t>
            </w:r>
            <w:r>
              <w:rPr>
                <w:rFonts w:hint="eastAsia" w:ascii="Times New Roman" w:hAnsi="Times New Roman" w:cs="Times New Roman"/>
                <w:color w:val="000000" w:themeColor="text1"/>
                <w:kern w:val="2"/>
                <w:sz w:val="24"/>
                <w:szCs w:val="24"/>
                <w:lang w:val="en-US" w:eastAsia="zh-CN"/>
                <w14:textFill>
                  <w14:solidFill>
                    <w14:schemeClr w14:val="tx1"/>
                  </w14:solidFill>
                </w14:textFill>
              </w:rPr>
              <w:t>香泉河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河水补充。生活用水水源</w:t>
            </w:r>
            <w:r>
              <w:rPr>
                <w:rFonts w:hint="eastAsia" w:ascii="Times New Roman" w:hAnsi="Times New Roman" w:cs="Times New Roman"/>
                <w:color w:val="000000" w:themeColor="text1"/>
                <w:kern w:val="2"/>
                <w:sz w:val="24"/>
                <w:szCs w:val="24"/>
                <w:lang w:val="en-US" w:eastAsia="zh-CN"/>
                <w14:textFill>
                  <w14:solidFill>
                    <w14:schemeClr w14:val="tx1"/>
                  </w14:solidFill>
                </w14:textFill>
              </w:rPr>
              <w:t>依托</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麻池加工厂现有设施自备井供水。经核算</w:t>
            </w:r>
            <w:r>
              <w:rPr>
                <w:rFonts w:hint="eastAsia" w:ascii="Times New Roman" w:hAnsi="Times New Roman" w:cs="Times New Roman"/>
                <w:color w:val="000000" w:themeColor="text1"/>
                <w:kern w:val="2"/>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项目用水量合计</w:t>
            </w:r>
            <w:r>
              <w:rPr>
                <w:rFonts w:hint="eastAsia" w:ascii="Times New Roman" w:hAnsi="Times New Roman" w:cs="Times New Roman"/>
                <w:color w:val="000000" w:themeColor="text1"/>
                <w:kern w:val="2"/>
                <w:sz w:val="24"/>
                <w:szCs w:val="24"/>
                <w:lang w:val="en-US" w:eastAsia="zh-CN"/>
                <w14:textFill>
                  <w14:solidFill>
                    <w14:schemeClr w14:val="tx1"/>
                  </w14:solidFill>
                </w14:textFill>
              </w:rPr>
              <w:t>48.7</w:t>
            </w:r>
            <w:r>
              <w:rPr>
                <w:rFonts w:hint="default" w:ascii="Times New Roman" w:hAnsi="Times New Roman" w:eastAsia="宋体" w:cs="Times New Roman"/>
                <w:color w:val="000000" w:themeColor="text1"/>
                <w:sz w:val="24"/>
                <w:szCs w:val="24"/>
                <w:lang w:val="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zh-CN"/>
                <w14:textFill>
                  <w14:solidFill>
                    <w14:schemeClr w14:val="tx1"/>
                  </w14:solidFill>
                </w14:textFill>
              </w:rPr>
              <w:t>3</w:t>
            </w:r>
            <w:r>
              <w:rPr>
                <w:rFonts w:hint="default" w:ascii="Times New Roman" w:hAnsi="Times New Roman" w:eastAsia="宋体" w:cs="Times New Roman"/>
                <w:color w:val="000000" w:themeColor="text1"/>
                <w:sz w:val="24"/>
                <w:szCs w:val="24"/>
                <w:lang w:val="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w:t>
            </w:r>
            <w:r>
              <w:rPr>
                <w:rFonts w:hint="eastAsia" w:ascii="Times New Roman" w:hAnsi="Times New Roman" w:cs="Times New Roman"/>
                <w:color w:val="000000" w:themeColor="text1"/>
                <w:sz w:val="24"/>
                <w:szCs w:val="24"/>
                <w:lang w:val="en-US" w:eastAsia="zh-CN"/>
                <w14:textFill>
                  <w14:solidFill>
                    <w14:schemeClr w14:val="tx1"/>
                  </w14:solidFill>
                </w14:textFill>
              </w:rPr>
              <w:t>14610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p>
          <w:p w14:paraId="5FE27FFA">
            <w:pPr>
              <w:pStyle w:val="51"/>
              <w:ind w:firstLine="420"/>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4"/>
                <w:szCs w:val="24"/>
                <w14:textFill>
                  <w14:solidFill>
                    <w14:schemeClr w14:val="tx1"/>
                  </w14:solidFill>
                </w14:textFill>
              </w:rPr>
              <w:t>）生</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产</w:t>
            </w:r>
            <w:r>
              <w:rPr>
                <w:rFonts w:hint="default" w:ascii="Times New Roman" w:hAnsi="Times New Roman" w:eastAsia="宋体" w:cs="Times New Roman"/>
                <w:color w:val="000000" w:themeColor="text1"/>
                <w:kern w:val="2"/>
                <w:sz w:val="24"/>
                <w:szCs w:val="24"/>
                <w14:textFill>
                  <w14:solidFill>
                    <w14:schemeClr w14:val="tx1"/>
                  </w14:solidFill>
                </w14:textFill>
              </w:rPr>
              <w:t>用水</w:t>
            </w:r>
          </w:p>
          <w:p w14:paraId="2BCDA19F">
            <w:pPr>
              <w:pStyle w:val="51"/>
              <w:ind w:firstLine="420"/>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矿山生产用水主要喷雾抑尘用水、</w:t>
            </w:r>
            <w:r>
              <w:rPr>
                <w:rFonts w:hint="default" w:ascii="Times New Roman" w:hAnsi="Times New Roman" w:eastAsia="宋体" w:cs="Times New Roman"/>
                <w:color w:val="000000" w:themeColor="text1"/>
                <w:sz w:val="24"/>
                <w:szCs w:val="24"/>
                <w:lang w:val="zh-CN"/>
                <w14:textFill>
                  <w14:solidFill>
                    <w14:schemeClr w14:val="tx1"/>
                  </w14:solidFill>
                </w14:textFill>
              </w:rPr>
              <w:t>车辆清洗用水、</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道路洒水降尘用水</w:t>
            </w:r>
            <w:r>
              <w:rPr>
                <w:rFonts w:hint="default" w:ascii="Times New Roman" w:hAnsi="Times New Roman" w:cs="Times New Roman"/>
                <w:color w:val="000000" w:themeColor="text1"/>
                <w:kern w:val="2"/>
                <w:sz w:val="24"/>
                <w:szCs w:val="24"/>
                <w:lang w:val="en-US" w:eastAsia="zh-CN"/>
                <w14:textFill>
                  <w14:solidFill>
                    <w14:schemeClr w14:val="tx1"/>
                  </w14:solidFill>
                </w14:textFill>
              </w:rPr>
              <w:t>。</w:t>
            </w:r>
          </w:p>
          <w:p w14:paraId="37DE5EF8">
            <w:pPr>
              <w:pStyle w:val="51"/>
              <w:ind w:firstLine="420"/>
              <w:rPr>
                <w:rFonts w:hint="default" w:ascii="Times New Roman" w:hAnsi="Times New Roman" w:eastAsia="宋体" w:cs="Times New Roman"/>
                <w:color w:val="000000" w:themeColor="text1"/>
                <w:sz w:val="24"/>
                <w:szCs w:val="24"/>
                <w:lang w:val="zh-CN"/>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①喷雾</w:t>
            </w:r>
            <w:r>
              <w:rPr>
                <w:rFonts w:hint="default" w:ascii="Times New Roman" w:hAnsi="Times New Roman" w:eastAsia="宋体" w:cs="Times New Roman"/>
                <w:color w:val="000000" w:themeColor="text1"/>
                <w:sz w:val="24"/>
                <w:szCs w:val="24"/>
                <w:lang w:val="zh-CN"/>
                <w14:textFill>
                  <w14:solidFill>
                    <w14:schemeClr w14:val="tx1"/>
                  </w14:solidFill>
                </w14:textFill>
              </w:rPr>
              <w:t>抑尘</w:t>
            </w:r>
            <w:r>
              <w:rPr>
                <w:rFonts w:hint="default" w:ascii="Times New Roman" w:hAnsi="Times New Roman" w:eastAsia="宋体" w:cs="Times New Roman"/>
                <w:color w:val="000000" w:themeColor="text1"/>
                <w:sz w:val="24"/>
                <w:szCs w:val="24"/>
                <w14:textFill>
                  <w14:solidFill>
                    <w14:schemeClr w14:val="tx1"/>
                  </w14:solidFill>
                </w14:textFill>
              </w:rPr>
              <w:t>用水</w:t>
            </w:r>
            <w:r>
              <w:rPr>
                <w:rFonts w:hint="eastAsia" w:ascii="Times New Roman" w:hAnsi="Times New Roman" w:cs="Times New Roman"/>
                <w:color w:val="000000" w:themeColor="text1"/>
                <w:sz w:val="24"/>
                <w:szCs w:val="24"/>
                <w:lang w:eastAsia="zh-CN"/>
                <w14:textFill>
                  <w14:solidFill>
                    <w14:schemeClr w14:val="tx1"/>
                  </w14:solidFill>
                </w14:textFill>
              </w:rPr>
              <w:t>、洒水车用水</w:t>
            </w:r>
            <w:r>
              <w:rPr>
                <w:rFonts w:hint="default" w:ascii="Times New Roman" w:hAnsi="Times New Roman" w:eastAsia="宋体" w:cs="Times New Roman"/>
                <w:color w:val="000000" w:themeColor="text1"/>
                <w:sz w:val="24"/>
                <w:szCs w:val="24"/>
                <w:lang w:val="zh-CN"/>
                <w14:textFill>
                  <w14:solidFill>
                    <w14:schemeClr w14:val="tx1"/>
                  </w14:solidFill>
                </w14:textFill>
              </w:rPr>
              <w:t>：</w:t>
            </w:r>
          </w:p>
          <w:p w14:paraId="0A97F3BE">
            <w:pPr>
              <w:pStyle w:val="51"/>
              <w:ind w:firstLine="420"/>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根据建设单位提供的资料，本项目喷雾装置及洒水车用水约3m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/d，900m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/a。除尘废水蒸发损耗。</w:t>
            </w:r>
          </w:p>
          <w:p w14:paraId="020527C0">
            <w:pPr>
              <w:pStyle w:val="51"/>
              <w:ind w:firstLine="420"/>
              <w:rPr>
                <w:rFonts w:hint="default" w:ascii="Times New Roman" w:hAnsi="Times New Roman" w:eastAsia="宋体" w:cs="Times New Roman"/>
                <w:color w:val="000000" w:themeColor="text1"/>
                <w:sz w:val="24"/>
                <w:szCs w:val="24"/>
                <w:lang w:val="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w:t>
            </w:r>
            <w:r>
              <w:rPr>
                <w:rFonts w:hint="default" w:ascii="Times New Roman" w:hAnsi="Times New Roman" w:eastAsia="宋体" w:cs="Times New Roman"/>
                <w:color w:val="000000" w:themeColor="text1"/>
                <w:sz w:val="24"/>
                <w:szCs w:val="24"/>
                <w:lang w:val="zh-CN"/>
                <w14:textFill>
                  <w14:solidFill>
                    <w14:schemeClr w14:val="tx1"/>
                  </w14:solidFill>
                </w14:textFill>
              </w:rPr>
              <w:t>车辆清洗用水：</w:t>
            </w:r>
          </w:p>
          <w:p w14:paraId="03A6B7BF">
            <w:pPr>
              <w:pStyle w:val="51"/>
              <w:ind w:firstLine="420"/>
              <w:rPr>
                <w:rFonts w:hint="default" w:ascii="Times New Roman" w:hAnsi="Times New Roman" w:eastAsia="宋体" w:cs="Times New Roman"/>
                <w:color w:val="000000" w:themeColor="text1"/>
                <w:sz w:val="24"/>
                <w:szCs w:val="24"/>
                <w:lang w:val="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项目共有</w:t>
            </w:r>
            <w:r>
              <w:rPr>
                <w:rFonts w:hint="default" w:ascii="Times New Roman" w:hAnsi="Times New Roman" w:cs="Times New Roman"/>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14:textFill>
                  <w14:solidFill>
                    <w14:schemeClr w14:val="tx1"/>
                  </w14:solidFill>
                </w14:textFill>
              </w:rPr>
              <w:t>辆自卸式运输车辆，根据《建筑给水排水设计标准》（GB50015-2019）中载重汽车循环用水冲洗用水量为40~60L/（辆·次），</w:t>
            </w:r>
            <w:r>
              <w:rPr>
                <w:rFonts w:hint="default" w:ascii="Times New Roman" w:hAnsi="Times New Roman" w:eastAsia="宋体" w:cs="Times New Roman"/>
                <w:color w:val="auto"/>
                <w:sz w:val="24"/>
                <w:szCs w:val="24"/>
              </w:rPr>
              <w:t>本项目洗车用水量按</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0L/辆•次计</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000000" w:themeColor="text1"/>
                <w:sz w:val="24"/>
                <w:szCs w:val="24"/>
                <w14:textFill>
                  <w14:solidFill>
                    <w14:schemeClr w14:val="tx1"/>
                  </w14:solidFill>
                </w14:textFill>
              </w:rPr>
              <w:t>矿山自卸式汽车进行装载，最大载重量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t，</w:t>
            </w:r>
            <w:r>
              <w:rPr>
                <w:rFonts w:hint="default" w:ascii="Times New Roman" w:hAnsi="Times New Roman" w:eastAsia="宋体" w:cs="Times New Roman"/>
                <w:color w:val="auto"/>
                <w:sz w:val="24"/>
                <w:szCs w:val="24"/>
              </w:rPr>
              <w:t>项目年运输车辆约</w:t>
            </w:r>
            <w:r>
              <w:rPr>
                <w:rFonts w:hint="eastAsia" w:ascii="Times New Roman" w:hAnsi="Times New Roman" w:eastAsia="宋体" w:cs="Times New Roman"/>
                <w:color w:val="auto"/>
                <w:sz w:val="24"/>
                <w:szCs w:val="24"/>
                <w:lang w:val="en-US" w:eastAsia="zh-CN"/>
              </w:rPr>
              <w:t>20000</w:t>
            </w:r>
            <w:r>
              <w:rPr>
                <w:rFonts w:hint="default" w:ascii="Times New Roman" w:hAnsi="Times New Roman" w:eastAsia="宋体" w:cs="Times New Roman"/>
                <w:color w:val="auto"/>
                <w:sz w:val="24"/>
                <w:szCs w:val="24"/>
              </w:rPr>
              <w:t>辆次</w:t>
            </w:r>
            <w:r>
              <w:rPr>
                <w:rFonts w:hint="default" w:ascii="Times New Roman" w:hAnsi="Times New Roman" w:eastAsia="宋体" w:cs="Times New Roman"/>
                <w:color w:val="000000" w:themeColor="text1"/>
                <w:sz w:val="24"/>
                <w:szCs w:val="24"/>
                <w14:textFill>
                  <w14:solidFill>
                    <w14:schemeClr w14:val="tx1"/>
                  </w14:solidFill>
                </w14:textFill>
              </w:rPr>
              <w:t>，则项目</w:t>
            </w:r>
            <w:r>
              <w:rPr>
                <w:rFonts w:hint="default" w:ascii="Times New Roman" w:hAnsi="Times New Roman" w:eastAsia="宋体" w:cs="Times New Roman"/>
                <w:color w:val="000000" w:themeColor="text1"/>
                <w:sz w:val="24"/>
                <w:szCs w:val="24"/>
                <w:lang w:val="zh-CN"/>
                <w14:textFill>
                  <w14:solidFill>
                    <w14:schemeClr w14:val="tx1"/>
                  </w14:solidFill>
                </w14:textFill>
              </w:rPr>
              <w:t>车辆清洗</w:t>
            </w:r>
            <w:r>
              <w:rPr>
                <w:rFonts w:hint="default" w:ascii="Times New Roman" w:hAnsi="Times New Roman" w:eastAsia="宋体" w:cs="Times New Roman"/>
                <w:color w:val="000000" w:themeColor="text1"/>
                <w:sz w:val="24"/>
                <w:szCs w:val="24"/>
                <w14:textFill>
                  <w14:solidFill>
                    <w14:schemeClr w14:val="tx1"/>
                  </w14:solidFill>
                </w14:textFill>
              </w:rPr>
              <w:t>用水量为</w:t>
            </w:r>
            <w:r>
              <w:rPr>
                <w:rFonts w:hint="eastAsia" w:ascii="Times New Roman" w:hAnsi="Times New Roman" w:cs="Times New Roman"/>
                <w:color w:val="000000" w:themeColor="text1"/>
                <w:sz w:val="24"/>
                <w:szCs w:val="24"/>
                <w:lang w:val="en-US" w:eastAsia="zh-CN"/>
                <w14:textFill>
                  <w14:solidFill>
                    <w14:schemeClr w14:val="tx1"/>
                  </w14:solidFill>
                </w14:textFill>
              </w:rPr>
              <w:t>44</w:t>
            </w:r>
            <w:r>
              <w:rPr>
                <w:rFonts w:hint="default" w:ascii="Times New Roman" w:hAnsi="Times New Roman" w:eastAsia="宋体" w:cs="Times New Roman"/>
                <w:color w:val="000000" w:themeColor="text1"/>
                <w:sz w:val="24"/>
                <w:szCs w:val="24"/>
                <w:lang w:val="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zh-CN"/>
                <w14:textFill>
                  <w14:solidFill>
                    <w14:schemeClr w14:val="tx1"/>
                  </w14:solidFill>
                </w14:textFill>
              </w:rPr>
              <w:t>3</w:t>
            </w:r>
            <w:r>
              <w:rPr>
                <w:rFonts w:hint="default" w:ascii="Times New Roman" w:hAnsi="Times New Roman" w:eastAsia="宋体" w:cs="Times New Roman"/>
                <w:color w:val="000000" w:themeColor="text1"/>
                <w:sz w:val="24"/>
                <w:szCs w:val="24"/>
                <w:lang w:val="zh-CN"/>
                <w14:textFill>
                  <w14:solidFill>
                    <w14:schemeClr w14:val="tx1"/>
                  </w14:solidFill>
                </w14:textFill>
              </w:rPr>
              <w:t>/d。</w:t>
            </w:r>
            <w:r>
              <w:rPr>
                <w:rFonts w:hint="default" w:ascii="Times New Roman" w:hAnsi="Times New Roman" w:eastAsia="宋体" w:cs="Times New Roman"/>
                <w:color w:val="auto"/>
                <w:sz w:val="24"/>
                <w:szCs w:val="24"/>
              </w:rPr>
              <w:t>废水排放量按用水量的85%计</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15%损耗，损耗量为</w:t>
            </w:r>
            <w:r>
              <w:rPr>
                <w:rFonts w:hint="eastAsia" w:ascii="Times New Roman" w:hAnsi="Times New Roman" w:eastAsia="宋体" w:cs="Times New Roman"/>
                <w:color w:val="auto"/>
                <w:sz w:val="24"/>
                <w:szCs w:val="24"/>
                <w:lang w:val="en-US" w:eastAsia="zh-CN"/>
              </w:rPr>
              <w:t>6.6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，则项目洗车产生的废水量为</w:t>
            </w:r>
            <w:r>
              <w:rPr>
                <w:rFonts w:hint="eastAsia" w:ascii="Times New Roman" w:hAnsi="Times New Roman" w:eastAsia="宋体" w:cs="Times New Roman"/>
                <w:color w:val="auto"/>
                <w:sz w:val="24"/>
                <w:szCs w:val="24"/>
                <w:lang w:val="en-US" w:eastAsia="zh-CN"/>
              </w:rPr>
              <w:t>1980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/a。洗车废水经沉淀池处理后回用于洗车</w:t>
            </w:r>
            <w:r>
              <w:rPr>
                <w:rFonts w:hint="eastAsia" w:ascii="Times New Roman" w:hAnsi="Times New Roman" w:eastAsia="宋体" w:cs="Times New Roman"/>
                <w:color w:val="auto"/>
                <w:sz w:val="24"/>
                <w:szCs w:val="24"/>
                <w:lang w:eastAsia="zh-CN"/>
              </w:rPr>
              <w:t>，不外排</w:t>
            </w:r>
            <w:r>
              <w:rPr>
                <w:rFonts w:hint="default" w:ascii="Times New Roman" w:hAnsi="Times New Roman" w:eastAsia="宋体" w:cs="Times New Roman"/>
                <w:color w:val="000000" w:themeColor="text1"/>
                <w:sz w:val="24"/>
                <w:szCs w:val="24"/>
                <w:lang w:val="zh-CN"/>
                <w14:textFill>
                  <w14:solidFill>
                    <w14:schemeClr w14:val="tx1"/>
                  </w14:solidFill>
                </w14:textFill>
              </w:rPr>
              <w:t>。</w:t>
            </w:r>
          </w:p>
          <w:p w14:paraId="5E138A2F">
            <w:pPr>
              <w:pStyle w:val="51"/>
              <w:ind w:firstLine="420"/>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2）生活用水</w:t>
            </w:r>
          </w:p>
          <w:p w14:paraId="6CF4570D">
            <w:pPr>
              <w:pStyle w:val="51"/>
              <w:ind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项目劳动定员</w:t>
            </w:r>
            <w:r>
              <w:rPr>
                <w:rFonts w:hint="eastAsia" w:ascii="Times New Roman" w:hAnsi="Times New Roman" w:cs="Times New Roman"/>
                <w:color w:val="000000" w:themeColor="text1"/>
                <w:sz w:val="24"/>
                <w:szCs w:val="24"/>
                <w:lang w:val="en-US" w:eastAsia="zh-CN"/>
                <w14:textFill>
                  <w14:solidFill>
                    <w14:schemeClr w14:val="tx1"/>
                  </w14:solidFill>
                </w14:textFill>
              </w:rPr>
              <w:t>34人，根据《陕西省行业用水定额（DB61/T943-2020）》，生活用水量按50L/人·d计算</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年工作时间300天，</w:t>
            </w:r>
            <w:r>
              <w:rPr>
                <w:rFonts w:hint="default" w:ascii="Times New Roman" w:hAnsi="Times New Roman" w:eastAsia="宋体" w:cs="Times New Roman"/>
                <w:color w:val="000000" w:themeColor="text1"/>
                <w:kern w:val="2"/>
                <w:sz w:val="24"/>
                <w:szCs w:val="24"/>
                <w14:textFill>
                  <w14:solidFill>
                    <w14:schemeClr w14:val="tx1"/>
                  </w14:solidFill>
                </w14:textFill>
              </w:rPr>
              <w:t>则生活用水量为</w:t>
            </w:r>
            <w:r>
              <w:rPr>
                <w:rFonts w:hint="eastAsia" w:ascii="Times New Roman" w:hAnsi="Times New Roman" w:cs="Times New Roman"/>
                <w:color w:val="000000" w:themeColor="text1"/>
                <w:kern w:val="2"/>
                <w:sz w:val="24"/>
                <w:szCs w:val="24"/>
                <w:lang w:val="en-US" w:eastAsia="zh-CN"/>
                <w14:textFill>
                  <w14:solidFill>
                    <w14:schemeClr w14:val="tx1"/>
                  </w14:solidFill>
                </w14:textFill>
              </w:rPr>
              <w:t>510</w:t>
            </w:r>
            <w:r>
              <w:rPr>
                <w:rFonts w:hint="default" w:ascii="Times New Roman" w:hAnsi="Times New Roman" w:eastAsia="宋体" w:cs="Times New Roman"/>
                <w:color w:val="000000" w:themeColor="text1"/>
                <w:kern w:val="2"/>
                <w:sz w:val="24"/>
                <w:szCs w:val="24"/>
                <w14:textFill>
                  <w14:solidFill>
                    <w14:schemeClr w14:val="tx1"/>
                  </w14:solidFill>
                </w14:textFill>
              </w:rPr>
              <w:t>t/a</w:t>
            </w:r>
            <w:r>
              <w:rPr>
                <w:rFonts w:hint="eastAsia" w:ascii="Times New Roman" w:hAnsi="Times New Roman" w:cs="Times New Roman"/>
                <w:color w:val="000000" w:themeColor="text1"/>
                <w:kern w:val="2"/>
                <w:sz w:val="24"/>
                <w:szCs w:val="24"/>
                <w:lang w:eastAsia="zh-CN"/>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14:textFill>
                  <w14:solidFill>
                    <w14:schemeClr w14:val="tx1"/>
                  </w14:solidFill>
                </w14:textFill>
              </w:rPr>
              <w:t>1.7</w:t>
            </w:r>
            <w:r>
              <w:rPr>
                <w:rFonts w:hint="eastAsia" w:ascii="Times New Roman" w:hAnsi="Times New Roman" w:cs="Times New Roman"/>
                <w:color w:val="000000" w:themeColor="text1"/>
                <w:kern w:val="2"/>
                <w:sz w:val="24"/>
                <w:szCs w:val="24"/>
                <w:lang w:eastAsia="zh-CN"/>
                <w14:textFill>
                  <w14:solidFill>
                    <w14:schemeClr w14:val="tx1"/>
                  </w14:solidFill>
                </w14:textFill>
              </w:rPr>
              <w:t>m</w:t>
            </w:r>
            <w:r>
              <w:rPr>
                <w:rFonts w:hint="eastAsia" w:ascii="Times New Roman" w:hAnsi="Times New Roman" w:cs="Times New Roman"/>
                <w:color w:val="000000" w:themeColor="text1"/>
                <w:kern w:val="2"/>
                <w:sz w:val="24"/>
                <w:szCs w:val="24"/>
                <w:vertAlign w:val="superscript"/>
                <w:lang w:eastAsia="zh-CN"/>
                <w14:textFill>
                  <w14:solidFill>
                    <w14:schemeClr w14:val="tx1"/>
                  </w14:solidFill>
                </w14:textFill>
              </w:rPr>
              <w:t>3</w:t>
            </w:r>
            <w:r>
              <w:rPr>
                <w:rFonts w:hint="eastAsia" w:ascii="Times New Roman" w:hAnsi="Times New Roman" w:cs="Times New Roman"/>
                <w:color w:val="000000" w:themeColor="text1"/>
                <w:kern w:val="2"/>
                <w:sz w:val="24"/>
                <w:szCs w:val="24"/>
                <w:lang w:eastAsia="zh-CN"/>
                <w14:textFill>
                  <w14:solidFill>
                    <w14:schemeClr w14:val="tx1"/>
                  </w14:solidFill>
                </w14:textFill>
              </w:rPr>
              <w:t>/d）</w:t>
            </w:r>
            <w:r>
              <w:rPr>
                <w:rFonts w:hint="default" w:ascii="Times New Roman" w:hAnsi="Times New Roman" w:eastAsia="宋体" w:cs="Times New Roman"/>
                <w:color w:val="000000" w:themeColor="text1"/>
                <w:kern w:val="2"/>
                <w:sz w:val="24"/>
                <w:szCs w:val="24"/>
                <w14:textFill>
                  <w14:solidFill>
                    <w14:schemeClr w14:val="tx1"/>
                  </w14:solidFill>
                </w14:textFill>
              </w:rPr>
              <w:t>。生活污水量按用水量的80%计，则生活污水的产生量为</w:t>
            </w:r>
            <w:r>
              <w:rPr>
                <w:rFonts w:hint="eastAsia" w:ascii="Times New Roman" w:hAnsi="Times New Roman" w:cs="Times New Roman"/>
                <w:color w:val="000000" w:themeColor="text1"/>
                <w:kern w:val="2"/>
                <w:sz w:val="24"/>
                <w:szCs w:val="24"/>
                <w:lang w:val="en-US" w:eastAsia="zh-CN"/>
                <w14:textFill>
                  <w14:solidFill>
                    <w14:schemeClr w14:val="tx1"/>
                  </w14:solidFill>
                </w14:textFill>
              </w:rPr>
              <w:t>408</w:t>
            </w:r>
            <w:r>
              <w:rPr>
                <w:rFonts w:hint="default" w:ascii="Times New Roman" w:hAnsi="Times New Roman" w:eastAsia="宋体" w:cs="Times New Roman"/>
                <w:color w:val="000000" w:themeColor="text1"/>
                <w:kern w:val="2"/>
                <w:sz w:val="24"/>
                <w:szCs w:val="24"/>
                <w14:textFill>
                  <w14:solidFill>
                    <w14:schemeClr w14:val="tx1"/>
                  </w14:solidFill>
                </w14:textFill>
              </w:rPr>
              <w:t>t/a</w:t>
            </w:r>
            <w:r>
              <w:rPr>
                <w:rFonts w:hint="eastAsia" w:ascii="Times New Roman" w:hAnsi="Times New Roman" w:cs="Times New Roman"/>
                <w:color w:val="000000" w:themeColor="text1"/>
                <w:kern w:val="2"/>
                <w:sz w:val="24"/>
                <w:szCs w:val="24"/>
                <w:lang w:eastAsia="zh-CN"/>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14:textFill>
                  <w14:solidFill>
                    <w14:schemeClr w14:val="tx1"/>
                  </w14:solidFill>
                </w14:textFill>
              </w:rPr>
              <w:t>1.36</w:t>
            </w:r>
            <w:r>
              <w:rPr>
                <w:rFonts w:hint="eastAsia" w:ascii="Times New Roman" w:hAnsi="Times New Roman" w:cs="Times New Roman"/>
                <w:color w:val="000000" w:themeColor="text1"/>
                <w:kern w:val="2"/>
                <w:sz w:val="24"/>
                <w:szCs w:val="24"/>
                <w:lang w:eastAsia="zh-CN"/>
                <w14:textFill>
                  <w14:solidFill>
                    <w14:schemeClr w14:val="tx1"/>
                  </w14:solidFill>
                </w14:textFill>
              </w:rPr>
              <w:t>m</w:t>
            </w:r>
            <w:r>
              <w:rPr>
                <w:rFonts w:hint="eastAsia" w:ascii="Times New Roman" w:hAnsi="Times New Roman" w:cs="Times New Roman"/>
                <w:color w:val="000000" w:themeColor="text1"/>
                <w:kern w:val="2"/>
                <w:sz w:val="24"/>
                <w:szCs w:val="24"/>
                <w:vertAlign w:val="superscript"/>
                <w:lang w:eastAsia="zh-CN"/>
                <w14:textFill>
                  <w14:solidFill>
                    <w14:schemeClr w14:val="tx1"/>
                  </w14:solidFill>
                </w14:textFill>
              </w:rPr>
              <w:t>3</w:t>
            </w:r>
            <w:r>
              <w:rPr>
                <w:rFonts w:hint="eastAsia" w:ascii="Times New Roman" w:hAnsi="Times New Roman" w:cs="Times New Roman"/>
                <w:color w:val="000000" w:themeColor="text1"/>
                <w:kern w:val="2"/>
                <w:sz w:val="24"/>
                <w:szCs w:val="24"/>
                <w:lang w:eastAsia="zh-CN"/>
                <w14:textFill>
                  <w14:solidFill>
                    <w14:schemeClr w14:val="tx1"/>
                  </w14:solidFill>
                </w14:textFill>
              </w:rPr>
              <w:t>/d）</w:t>
            </w:r>
            <w:r>
              <w:rPr>
                <w:rFonts w:hint="default" w:ascii="Times New Roman" w:hAnsi="Times New Roman" w:eastAsia="宋体" w:cs="Times New Roman"/>
                <w:color w:val="000000" w:themeColor="text1"/>
                <w:kern w:val="2"/>
                <w:sz w:val="24"/>
                <w:szCs w:val="24"/>
                <w14:textFill>
                  <w14:solidFill>
                    <w14:schemeClr w14:val="tx1"/>
                  </w14:solidFill>
                </w14:textFill>
              </w:rPr>
              <w:t>，主要污染物为COD、BOD</w:t>
            </w:r>
            <w:r>
              <w:rPr>
                <w:rFonts w:hint="default" w:ascii="Times New Roman" w:hAnsi="Times New Roman" w:eastAsia="宋体" w:cs="Times New Roman"/>
                <w:color w:val="000000" w:themeColor="text1"/>
                <w:kern w:val="2"/>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kern w:val="2"/>
                <w:sz w:val="24"/>
                <w:szCs w:val="24"/>
                <w14:textFill>
                  <w14:solidFill>
                    <w14:schemeClr w14:val="tx1"/>
                  </w14:solidFill>
                </w14:textFill>
              </w:rPr>
              <w:t>、NH</w:t>
            </w:r>
            <w:r>
              <w:rPr>
                <w:rFonts w:hint="default" w:ascii="Times New Roman" w:hAnsi="Times New Roman" w:eastAsia="宋体" w:cs="Times New Roman"/>
                <w:color w:val="000000" w:themeColor="text1"/>
                <w:kern w:val="2"/>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kern w:val="2"/>
                <w:sz w:val="24"/>
                <w:szCs w:val="24"/>
                <w14:textFill>
                  <w14:solidFill>
                    <w14:schemeClr w14:val="tx1"/>
                  </w14:solidFill>
                </w14:textFill>
              </w:rPr>
              <w:t>-N、SS等。生活污水利用</w:t>
            </w:r>
            <w:r>
              <w:rPr>
                <w:rFonts w:hint="eastAsia" w:ascii="Times New Roman" w:hAnsi="Times New Roman" w:cs="Times New Roman"/>
                <w:color w:val="000000" w:themeColor="text1"/>
                <w:kern w:val="2"/>
                <w:sz w:val="24"/>
                <w:szCs w:val="24"/>
                <w:lang w:eastAsia="zh-CN"/>
                <w14:textFill>
                  <w14:solidFill>
                    <w14:schemeClr w14:val="tx1"/>
                  </w14:solidFill>
                </w14:textFill>
              </w:rPr>
              <w:t>租赁生活区的</w:t>
            </w:r>
            <w:r>
              <w:rPr>
                <w:rFonts w:hint="default" w:ascii="Times New Roman" w:hAnsi="Times New Roman" w:eastAsia="宋体" w:cs="Times New Roman"/>
                <w:color w:val="000000" w:themeColor="text1"/>
                <w:kern w:val="2"/>
                <w:sz w:val="24"/>
                <w:szCs w:val="24"/>
                <w14:textFill>
                  <w14:solidFill>
                    <w14:schemeClr w14:val="tx1"/>
                  </w14:solidFill>
                </w14:textFill>
              </w:rPr>
              <w:t>旱厕处理后清掏用作农肥。</w:t>
            </w:r>
          </w:p>
          <w:p w14:paraId="5BDEA5E9">
            <w:pPr>
              <w:ind w:firstLine="42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14:textFill>
                  <w14:solidFill>
                    <w14:schemeClr w14:val="tx1"/>
                  </w14:solidFill>
                </w14:textFill>
              </w:rPr>
              <w:t>、职工定员及工作制度</w:t>
            </w:r>
          </w:p>
          <w:p w14:paraId="44B65DEC">
            <w:pPr>
              <w:pStyle w:val="51"/>
              <w:ind w:firstLine="420"/>
              <w:rPr>
                <w:rFonts w:hint="default" w:ascii="Times New Roman" w:hAnsi="Times New Roman" w:eastAsia="宋体" w:cs="Times New Roman"/>
                <w:b/>
                <w:bCs/>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工作制度：</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项目劳动</w:t>
            </w:r>
            <w:r>
              <w:rPr>
                <w:rFonts w:hint="default" w:ascii="Times New Roman" w:hAnsi="Times New Roman" w:cs="Times New Roman"/>
                <w:color w:val="000000" w:themeColor="text1"/>
                <w:kern w:val="2"/>
                <w:sz w:val="24"/>
                <w:szCs w:val="24"/>
                <w:lang w:val="en-US" w:eastAsia="zh-CN"/>
                <w14:textFill>
                  <w14:solidFill>
                    <w14:schemeClr w14:val="tx1"/>
                  </w14:solidFill>
                </w14:textFill>
              </w:rPr>
              <w:t>定员</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3</w:t>
            </w:r>
            <w:r>
              <w:rPr>
                <w:rFonts w:hint="default" w:ascii="Times New Roman" w:hAnsi="Times New Roman" w:cs="Times New Roman"/>
                <w:color w:val="000000" w:themeColor="text1"/>
                <w:kern w:val="2"/>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人，</w:t>
            </w:r>
            <w:r>
              <w:rPr>
                <w:rFonts w:hint="default" w:ascii="Times New Roman" w:hAnsi="Times New Roman" w:eastAsia="宋体" w:cs="Times New Roman"/>
                <w:color w:val="000000" w:themeColor="text1"/>
                <w:kern w:val="2"/>
                <w:sz w:val="24"/>
                <w:szCs w:val="24"/>
                <w14:textFill>
                  <w14:solidFill>
                    <w14:schemeClr w14:val="tx1"/>
                  </w14:solidFill>
                </w14:textFill>
              </w:rPr>
              <w:t>年工作日300天，每天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4"/>
                <w:szCs w:val="24"/>
                <w14:textFill>
                  <w14:solidFill>
                    <w14:schemeClr w14:val="tx1"/>
                  </w14:solidFill>
                </w14:textFill>
              </w:rPr>
              <w:t>班，每班8h。</w:t>
            </w:r>
          </w:p>
        </w:tc>
      </w:tr>
      <w:tr w14:paraId="2F958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510" w:type="pct"/>
            <w:vAlign w:val="center"/>
          </w:tcPr>
          <w:p w14:paraId="65F8AD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总平面及现场布置</w:t>
            </w:r>
          </w:p>
        </w:tc>
        <w:tc>
          <w:tcPr>
            <w:tcW w:w="4489" w:type="pct"/>
            <w:vAlign w:val="top"/>
          </w:tcPr>
          <w:p w14:paraId="1FD20BF9">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矿区主要由采矿</w:t>
            </w:r>
            <w:r>
              <w:rPr>
                <w:rFonts w:hint="default" w:ascii="Times New Roman" w:hAnsi="Times New Roman" w:eastAsia="宋体" w:cs="Times New Roman"/>
                <w:b w:val="0"/>
                <w:bCs w:val="0"/>
                <w:color w:val="auto"/>
                <w:sz w:val="24"/>
                <w:szCs w:val="24"/>
                <w:lang w:val="en-US" w:eastAsia="zh-CN"/>
              </w:rPr>
              <w:t>区</w:t>
            </w:r>
            <w:r>
              <w:rPr>
                <w:rFonts w:hint="default" w:ascii="Times New Roman" w:hAnsi="Times New Roman" w:eastAsia="宋体" w:cs="Times New Roman"/>
                <w:b w:val="0"/>
                <w:bCs w:val="0"/>
                <w:color w:val="auto"/>
                <w:sz w:val="24"/>
                <w:szCs w:val="24"/>
              </w:rPr>
              <w:t>、</w:t>
            </w:r>
            <w:r>
              <w:rPr>
                <w:rFonts w:hint="eastAsia" w:cs="Times New Roman"/>
                <w:b w:val="0"/>
                <w:bCs w:val="0"/>
                <w:color w:val="auto"/>
                <w:sz w:val="24"/>
                <w:szCs w:val="24"/>
                <w:lang w:eastAsia="zh-CN"/>
              </w:rPr>
              <w:t>表土堆场</w:t>
            </w:r>
            <w:r>
              <w:rPr>
                <w:rFonts w:hint="default" w:ascii="Times New Roman" w:hAnsi="Times New Roman" w:eastAsia="宋体" w:cs="Times New Roman"/>
                <w:b w:val="0"/>
                <w:bCs w:val="0"/>
                <w:color w:val="auto"/>
                <w:sz w:val="24"/>
                <w:szCs w:val="24"/>
              </w:rPr>
              <w:t>及矿区运输道路组成</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依山而下依海拔地势依次布设</w:t>
            </w:r>
            <w:r>
              <w:rPr>
                <w:rFonts w:hint="default" w:ascii="Times New Roman" w:hAnsi="Times New Roman" w:eastAsia="宋体" w:cs="Times New Roman"/>
                <w:b w:val="0"/>
                <w:bCs w:val="0"/>
                <w:color w:val="auto"/>
                <w:sz w:val="24"/>
                <w:szCs w:val="24"/>
              </w:rPr>
              <w:t>。</w:t>
            </w:r>
          </w:p>
          <w:p w14:paraId="0A135BE8">
            <w:pPr>
              <w:keepNext w:val="0"/>
              <w:keepLines w:val="0"/>
              <w:pageBreakBefore w:val="0"/>
              <w:widowControl w:val="0"/>
              <w:kinsoku/>
              <w:wordWrap/>
              <w:overflowPunct/>
              <w:topLinePunct w:val="0"/>
              <w:autoSpaceDE/>
              <w:autoSpaceDN/>
              <w:bidi w:val="0"/>
              <w:adjustRightInd/>
              <w:snapToGrid/>
              <w:ind w:firstLine="422"/>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采矿场：</w:t>
            </w:r>
          </w:p>
          <w:p w14:paraId="673AFDDB">
            <w:pPr>
              <w:keepNext w:val="0"/>
              <w:keepLines w:val="0"/>
              <w:pageBreakBefore w:val="0"/>
              <w:widowControl w:val="0"/>
              <w:kinsoku/>
              <w:wordWrap/>
              <w:overflowPunct/>
              <w:topLinePunct w:val="0"/>
              <w:autoSpaceDE/>
              <w:autoSpaceDN/>
              <w:bidi w:val="0"/>
              <w:adjustRightInd/>
              <w:snapToGrid/>
              <w:ind w:firstLine="422"/>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矿区面积</w:t>
            </w:r>
            <w:r>
              <w:rPr>
                <w:rFonts w:hint="default" w:ascii="Times New Roman" w:hAnsi="Times New Roman" w:cs="Times New Roman"/>
                <w:b w:val="0"/>
                <w:bCs w:val="0"/>
                <w:color w:val="auto"/>
                <w:sz w:val="24"/>
                <w:szCs w:val="24"/>
                <w:lang w:val="en-US" w:eastAsia="zh-CN"/>
              </w:rPr>
              <w:t>2.886</w:t>
            </w:r>
            <w:r>
              <w:rPr>
                <w:rFonts w:hint="default" w:ascii="Times New Roman" w:hAnsi="Times New Roman" w:eastAsia="宋体" w:cs="Times New Roman"/>
                <w:b w:val="0"/>
                <w:bCs w:val="0"/>
                <w:color w:val="auto"/>
                <w:sz w:val="24"/>
                <w:szCs w:val="24"/>
                <w:lang w:val="en-US" w:eastAsia="zh-CN"/>
              </w:rPr>
              <w:t>km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，矿区范围由</w:t>
            </w:r>
            <w:r>
              <w:rPr>
                <w:rFonts w:hint="default" w:ascii="Times New Roman" w:hAnsi="Times New Roman" w:cs="Times New Roman"/>
                <w:b w:val="0"/>
                <w:bCs w:val="0"/>
                <w:color w:val="auto"/>
                <w:sz w:val="24"/>
                <w:szCs w:val="24"/>
                <w:lang w:val="en-US" w:eastAsia="zh-CN"/>
              </w:rPr>
              <w:t>9</w:t>
            </w:r>
            <w:r>
              <w:rPr>
                <w:rFonts w:hint="default" w:ascii="Times New Roman" w:hAnsi="Times New Roman" w:eastAsia="宋体" w:cs="Times New Roman"/>
                <w:b w:val="0"/>
                <w:bCs w:val="0"/>
                <w:color w:val="auto"/>
                <w:sz w:val="24"/>
                <w:szCs w:val="24"/>
                <w:lang w:val="en-US" w:eastAsia="zh-CN"/>
              </w:rPr>
              <w:t>个拐点坐标组成，设计开采标高：</w:t>
            </w:r>
            <w:r>
              <w:rPr>
                <w:rFonts w:hint="default" w:ascii="Times New Roman" w:hAnsi="Times New Roman" w:cs="Times New Roman"/>
                <w:b w:val="0"/>
                <w:bCs w:val="0"/>
                <w:color w:val="auto"/>
                <w:sz w:val="24"/>
                <w:szCs w:val="24"/>
                <w:lang w:val="en-US" w:eastAsia="zh-CN"/>
              </w:rPr>
              <w:t>1570</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cs="Times New Roman"/>
                <w:b w:val="0"/>
                <w:bCs w:val="0"/>
                <w:color w:val="auto"/>
                <w:sz w:val="24"/>
                <w:szCs w:val="24"/>
                <w:lang w:val="en-US" w:eastAsia="zh-CN"/>
              </w:rPr>
              <w:t>1792</w:t>
            </w:r>
            <w:r>
              <w:rPr>
                <w:rFonts w:hint="default" w:ascii="Times New Roman" w:hAnsi="Times New Roman" w:eastAsia="宋体" w:cs="Times New Roman"/>
                <w:b w:val="0"/>
                <w:bCs w:val="0"/>
                <w:color w:val="auto"/>
                <w:sz w:val="24"/>
                <w:szCs w:val="24"/>
                <w:lang w:val="en-US" w:eastAsia="zh-CN"/>
              </w:rPr>
              <w:t>m，开采矿种为冶金用脉石英，开采方式为露天开采。</w:t>
            </w:r>
          </w:p>
          <w:p w14:paraId="07E31B26">
            <w:pPr>
              <w:keepNext w:val="0"/>
              <w:keepLines w:val="0"/>
              <w:pageBreakBefore w:val="0"/>
              <w:widowControl w:val="0"/>
              <w:kinsoku/>
              <w:wordWrap/>
              <w:overflowPunct/>
              <w:topLinePunct w:val="0"/>
              <w:autoSpaceDE/>
              <w:autoSpaceDN/>
              <w:bidi w:val="0"/>
              <w:adjustRightInd/>
              <w:snapToGrid/>
              <w:ind w:firstLine="422"/>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bCs/>
                <w:color w:val="auto"/>
                <w:sz w:val="24"/>
                <w:szCs w:val="24"/>
                <w:lang w:val="en-US" w:eastAsia="zh-CN"/>
              </w:rPr>
              <w:t>表土堆场</w:t>
            </w:r>
            <w:r>
              <w:rPr>
                <w:rFonts w:hint="default" w:ascii="Times New Roman" w:hAnsi="Times New Roman" w:eastAsia="宋体" w:cs="Times New Roman"/>
                <w:b w:val="0"/>
                <w:bCs w:val="0"/>
                <w:color w:val="auto"/>
                <w:sz w:val="24"/>
                <w:szCs w:val="24"/>
                <w:lang w:val="en-US" w:eastAsia="zh-CN"/>
              </w:rPr>
              <w:t>：</w:t>
            </w:r>
          </w:p>
          <w:p w14:paraId="0E665FA3">
            <w:pPr>
              <w:keepNext w:val="0"/>
              <w:keepLines w:val="0"/>
              <w:pageBreakBefore w:val="0"/>
              <w:widowControl w:val="0"/>
              <w:kinsoku/>
              <w:wordWrap/>
              <w:overflowPunct/>
              <w:topLinePunct w:val="0"/>
              <w:autoSpaceDE/>
              <w:autoSpaceDN/>
              <w:bidi w:val="0"/>
              <w:adjustRightInd/>
              <w:snapToGrid/>
              <w:ind w:firstLine="422"/>
              <w:textAlignment w:val="auto"/>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共设置2个排土场。</w:t>
            </w:r>
          </w:p>
          <w:p w14:paraId="4BDA823D">
            <w:pPr>
              <w:keepNext w:val="0"/>
              <w:keepLines w:val="0"/>
              <w:pageBreakBefore w:val="0"/>
              <w:widowControl w:val="0"/>
              <w:kinsoku/>
              <w:wordWrap/>
              <w:overflowPunct/>
              <w:topLinePunct w:val="0"/>
              <w:autoSpaceDE/>
              <w:autoSpaceDN/>
              <w:bidi w:val="0"/>
              <w:adjustRightInd/>
              <w:snapToGrid/>
              <w:ind w:firstLine="422"/>
              <w:textAlignment w:val="auto"/>
              <w:rPr>
                <w:rFonts w:hint="default" w:ascii="Times New Roman" w:hAnsi="Times New Roman" w:eastAsia="宋体" w:cs="Times New Roman"/>
                <w:b w:val="0"/>
                <w:bCs w:val="0"/>
                <w:color w:val="auto"/>
                <w:sz w:val="24"/>
                <w:szCs w:val="24"/>
              </w:rPr>
            </w:pPr>
            <w:r>
              <w:rPr>
                <w:rFonts w:hint="default" w:ascii="Times New Roman" w:hAnsi="Times New Roman" w:cs="Times New Roman"/>
                <w:b w:val="0"/>
                <w:bCs w:val="0"/>
                <w:color w:val="auto"/>
                <w:sz w:val="24"/>
                <w:szCs w:val="24"/>
                <w:lang w:eastAsia="zh-CN"/>
              </w:rPr>
              <w:t>1#排土场位于KT3矿体南侧的冲沟内，长度约140m，宽度约55m，底标高为1540m，顶标高为1570m，堆积高度30m，1#排土场总容积为10.39×104m³；2#排土场位于KT1-2矿体南段北段中间的冲沟内，长度约170m，宽度约75m，底标高为1670m，顶标高为1700m，堆积高度30m，2#排土场总容积为29.78×104m³；2个排土场总容积为40.17×104m³</w:t>
            </w:r>
            <w:r>
              <w:rPr>
                <w:rFonts w:hint="default" w:ascii="Times New Roman" w:hAnsi="Times New Roman" w:eastAsia="宋体" w:cs="Times New Roman"/>
                <w:b w:val="0"/>
                <w:bCs w:val="0"/>
                <w:color w:val="auto"/>
                <w:sz w:val="24"/>
                <w:szCs w:val="24"/>
              </w:rPr>
              <w:t>。</w:t>
            </w:r>
          </w:p>
          <w:p w14:paraId="6CAFAF68">
            <w:pPr>
              <w:keepNext w:val="0"/>
              <w:keepLines w:val="0"/>
              <w:pageBreakBefore w:val="0"/>
              <w:widowControl w:val="0"/>
              <w:kinsoku/>
              <w:wordWrap/>
              <w:overflowPunct/>
              <w:topLinePunct w:val="0"/>
              <w:autoSpaceDE/>
              <w:autoSpaceDN/>
              <w:bidi w:val="0"/>
              <w:adjustRightInd/>
              <w:snapToGrid/>
              <w:ind w:firstLine="422"/>
              <w:textAlignment w:val="auto"/>
              <w:rPr>
                <w:rFonts w:hint="default" w:ascii="Times New Roman" w:hAnsi="Times New Roman" w:eastAsia="宋体" w:cs="Times New Roman"/>
                <w:b w:val="0"/>
                <w:bCs w:val="0"/>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14:textFill>
                  <w14:solidFill>
                    <w14:schemeClr w14:val="tx1"/>
                  </w14:solidFill>
                </w14:textFill>
              </w:rPr>
              <w:t>矿区运输道路</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w:t>
            </w:r>
          </w:p>
          <w:p w14:paraId="6C37A9C8">
            <w:pPr>
              <w:keepNext w:val="0"/>
              <w:keepLines w:val="0"/>
              <w:pageBreakBefore w:val="0"/>
              <w:widowControl w:val="0"/>
              <w:kinsoku/>
              <w:wordWrap/>
              <w:overflowPunct/>
              <w:topLinePunct w:val="0"/>
              <w:autoSpaceDE/>
              <w:autoSpaceDN/>
              <w:bidi w:val="0"/>
              <w:adjustRightInd/>
              <w:snapToGrid/>
              <w:ind w:firstLine="422"/>
              <w:textAlignment w:val="auto"/>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矿山</w:t>
            </w: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建设</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期开采870m及以上剥离平台开拓时利用采场北侧原有的供人员及材料上山道路开采855m及以下各平台前，设计自矿山西北侧隧道口+770m水平向采场830m平台修建简易挖掘机上山道路，兼做人员及材料上山道路，长300m，路面宽4m，采用碎石路面，平均坡度16%；设计采场内部修建简易道路至各作业平台</w:t>
            </w:r>
            <w:r>
              <w:rPr>
                <w:rFonts w:hint="default" w:ascii="Times New Roman" w:hAnsi="Times New Roman"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采场内简易道路利用西侧新建的简易挖掘机上山道路，随开采平台的下降修建，设计简易道路路面宽度4m，最大纵坡10%，矿山现有3141G7DH型自卸汽车空车爬坡能力为25%，挖掘机(385-8)爬坡能力为30°，设计采场道路平均坡度满足挖掘机、自卸汽车空车上山要求。采场设备及材料的运送采用装载机联合自卸汽车辅助运输，通过供人员及材料上山道路、西侧新建的简易上山道路运至采场，人员步行进入采场。由745m装矿平台至原料场的现有运矿道路路面宽5m，水泥路面，平均</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坡度6.3%，道路总长度约300m，多年来，矿山一直利用此路进行矿石运输，满足矿山汽车运输要求。</w:t>
            </w:r>
          </w:p>
          <w:p w14:paraId="7F58E6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项目土石方平衡</w:t>
            </w:r>
            <w:r>
              <w:rPr>
                <w:rFonts w:hint="eastAsia" w:ascii="Times New Roman" w:hAnsi="Times New Roman" w:cs="Times New Roman"/>
                <w:b/>
                <w:bCs/>
                <w:color w:val="auto"/>
                <w:sz w:val="24"/>
                <w:szCs w:val="24"/>
                <w:vertAlign w:val="baseline"/>
                <w:lang w:val="en-US" w:eastAsia="zh-CN"/>
              </w:rPr>
              <w:t>：</w:t>
            </w:r>
          </w:p>
          <w:p w14:paraId="4CB8B7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lang w:val="en-US"/>
              </w:rPr>
            </w:pPr>
            <w:r>
              <w:rPr>
                <w:rFonts w:hint="default" w:ascii="Times New Roman" w:hAnsi="Times New Roman" w:eastAsia="宋体" w:cs="Times New Roman"/>
                <w:b w:val="0"/>
                <w:bCs w:val="0"/>
                <w:color w:val="auto"/>
                <w:sz w:val="24"/>
                <w:szCs w:val="24"/>
                <w:highlight w:val="none"/>
                <w:vertAlign w:val="baseline"/>
                <w:lang w:val="en-US" w:eastAsia="zh-CN"/>
              </w:rPr>
              <w:t>本项目涉及的土方项目主要为</w:t>
            </w:r>
            <w:r>
              <w:rPr>
                <w:rFonts w:hint="eastAsia" w:ascii="Times New Roman" w:hAnsi="Times New Roman" w:cs="Times New Roman"/>
                <w:b w:val="0"/>
                <w:bCs w:val="0"/>
                <w:color w:val="auto"/>
                <w:sz w:val="24"/>
                <w:szCs w:val="24"/>
                <w:highlight w:val="none"/>
                <w:vertAlign w:val="baseline"/>
                <w:lang w:val="en-US" w:eastAsia="zh-CN"/>
              </w:rPr>
              <w:t>临时堆场、露天采场</w:t>
            </w:r>
            <w:r>
              <w:rPr>
                <w:rFonts w:hint="eastAsia" w:ascii="Times New Roman" w:hAnsi="Times New Roman" w:eastAsia="宋体" w:cs="Times New Roman"/>
                <w:b w:val="0"/>
                <w:bCs w:val="0"/>
                <w:color w:val="auto"/>
                <w:sz w:val="24"/>
                <w:szCs w:val="24"/>
                <w:highlight w:val="none"/>
                <w:vertAlign w:val="baseline"/>
                <w:lang w:val="en-US" w:eastAsia="zh-CN"/>
              </w:rPr>
              <w:t>及进场道路</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w:t>
            </w:r>
            <w:r>
              <w:rPr>
                <w:rFonts w:hint="eastAsia" w:ascii="Times New Roman" w:hAnsi="Times New Roman" w:cs="Times New Roman"/>
                <w:b w:val="0"/>
                <w:bCs w:val="0"/>
                <w:color w:val="auto"/>
                <w:sz w:val="24"/>
                <w:szCs w:val="24"/>
                <w:vertAlign w:val="baseline"/>
                <w:lang w:val="en-US" w:eastAsia="zh-CN"/>
              </w:rPr>
              <w:t>矿区</w:t>
            </w:r>
            <w:r>
              <w:rPr>
                <w:rFonts w:hint="default" w:ascii="Times New Roman" w:hAnsi="Times New Roman" w:eastAsia="宋体" w:cs="Times New Roman"/>
                <w:b w:val="0"/>
                <w:bCs w:val="0"/>
                <w:color w:val="auto"/>
                <w:sz w:val="24"/>
                <w:szCs w:val="24"/>
                <w:vertAlign w:val="baseline"/>
                <w:lang w:val="en-US" w:eastAsia="zh-CN"/>
              </w:rPr>
              <w:t>在开挖地表、平整土地时，在施工场地的征地范围内设置</w:t>
            </w:r>
            <w:r>
              <w:rPr>
                <w:rFonts w:hint="eastAsia" w:ascii="Times New Roman" w:hAnsi="Times New Roman" w:cs="Times New Roman"/>
                <w:b w:val="0"/>
                <w:bCs w:val="0"/>
                <w:color w:val="auto"/>
                <w:sz w:val="24"/>
                <w:szCs w:val="24"/>
                <w:vertAlign w:val="baseline"/>
                <w:lang w:val="en-US" w:eastAsia="zh-CN"/>
              </w:rPr>
              <w:t>2座</w:t>
            </w:r>
            <w:r>
              <w:rPr>
                <w:rFonts w:hint="default" w:ascii="Times New Roman" w:hAnsi="Times New Roman" w:eastAsia="宋体" w:cs="Times New Roman"/>
                <w:b w:val="0"/>
                <w:bCs w:val="0"/>
                <w:color w:val="auto"/>
                <w:sz w:val="24"/>
                <w:szCs w:val="24"/>
                <w:vertAlign w:val="baseline"/>
                <w:lang w:val="en-US" w:eastAsia="zh-CN"/>
              </w:rPr>
              <w:t>表土堆场，表土</w:t>
            </w:r>
            <w:r>
              <w:rPr>
                <w:rFonts w:hint="eastAsia" w:ascii="Times New Roman" w:hAnsi="Times New Roman" w:cs="Times New Roman"/>
                <w:b w:val="0"/>
                <w:bCs w:val="0"/>
                <w:color w:val="auto"/>
                <w:sz w:val="24"/>
                <w:szCs w:val="24"/>
                <w:vertAlign w:val="baseline"/>
                <w:lang w:val="en-US" w:eastAsia="zh-CN"/>
              </w:rPr>
              <w:t>堆积</w:t>
            </w:r>
            <w:r>
              <w:rPr>
                <w:rFonts w:hint="default" w:ascii="Times New Roman" w:hAnsi="Times New Roman" w:eastAsia="宋体" w:cs="Times New Roman"/>
                <w:b w:val="0"/>
                <w:bCs w:val="0"/>
                <w:color w:val="auto"/>
                <w:sz w:val="24"/>
                <w:szCs w:val="24"/>
                <w:vertAlign w:val="baseline"/>
                <w:lang w:val="en-US" w:eastAsia="zh-CN"/>
              </w:rPr>
              <w:t>厚度为</w:t>
            </w:r>
            <w:r>
              <w:rPr>
                <w:rFonts w:hint="eastAsia" w:ascii="Times New Roman" w:hAnsi="Times New Roman" w:cs="Times New Roman"/>
                <w:b w:val="0"/>
                <w:bCs w:val="0"/>
                <w:color w:val="auto"/>
                <w:sz w:val="24"/>
                <w:szCs w:val="24"/>
                <w:vertAlign w:val="baseline"/>
                <w:lang w:val="en-US" w:eastAsia="zh-CN"/>
              </w:rPr>
              <w:t>30</w:t>
            </w:r>
            <w:r>
              <w:rPr>
                <w:rFonts w:hint="default" w:ascii="Times New Roman" w:hAnsi="Times New Roman" w:eastAsia="宋体" w:cs="Times New Roman"/>
                <w:b w:val="0"/>
                <w:bCs w:val="0"/>
                <w:color w:val="auto"/>
                <w:sz w:val="24"/>
                <w:szCs w:val="24"/>
                <w:vertAlign w:val="baseline"/>
                <w:lang w:val="en-US" w:eastAsia="zh-CN"/>
              </w:rPr>
              <w:t>m，</w:t>
            </w:r>
            <w:r>
              <w:rPr>
                <w:rFonts w:hint="eastAsia" w:ascii="Times New Roman" w:hAnsi="Times New Roman" w:eastAsia="宋体" w:cs="Times New Roman"/>
                <w:b w:val="0"/>
                <w:bCs w:val="0"/>
                <w:color w:val="auto"/>
                <w:sz w:val="24"/>
                <w:szCs w:val="24"/>
                <w:vertAlign w:val="baseline"/>
                <w:lang w:val="en-US" w:eastAsia="zh-CN"/>
              </w:rPr>
              <w:t>2个临时排场容积为40.17×104m³，</w:t>
            </w:r>
            <w:r>
              <w:rPr>
                <w:rFonts w:hint="default" w:ascii="Times New Roman" w:hAnsi="Times New Roman" w:eastAsia="宋体" w:cs="Times New Roman"/>
                <w:b w:val="0"/>
                <w:bCs w:val="0"/>
                <w:color w:val="auto"/>
                <w:sz w:val="24"/>
                <w:szCs w:val="24"/>
                <w:vertAlign w:val="baseline"/>
                <w:lang w:val="en-US" w:eastAsia="zh-CN"/>
              </w:rPr>
              <w:t>对表土进行单独堆放并苫盖，采取编织袋挡土墙临时拦挡；施工完毕，应尽快整理施工现场，将表土覆盖在原地表，对临时占地进行植被恢复，恢复原有用地性质。</w:t>
            </w:r>
          </w:p>
        </w:tc>
      </w:tr>
      <w:tr w14:paraId="08CE89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510" w:type="pct"/>
            <w:vAlign w:val="center"/>
          </w:tcPr>
          <w:p w14:paraId="2159BE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施工</w:t>
            </w:r>
          </w:p>
          <w:p w14:paraId="367822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方案</w:t>
            </w:r>
          </w:p>
        </w:tc>
        <w:tc>
          <w:tcPr>
            <w:tcW w:w="4489" w:type="pct"/>
            <w:vAlign w:val="center"/>
          </w:tcPr>
          <w:p w14:paraId="16BFCA70">
            <w:pPr>
              <w:numPr>
                <w:ilvl w:val="0"/>
                <w:numId w:val="3"/>
              </w:numPr>
              <w:ind w:firstLine="482" w:firstLineChars="200"/>
              <w:jc w:val="both"/>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施工期</w:t>
            </w:r>
          </w:p>
          <w:p w14:paraId="66DB5A1B">
            <w:pPr>
              <w:pStyle w:val="23"/>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（1）施工工艺</w:t>
            </w:r>
          </w:p>
          <w:p w14:paraId="515B2BEF">
            <w:pPr>
              <w:pStyle w:val="23"/>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为新建项目，施工期间产生施工扬尘、燃油施工设备和车辆运行时排放废气、生活污水、施工设备机械性和空气动力性噪声、车辆交通噪声、施工垃圾、生活垃圾及占地、植被和土壤破坏、水土流失等生态影响，均会对环境造成一定影响；本项目施工期间污染源随施工阶段不同略有差异，产生污染物排放均为阶段性排放，除部分永久性占地为持续性影响外，其余影响仅会在施工期间存在，并且影响范围小、时间短，会随着施工期的结束而消失。</w:t>
            </w:r>
            <w:r>
              <w:rPr>
                <w:sz w:val="24"/>
              </w:rPr>
              <mc:AlternateContent>
                <mc:Choice Requires="wps">
                  <w:drawing>
                    <wp:anchor distT="0" distB="0" distL="114300" distR="114300" simplePos="0" relativeHeight="251666432" behindDoc="0" locked="0" layoutInCell="1" allowOverlap="1">
                      <wp:simplePos x="0" y="0"/>
                      <wp:positionH relativeFrom="column">
                        <wp:posOffset>2527935</wp:posOffset>
                      </wp:positionH>
                      <wp:positionV relativeFrom="paragraph">
                        <wp:posOffset>621030</wp:posOffset>
                      </wp:positionV>
                      <wp:extent cx="1333500" cy="312420"/>
                      <wp:effectExtent l="0" t="0" r="0" b="11430"/>
                      <wp:wrapNone/>
                      <wp:docPr id="4" name="文本框 4"/>
                      <wp:cNvGraphicFramePr/>
                      <a:graphic xmlns:a="http://schemas.openxmlformats.org/drawingml/2006/main">
                        <a:graphicData uri="http://schemas.microsoft.com/office/word/2010/wordprocessingShape">
                          <wps:wsp>
                            <wps:cNvSpPr txBox="1"/>
                            <wps:spPr>
                              <a:xfrm>
                                <a:off x="4018280" y="8940800"/>
                                <a:ext cx="1333500" cy="312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210611F">
                                  <w:pPr>
                                    <w:rPr>
                                      <w:rFonts w:hint="default" w:eastAsia="宋体"/>
                                      <w:sz w:val="21"/>
                                      <w:szCs w:val="21"/>
                                      <w:lang w:val="en-US" w:eastAsia="zh-CN"/>
                                    </w:rPr>
                                  </w:pPr>
                                  <w:r>
                                    <w:rPr>
                                      <w:rFonts w:hint="eastAsia"/>
                                      <w:sz w:val="21"/>
                                      <w:szCs w:val="21"/>
                                      <w:lang w:val="en-US" w:eastAsia="zh-CN"/>
                                    </w:rPr>
                                    <w:t>堆场等建设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05pt;margin-top:48.9pt;height:24.6pt;width:105pt;z-index:251666432;mso-width-relative:page;mso-height-relative:page;" fillcolor="#FFFFFF [3201]" filled="t" stroked="f" coordsize="21600,21600" o:gfxdata="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LhpKX1AAA&#10;AAoBAAAPAAAAAAAAAAEAIAAAACIAAABkcnMvZG93bnJldi54bWxQSwECFAAUAAAACACHTuJAVCxj&#10;1VsCAACbBAAADgAAAAAAAAABACAAAAAjAQAAZHJzL2Uyb0RvYy54bWxQSwUGAAAAAAYABgBZAQAA&#10;8AUAAAAA&#10;">
                      <v:fill on="t" focussize="0,0"/>
                      <v:stroke on="f" weight="0.5pt"/>
                      <v:imagedata o:title=""/>
                      <o:lock v:ext="edit" aspectratio="f"/>
                      <v:textbox>
                        <w:txbxContent>
                          <w:p w14:paraId="2210611F">
                            <w:pPr>
                              <w:rPr>
                                <w:rFonts w:hint="default" w:eastAsia="宋体"/>
                                <w:sz w:val="21"/>
                                <w:szCs w:val="21"/>
                                <w:lang w:val="en-US" w:eastAsia="zh-CN"/>
                              </w:rPr>
                            </w:pPr>
                            <w:r>
                              <w:rPr>
                                <w:rFonts w:hint="eastAsia"/>
                                <w:sz w:val="21"/>
                                <w:szCs w:val="21"/>
                                <w:lang w:val="en-US" w:eastAsia="zh-CN"/>
                              </w:rPr>
                              <w:t>堆场等建设</w:t>
                            </w:r>
                          </w:p>
                        </w:txbxContent>
                      </v:textbox>
                    </v:shape>
                  </w:pict>
                </mc:Fallback>
              </mc:AlternateContent>
            </w:r>
            <w:r>
              <w:rPr>
                <w:rFonts w:hint="default" w:ascii="Times New Roman" w:hAnsi="Times New Roman" w:cs="Times New Roman"/>
              </w:rPr>
              <w:drawing>
                <wp:inline distT="0" distB="0" distL="114300" distR="114300">
                  <wp:extent cx="4881245" cy="1183005"/>
                  <wp:effectExtent l="0" t="0" r="14605" b="1714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1"/>
                          <a:stretch>
                            <a:fillRect/>
                          </a:stretch>
                        </pic:blipFill>
                        <pic:spPr>
                          <a:xfrm>
                            <a:off x="0" y="0"/>
                            <a:ext cx="4881245" cy="1183005"/>
                          </a:xfrm>
                          <a:prstGeom prst="rect">
                            <a:avLst/>
                          </a:prstGeom>
                          <a:noFill/>
                          <a:ln>
                            <a:noFill/>
                          </a:ln>
                        </pic:spPr>
                      </pic:pic>
                    </a:graphicData>
                  </a:graphic>
                </wp:inline>
              </w:drawing>
            </w:r>
          </w:p>
          <w:p w14:paraId="4326DE09">
            <w:pPr>
              <w:pStyle w:val="23"/>
              <w:keepNext w:val="0"/>
              <w:keepLines w:val="0"/>
              <w:pageBreakBefore w:val="0"/>
              <w:widowControl w:val="0"/>
              <w:numPr>
                <w:ilvl w:val="0"/>
                <w:numId w:val="0"/>
              </w:numPr>
              <w:kinsoku/>
              <w:wordWrap/>
              <w:overflowPunct/>
              <w:topLinePunct w:val="0"/>
              <w:autoSpaceDE/>
              <w:autoSpaceDN/>
              <w:bidi w:val="0"/>
              <w:adjustRightInd/>
              <w:snapToGrid/>
              <w:spacing w:after="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图2-3施工期工艺流程及产污节点图</w:t>
            </w:r>
          </w:p>
          <w:p w14:paraId="5E333012">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both"/>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（2）施工时序</w:t>
            </w:r>
          </w:p>
          <w:p w14:paraId="675C4FF2">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在施工准备期间，主要完成临时施工场地的布设及施工用水、电等的接入；进入施工期后，工程进行全面的开发建设。设主体工程包括建构筑物基坑开挖、建筑物基础建设，同时进行道路建设。</w:t>
            </w:r>
          </w:p>
          <w:p w14:paraId="6F12D41D">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both"/>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（3）建设周期</w:t>
            </w:r>
          </w:p>
          <w:p w14:paraId="7709553E">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本项工程计划2025年12月开始施工，2026年5月竣工。考虑施工前期准备工作、气候及工人休息时间，项目有效施工期以150天计。</w:t>
            </w:r>
          </w:p>
          <w:p w14:paraId="1EE7A448">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both"/>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运营期</w:t>
            </w:r>
          </w:p>
          <w:p w14:paraId="725A7F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1 \* GB2 \* MERGEFORMAT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⑴</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t>采矿工业流程及产污环节</w:t>
            </w:r>
          </w:p>
          <w:p w14:paraId="5F0608C2">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露天开采主要工序有</w:t>
            </w:r>
            <w:r>
              <w:rPr>
                <w:rFonts w:hint="default" w:ascii="Times New Roman" w:hAnsi="Times New Roman" w:eastAsia="宋体" w:cs="Times New Roman"/>
                <w:color w:val="000000" w:themeColor="text1"/>
                <w:sz w:val="24"/>
                <w:szCs w:val="24"/>
                <w14:textFill>
                  <w14:solidFill>
                    <w14:schemeClr w14:val="tx1"/>
                  </w14:solidFill>
                </w14:textFill>
              </w:rPr>
              <w:t>采剥</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穿孔、爆破、采装、矿石装运。采矿</w:t>
            </w:r>
            <w:r>
              <w:rPr>
                <w:rFonts w:hint="default" w:ascii="Times New Roman" w:hAnsi="Times New Roman" w:eastAsia="宋体" w:cs="Times New Roman"/>
                <w:color w:val="000000" w:themeColor="text1"/>
                <w:sz w:val="24"/>
                <w:szCs w:val="24"/>
                <w14:textFill>
                  <w14:solidFill>
                    <w14:schemeClr w14:val="tx1"/>
                  </w14:solidFill>
                </w14:textFill>
              </w:rPr>
              <w:t>生产工艺流程及产污环节见图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14:textFill>
                  <w14:solidFill>
                    <w14:schemeClr w14:val="tx1"/>
                  </w14:solidFill>
                </w14:textFill>
              </w:rPr>
              <w:t>。</w:t>
            </w:r>
          </w:p>
          <w:p w14:paraId="3AD5BF3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sz w:val="21"/>
              </w:rPr>
              <mc:AlternateContent>
                <mc:Choice Requires="wps">
                  <w:drawing>
                    <wp:anchor distT="0" distB="0" distL="114300" distR="114300" simplePos="0" relativeHeight="251661312" behindDoc="0" locked="0" layoutInCell="1" allowOverlap="1">
                      <wp:simplePos x="0" y="0"/>
                      <wp:positionH relativeFrom="column">
                        <wp:posOffset>4328160</wp:posOffset>
                      </wp:positionH>
                      <wp:positionV relativeFrom="paragraph">
                        <wp:posOffset>1629410</wp:posOffset>
                      </wp:positionV>
                      <wp:extent cx="563245" cy="287655"/>
                      <wp:effectExtent l="0" t="0" r="8255" b="17145"/>
                      <wp:wrapNone/>
                      <wp:docPr id="10" name="文本框 10"/>
                      <wp:cNvGraphicFramePr/>
                      <a:graphic xmlns:a="http://schemas.openxmlformats.org/drawingml/2006/main">
                        <a:graphicData uri="http://schemas.microsoft.com/office/word/2010/wordprocessingShape">
                          <wps:wsp>
                            <wps:cNvSpPr txBox="1"/>
                            <wps:spPr>
                              <a:xfrm>
                                <a:off x="5734050" y="7654925"/>
                                <a:ext cx="563245"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CD3344A">
                                  <w:pPr>
                                    <w:ind w:left="0" w:leftChars="0" w:firstLine="0" w:firstLineChars="0"/>
                                    <w:jc w:val="center"/>
                                    <w:rPr>
                                      <w:rFonts w:hint="eastAsia" w:eastAsia="宋体"/>
                                      <w:sz w:val="21"/>
                                      <w:szCs w:val="21"/>
                                      <w:lang w:eastAsia="zh-CN"/>
                                    </w:rPr>
                                  </w:pPr>
                                  <w:r>
                                    <w:rPr>
                                      <w:rFonts w:hint="eastAsia"/>
                                      <w:sz w:val="21"/>
                                      <w:szCs w:val="21"/>
                                      <w:lang w:eastAsia="zh-CN"/>
                                    </w:rPr>
                                    <w:t>委外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8pt;margin-top:128.3pt;height:22.65pt;width:44.35pt;z-index:251661312;mso-width-relative:page;mso-height-relative:page;" fillcolor="#FFFFFF [3201]" filled="t" stroked="f" coordsize="21600,21600" o:gfxdata="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ELhnfX&#10;AAAACwEAAA8AAAAAAAAAAQAgAAAAIgAAAGRycy9kb3ducmV2LnhtbFBLAQIUABQAAAAIAIdO4kA1&#10;bonfWgIAAJwEAAAOAAAAAAAAAAEAIAAAACYBAABkcnMvZTJvRG9jLnhtbFBLBQYAAAAABgAGAFkB&#10;AADyBQAAAAA=&#10;">
                      <v:fill on="t" focussize="0,0"/>
                      <v:stroke on="f" weight="0.5pt"/>
                      <v:imagedata o:title=""/>
                      <o:lock v:ext="edit" aspectratio="f"/>
                      <v:textbox>
                        <w:txbxContent>
                          <w:p w14:paraId="2CD3344A">
                            <w:pPr>
                              <w:ind w:left="0" w:leftChars="0" w:firstLine="0" w:firstLineChars="0"/>
                              <w:jc w:val="center"/>
                              <w:rPr>
                                <w:rFonts w:hint="eastAsia" w:eastAsia="宋体"/>
                                <w:sz w:val="21"/>
                                <w:szCs w:val="21"/>
                                <w:lang w:eastAsia="zh-CN"/>
                              </w:rPr>
                            </w:pPr>
                            <w:r>
                              <w:rPr>
                                <w:rFonts w:hint="eastAsia"/>
                                <w:sz w:val="21"/>
                                <w:szCs w:val="21"/>
                                <w:lang w:eastAsia="zh-CN"/>
                              </w:rPr>
                              <w:t>委外</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4570730</wp:posOffset>
                      </wp:positionH>
                      <wp:positionV relativeFrom="paragraph">
                        <wp:posOffset>1273810</wp:posOffset>
                      </wp:positionV>
                      <wp:extent cx="0" cy="328930"/>
                      <wp:effectExtent l="38100" t="0" r="38100" b="13970"/>
                      <wp:wrapNone/>
                      <wp:docPr id="9" name="直接箭头连接符 9"/>
                      <wp:cNvGraphicFramePr/>
                      <a:graphic xmlns:a="http://schemas.openxmlformats.org/drawingml/2006/main">
                        <a:graphicData uri="http://schemas.microsoft.com/office/word/2010/wordprocessingShape">
                          <wps:wsp>
                            <wps:cNvCnPr/>
                            <wps:spPr>
                              <a:xfrm>
                                <a:off x="5777230" y="7429500"/>
                                <a:ext cx="0" cy="32893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59.9pt;margin-top:100.3pt;height:25.9pt;width:0pt;z-index:251660288;mso-width-relative:page;mso-height-relative:page;" filled="f" stroked="t" coordsize="21600,21600" o:gfxdata="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DBx8dgAAAALAQAA&#10;DwAAAAAAAAABACAAAAAiAAAAZHJzL2Rvd25yZXYueG1sUEsBAhQAFAAAAAgAh07iQOYMFnQZAgAA&#10;/wMAAA4AAAAAAAAAAQAgAAAAJwEAAGRycy9lMm9Eb2MueG1sUEsFBgAAAAAGAAYAWQEAALIFAAAA&#10;AA==&#10;">
                      <v:fill on="f" focussize="0,0"/>
                      <v:stroke color="#000000 [3213]" joinstyle="round"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59264" behindDoc="0" locked="0" layoutInCell="1" allowOverlap="1">
                      <wp:simplePos x="0" y="0"/>
                      <wp:positionH relativeFrom="column">
                        <wp:posOffset>3973195</wp:posOffset>
                      </wp:positionH>
                      <wp:positionV relativeFrom="paragraph">
                        <wp:posOffset>607060</wp:posOffset>
                      </wp:positionV>
                      <wp:extent cx="1151890" cy="658495"/>
                      <wp:effectExtent l="4445" t="5080" r="5715" b="22225"/>
                      <wp:wrapNone/>
                      <wp:docPr id="8" name="文本框 8"/>
                      <wp:cNvGraphicFramePr/>
                      <a:graphic xmlns:a="http://schemas.openxmlformats.org/drawingml/2006/main">
                        <a:graphicData uri="http://schemas.microsoft.com/office/word/2010/wordprocessingShape">
                          <wps:wsp>
                            <wps:cNvSpPr txBox="1"/>
                            <wps:spPr>
                              <a:xfrm>
                                <a:off x="5379085" y="6658610"/>
                                <a:ext cx="1151890" cy="658495"/>
                              </a:xfrm>
                              <a:prstGeom prst="rect">
                                <a:avLst/>
                              </a:prstGeom>
                              <a:noFill/>
                              <a:ln w="6350">
                                <a:solidFill>
                                  <a:prstClr val="black"/>
                                </a:solidFill>
                                <a:prstDash val="sysDash"/>
                              </a:ln>
                            </wps:spPr>
                            <wps:style>
                              <a:lnRef idx="0">
                                <a:schemeClr val="accent1"/>
                              </a:lnRef>
                              <a:fillRef idx="0">
                                <a:schemeClr val="accent1"/>
                              </a:fillRef>
                              <a:effectRef idx="0">
                                <a:schemeClr val="accent1"/>
                              </a:effectRef>
                              <a:fontRef idx="minor">
                                <a:schemeClr val="dk1"/>
                              </a:fontRef>
                            </wps:style>
                            <wps:txbx>
                              <w:txbxContent>
                                <w:p w14:paraId="02A71D3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85pt;margin-top:47.8pt;height:51.85pt;width:90.7pt;z-index:251659264;mso-width-relative:page;mso-height-relative:page;" filled="f" stroked="t" coordsize="21600,21600" o:gfxdata="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DsvotgAAAAKAQAADwAAAAAAAAABACAAAAAiAAAAZHJzL2Rvd25yZXYueG1sUEsBAhQA&#10;FAAAAAgAh07iQIO+2TVkAgAAtQQAAA4AAAAAAAAAAQAgAAAAJwEAAGRycy9lMm9Eb2MueG1sUEsF&#10;BgAAAAAGAAYAWQEAAP0FAAAAAA==&#10;">
                      <v:fill on="f" focussize="0,0"/>
                      <v:stroke weight="0.5pt" color="#000000 [3204]" joinstyle="round" dashstyle="3 1"/>
                      <v:imagedata o:title=""/>
                      <o:lock v:ext="edit" aspectratio="f"/>
                      <v:textbox>
                        <w:txbxContent>
                          <w:p w14:paraId="02A71D36"/>
                        </w:txbxContent>
                      </v:textbox>
                    </v:shape>
                  </w:pict>
                </mc:Fallback>
              </mc:AlternateContent>
            </w:r>
            <w:r>
              <w:rPr>
                <w:rFonts w:hint="default" w:ascii="Times New Roman" w:hAnsi="Times New Roman" w:eastAsia="宋体" w:cs="Times New Roman"/>
                <w:color w:val="000000" w:themeColor="text1"/>
                <w:sz w:val="21"/>
                <w:szCs w:val="21"/>
                <w:lang w:eastAsia="zh-CN"/>
                <w14:textFill>
                  <w14:solidFill>
                    <w14:schemeClr w14:val="tx1"/>
                  </w14:solidFill>
                </w14:textFill>
              </w:rPr>
              <w:drawing>
                <wp:inline distT="0" distB="0" distL="114300" distR="114300">
                  <wp:extent cx="5154295" cy="1887855"/>
                  <wp:effectExtent l="0" t="0" r="1905" b="17145"/>
                  <wp:docPr id="6" name="图片 6" descr="开采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开采工艺流程图"/>
                          <pic:cNvPicPr>
                            <a:picLocks noChangeAspect="1"/>
                          </pic:cNvPicPr>
                        </pic:nvPicPr>
                        <pic:blipFill>
                          <a:blip r:embed="rId12"/>
                          <a:stretch>
                            <a:fillRect/>
                          </a:stretch>
                        </pic:blipFill>
                        <pic:spPr>
                          <a:xfrm>
                            <a:off x="0" y="0"/>
                            <a:ext cx="5154295" cy="1887855"/>
                          </a:xfrm>
                          <a:prstGeom prst="rect">
                            <a:avLst/>
                          </a:prstGeom>
                        </pic:spPr>
                      </pic:pic>
                    </a:graphicData>
                  </a:graphic>
                </wp:inline>
              </w:drawing>
            </w:r>
          </w:p>
          <w:p w14:paraId="6E7E6F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p w14:paraId="3DC456AA">
            <w:pPr>
              <w:spacing w:line="36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图</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b/>
                <w:bCs/>
                <w:color w:val="000000" w:themeColor="text1"/>
                <w:sz w:val="21"/>
                <w:szCs w:val="21"/>
                <w14:textFill>
                  <w14:solidFill>
                    <w14:schemeClr w14:val="tx1"/>
                  </w14:solidFill>
                </w14:textFill>
              </w:rPr>
              <w:t>露天开采工艺流程及污染环节图</w:t>
            </w:r>
          </w:p>
          <w:p w14:paraId="7349E8A3">
            <w:pPr>
              <w:adjustRightInd w:val="0"/>
              <w:spacing w:line="360" w:lineRule="auto"/>
              <w:ind w:firstLine="482" w:firstLineChars="20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生产工艺简述</w:t>
            </w:r>
            <w:r>
              <w:rPr>
                <w:rFonts w:hint="default" w:ascii="Times New Roman" w:hAnsi="Times New Roman" w:cs="Times New Roman"/>
                <w:b/>
                <w:bCs/>
                <w:color w:val="000000" w:themeColor="text1"/>
                <w:sz w:val="24"/>
                <w:szCs w:val="24"/>
                <w:lang w:eastAsia="zh-CN"/>
                <w14:textFill>
                  <w14:solidFill>
                    <w14:schemeClr w14:val="tx1"/>
                  </w14:solidFill>
                </w14:textFill>
              </w:rPr>
              <w:t>：</w:t>
            </w:r>
          </w:p>
          <w:p w14:paraId="0AA78102">
            <w:pPr>
              <w:adjustRightInd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①穿孔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爆破</w:t>
            </w:r>
          </w:p>
          <w:p w14:paraId="769A5861">
            <w:pPr>
              <w:adjustRightInd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矿山采用1台JK590BC-3AW型履带式液压潜孔钻机进行穿孔作业（自带干式捕尘装置），孔径为Φ105mm。另外利用2台YT-28型手持凿岩机作为边坡修整、靠近边界等特殊地带的凿岩作业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辅助作业。</w:t>
            </w:r>
          </w:p>
          <w:p w14:paraId="34434F5F">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此过程产生扬尘和噪声污染</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在钻孔</w:t>
            </w:r>
            <w:r>
              <w:rPr>
                <w:rFonts w:hint="default" w:ascii="Times New Roman" w:hAnsi="Times New Roman" w:cs="Times New Roman"/>
                <w:color w:val="000000" w:themeColor="text1"/>
                <w:sz w:val="24"/>
                <w:szCs w:val="24"/>
                <w:lang w:val="en-US" w:eastAsia="zh-CN"/>
                <w14:textFill>
                  <w14:solidFill>
                    <w14:schemeClr w14:val="tx1"/>
                  </w14:solidFill>
                </w14:textFill>
              </w:rPr>
              <w:t>作业时</w:t>
            </w:r>
            <w:r>
              <w:rPr>
                <w:rFonts w:hint="default" w:ascii="Times New Roman" w:hAnsi="Times New Roman" w:eastAsia="宋体" w:cs="Times New Roman"/>
                <w:color w:val="000000" w:themeColor="text1"/>
                <w:sz w:val="24"/>
                <w:szCs w:val="24"/>
                <w14:textFill>
                  <w14:solidFill>
                    <w14:schemeClr w14:val="tx1"/>
                  </w14:solidFill>
                </w14:textFill>
              </w:rPr>
              <w:t>进行水喷淋降尘处理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48153638">
            <w:pPr>
              <w:numPr>
                <w:ilvl w:val="0"/>
                <w:numId w:val="0"/>
              </w:num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②</w:t>
            </w:r>
            <w:r>
              <w:rPr>
                <w:rFonts w:hint="default" w:ascii="Times New Roman" w:hAnsi="Times New Roman" w:eastAsia="宋体" w:cs="Times New Roman"/>
                <w:color w:val="000000" w:themeColor="text1"/>
                <w:sz w:val="24"/>
                <w:szCs w:val="24"/>
                <w14:textFill>
                  <w14:solidFill>
                    <w14:schemeClr w14:val="tx1"/>
                  </w14:solidFill>
                </w14:textFill>
              </w:rPr>
              <w:t>爆破工作</w:t>
            </w:r>
          </w:p>
          <w:p w14:paraId="3023E9C3">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项目爆破工作委托当地民爆公司负责，不在矿区设置爆破器材库等。</w:t>
            </w:r>
            <w:r>
              <w:rPr>
                <w:rFonts w:hint="default" w:ascii="Times New Roman" w:hAnsi="Times New Roman" w:eastAsia="宋体" w:cs="Times New Roman"/>
                <w:color w:val="000000" w:themeColor="text1"/>
                <w:sz w:val="24"/>
                <w:szCs w:val="24"/>
                <w14:textFill>
                  <w14:solidFill>
                    <w14:schemeClr w14:val="tx1"/>
                  </w14:solidFill>
                </w14:textFill>
              </w:rPr>
              <w:t>矿山采用倾斜中深孔爆破，爆破布孔采用三角形布置为佳，爆破采用微差爆破方式，选用非电塑料导爆管起爆，炸药用乳化炸药，炮泥采用岩粉、粘土、砂土等材料。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此过程产生扬尘和噪声污染。项目</w:t>
            </w:r>
            <w:r>
              <w:rPr>
                <w:rFonts w:hint="default" w:ascii="Times New Roman" w:hAnsi="Times New Roman" w:eastAsia="宋体" w:cs="Times New Roman"/>
                <w:color w:val="000000" w:themeColor="text1"/>
                <w:sz w:val="24"/>
                <w:szCs w:val="24"/>
                <w14:textFill>
                  <w14:solidFill>
                    <w14:schemeClr w14:val="tx1"/>
                  </w14:solidFill>
                </w14:textFill>
              </w:rPr>
              <w:t>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爆破</w:t>
            </w:r>
            <w:r>
              <w:rPr>
                <w:rFonts w:hint="default" w:ascii="Times New Roman" w:hAnsi="Times New Roman" w:cs="Times New Roman"/>
                <w:color w:val="000000" w:themeColor="text1"/>
                <w:sz w:val="24"/>
                <w:szCs w:val="24"/>
                <w:lang w:val="en-US" w:eastAsia="zh-CN"/>
                <w14:textFill>
                  <w14:solidFill>
                    <w14:schemeClr w14:val="tx1"/>
                  </w14:solidFill>
                </w14:textFill>
              </w:rPr>
              <w:t>作业后及时采用</w:t>
            </w:r>
            <w:r>
              <w:rPr>
                <w:rFonts w:hint="default" w:ascii="Times New Roman" w:hAnsi="Times New Roman" w:eastAsia="宋体" w:cs="Times New Roman"/>
                <w:color w:val="000000" w:themeColor="text1"/>
                <w:sz w:val="24"/>
                <w:szCs w:val="24"/>
                <w14:textFill>
                  <w14:solidFill>
                    <w14:schemeClr w14:val="tx1"/>
                  </w14:solidFill>
                </w14:textFill>
              </w:rPr>
              <w:t>水喷淋降尘处理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1B3D2922">
            <w:pPr>
              <w:spacing w:line="360" w:lineRule="auto"/>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③采装工作</w:t>
            </w:r>
          </w:p>
          <w:p w14:paraId="60345EEE">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采用松动爆破技术，岩石被松动后</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用挖掘机和装载机进行铲装。剥离的表土及强风化岩用挖掘机直接挖装，或用推土机配合装载机进行集堆，然后铲装。采剥下来的矿石经铲装后用矿用自卸汽车从采场运输至矿石加工厂破碎</w:t>
            </w:r>
            <w:r>
              <w:rPr>
                <w:rFonts w:hint="default" w:ascii="Times New Roman" w:hAnsi="Times New Roman" w:cs="Times New Roman"/>
                <w:color w:val="000000" w:themeColor="text1"/>
                <w:sz w:val="24"/>
                <w:szCs w:val="24"/>
                <w:lang w:eastAsia="zh-CN"/>
                <w14:textFill>
                  <w14:solidFill>
                    <w14:schemeClr w14:val="tx1"/>
                  </w14:solidFill>
                </w14:textFill>
              </w:rPr>
              <w:t>（委外）</w:t>
            </w:r>
            <w:r>
              <w:rPr>
                <w:rFonts w:hint="default" w:ascii="Times New Roman" w:hAnsi="Times New Roman" w:eastAsia="宋体" w:cs="Times New Roman"/>
                <w:color w:val="000000" w:themeColor="text1"/>
                <w:sz w:val="24"/>
                <w:szCs w:val="24"/>
                <w14:textFill>
                  <w14:solidFill>
                    <w14:schemeClr w14:val="tx1"/>
                  </w14:solidFill>
                </w14:textFill>
              </w:rPr>
              <w:t>。</w:t>
            </w:r>
          </w:p>
          <w:p w14:paraId="321374E6">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项</w:t>
            </w:r>
            <w:r>
              <w:rPr>
                <w:rFonts w:hint="default" w:ascii="Times New Roman" w:hAnsi="Times New Roman" w:eastAsia="宋体" w:cs="Times New Roman"/>
                <w:bCs/>
                <w:color w:val="auto"/>
                <w:sz w:val="24"/>
                <w:szCs w:val="24"/>
              </w:rPr>
              <w:t>目选用</w:t>
            </w:r>
            <w:r>
              <w:rPr>
                <w:rFonts w:hint="default" w:ascii="Times New Roman" w:hAnsi="Times New Roman" w:cs="Times New Roman"/>
                <w:bCs/>
                <w:color w:val="auto"/>
                <w:sz w:val="24"/>
                <w:szCs w:val="24"/>
                <w:lang w:val="en-US" w:eastAsia="zh-CN"/>
              </w:rPr>
              <w:t>4</w:t>
            </w:r>
            <w:r>
              <w:rPr>
                <w:rFonts w:hint="default" w:ascii="Times New Roman" w:hAnsi="Times New Roman" w:eastAsia="宋体" w:cs="Times New Roman"/>
                <w:bCs/>
                <w:color w:val="auto"/>
                <w:sz w:val="24"/>
                <w:szCs w:val="24"/>
              </w:rPr>
              <w:t>台</w:t>
            </w:r>
            <w:r>
              <w:rPr>
                <w:rFonts w:hint="default" w:ascii="Times New Roman" w:hAnsi="Times New Roman" w:eastAsia="宋体" w:cs="Times New Roman"/>
                <w:bCs/>
                <w:color w:val="auto"/>
                <w:sz w:val="24"/>
                <w:szCs w:val="24"/>
                <w:lang w:val="en-US" w:eastAsia="zh-CN"/>
              </w:rPr>
              <w:t>履带式</w:t>
            </w:r>
            <w:r>
              <w:rPr>
                <w:rFonts w:hint="default" w:ascii="Times New Roman" w:hAnsi="Times New Roman" w:eastAsia="宋体" w:cs="Times New Roman"/>
                <w:bCs/>
                <w:color w:val="auto"/>
                <w:sz w:val="24"/>
                <w:szCs w:val="24"/>
              </w:rPr>
              <w:t>挖掘机用于矿石采掘，矿石运输选用</w:t>
            </w:r>
            <w:r>
              <w:rPr>
                <w:rFonts w:hint="default" w:ascii="Times New Roman" w:hAnsi="Times New Roman" w:cs="Times New Roman"/>
                <w:bCs/>
                <w:color w:val="auto"/>
                <w:sz w:val="24"/>
                <w:szCs w:val="24"/>
                <w:lang w:val="en-US" w:eastAsia="zh-CN"/>
              </w:rPr>
              <w:t>11</w:t>
            </w:r>
            <w:r>
              <w:rPr>
                <w:rFonts w:hint="default" w:ascii="Times New Roman" w:hAnsi="Times New Roman" w:eastAsia="宋体" w:cs="Times New Roman"/>
                <w:bCs/>
                <w:color w:val="auto"/>
                <w:sz w:val="24"/>
                <w:szCs w:val="24"/>
              </w:rPr>
              <w:t>辆2</w:t>
            </w:r>
            <w:r>
              <w:rPr>
                <w:rFonts w:hint="default" w:ascii="Times New Roman" w:hAnsi="Times New Roman" w:cs="Times New Roman"/>
                <w:bCs/>
                <w:color w:val="auto"/>
                <w:sz w:val="24"/>
                <w:szCs w:val="24"/>
                <w:lang w:val="en-US" w:eastAsia="zh-CN"/>
              </w:rPr>
              <w:t>0</w:t>
            </w:r>
            <w:r>
              <w:rPr>
                <w:rFonts w:hint="default" w:ascii="Times New Roman" w:hAnsi="Times New Roman" w:eastAsia="宋体" w:cs="Times New Roman"/>
                <w:bCs/>
                <w:color w:val="auto"/>
                <w:sz w:val="24"/>
                <w:szCs w:val="24"/>
              </w:rPr>
              <w:t>t自卸汽车。</w:t>
            </w:r>
          </w:p>
          <w:p w14:paraId="3034F76F">
            <w:pPr>
              <w:pStyle w:val="19"/>
              <w:spacing w:after="0" w:line="360" w:lineRule="auto"/>
              <w:ind w:firstLine="42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厂区运输采用溜槽法，设计溜槽垂高95m，水平投影长度90m，斜长130m，底板倾角50°，溜槽上下口均形成平面120°喇叭口状，溜槽侧帮角度60°，深度为4m，外口宽10m，内口宽5m。溜槽底部装矿平台处东侧及北侧设置挡墙，挡墙总长100m，北侧挡墙中部开设大门。</w:t>
            </w:r>
          </w:p>
          <w:p w14:paraId="32CF844A">
            <w:pPr>
              <w:spacing w:line="360" w:lineRule="auto"/>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 = 4 \* GB3 \* MERGEFORMAT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④</w:t>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14:textFill>
                  <w14:solidFill>
                    <w14:schemeClr w14:val="tx1"/>
                  </w14:solidFill>
                </w14:textFill>
              </w:rPr>
              <w:t>废石处理</w:t>
            </w:r>
          </w:p>
          <w:p w14:paraId="231DF37B">
            <w:pPr>
              <w:spacing w:line="360" w:lineRule="auto"/>
              <w:ind w:firstLine="48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项目矿山的</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工作面已形成，</w:t>
            </w:r>
            <w:r>
              <w:rPr>
                <w:rFonts w:hint="default" w:ascii="Times New Roman" w:hAnsi="Times New Roman" w:eastAsia="宋体" w:cs="Times New Roman"/>
                <w:bCs/>
                <w:color w:val="000000" w:themeColor="text1"/>
                <w:sz w:val="24"/>
                <w:szCs w:val="24"/>
                <w14:textFill>
                  <w14:solidFill>
                    <w14:schemeClr w14:val="tx1"/>
                  </w14:solidFill>
                </w14:textFill>
              </w:rPr>
              <w:t>剥离的地表覆盖土</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量很小</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产生的表土堆放在采空区，用于</w:t>
            </w:r>
            <w:r>
              <w:rPr>
                <w:rFonts w:hint="default" w:ascii="Times New Roman" w:hAnsi="Times New Roman" w:cs="Times New Roman"/>
                <w:bCs/>
                <w:color w:val="000000" w:themeColor="text1"/>
                <w:sz w:val="24"/>
                <w:szCs w:val="24"/>
                <w:lang w:val="en-US" w:eastAsia="zh-CN"/>
                <w14:textFill>
                  <w14:solidFill>
                    <w14:schemeClr w14:val="tx1"/>
                  </w14:solidFill>
                </w14:textFill>
              </w:rPr>
              <w:t>矿山后期</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绿化用土。开采过程中产生的</w:t>
            </w:r>
            <w:r>
              <w:rPr>
                <w:rFonts w:hint="default" w:ascii="Times New Roman" w:hAnsi="Times New Roman" w:eastAsia="宋体" w:cs="Times New Roman"/>
                <w:bCs/>
                <w:color w:val="000000" w:themeColor="text1"/>
                <w:sz w:val="24"/>
                <w:szCs w:val="24"/>
                <w14:textFill>
                  <w14:solidFill>
                    <w14:schemeClr w14:val="tx1"/>
                  </w14:solidFill>
                </w14:textFill>
              </w:rPr>
              <w:t>废石用于矿山道路平整</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tc>
      </w:tr>
      <w:tr w14:paraId="48DF4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510" w:type="pct"/>
            <w:vAlign w:val="center"/>
          </w:tcPr>
          <w:p w14:paraId="0E9E1F9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bCs/>
                <w:color w:val="000000" w:themeColor="text1"/>
                <w:kern w:val="0"/>
                <w:sz w:val="24"/>
                <w:szCs w:val="24"/>
                <w:lang w:eastAsia="zh-CN"/>
                <w14:textFill>
                  <w14:solidFill>
                    <w14:schemeClr w14:val="tx1"/>
                  </w14:solidFill>
                </w14:textFill>
              </w:rPr>
            </w:pPr>
            <w:r>
              <w:rPr>
                <w:rFonts w:hint="default" w:ascii="Times New Roman" w:hAnsi="Times New Roman" w:cs="Times New Roman"/>
                <w:b/>
                <w:bCs/>
                <w:color w:val="000000" w:themeColor="text1"/>
                <w:kern w:val="0"/>
                <w:sz w:val="24"/>
                <w:szCs w:val="24"/>
                <w:lang w:eastAsia="zh-CN"/>
                <w14:textFill>
                  <w14:solidFill>
                    <w14:schemeClr w14:val="tx1"/>
                  </w14:solidFill>
                </w14:textFill>
              </w:rPr>
              <w:t>其他</w:t>
            </w:r>
          </w:p>
        </w:tc>
        <w:tc>
          <w:tcPr>
            <w:tcW w:w="4489" w:type="pct"/>
            <w:vAlign w:val="center"/>
          </w:tcPr>
          <w:p w14:paraId="2DAB104E">
            <w:pPr>
              <w:spacing w:line="360" w:lineRule="auto"/>
              <w:ind w:firstLine="480" w:firstLineChars="200"/>
              <w:jc w:val="center"/>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cs="Times New Roman"/>
                <w:bCs/>
                <w:color w:val="000000" w:themeColor="text1"/>
                <w:sz w:val="24"/>
                <w:szCs w:val="24"/>
                <w:lang w:eastAsia="zh-CN"/>
                <w14:textFill>
                  <w14:solidFill>
                    <w14:schemeClr w14:val="tx1"/>
                  </w14:solidFill>
                </w14:textFill>
              </w:rPr>
              <w:t>无</w:t>
            </w:r>
          </w:p>
        </w:tc>
      </w:tr>
    </w:tbl>
    <w:p w14:paraId="25625875">
      <w:pPr>
        <w:pStyle w:val="20"/>
        <w:keepNext w:val="0"/>
        <w:keepLines w:val="0"/>
        <w:pageBreakBefore w:val="0"/>
        <w:widowControl/>
        <w:kinsoku/>
        <w:wordWrap/>
        <w:overflowPunct/>
        <w:topLinePunct w:val="0"/>
        <w:autoSpaceDE/>
        <w:autoSpaceDN/>
        <w:bidi w:val="0"/>
        <w:adjustRightInd/>
        <w:snapToGrid/>
        <w:spacing w:before="157" w:beforeLines="50" w:beforeAutospacing="0" w:after="0" w:afterAutospacing="0"/>
        <w:ind w:left="0" w:leftChars="0" w:firstLine="0" w:firstLineChars="0"/>
        <w:jc w:val="center"/>
        <w:textAlignment w:val="auto"/>
        <w:outlineLvl w:val="0"/>
        <w:rPr>
          <w:rFonts w:hint="default" w:ascii="Times New Roman" w:hAnsi="Times New Roman" w:eastAsia="宋体" w:cs="Times New Roman"/>
          <w:snapToGrid w:val="0"/>
          <w:color w:val="auto"/>
          <w:sz w:val="30"/>
          <w:szCs w:val="30"/>
        </w:rPr>
      </w:pPr>
    </w:p>
    <w:p w14:paraId="1959A482">
      <w:pPr>
        <w:pStyle w:val="20"/>
        <w:keepNext w:val="0"/>
        <w:keepLines w:val="0"/>
        <w:pageBreakBefore w:val="0"/>
        <w:widowControl/>
        <w:kinsoku/>
        <w:wordWrap/>
        <w:overflowPunct/>
        <w:topLinePunct w:val="0"/>
        <w:autoSpaceDE/>
        <w:autoSpaceDN/>
        <w:bidi w:val="0"/>
        <w:adjustRightInd/>
        <w:snapToGrid/>
        <w:spacing w:before="157" w:beforeLines="50" w:beforeAutospacing="0" w:after="0" w:afterAutospacing="0"/>
        <w:ind w:left="0" w:leftChars="0" w:firstLine="0" w:firstLineChars="0"/>
        <w:jc w:val="center"/>
        <w:textAlignment w:val="auto"/>
        <w:outlineLvl w:val="0"/>
        <w:rPr>
          <w:rFonts w:hint="default" w:ascii="Times New Roman" w:hAnsi="Times New Roman" w:eastAsia="宋体" w:cs="Times New Roman"/>
          <w:snapToGrid w:val="0"/>
          <w:color w:val="auto"/>
          <w:sz w:val="30"/>
          <w:szCs w:val="30"/>
        </w:rPr>
      </w:pPr>
    </w:p>
    <w:p w14:paraId="54C58374">
      <w:pPr>
        <w:pStyle w:val="20"/>
        <w:keepNext w:val="0"/>
        <w:keepLines w:val="0"/>
        <w:pageBreakBefore w:val="0"/>
        <w:widowControl/>
        <w:kinsoku/>
        <w:wordWrap/>
        <w:overflowPunct/>
        <w:topLinePunct w:val="0"/>
        <w:autoSpaceDE/>
        <w:autoSpaceDN/>
        <w:bidi w:val="0"/>
        <w:adjustRightInd/>
        <w:snapToGrid/>
        <w:spacing w:before="157" w:beforeLines="50" w:beforeAutospacing="0" w:after="0" w:afterAutospacing="0"/>
        <w:ind w:left="0" w:leftChars="0" w:firstLine="0" w:firstLineChars="0"/>
        <w:jc w:val="center"/>
        <w:textAlignment w:val="auto"/>
        <w:outlineLvl w:val="0"/>
        <w:rPr>
          <w:rFonts w:hint="default" w:ascii="Times New Roman" w:hAnsi="Times New Roman" w:eastAsia="宋体" w:cs="Times New Roman"/>
          <w:snapToGrid w:val="0"/>
          <w:color w:val="auto"/>
          <w:sz w:val="30"/>
          <w:szCs w:val="30"/>
        </w:rPr>
      </w:pPr>
    </w:p>
    <w:p w14:paraId="1E52BB2C">
      <w:pPr>
        <w:pStyle w:val="20"/>
        <w:keepNext w:val="0"/>
        <w:keepLines w:val="0"/>
        <w:pageBreakBefore w:val="0"/>
        <w:widowControl/>
        <w:kinsoku/>
        <w:wordWrap/>
        <w:overflowPunct/>
        <w:topLinePunct w:val="0"/>
        <w:autoSpaceDE/>
        <w:autoSpaceDN/>
        <w:bidi w:val="0"/>
        <w:adjustRightInd/>
        <w:snapToGrid/>
        <w:spacing w:before="157" w:beforeLines="50" w:beforeAutospacing="0" w:after="0" w:afterAutospacing="0"/>
        <w:ind w:left="0" w:leftChars="0" w:firstLine="0" w:firstLineChars="0"/>
        <w:jc w:val="center"/>
        <w:textAlignment w:val="auto"/>
        <w:outlineLvl w:val="0"/>
        <w:rPr>
          <w:rFonts w:hint="default" w:ascii="Times New Roman" w:hAnsi="Times New Roman" w:eastAsia="宋体" w:cs="Times New Roman"/>
          <w:snapToGrid w:val="0"/>
          <w:color w:val="auto"/>
          <w:sz w:val="30"/>
          <w:szCs w:val="30"/>
        </w:rPr>
      </w:pPr>
    </w:p>
    <w:p w14:paraId="433871A5">
      <w:pPr>
        <w:pStyle w:val="20"/>
        <w:keepNext w:val="0"/>
        <w:keepLines w:val="0"/>
        <w:pageBreakBefore w:val="0"/>
        <w:widowControl/>
        <w:kinsoku/>
        <w:wordWrap/>
        <w:overflowPunct/>
        <w:topLinePunct w:val="0"/>
        <w:autoSpaceDE/>
        <w:autoSpaceDN/>
        <w:bidi w:val="0"/>
        <w:adjustRightInd/>
        <w:snapToGrid/>
        <w:spacing w:before="157" w:beforeLines="50" w:beforeAutospacing="0" w:after="0" w:afterAutospacing="0"/>
        <w:ind w:left="0" w:leftChars="0" w:firstLine="0" w:firstLineChars="0"/>
        <w:jc w:val="center"/>
        <w:textAlignment w:val="auto"/>
        <w:outlineLvl w:val="0"/>
        <w:rPr>
          <w:rFonts w:hint="default" w:ascii="Times New Roman" w:hAnsi="Times New Roman" w:eastAsia="宋体" w:cs="Times New Roman"/>
          <w:snapToGrid w:val="0"/>
          <w:color w:val="auto"/>
          <w:sz w:val="30"/>
          <w:szCs w:val="30"/>
        </w:rPr>
      </w:pPr>
    </w:p>
    <w:p w14:paraId="313EE6D3">
      <w:pPr>
        <w:pStyle w:val="20"/>
        <w:keepNext w:val="0"/>
        <w:keepLines w:val="0"/>
        <w:pageBreakBefore w:val="0"/>
        <w:widowControl/>
        <w:kinsoku/>
        <w:wordWrap/>
        <w:overflowPunct/>
        <w:topLinePunct w:val="0"/>
        <w:autoSpaceDE/>
        <w:autoSpaceDN/>
        <w:bidi w:val="0"/>
        <w:adjustRightInd/>
        <w:snapToGrid/>
        <w:spacing w:before="157" w:beforeLines="50" w:beforeAutospacing="0" w:after="0" w:afterAutospacing="0"/>
        <w:ind w:left="0" w:leftChars="0" w:firstLine="0" w:firstLineChars="0"/>
        <w:jc w:val="center"/>
        <w:textAlignment w:val="auto"/>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三、生态环境现状、保护目标及评价标准</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7896"/>
      </w:tblGrid>
      <w:tr w14:paraId="3D5B8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4" w:hRule="atLeast"/>
          <w:jc w:val="center"/>
        </w:trPr>
        <w:tc>
          <w:tcPr>
            <w:tcW w:w="498" w:type="pct"/>
            <w:vAlign w:val="center"/>
          </w:tcPr>
          <w:p w14:paraId="61B1F1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生态环境现状</w:t>
            </w:r>
          </w:p>
        </w:tc>
        <w:tc>
          <w:tcPr>
            <w:tcW w:w="4501" w:type="pct"/>
            <w:vAlign w:val="top"/>
          </w:tcPr>
          <w:p w14:paraId="385C2E12">
            <w:pPr>
              <w:pStyle w:val="3"/>
              <w:keepNext/>
              <w:keepLines w:val="0"/>
              <w:pageBreakBefore w:val="0"/>
              <w:widowControl w:val="0"/>
              <w:numPr>
                <w:ilvl w:val="0"/>
                <w:numId w:val="0"/>
              </w:numPr>
              <w:kinsoku/>
              <w:wordWrap/>
              <w:overflowPunct w:val="0"/>
              <w:topLinePunct w:val="0"/>
              <w:autoSpaceDE/>
              <w:autoSpaceDN/>
              <w:bidi w:val="0"/>
              <w:adjustRightInd/>
              <w:snapToGrid w:val="0"/>
              <w:spacing w:before="157" w:beforeLines="50"/>
              <w:ind w:firstLine="482" w:firstLineChars="200"/>
              <w:textAlignment w:val="auto"/>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主体功能区规划和生态功能区划情况</w:t>
            </w:r>
          </w:p>
          <w:p w14:paraId="1CBCFE22">
            <w:pPr>
              <w:ind w:firstLine="42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根据《陕西省主体功能区规划》，项目位于</w:t>
            </w:r>
            <w:r>
              <w:rPr>
                <w:rFonts w:hint="default" w:ascii="Times New Roman" w:hAnsi="Times New Roman" w:eastAsia="宋体" w:cs="Times New Roman"/>
                <w:color w:val="auto"/>
                <w:sz w:val="24"/>
                <w:szCs w:val="24"/>
              </w:rPr>
              <w:t>陕西省</w:t>
            </w:r>
            <w:r>
              <w:rPr>
                <w:rFonts w:hint="default" w:ascii="Times New Roman" w:hAnsi="Times New Roman" w:eastAsia="宋体" w:cs="Times New Roman"/>
                <w:color w:val="auto"/>
                <w:sz w:val="24"/>
                <w:szCs w:val="24"/>
                <w:lang w:val="en-US" w:eastAsia="zh-CN"/>
              </w:rPr>
              <w:t>宝鸡市陈仓区</w:t>
            </w:r>
            <w:r>
              <w:rPr>
                <w:rFonts w:hint="eastAsia" w:cs="Times New Roman"/>
                <w:color w:val="auto"/>
                <w:sz w:val="24"/>
                <w:szCs w:val="24"/>
                <w:lang w:val="en-US" w:eastAsia="zh-CN"/>
              </w:rPr>
              <w:t>香泉镇梨树沟</w:t>
            </w:r>
            <w:r>
              <w:rPr>
                <w:rFonts w:hint="default" w:ascii="Times New Roman" w:hAnsi="Times New Roman" w:eastAsia="宋体" w:cs="Times New Roman"/>
                <w:color w:val="auto"/>
                <w:sz w:val="24"/>
                <w:szCs w:val="24"/>
                <w:lang w:val="en-US" w:eastAsia="zh-CN"/>
              </w:rPr>
              <w:t>，属于国家层面重点开发区域。重点开发区域主体功能是提供工业和服务产品，项目符合主体功能区规划要求。</w:t>
            </w:r>
          </w:p>
          <w:p w14:paraId="7675C836">
            <w:pPr>
              <w:ind w:left="0" w:leftChars="0" w:firstLine="0" w:firstLineChars="0"/>
              <w:jc w:val="center"/>
              <w:rPr>
                <w:rFonts w:hint="default" w:ascii="Times New Roman" w:hAnsi="Times New Roman" w:eastAsia="宋体" w:cs="Times New Roman"/>
                <w:color w:val="auto"/>
                <w:sz w:val="24"/>
                <w:szCs w:val="24"/>
                <w:lang w:val="en-US" w:eastAsia="zh-CN"/>
              </w:rPr>
            </w:pPr>
            <w:r>
              <w:rPr>
                <w:color w:val="auto"/>
                <w:sz w:val="22"/>
              </w:rPr>
              <mc:AlternateContent>
                <mc:Choice Requires="wps">
                  <w:drawing>
                    <wp:anchor distT="0" distB="0" distL="114300" distR="114300" simplePos="0" relativeHeight="251663360" behindDoc="0" locked="0" layoutInCell="1" allowOverlap="1">
                      <wp:simplePos x="0" y="0"/>
                      <wp:positionH relativeFrom="column">
                        <wp:posOffset>838835</wp:posOffset>
                      </wp:positionH>
                      <wp:positionV relativeFrom="paragraph">
                        <wp:posOffset>3364230</wp:posOffset>
                      </wp:positionV>
                      <wp:extent cx="930910" cy="358140"/>
                      <wp:effectExtent l="12700" t="12700" r="46990" b="657860"/>
                      <wp:wrapNone/>
                      <wp:docPr id="21" name="圆角矩形标注 21"/>
                      <wp:cNvGraphicFramePr/>
                      <a:graphic xmlns:a="http://schemas.openxmlformats.org/drawingml/2006/main">
                        <a:graphicData uri="http://schemas.microsoft.com/office/word/2010/wordprocessingShape">
                          <wps:wsp>
                            <wps:cNvSpPr/>
                            <wps:spPr>
                              <a:xfrm>
                                <a:off x="0" y="0"/>
                                <a:ext cx="930910" cy="358140"/>
                              </a:xfrm>
                              <a:prstGeom prst="wedgeRoundRectCallout">
                                <a:avLst>
                                  <a:gd name="adj1" fmla="val 52609"/>
                                  <a:gd name="adj2" fmla="val 227295"/>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12EA386">
                                  <w:pPr>
                                    <w:ind w:left="0" w:leftChars="0" w:firstLine="0" w:firstLineChars="0"/>
                                    <w:jc w:val="both"/>
                                    <w:rPr>
                                      <w:rFonts w:hint="default" w:eastAsia="宋体"/>
                                      <w:b/>
                                      <w:bCs/>
                                      <w:color w:val="FF0000"/>
                                      <w:lang w:val="en-US" w:eastAsia="zh-CN"/>
                                    </w:rPr>
                                  </w:pPr>
                                  <w:r>
                                    <w:rPr>
                                      <w:rFonts w:hint="eastAsia" w:eastAsia="宋体"/>
                                      <w:b/>
                                      <w:bCs/>
                                      <w:color w:val="FF0000"/>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66.05pt;margin-top:264.9pt;height:28.2pt;width:73.3pt;z-index:251663360;v-text-anchor:middle;mso-width-relative:page;mso-height-relative:page;" filled="f" stroked="t" coordsize="21600,21600" o:gfxdata="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xvtm7tsAAAALAQAADwAAAAAAAAABACAA&#10;AAAiAAAAZHJzL2Rvd25yZXYueG1sUEsBAhQAFAAAAAgAh07iQI++uQy1AgAAUwUAAA4AAAAAAAAA&#10;AQAgAAAAKgEAAGRycy9lMm9Eb2MueG1sUEsFBgAAAAAGAAYAWQEAAFEGAAAAAA==&#10;" adj="22164,59896,14400">
                      <v:fill on="f" focussize="0,0"/>
                      <v:stroke weight="2pt" color="#FF0000 [2404]" joinstyle="round"/>
                      <v:imagedata o:title=""/>
                      <o:lock v:ext="edit" aspectratio="f"/>
                      <v:textbox>
                        <w:txbxContent>
                          <w:p w14:paraId="412EA386">
                            <w:pPr>
                              <w:ind w:left="0" w:leftChars="0" w:firstLine="0" w:firstLineChars="0"/>
                              <w:jc w:val="both"/>
                              <w:rPr>
                                <w:rFonts w:hint="default" w:eastAsia="宋体"/>
                                <w:b/>
                                <w:bCs/>
                                <w:color w:val="FF0000"/>
                                <w:lang w:val="en-US" w:eastAsia="zh-CN"/>
                              </w:rPr>
                            </w:pPr>
                            <w:r>
                              <w:rPr>
                                <w:rFonts w:hint="eastAsia" w:eastAsia="宋体"/>
                                <w:b/>
                                <w:bCs/>
                                <w:color w:val="FF0000"/>
                                <w:lang w:val="en-US" w:eastAsia="zh-CN"/>
                              </w:rPr>
                              <w:t>项目位置</w:t>
                            </w:r>
                          </w:p>
                        </w:txbxContent>
                      </v:textbox>
                    </v:shape>
                  </w:pict>
                </mc:Fallback>
              </mc:AlternateContent>
            </w:r>
            <w:r>
              <w:rPr>
                <w:color w:val="auto"/>
                <w:sz w:val="22"/>
              </w:rPr>
              <mc:AlternateContent>
                <mc:Choice Requires="wps">
                  <w:drawing>
                    <wp:anchor distT="0" distB="0" distL="114300" distR="114300" simplePos="0" relativeHeight="251662336" behindDoc="0" locked="0" layoutInCell="1" allowOverlap="1">
                      <wp:simplePos x="0" y="0"/>
                      <wp:positionH relativeFrom="column">
                        <wp:posOffset>1687830</wp:posOffset>
                      </wp:positionH>
                      <wp:positionV relativeFrom="paragraph">
                        <wp:posOffset>4261485</wp:posOffset>
                      </wp:positionV>
                      <wp:extent cx="234315" cy="205105"/>
                      <wp:effectExtent l="12700" t="12700" r="19685" b="29845"/>
                      <wp:wrapNone/>
                      <wp:docPr id="13" name="五角星 13"/>
                      <wp:cNvGraphicFramePr/>
                      <a:graphic xmlns:a="http://schemas.openxmlformats.org/drawingml/2006/main">
                        <a:graphicData uri="http://schemas.microsoft.com/office/word/2010/wordprocessingShape">
                          <wps:wsp>
                            <wps:cNvSpPr/>
                            <wps:spPr>
                              <a:xfrm>
                                <a:off x="0" y="0"/>
                                <a:ext cx="234315" cy="205105"/>
                              </a:xfrm>
                              <a:prstGeom prst="star5">
                                <a:avLst/>
                              </a:prstGeom>
                              <a:solidFill>
                                <a:srgbClr val="FF0000"/>
                              </a:solidFill>
                              <a:ln>
                                <a:solidFill>
                                  <a:schemeClr val="tx1">
                                    <a:lumMod val="95000"/>
                                    <a:lumOff val="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32.9pt;margin-top:335.55pt;height:16.15pt;width:18.45pt;z-index:251662336;v-text-anchor:middle;mso-width-relative:page;mso-height-relative:page;" fillcolor="#FF0000" filled="t" stroked="t" coordsize="234315,205105" o:gfxdata="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jKwq7bAAAACwEAAA8AAAAA&#10;AAAAAQAgAAAAIgAAAGRycy9kb3ducmV2LnhtbFBLAQIUABQAAAAIAIdO4kDelCGwgwIAABoFAAAO&#10;AAAAAAAAAAEAIAAAACoBAABkcnMvZTJvRG9jLnhtbFBLBQYAAAAABgAGAFkBAAAfBgAAAAA=&#10;" path="m0,78342l89500,78343,117157,0,144814,78343,234314,78342,161906,126761,189564,205104,117157,156685,44750,205104,72408,126761xe">
                      <v:path o:connectlocs="117157,0;0,78342;44750,205104;189564,205104;234314,78342" o:connectangles="247,164,82,82,0"/>
                      <v:fill on="t" focussize="0,0"/>
                      <v:stroke weight="2pt" color="#0D0D0D [3069]" joinstyle="round"/>
                      <v:imagedata o:title=""/>
                      <o:lock v:ext="edit" aspectratio="f"/>
                    </v:shape>
                  </w:pict>
                </mc:Fallback>
              </mc:AlternateContent>
            </w:r>
            <w:r>
              <w:rPr>
                <w:rFonts w:hint="default" w:ascii="Times New Roman" w:hAnsi="Times New Roman" w:cs="Times New Roman"/>
                <w:color w:val="auto"/>
              </w:rPr>
              <w:drawing>
                <wp:inline distT="0" distB="0" distL="114300" distR="114300">
                  <wp:extent cx="4648200" cy="6649085"/>
                  <wp:effectExtent l="9525" t="9525" r="9525" b="27940"/>
                  <wp:docPr id="17" name="图片 4" descr="78f3d18833ce67903d4d2bb064fe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78f3d18833ce67903d4d2bb064fe325"/>
                          <pic:cNvPicPr>
                            <a:picLocks noChangeAspect="1"/>
                          </pic:cNvPicPr>
                        </pic:nvPicPr>
                        <pic:blipFill>
                          <a:blip r:embed="rId13"/>
                          <a:srcRect b="-408"/>
                          <a:stretch>
                            <a:fillRect/>
                          </a:stretch>
                        </pic:blipFill>
                        <pic:spPr>
                          <a:xfrm>
                            <a:off x="0" y="0"/>
                            <a:ext cx="4648200" cy="6649085"/>
                          </a:xfrm>
                          <a:prstGeom prst="rect">
                            <a:avLst/>
                          </a:prstGeom>
                          <a:noFill/>
                          <a:ln>
                            <a:solidFill>
                              <a:schemeClr val="tx1"/>
                            </a:solidFill>
                          </a:ln>
                        </pic:spPr>
                      </pic:pic>
                    </a:graphicData>
                  </a:graphic>
                </wp:inline>
              </w:drawing>
            </w:r>
          </w:p>
          <w:p w14:paraId="423A8D33">
            <w:pPr>
              <w:ind w:left="0" w:lef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1"/>
                <w:szCs w:val="21"/>
                <w:vertAlign w:val="baseline"/>
                <w:lang w:val="en-US" w:eastAsia="zh-CN"/>
              </w:rPr>
              <w:t>图3-1陕西省主体功能区划图</w:t>
            </w:r>
          </w:p>
          <w:p w14:paraId="4E26063A">
            <w:pPr>
              <w:ind w:firstLine="42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根据《陕西省生态功能区划》，本项目位于</w:t>
            </w:r>
            <w:r>
              <w:rPr>
                <w:rFonts w:hint="default" w:ascii="Times New Roman" w:hAnsi="Times New Roman" w:eastAsia="宋体" w:cs="Times New Roman"/>
                <w:color w:val="auto"/>
                <w:sz w:val="24"/>
                <w:szCs w:val="24"/>
              </w:rPr>
              <w:t>陕西省</w:t>
            </w:r>
            <w:r>
              <w:rPr>
                <w:rFonts w:hint="default" w:ascii="Times New Roman" w:hAnsi="Times New Roman" w:eastAsia="宋体" w:cs="Times New Roman"/>
                <w:color w:val="auto"/>
                <w:sz w:val="24"/>
                <w:szCs w:val="24"/>
                <w:lang w:val="en-US" w:eastAsia="zh-CN"/>
              </w:rPr>
              <w:t>宝鸡市陈仓区</w:t>
            </w:r>
            <w:r>
              <w:rPr>
                <w:rFonts w:hint="eastAsia" w:cs="Times New Roman"/>
                <w:color w:val="auto"/>
                <w:sz w:val="24"/>
                <w:szCs w:val="24"/>
                <w:lang w:val="en-US" w:eastAsia="zh-CN"/>
              </w:rPr>
              <w:t>香泉镇梨树沟</w:t>
            </w:r>
            <w:r>
              <w:rPr>
                <w:rFonts w:hint="default" w:ascii="Times New Roman" w:hAnsi="Times New Roman" w:eastAsia="宋体" w:cs="Times New Roman"/>
                <w:color w:val="auto"/>
                <w:sz w:val="24"/>
                <w:szCs w:val="24"/>
                <w:lang w:val="en-US" w:eastAsia="zh-CN"/>
              </w:rPr>
              <w:t>，属于三、渭河谷地农业生态区（六）渭河两侧黄土台</w:t>
            </w:r>
            <w:r>
              <w:rPr>
                <w:rFonts w:hint="eastAsia" w:cs="Times New Roman"/>
                <w:color w:val="auto"/>
                <w:sz w:val="24"/>
                <w:szCs w:val="24"/>
                <w:lang w:val="en-US" w:eastAsia="zh-CN"/>
              </w:rPr>
              <w:t>塬</w:t>
            </w:r>
            <w:r>
              <w:rPr>
                <w:rFonts w:hint="default" w:ascii="Times New Roman" w:hAnsi="Times New Roman" w:eastAsia="宋体" w:cs="Times New Roman"/>
                <w:color w:val="auto"/>
                <w:sz w:val="24"/>
                <w:szCs w:val="24"/>
                <w:lang w:val="en-US" w:eastAsia="zh-CN"/>
              </w:rPr>
              <w:t>农业</w:t>
            </w:r>
            <w:r>
              <w:rPr>
                <w:rFonts w:hint="eastAsia" w:cs="Times New Roman"/>
                <w:color w:val="auto"/>
                <w:sz w:val="24"/>
                <w:szCs w:val="24"/>
                <w:lang w:val="en-US" w:eastAsia="zh-CN"/>
              </w:rPr>
              <w:t>亚区</w:t>
            </w:r>
            <w:r>
              <w:rPr>
                <w:rFonts w:hint="default" w:ascii="Times New Roman" w:hAnsi="Times New Roman" w:eastAsia="宋体" w:cs="Times New Roman"/>
                <w:color w:val="auto"/>
                <w:sz w:val="24"/>
                <w:szCs w:val="24"/>
                <w:lang w:val="en-US" w:eastAsia="zh-CN"/>
              </w:rPr>
              <w:t>17渭河两侧黄土台</w:t>
            </w:r>
            <w:r>
              <w:rPr>
                <w:rFonts w:hint="eastAsia" w:cs="Times New Roman"/>
                <w:color w:val="auto"/>
                <w:sz w:val="24"/>
                <w:szCs w:val="24"/>
                <w:lang w:val="en-US" w:eastAsia="zh-CN"/>
              </w:rPr>
              <w:t>源</w:t>
            </w:r>
            <w:r>
              <w:rPr>
                <w:rFonts w:hint="default" w:ascii="Times New Roman" w:hAnsi="Times New Roman" w:eastAsia="宋体" w:cs="Times New Roman"/>
                <w:color w:val="auto"/>
                <w:sz w:val="24"/>
                <w:szCs w:val="24"/>
                <w:lang w:val="en-US" w:eastAsia="zh-CN"/>
              </w:rPr>
              <w:t>农业区。</w:t>
            </w:r>
          </w:p>
          <w:p w14:paraId="127D6476">
            <w:pPr>
              <w:ind w:left="0" w:leftChars="0" w:firstLine="0" w:firstLineChars="0"/>
              <w:rPr>
                <w:rFonts w:hint="eastAsia" w:cs="Times New Roman"/>
                <w:color w:val="auto"/>
                <w:sz w:val="24"/>
                <w:szCs w:val="24"/>
                <w:lang w:val="en-US" w:eastAsia="zh-CN"/>
              </w:rPr>
            </w:pPr>
            <w:r>
              <w:rPr>
                <w:rFonts w:hint="default" w:ascii="Times New Roman" w:hAnsi="Times New Roman" w:cs="Times New Roman"/>
                <w:color w:val="auto"/>
                <w:sz w:val="21"/>
              </w:rPr>
              <mc:AlternateContent>
                <mc:Choice Requires="wps">
                  <w:drawing>
                    <wp:anchor distT="0" distB="0" distL="114300" distR="114300" simplePos="0" relativeHeight="251665408" behindDoc="0" locked="0" layoutInCell="1" allowOverlap="1">
                      <wp:simplePos x="0" y="0"/>
                      <wp:positionH relativeFrom="column">
                        <wp:posOffset>1327150</wp:posOffset>
                      </wp:positionH>
                      <wp:positionV relativeFrom="paragraph">
                        <wp:posOffset>3021965</wp:posOffset>
                      </wp:positionV>
                      <wp:extent cx="948690" cy="403860"/>
                      <wp:effectExtent l="12700" t="12700" r="29210" b="574040"/>
                      <wp:wrapNone/>
                      <wp:docPr id="20" name="圆角矩形标注 20"/>
                      <wp:cNvGraphicFramePr/>
                      <a:graphic xmlns:a="http://schemas.openxmlformats.org/drawingml/2006/main">
                        <a:graphicData uri="http://schemas.microsoft.com/office/word/2010/wordprocessingShape">
                          <wps:wsp>
                            <wps:cNvSpPr/>
                            <wps:spPr>
                              <a:xfrm>
                                <a:off x="0" y="0"/>
                                <a:ext cx="948690" cy="403860"/>
                              </a:xfrm>
                              <a:prstGeom prst="wedgeRoundRectCallout">
                                <a:avLst>
                                  <a:gd name="adj1" fmla="val 35809"/>
                                  <a:gd name="adj2" fmla="val 186949"/>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AF79759">
                                  <w:pPr>
                                    <w:ind w:left="0" w:leftChars="0" w:firstLine="0" w:firstLineChars="0"/>
                                    <w:jc w:val="both"/>
                                    <w:rPr>
                                      <w:rFonts w:hint="default" w:eastAsia="宋体"/>
                                      <w:b/>
                                      <w:bCs/>
                                      <w:color w:val="FF0000"/>
                                      <w:sz w:val="24"/>
                                      <w:szCs w:val="24"/>
                                      <w:lang w:val="en-US" w:eastAsia="zh-CN"/>
                                    </w:rPr>
                                  </w:pPr>
                                  <w:r>
                                    <w:rPr>
                                      <w:rFonts w:hint="eastAsia" w:eastAsia="宋体"/>
                                      <w:b/>
                                      <w:bCs/>
                                      <w:color w:val="FF0000"/>
                                      <w:sz w:val="24"/>
                                      <w:szCs w:val="24"/>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4.5pt;margin-top:237.95pt;height:31.8pt;width:74.7pt;z-index:251665408;v-text-anchor:middle;mso-width-relative:page;mso-height-relative:page;" filled="f" stroked="t" coordsize="21600,21600" o:gfxdata="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MecERTbAAAACwEAAA8AAAAAAAAAAQAgAAAA&#10;IgAAAGRycy9kb3ducmV2LnhtbFBLAQIUABQAAAAIAIdO4kAvsxz2swIAAFMFAAAOAAAAAAAAAAEA&#10;IAAAACoBAABkcnMvZTJvRG9jLnhtbFBLBQYAAAAABgAGAFkBAABPBgAAAAA=&#10;" adj="18535,51181,14400">
                      <v:fill on="f" focussize="0,0"/>
                      <v:stroke weight="2pt" color="#FF0000 [2404]" joinstyle="round"/>
                      <v:imagedata o:title=""/>
                      <o:lock v:ext="edit" aspectratio="f"/>
                      <v:textbox>
                        <w:txbxContent>
                          <w:p w14:paraId="7AF79759">
                            <w:pPr>
                              <w:ind w:left="0" w:leftChars="0" w:firstLine="0" w:firstLineChars="0"/>
                              <w:jc w:val="both"/>
                              <w:rPr>
                                <w:rFonts w:hint="default" w:eastAsia="宋体"/>
                                <w:b/>
                                <w:bCs/>
                                <w:color w:val="FF0000"/>
                                <w:sz w:val="24"/>
                                <w:szCs w:val="24"/>
                                <w:lang w:val="en-US" w:eastAsia="zh-CN"/>
                              </w:rPr>
                            </w:pPr>
                            <w:r>
                              <w:rPr>
                                <w:rFonts w:hint="eastAsia" w:eastAsia="宋体"/>
                                <w:b/>
                                <w:bCs/>
                                <w:color w:val="FF0000"/>
                                <w:sz w:val="24"/>
                                <w:szCs w:val="24"/>
                                <w:lang w:val="en-US" w:eastAsia="zh-CN"/>
                              </w:rPr>
                              <w:t>项目位置</w:t>
                            </w:r>
                          </w:p>
                        </w:txbxContent>
                      </v:textbox>
                    </v:shape>
                  </w:pict>
                </mc:Fallback>
              </mc:AlternateContent>
            </w:r>
            <w:r>
              <w:rPr>
                <w:rFonts w:hint="default" w:ascii="Times New Roman" w:hAnsi="Times New Roman" w:cs="Times New Roman"/>
                <w:color w:val="auto"/>
                <w:sz w:val="22"/>
              </w:rPr>
              <mc:AlternateContent>
                <mc:Choice Requires="wps">
                  <w:drawing>
                    <wp:anchor distT="0" distB="0" distL="114300" distR="114300" simplePos="0" relativeHeight="251664384" behindDoc="0" locked="0" layoutInCell="1" allowOverlap="1">
                      <wp:simplePos x="0" y="0"/>
                      <wp:positionH relativeFrom="column">
                        <wp:posOffset>2028190</wp:posOffset>
                      </wp:positionH>
                      <wp:positionV relativeFrom="paragraph">
                        <wp:posOffset>3851275</wp:posOffset>
                      </wp:positionV>
                      <wp:extent cx="263525" cy="248920"/>
                      <wp:effectExtent l="12700" t="12700" r="28575" b="24130"/>
                      <wp:wrapNone/>
                      <wp:docPr id="19" name="五角星 19"/>
                      <wp:cNvGraphicFramePr/>
                      <a:graphic xmlns:a="http://schemas.openxmlformats.org/drawingml/2006/main">
                        <a:graphicData uri="http://schemas.microsoft.com/office/word/2010/wordprocessingShape">
                          <wps:wsp>
                            <wps:cNvSpPr/>
                            <wps:spPr>
                              <a:xfrm>
                                <a:off x="0" y="0"/>
                                <a:ext cx="263525" cy="248920"/>
                              </a:xfrm>
                              <a:prstGeom prst="star5">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9.7pt;margin-top:303.25pt;height:19.6pt;width:20.75pt;z-index:251664384;v-text-anchor:middle;mso-width-relative:page;mso-height-relative:page;" fillcolor="#FF0000" filled="t" stroked="t" coordsize="263525,248920" o:gfxdata="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zxghpdgAAAALAQAADwAAAAAAAAABACAAAAAiAAAAZHJzL2Rvd25yZXYu&#10;eG1sUEsBAhQAFAAAAAgAh07iQCeIyfltAgAA4gQAAA4AAAAAAAAAAQAgAAAAJwEAAGRycy9lMm9E&#10;b2MueG1sUEsFBgAAAAAGAAYAWQEAAAYGAAAAAA==&#10;" path="m0,95078l100658,95079,131762,0,162866,95079,263524,95078,182090,153840,213196,248919,131762,190156,50328,248919,81434,153840xe">
                      <v:path o:connectlocs="131762,0;0,95078;50328,248919;213196,248919;263524,95078" o:connectangles="247,164,82,82,0"/>
                      <v:fill on="t" focussize="0,0"/>
                      <v:stroke weight="2pt" color="#000000 [3213]" joinstyle="round"/>
                      <v:imagedata o:title=""/>
                      <o:lock v:ext="edit" aspectratio="f"/>
                    </v:shape>
                  </w:pict>
                </mc:Fallback>
              </mc:AlternateContent>
            </w:r>
            <w:r>
              <w:rPr>
                <w:rFonts w:hint="default" w:ascii="Times New Roman" w:hAnsi="Times New Roman" w:cs="Times New Roman"/>
                <w:color w:val="auto"/>
              </w:rPr>
              <w:drawing>
                <wp:inline distT="0" distB="0" distL="114300" distR="114300">
                  <wp:extent cx="4850130" cy="6110605"/>
                  <wp:effectExtent l="9525" t="9525" r="17145" b="13970"/>
                  <wp:docPr id="18" name="图片 5" descr="65faaeef0722c45aed252ee0c12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65faaeef0722c45aed252ee0c126857"/>
                          <pic:cNvPicPr>
                            <a:picLocks noChangeAspect="1"/>
                          </pic:cNvPicPr>
                        </pic:nvPicPr>
                        <pic:blipFill>
                          <a:blip r:embed="rId14"/>
                          <a:stretch>
                            <a:fillRect/>
                          </a:stretch>
                        </pic:blipFill>
                        <pic:spPr>
                          <a:xfrm>
                            <a:off x="0" y="0"/>
                            <a:ext cx="4850130" cy="6110605"/>
                          </a:xfrm>
                          <a:prstGeom prst="rect">
                            <a:avLst/>
                          </a:prstGeom>
                          <a:noFill/>
                          <a:ln>
                            <a:solidFill>
                              <a:schemeClr val="tx1"/>
                            </a:solidFill>
                          </a:ln>
                        </pic:spPr>
                      </pic:pic>
                    </a:graphicData>
                  </a:graphic>
                </wp:inline>
              </w:drawing>
            </w:r>
          </w:p>
          <w:p w14:paraId="4758325D">
            <w:pPr>
              <w:ind w:left="0" w:leftChars="0" w:firstLine="0" w:firstLineChars="0"/>
              <w:jc w:val="center"/>
              <w:rPr>
                <w:rFonts w:hint="eastAsia" w:cs="Times New Roman"/>
                <w:color w:val="auto"/>
                <w:sz w:val="24"/>
                <w:szCs w:val="24"/>
                <w:lang w:val="en-US" w:eastAsia="zh-CN"/>
              </w:rPr>
            </w:pPr>
            <w:r>
              <w:rPr>
                <w:rFonts w:hint="default" w:ascii="Times New Roman" w:hAnsi="Times New Roman" w:eastAsia="宋体" w:cs="Times New Roman"/>
                <w:b/>
                <w:bCs/>
                <w:color w:val="auto"/>
                <w:sz w:val="21"/>
                <w:szCs w:val="21"/>
                <w:vertAlign w:val="baseline"/>
                <w:lang w:val="en-US" w:eastAsia="zh-CN"/>
              </w:rPr>
              <w:t>图3-2陕西省生态功能区划图</w:t>
            </w:r>
          </w:p>
          <w:p w14:paraId="5C42130F">
            <w:pPr>
              <w:ind w:firstLine="42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环境空气质量现状</w:t>
            </w:r>
          </w:p>
          <w:p w14:paraId="7A334A4B">
            <w:pPr>
              <w:ind w:firstLine="422"/>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 1 \* GB2 \* MERGEFORMAT </w:instrText>
            </w:r>
            <w:r>
              <w:rPr>
                <w:rFonts w:hint="default" w:ascii="Times New Roman" w:hAnsi="Times New Roman" w:eastAsia="宋体" w:cs="Times New Roman"/>
                <w:b w:val="0"/>
                <w:bCs w:val="0"/>
                <w:color w:val="auto"/>
                <w:sz w:val="24"/>
                <w:szCs w:val="24"/>
              </w:rPr>
              <w:fldChar w:fldCharType="separate"/>
            </w:r>
            <w:r>
              <w:rPr>
                <w:b w:val="0"/>
                <w:bCs w:val="0"/>
              </w:rPr>
              <w:t>⑴</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t>空气质量达标区判定</w:t>
            </w:r>
          </w:p>
          <w:p w14:paraId="3FBBC5F1">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项目所在地属于二类环境空气质量功能区，执行《环境空气质量标准》（GB3095-2012）中的二级标准。</w:t>
            </w:r>
          </w:p>
          <w:p w14:paraId="388CEF3F">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本次评价基本污染物环境质量现状采用</w:t>
            </w:r>
            <w:r>
              <w:rPr>
                <w:rFonts w:hint="default" w:ascii="Times New Roman" w:hAnsi="Times New Roman" w:eastAsia="宋体" w:cs="Times New Roman"/>
                <w:color w:val="auto"/>
                <w:sz w:val="24"/>
                <w:szCs w:val="24"/>
                <w:lang w:val="en-US" w:eastAsia="zh-CN"/>
              </w:rPr>
              <w:t>宝鸡市</w:t>
            </w:r>
            <w:r>
              <w:rPr>
                <w:rFonts w:hint="default" w:ascii="Times New Roman" w:hAnsi="Times New Roman" w:eastAsia="宋体" w:cs="Times New Roman"/>
                <w:color w:val="auto"/>
                <w:sz w:val="24"/>
                <w:szCs w:val="24"/>
              </w:rPr>
              <w:t>生态环境</w:t>
            </w:r>
            <w:r>
              <w:rPr>
                <w:rFonts w:hint="default" w:ascii="Times New Roman" w:hAnsi="Times New Roman" w:eastAsia="宋体" w:cs="Times New Roman"/>
                <w:color w:val="auto"/>
                <w:sz w:val="24"/>
                <w:szCs w:val="24"/>
                <w:lang w:val="en-US" w:eastAsia="zh-CN"/>
              </w:rPr>
              <w:t>局</w:t>
            </w:r>
            <w:r>
              <w:rPr>
                <w:rFonts w:hint="default" w:ascii="Times New Roman" w:hAnsi="Times New Roman" w:eastAsia="宋体" w:cs="Times New Roman"/>
                <w:color w:val="auto"/>
                <w:sz w:val="24"/>
                <w:szCs w:val="24"/>
              </w:rPr>
              <w:t>办公室发布的《202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年1~12月</w:t>
            </w:r>
            <w:r>
              <w:rPr>
                <w:rFonts w:hint="default" w:ascii="Times New Roman" w:hAnsi="Times New Roman" w:eastAsia="宋体" w:cs="Times New Roman"/>
                <w:color w:val="auto"/>
                <w:sz w:val="24"/>
                <w:szCs w:val="24"/>
                <w:lang w:val="en-US" w:eastAsia="zh-CN"/>
              </w:rPr>
              <w:t>份各县（区）</w:t>
            </w:r>
            <w:r>
              <w:rPr>
                <w:rFonts w:hint="default" w:ascii="Times New Roman" w:hAnsi="Times New Roman" w:eastAsia="宋体" w:cs="Times New Roman"/>
                <w:color w:val="auto"/>
                <w:sz w:val="24"/>
                <w:szCs w:val="24"/>
              </w:rPr>
              <w:t>空气质量状况</w:t>
            </w:r>
            <w:r>
              <w:rPr>
                <w:rFonts w:hint="default" w:ascii="Times New Roman" w:hAnsi="Times New Roman" w:eastAsia="宋体" w:cs="Times New Roman"/>
                <w:color w:val="auto"/>
                <w:sz w:val="24"/>
                <w:szCs w:val="24"/>
                <w:lang w:val="en-US" w:eastAsia="zh-CN"/>
              </w:rPr>
              <w:t>统计</w:t>
            </w:r>
            <w:r>
              <w:rPr>
                <w:rFonts w:hint="default" w:ascii="Times New Roman" w:hAnsi="Times New Roman" w:eastAsia="宋体" w:cs="Times New Roman"/>
                <w:color w:val="auto"/>
                <w:sz w:val="24"/>
                <w:szCs w:val="24"/>
              </w:rPr>
              <w:t>》中</w:t>
            </w:r>
            <w:r>
              <w:rPr>
                <w:rFonts w:hint="default" w:ascii="Times New Roman" w:hAnsi="Times New Roman" w:eastAsia="宋体" w:cs="Times New Roman"/>
                <w:color w:val="auto"/>
                <w:sz w:val="24"/>
                <w:szCs w:val="24"/>
                <w:lang w:val="en-US" w:eastAsia="zh-CN"/>
              </w:rPr>
              <w:t>陈仓区</w:t>
            </w:r>
            <w:r>
              <w:rPr>
                <w:rFonts w:hint="default" w:ascii="Times New Roman" w:hAnsi="Times New Roman" w:eastAsia="宋体" w:cs="Times New Roman"/>
                <w:color w:val="auto"/>
                <w:sz w:val="24"/>
                <w:szCs w:val="24"/>
              </w:rPr>
              <w:t>的统计数据，如表</w:t>
            </w:r>
            <w:r>
              <w:rPr>
                <w:rFonts w:hint="default"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rPr>
              <w:t>所示：</w:t>
            </w:r>
          </w:p>
          <w:p w14:paraId="5620BE63">
            <w:pPr>
              <w:pStyle w:val="46"/>
              <w:spacing w:beforeLines="0" w:afterLines="0" w:line="240" w:lineRule="auto"/>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4"/>
                <w:szCs w:val="24"/>
              </w:rPr>
              <w:t>表3-1区域空气质量现状评价表</w:t>
            </w:r>
          </w:p>
          <w:tbl>
            <w:tblPr>
              <w:tblStyle w:val="24"/>
              <w:tblW w:w="49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918"/>
              <w:gridCol w:w="2052"/>
              <w:gridCol w:w="1163"/>
              <w:gridCol w:w="1163"/>
              <w:gridCol w:w="1051"/>
              <w:gridCol w:w="1199"/>
            </w:tblGrid>
            <w:tr w14:paraId="2F45B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9" w:hRule="atLeast"/>
              </w:trPr>
              <w:tc>
                <w:tcPr>
                  <w:tcW w:w="624" w:type="pct"/>
                  <w:tcBorders>
                    <w:tl2br w:val="nil"/>
                    <w:tr2bl w:val="nil"/>
                  </w:tcBorders>
                  <w:shd w:val="clear" w:color="auto" w:fill="FFFFFF" w:themeFill="background1"/>
                  <w:vAlign w:val="center"/>
                </w:tcPr>
                <w:p w14:paraId="023D5BC4">
                  <w:pPr>
                    <w:pStyle w:val="4"/>
                    <w:numPr>
                      <w:ilvl w:val="0"/>
                      <w:numId w:val="0"/>
                    </w:num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374" w:type="pct"/>
                  <w:tcBorders>
                    <w:tl2br w:val="nil"/>
                    <w:tr2bl w:val="nil"/>
                  </w:tcBorders>
                  <w:shd w:val="clear" w:color="auto" w:fill="FFFFFF" w:themeFill="background1"/>
                  <w:vAlign w:val="center"/>
                </w:tcPr>
                <w:p w14:paraId="3739A859">
                  <w:pPr>
                    <w:pStyle w:val="4"/>
                    <w:numPr>
                      <w:ilvl w:val="0"/>
                      <w:numId w:val="0"/>
                    </w:num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年评价指标</w:t>
                  </w:r>
                </w:p>
              </w:tc>
              <w:tc>
                <w:tcPr>
                  <w:tcW w:w="751" w:type="pct"/>
                  <w:tcBorders>
                    <w:tl2br w:val="nil"/>
                    <w:tr2bl w:val="nil"/>
                  </w:tcBorders>
                  <w:shd w:val="clear" w:color="auto" w:fill="FFFFFF" w:themeFill="background1"/>
                  <w:vAlign w:val="center"/>
                </w:tcPr>
                <w:p w14:paraId="326EC11F">
                  <w:pPr>
                    <w:pStyle w:val="4"/>
                    <w:numPr>
                      <w:ilvl w:val="0"/>
                      <w:numId w:val="0"/>
                    </w:num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现状浓度（μg/m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728" w:type="pct"/>
                  <w:tcBorders>
                    <w:tl2br w:val="nil"/>
                    <w:tr2bl w:val="nil"/>
                  </w:tcBorders>
                  <w:shd w:val="clear" w:color="auto" w:fill="FFFFFF" w:themeFill="background1"/>
                  <w:vAlign w:val="center"/>
                </w:tcPr>
                <w:p w14:paraId="1308DB55">
                  <w:pPr>
                    <w:pStyle w:val="4"/>
                    <w:numPr>
                      <w:ilvl w:val="0"/>
                      <w:numId w:val="0"/>
                    </w:num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标准值（μg/m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711" w:type="pct"/>
                  <w:tcBorders>
                    <w:tl2br w:val="nil"/>
                    <w:tr2bl w:val="nil"/>
                  </w:tcBorders>
                  <w:shd w:val="clear" w:color="auto" w:fill="FFFFFF" w:themeFill="background1"/>
                  <w:vAlign w:val="center"/>
                </w:tcPr>
                <w:p w14:paraId="20608FB5">
                  <w:pPr>
                    <w:pStyle w:val="4"/>
                    <w:numPr>
                      <w:ilvl w:val="0"/>
                      <w:numId w:val="0"/>
                    </w:num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占标率（%）</w:t>
                  </w:r>
                </w:p>
              </w:tc>
              <w:tc>
                <w:tcPr>
                  <w:tcW w:w="809" w:type="pct"/>
                  <w:tcBorders>
                    <w:tl2br w:val="nil"/>
                    <w:tr2bl w:val="nil"/>
                  </w:tcBorders>
                  <w:shd w:val="clear" w:color="auto" w:fill="FFFFFF" w:themeFill="background1"/>
                  <w:vAlign w:val="center"/>
                </w:tcPr>
                <w:p w14:paraId="1703B343">
                  <w:pPr>
                    <w:pStyle w:val="4"/>
                    <w:numPr>
                      <w:ilvl w:val="0"/>
                      <w:numId w:val="0"/>
                    </w:num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w:t>
                  </w:r>
                </w:p>
                <w:p w14:paraId="4588B151">
                  <w:pPr>
                    <w:pStyle w:val="4"/>
                    <w:numPr>
                      <w:ilvl w:val="0"/>
                      <w:numId w:val="0"/>
                    </w:num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情况</w:t>
                  </w:r>
                </w:p>
              </w:tc>
            </w:tr>
            <w:tr w14:paraId="07F7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24" w:type="pct"/>
                  <w:tcBorders>
                    <w:tl2br w:val="nil"/>
                    <w:tr2bl w:val="nil"/>
                  </w:tcBorders>
                  <w:shd w:val="clear" w:color="auto" w:fill="FFFFFF" w:themeFill="background1"/>
                  <w:vAlign w:val="center"/>
                </w:tcPr>
                <w:p w14:paraId="73F3D550">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PM</w:t>
                  </w:r>
                  <w:r>
                    <w:rPr>
                      <w:rFonts w:hint="default" w:ascii="Times New Roman" w:hAnsi="Times New Roman" w:eastAsia="宋体" w:cs="Times New Roman"/>
                      <w:b w:val="0"/>
                      <w:bCs w:val="0"/>
                      <w:color w:val="auto"/>
                      <w:sz w:val="21"/>
                      <w:szCs w:val="21"/>
                      <w:vertAlign w:val="subscript"/>
                    </w:rPr>
                    <w:t>10</w:t>
                  </w:r>
                </w:p>
              </w:tc>
              <w:tc>
                <w:tcPr>
                  <w:tcW w:w="1374" w:type="pct"/>
                  <w:tcBorders>
                    <w:tl2br w:val="nil"/>
                    <w:tr2bl w:val="nil"/>
                  </w:tcBorders>
                  <w:shd w:val="clear" w:color="auto" w:fill="FFFFFF" w:themeFill="background1"/>
                  <w:vAlign w:val="center"/>
                </w:tcPr>
                <w:p w14:paraId="5624FD9F">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年平均浓度</w:t>
                  </w:r>
                </w:p>
              </w:tc>
              <w:tc>
                <w:tcPr>
                  <w:tcW w:w="751" w:type="pct"/>
                  <w:tcBorders>
                    <w:tl2br w:val="nil"/>
                    <w:tr2bl w:val="nil"/>
                  </w:tcBorders>
                  <w:shd w:val="clear" w:color="auto" w:fill="FFFFFF" w:themeFill="background1"/>
                  <w:vAlign w:val="center"/>
                </w:tcPr>
                <w:p w14:paraId="082F1FA5">
                  <w:pPr>
                    <w:pStyle w:val="4"/>
                    <w:numPr>
                      <w:ilvl w:val="0"/>
                      <w:numId w:val="0"/>
                    </w:numPr>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70</w:t>
                  </w:r>
                </w:p>
              </w:tc>
              <w:tc>
                <w:tcPr>
                  <w:tcW w:w="728" w:type="pct"/>
                  <w:tcBorders>
                    <w:tl2br w:val="nil"/>
                    <w:tr2bl w:val="nil"/>
                  </w:tcBorders>
                  <w:shd w:val="clear" w:color="auto" w:fill="FFFFFF" w:themeFill="background1"/>
                  <w:vAlign w:val="center"/>
                </w:tcPr>
                <w:p w14:paraId="29EFD557">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70</w:t>
                  </w:r>
                </w:p>
              </w:tc>
              <w:tc>
                <w:tcPr>
                  <w:tcW w:w="711" w:type="pct"/>
                  <w:tcBorders>
                    <w:tl2br w:val="nil"/>
                    <w:tr2bl w:val="nil"/>
                  </w:tcBorders>
                  <w:shd w:val="clear" w:color="auto" w:fill="FFFFFF" w:themeFill="background1"/>
                  <w:vAlign w:val="center"/>
                </w:tcPr>
                <w:p w14:paraId="21F8F59B">
                  <w:pPr>
                    <w:pStyle w:val="4"/>
                    <w:numPr>
                      <w:ilvl w:val="0"/>
                      <w:numId w:val="0"/>
                    </w:num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r>
                    <w:rPr>
                      <w:rFonts w:hint="eastAsia" w:ascii="Times New Roman" w:hAnsi="Times New Roman" w:cs="Times New Roman"/>
                      <w:b w:val="0"/>
                      <w:bCs w:val="0"/>
                      <w:color w:val="auto"/>
                      <w:sz w:val="21"/>
                      <w:szCs w:val="21"/>
                      <w:lang w:val="en-US" w:eastAsia="zh-CN"/>
                    </w:rPr>
                    <w:t>00</w:t>
                  </w:r>
                </w:p>
              </w:tc>
              <w:tc>
                <w:tcPr>
                  <w:tcW w:w="809" w:type="pct"/>
                  <w:tcBorders>
                    <w:tl2br w:val="nil"/>
                    <w:tr2bl w:val="nil"/>
                  </w:tcBorders>
                  <w:shd w:val="clear" w:color="auto" w:fill="FFFFFF" w:themeFill="background1"/>
                  <w:vAlign w:val="center"/>
                </w:tcPr>
                <w:p w14:paraId="23E4FE01">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达标</w:t>
                  </w:r>
                </w:p>
              </w:tc>
            </w:tr>
            <w:tr w14:paraId="3540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24" w:type="pct"/>
                  <w:tcBorders>
                    <w:tl2br w:val="nil"/>
                    <w:tr2bl w:val="nil"/>
                  </w:tcBorders>
                  <w:shd w:val="clear" w:color="auto" w:fill="FFFFFF" w:themeFill="background1"/>
                  <w:vAlign w:val="center"/>
                </w:tcPr>
                <w:p w14:paraId="40EC2ECB">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PM</w:t>
                  </w:r>
                  <w:r>
                    <w:rPr>
                      <w:rFonts w:hint="default" w:ascii="Times New Roman" w:hAnsi="Times New Roman" w:eastAsia="宋体" w:cs="Times New Roman"/>
                      <w:b w:val="0"/>
                      <w:bCs w:val="0"/>
                      <w:color w:val="auto"/>
                      <w:sz w:val="21"/>
                      <w:szCs w:val="21"/>
                      <w:vertAlign w:val="subscript"/>
                    </w:rPr>
                    <w:t>2.5</w:t>
                  </w:r>
                </w:p>
              </w:tc>
              <w:tc>
                <w:tcPr>
                  <w:tcW w:w="1374" w:type="pct"/>
                  <w:tcBorders>
                    <w:tl2br w:val="nil"/>
                    <w:tr2bl w:val="nil"/>
                  </w:tcBorders>
                  <w:shd w:val="clear" w:color="auto" w:fill="FFFFFF" w:themeFill="background1"/>
                  <w:vAlign w:val="center"/>
                </w:tcPr>
                <w:p w14:paraId="35C1ED1B">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年平均浓度</w:t>
                  </w:r>
                </w:p>
              </w:tc>
              <w:tc>
                <w:tcPr>
                  <w:tcW w:w="751" w:type="pct"/>
                  <w:tcBorders>
                    <w:tl2br w:val="nil"/>
                    <w:tr2bl w:val="nil"/>
                  </w:tcBorders>
                  <w:shd w:val="clear" w:color="auto" w:fill="FFFFFF" w:themeFill="background1"/>
                  <w:vAlign w:val="center"/>
                </w:tcPr>
                <w:p w14:paraId="2616E33E">
                  <w:pPr>
                    <w:pStyle w:val="4"/>
                    <w:numPr>
                      <w:ilvl w:val="0"/>
                      <w:numId w:val="0"/>
                    </w:num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r>
                    <w:rPr>
                      <w:rFonts w:hint="eastAsia" w:ascii="Times New Roman" w:hAnsi="Times New Roman" w:cs="Times New Roman"/>
                      <w:b w:val="0"/>
                      <w:bCs w:val="0"/>
                      <w:color w:val="auto"/>
                      <w:sz w:val="21"/>
                      <w:szCs w:val="21"/>
                      <w:lang w:val="en-US" w:eastAsia="zh-CN"/>
                    </w:rPr>
                    <w:t>3</w:t>
                  </w:r>
                </w:p>
              </w:tc>
              <w:tc>
                <w:tcPr>
                  <w:tcW w:w="728" w:type="pct"/>
                  <w:tcBorders>
                    <w:tl2br w:val="nil"/>
                    <w:tr2bl w:val="nil"/>
                  </w:tcBorders>
                  <w:shd w:val="clear" w:color="auto" w:fill="FFFFFF" w:themeFill="background1"/>
                  <w:vAlign w:val="center"/>
                </w:tcPr>
                <w:p w14:paraId="18941F96">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35</w:t>
                  </w:r>
                </w:p>
              </w:tc>
              <w:tc>
                <w:tcPr>
                  <w:tcW w:w="711" w:type="pct"/>
                  <w:tcBorders>
                    <w:tl2br w:val="nil"/>
                    <w:tr2bl w:val="nil"/>
                  </w:tcBorders>
                  <w:shd w:val="clear" w:color="auto" w:fill="FFFFFF" w:themeFill="background1"/>
                  <w:vAlign w:val="center"/>
                </w:tcPr>
                <w:p w14:paraId="51080D11">
                  <w:pPr>
                    <w:pStyle w:val="4"/>
                    <w:numPr>
                      <w:ilvl w:val="0"/>
                      <w:numId w:val="0"/>
                    </w:num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r>
                    <w:rPr>
                      <w:rFonts w:hint="eastAsia" w:ascii="Times New Roman" w:hAnsi="Times New Roman" w:cs="Times New Roman"/>
                      <w:b w:val="0"/>
                      <w:bCs w:val="0"/>
                      <w:color w:val="auto"/>
                      <w:sz w:val="21"/>
                      <w:szCs w:val="21"/>
                      <w:lang w:val="en-US" w:eastAsia="zh-CN"/>
                    </w:rPr>
                    <w:t>22.8</w:t>
                  </w:r>
                </w:p>
              </w:tc>
              <w:tc>
                <w:tcPr>
                  <w:tcW w:w="809" w:type="pct"/>
                  <w:tcBorders>
                    <w:tl2br w:val="nil"/>
                    <w:tr2bl w:val="nil"/>
                  </w:tcBorders>
                  <w:shd w:val="clear" w:color="auto" w:fill="FFFFFF" w:themeFill="background1"/>
                  <w:vAlign w:val="center"/>
                </w:tcPr>
                <w:p w14:paraId="5DD4D127">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不达标</w:t>
                  </w:r>
                </w:p>
              </w:tc>
            </w:tr>
            <w:tr w14:paraId="2469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24" w:type="pct"/>
                  <w:tcBorders>
                    <w:tl2br w:val="nil"/>
                    <w:tr2bl w:val="nil"/>
                  </w:tcBorders>
                  <w:shd w:val="clear" w:color="auto" w:fill="FFFFFF" w:themeFill="background1"/>
                  <w:vAlign w:val="center"/>
                </w:tcPr>
                <w:p w14:paraId="278396BF">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SO</w:t>
                  </w:r>
                  <w:r>
                    <w:rPr>
                      <w:rFonts w:hint="default" w:ascii="Times New Roman" w:hAnsi="Times New Roman" w:eastAsia="宋体" w:cs="Times New Roman"/>
                      <w:b w:val="0"/>
                      <w:bCs w:val="0"/>
                      <w:color w:val="auto"/>
                      <w:sz w:val="21"/>
                      <w:szCs w:val="21"/>
                      <w:vertAlign w:val="subscript"/>
                    </w:rPr>
                    <w:t>2</w:t>
                  </w:r>
                </w:p>
              </w:tc>
              <w:tc>
                <w:tcPr>
                  <w:tcW w:w="1374" w:type="pct"/>
                  <w:tcBorders>
                    <w:tl2br w:val="nil"/>
                    <w:tr2bl w:val="nil"/>
                  </w:tcBorders>
                  <w:shd w:val="clear" w:color="auto" w:fill="FFFFFF" w:themeFill="background1"/>
                  <w:vAlign w:val="center"/>
                </w:tcPr>
                <w:p w14:paraId="6FE8E330">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年平均浓度</w:t>
                  </w:r>
                </w:p>
              </w:tc>
              <w:tc>
                <w:tcPr>
                  <w:tcW w:w="751" w:type="pct"/>
                  <w:tcBorders>
                    <w:tl2br w:val="nil"/>
                    <w:tr2bl w:val="nil"/>
                  </w:tcBorders>
                  <w:shd w:val="clear" w:color="auto" w:fill="FFFFFF" w:themeFill="background1"/>
                  <w:vAlign w:val="center"/>
                </w:tcPr>
                <w:p w14:paraId="6B84C5A2">
                  <w:pPr>
                    <w:pStyle w:val="4"/>
                    <w:numPr>
                      <w:ilvl w:val="0"/>
                      <w:numId w:val="0"/>
                    </w:num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r>
                    <w:rPr>
                      <w:rFonts w:hint="eastAsia" w:ascii="Times New Roman" w:hAnsi="Times New Roman" w:cs="Times New Roman"/>
                      <w:b w:val="0"/>
                      <w:bCs w:val="0"/>
                      <w:color w:val="auto"/>
                      <w:sz w:val="21"/>
                      <w:szCs w:val="21"/>
                      <w:lang w:val="en-US" w:eastAsia="zh-CN"/>
                    </w:rPr>
                    <w:t>3</w:t>
                  </w:r>
                </w:p>
              </w:tc>
              <w:tc>
                <w:tcPr>
                  <w:tcW w:w="728" w:type="pct"/>
                  <w:tcBorders>
                    <w:tl2br w:val="nil"/>
                    <w:tr2bl w:val="nil"/>
                  </w:tcBorders>
                  <w:shd w:val="clear" w:color="auto" w:fill="FFFFFF" w:themeFill="background1"/>
                  <w:vAlign w:val="center"/>
                </w:tcPr>
                <w:p w14:paraId="4A1CFF8B">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60</w:t>
                  </w:r>
                </w:p>
              </w:tc>
              <w:tc>
                <w:tcPr>
                  <w:tcW w:w="711" w:type="pct"/>
                  <w:tcBorders>
                    <w:tl2br w:val="nil"/>
                    <w:tr2bl w:val="nil"/>
                  </w:tcBorders>
                  <w:shd w:val="clear" w:color="auto" w:fill="FFFFFF" w:themeFill="background1"/>
                  <w:vAlign w:val="center"/>
                </w:tcPr>
                <w:p w14:paraId="7C96A863">
                  <w:pPr>
                    <w:pStyle w:val="4"/>
                    <w:numPr>
                      <w:ilvl w:val="0"/>
                      <w:numId w:val="0"/>
                    </w:num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r>
                    <w:rPr>
                      <w:rFonts w:hint="eastAsia" w:ascii="Times New Roman" w:hAnsi="Times New Roman" w:cs="Times New Roman"/>
                      <w:b w:val="0"/>
                      <w:bCs w:val="0"/>
                      <w:color w:val="auto"/>
                      <w:sz w:val="21"/>
                      <w:szCs w:val="21"/>
                      <w:lang w:val="en-US" w:eastAsia="zh-CN"/>
                    </w:rPr>
                    <w:t>1.7</w:t>
                  </w:r>
                </w:p>
              </w:tc>
              <w:tc>
                <w:tcPr>
                  <w:tcW w:w="809" w:type="pct"/>
                  <w:tcBorders>
                    <w:tl2br w:val="nil"/>
                    <w:tr2bl w:val="nil"/>
                  </w:tcBorders>
                  <w:shd w:val="clear" w:color="auto" w:fill="FFFFFF" w:themeFill="background1"/>
                  <w:vAlign w:val="center"/>
                </w:tcPr>
                <w:p w14:paraId="0E9BC946">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达标</w:t>
                  </w:r>
                </w:p>
              </w:tc>
            </w:tr>
            <w:tr w14:paraId="08FA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24" w:type="pct"/>
                  <w:tcBorders>
                    <w:tl2br w:val="nil"/>
                    <w:tr2bl w:val="nil"/>
                  </w:tcBorders>
                  <w:shd w:val="clear" w:color="auto" w:fill="FFFFFF" w:themeFill="background1"/>
                  <w:vAlign w:val="center"/>
                </w:tcPr>
                <w:p w14:paraId="32C59485">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NO</w:t>
                  </w:r>
                  <w:r>
                    <w:rPr>
                      <w:rFonts w:hint="default" w:ascii="Times New Roman" w:hAnsi="Times New Roman" w:eastAsia="宋体" w:cs="Times New Roman"/>
                      <w:b w:val="0"/>
                      <w:bCs w:val="0"/>
                      <w:color w:val="auto"/>
                      <w:sz w:val="21"/>
                      <w:szCs w:val="21"/>
                      <w:vertAlign w:val="subscript"/>
                    </w:rPr>
                    <w:t>2</w:t>
                  </w:r>
                </w:p>
              </w:tc>
              <w:tc>
                <w:tcPr>
                  <w:tcW w:w="1374" w:type="pct"/>
                  <w:tcBorders>
                    <w:tl2br w:val="nil"/>
                    <w:tr2bl w:val="nil"/>
                  </w:tcBorders>
                  <w:shd w:val="clear" w:color="auto" w:fill="FFFFFF" w:themeFill="background1"/>
                  <w:vAlign w:val="center"/>
                </w:tcPr>
                <w:p w14:paraId="3BAFCE2A">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年平均浓度</w:t>
                  </w:r>
                </w:p>
              </w:tc>
              <w:tc>
                <w:tcPr>
                  <w:tcW w:w="751" w:type="pct"/>
                  <w:tcBorders>
                    <w:tl2br w:val="nil"/>
                    <w:tr2bl w:val="nil"/>
                  </w:tcBorders>
                  <w:shd w:val="clear" w:color="auto" w:fill="FFFFFF" w:themeFill="background1"/>
                  <w:vAlign w:val="center"/>
                </w:tcPr>
                <w:p w14:paraId="7FBF99DF">
                  <w:pPr>
                    <w:pStyle w:val="4"/>
                    <w:numPr>
                      <w:ilvl w:val="0"/>
                      <w:numId w:val="0"/>
                    </w:numPr>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29</w:t>
                  </w:r>
                </w:p>
              </w:tc>
              <w:tc>
                <w:tcPr>
                  <w:tcW w:w="728" w:type="pct"/>
                  <w:tcBorders>
                    <w:tl2br w:val="nil"/>
                    <w:tr2bl w:val="nil"/>
                  </w:tcBorders>
                  <w:shd w:val="clear" w:color="auto" w:fill="FFFFFF" w:themeFill="background1"/>
                  <w:vAlign w:val="center"/>
                </w:tcPr>
                <w:p w14:paraId="052B2E72">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w:t>
                  </w:r>
                </w:p>
              </w:tc>
              <w:tc>
                <w:tcPr>
                  <w:tcW w:w="711" w:type="pct"/>
                  <w:tcBorders>
                    <w:tl2br w:val="nil"/>
                    <w:tr2bl w:val="nil"/>
                  </w:tcBorders>
                  <w:shd w:val="clear" w:color="auto" w:fill="FFFFFF" w:themeFill="background1"/>
                  <w:vAlign w:val="center"/>
                </w:tcPr>
                <w:p w14:paraId="7D3C88E9">
                  <w:pPr>
                    <w:pStyle w:val="4"/>
                    <w:numPr>
                      <w:ilvl w:val="0"/>
                      <w:numId w:val="0"/>
                    </w:numPr>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72.5</w:t>
                  </w:r>
                </w:p>
              </w:tc>
              <w:tc>
                <w:tcPr>
                  <w:tcW w:w="809" w:type="pct"/>
                  <w:tcBorders>
                    <w:tl2br w:val="nil"/>
                    <w:tr2bl w:val="nil"/>
                  </w:tcBorders>
                  <w:shd w:val="clear" w:color="auto" w:fill="FFFFFF" w:themeFill="background1"/>
                  <w:vAlign w:val="center"/>
                </w:tcPr>
                <w:p w14:paraId="0738EABB">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达标</w:t>
                  </w:r>
                </w:p>
              </w:tc>
            </w:tr>
            <w:tr w14:paraId="17D2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24" w:type="pct"/>
                  <w:tcBorders>
                    <w:tl2br w:val="nil"/>
                    <w:tr2bl w:val="nil"/>
                  </w:tcBorders>
                  <w:shd w:val="clear" w:color="auto" w:fill="FFFFFF" w:themeFill="background1"/>
                  <w:vAlign w:val="center"/>
                </w:tcPr>
                <w:p w14:paraId="3F6AC78B">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CO</w:t>
                  </w:r>
                </w:p>
              </w:tc>
              <w:tc>
                <w:tcPr>
                  <w:tcW w:w="1374" w:type="pct"/>
                  <w:tcBorders>
                    <w:tl2br w:val="nil"/>
                    <w:tr2bl w:val="nil"/>
                  </w:tcBorders>
                  <w:shd w:val="clear" w:color="auto" w:fill="FFFFFF" w:themeFill="background1"/>
                  <w:vAlign w:val="center"/>
                </w:tcPr>
                <w:p w14:paraId="45C728BE">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24小时平均第95百分位数</w:t>
                  </w:r>
                </w:p>
              </w:tc>
              <w:tc>
                <w:tcPr>
                  <w:tcW w:w="751" w:type="pct"/>
                  <w:tcBorders>
                    <w:tl2br w:val="nil"/>
                    <w:tr2bl w:val="nil"/>
                  </w:tcBorders>
                  <w:shd w:val="clear" w:color="auto" w:fill="FFFFFF" w:themeFill="background1"/>
                  <w:vAlign w:val="center"/>
                </w:tcPr>
                <w:p w14:paraId="21832D91">
                  <w:pPr>
                    <w:pStyle w:val="4"/>
                    <w:numPr>
                      <w:ilvl w:val="0"/>
                      <w:numId w:val="0"/>
                    </w:numPr>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1200</w:t>
                  </w:r>
                </w:p>
              </w:tc>
              <w:tc>
                <w:tcPr>
                  <w:tcW w:w="728" w:type="pct"/>
                  <w:tcBorders>
                    <w:tl2br w:val="nil"/>
                    <w:tr2bl w:val="nil"/>
                  </w:tcBorders>
                  <w:shd w:val="clear" w:color="auto" w:fill="FFFFFF" w:themeFill="background1"/>
                  <w:vAlign w:val="center"/>
                </w:tcPr>
                <w:p w14:paraId="72E1A836">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4000</w:t>
                  </w:r>
                </w:p>
              </w:tc>
              <w:tc>
                <w:tcPr>
                  <w:tcW w:w="711" w:type="pct"/>
                  <w:tcBorders>
                    <w:tl2br w:val="nil"/>
                    <w:tr2bl w:val="nil"/>
                  </w:tcBorders>
                  <w:shd w:val="clear" w:color="auto" w:fill="FFFFFF" w:themeFill="background1"/>
                  <w:vAlign w:val="center"/>
                </w:tcPr>
                <w:p w14:paraId="0C65B97F">
                  <w:pPr>
                    <w:pStyle w:val="4"/>
                    <w:numPr>
                      <w:ilvl w:val="0"/>
                      <w:numId w:val="0"/>
                    </w:numPr>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lang w:val="en-US" w:eastAsia="zh-CN"/>
                    </w:rPr>
                    <w:t>0</w:t>
                  </w:r>
                </w:p>
              </w:tc>
              <w:tc>
                <w:tcPr>
                  <w:tcW w:w="809" w:type="pct"/>
                  <w:tcBorders>
                    <w:tl2br w:val="nil"/>
                    <w:tr2bl w:val="nil"/>
                  </w:tcBorders>
                  <w:shd w:val="clear" w:color="auto" w:fill="FFFFFF" w:themeFill="background1"/>
                  <w:vAlign w:val="center"/>
                </w:tcPr>
                <w:p w14:paraId="3711AEEA">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达标</w:t>
                  </w:r>
                </w:p>
              </w:tc>
            </w:tr>
            <w:tr w14:paraId="0337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24" w:type="pct"/>
                  <w:tcBorders>
                    <w:tl2br w:val="nil"/>
                    <w:tr2bl w:val="nil"/>
                  </w:tcBorders>
                  <w:shd w:val="clear" w:color="auto" w:fill="FFFFFF" w:themeFill="background1"/>
                  <w:vAlign w:val="center"/>
                </w:tcPr>
                <w:p w14:paraId="695868BB">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O</w:t>
                  </w:r>
                  <w:r>
                    <w:rPr>
                      <w:rFonts w:hint="default" w:ascii="Times New Roman" w:hAnsi="Times New Roman" w:eastAsia="宋体" w:cs="Times New Roman"/>
                      <w:b w:val="0"/>
                      <w:bCs w:val="0"/>
                      <w:color w:val="auto"/>
                      <w:sz w:val="21"/>
                      <w:szCs w:val="21"/>
                      <w:vertAlign w:val="subscript"/>
                    </w:rPr>
                    <w:t>3</w:t>
                  </w:r>
                </w:p>
              </w:tc>
              <w:tc>
                <w:tcPr>
                  <w:tcW w:w="1374" w:type="pct"/>
                  <w:tcBorders>
                    <w:tl2br w:val="nil"/>
                    <w:tr2bl w:val="nil"/>
                  </w:tcBorders>
                  <w:shd w:val="clear" w:color="auto" w:fill="FFFFFF" w:themeFill="background1"/>
                  <w:vAlign w:val="center"/>
                </w:tcPr>
                <w:p w14:paraId="7D7977AB">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日最大8小时平均第90百分位数</w:t>
                  </w:r>
                </w:p>
              </w:tc>
              <w:tc>
                <w:tcPr>
                  <w:tcW w:w="751" w:type="pct"/>
                  <w:tcBorders>
                    <w:tl2br w:val="nil"/>
                    <w:tr2bl w:val="nil"/>
                  </w:tcBorders>
                  <w:shd w:val="clear" w:color="auto" w:fill="FFFFFF" w:themeFill="background1"/>
                  <w:vAlign w:val="center"/>
                </w:tcPr>
                <w:p w14:paraId="72EB9EFB">
                  <w:pPr>
                    <w:pStyle w:val="4"/>
                    <w:numPr>
                      <w:ilvl w:val="0"/>
                      <w:numId w:val="0"/>
                    </w:numPr>
                    <w:spacing w:line="240" w:lineRule="auto"/>
                    <w:jc w:val="center"/>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b w:val="0"/>
                      <w:bCs w:val="0"/>
                      <w:color w:val="auto"/>
                      <w:sz w:val="21"/>
                      <w:szCs w:val="21"/>
                    </w:rPr>
                    <w:t>1</w:t>
                  </w:r>
                  <w:r>
                    <w:rPr>
                      <w:rFonts w:hint="default" w:ascii="Times New Roman" w:hAnsi="Times New Roman" w:eastAsia="宋体" w:cs="Times New Roman"/>
                      <w:b w:val="0"/>
                      <w:bCs w:val="0"/>
                      <w:color w:val="auto"/>
                      <w:sz w:val="21"/>
                      <w:szCs w:val="21"/>
                      <w:lang w:val="en-US" w:eastAsia="zh-CN"/>
                    </w:rPr>
                    <w:t>5</w:t>
                  </w:r>
                  <w:r>
                    <w:rPr>
                      <w:rFonts w:hint="eastAsia" w:ascii="Times New Roman" w:hAnsi="Times New Roman" w:cs="Times New Roman"/>
                      <w:b w:val="0"/>
                      <w:bCs w:val="0"/>
                      <w:color w:val="auto"/>
                      <w:sz w:val="21"/>
                      <w:szCs w:val="21"/>
                      <w:lang w:val="en-US" w:eastAsia="zh-CN"/>
                    </w:rPr>
                    <w:t>6</w:t>
                  </w:r>
                </w:p>
              </w:tc>
              <w:tc>
                <w:tcPr>
                  <w:tcW w:w="728" w:type="pct"/>
                  <w:tcBorders>
                    <w:tl2br w:val="nil"/>
                    <w:tr2bl w:val="nil"/>
                  </w:tcBorders>
                  <w:shd w:val="clear" w:color="auto" w:fill="FFFFFF" w:themeFill="background1"/>
                  <w:vAlign w:val="center"/>
                </w:tcPr>
                <w:p w14:paraId="72CBF8B3">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160</w:t>
                  </w:r>
                </w:p>
              </w:tc>
              <w:tc>
                <w:tcPr>
                  <w:tcW w:w="711" w:type="pct"/>
                  <w:tcBorders>
                    <w:tl2br w:val="nil"/>
                    <w:tr2bl w:val="nil"/>
                  </w:tcBorders>
                  <w:shd w:val="clear" w:color="auto" w:fill="FFFFFF" w:themeFill="background1"/>
                  <w:vAlign w:val="center"/>
                </w:tcPr>
                <w:p w14:paraId="21D4B1AC">
                  <w:pPr>
                    <w:pStyle w:val="4"/>
                    <w:numPr>
                      <w:ilvl w:val="0"/>
                      <w:numId w:val="0"/>
                    </w:numPr>
                    <w:spacing w:line="240" w:lineRule="auto"/>
                    <w:jc w:val="center"/>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b w:val="0"/>
                      <w:bCs w:val="0"/>
                      <w:color w:val="auto"/>
                      <w:sz w:val="21"/>
                      <w:szCs w:val="21"/>
                      <w:lang w:val="en-US" w:eastAsia="zh-CN"/>
                    </w:rPr>
                    <w:t>9</w:t>
                  </w:r>
                  <w:r>
                    <w:rPr>
                      <w:rFonts w:hint="eastAsia" w:ascii="Times New Roman" w:hAnsi="Times New Roman" w:cs="Times New Roman"/>
                      <w:b w:val="0"/>
                      <w:bCs w:val="0"/>
                      <w:color w:val="auto"/>
                      <w:sz w:val="21"/>
                      <w:szCs w:val="21"/>
                      <w:lang w:val="en-US" w:eastAsia="zh-CN"/>
                    </w:rPr>
                    <w:t>7.5</w:t>
                  </w:r>
                </w:p>
              </w:tc>
              <w:tc>
                <w:tcPr>
                  <w:tcW w:w="809" w:type="pct"/>
                  <w:tcBorders>
                    <w:tl2br w:val="nil"/>
                    <w:tr2bl w:val="nil"/>
                  </w:tcBorders>
                  <w:shd w:val="clear" w:color="auto" w:fill="FFFFFF" w:themeFill="background1"/>
                  <w:vAlign w:val="center"/>
                </w:tcPr>
                <w:p w14:paraId="1D0F1507">
                  <w:pPr>
                    <w:pStyle w:val="4"/>
                    <w:numPr>
                      <w:ilvl w:val="0"/>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达标</w:t>
                  </w:r>
                </w:p>
              </w:tc>
            </w:tr>
          </w:tbl>
          <w:p w14:paraId="42A52133">
            <w:pPr>
              <w:keepNext w:val="0"/>
              <w:keepLines w:val="0"/>
              <w:pageBreakBefore w:val="0"/>
              <w:widowControl w:val="0"/>
              <w:kinsoku/>
              <w:wordWrap/>
              <w:overflowPunct/>
              <w:topLinePunct w:val="0"/>
              <w:autoSpaceDE/>
              <w:autoSpaceDN/>
              <w:bidi w:val="0"/>
              <w:adjustRightInd/>
              <w:snapToGrid/>
              <w:spacing w:before="157" w:beforeLines="50"/>
              <w:ind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根据表3-1</w:t>
            </w:r>
            <w:r>
              <w:rPr>
                <w:rFonts w:hint="default" w:ascii="Times New Roman" w:hAnsi="Times New Roman" w:eastAsia="宋体" w:cs="Times New Roman"/>
                <w:color w:val="auto"/>
                <w:sz w:val="24"/>
                <w:szCs w:val="24"/>
                <w:lang w:val="en-US" w:eastAsia="zh-CN"/>
              </w:rPr>
              <w:t>可知</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陈仓区202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rPr>
              <w:t>环境空气中的PM</w:t>
            </w:r>
            <w:r>
              <w:rPr>
                <w:rFonts w:hint="default" w:ascii="Times New Roman" w:hAnsi="Times New Roman" w:eastAsia="宋体" w:cs="Times New Roman"/>
                <w:color w:val="auto"/>
                <w:sz w:val="24"/>
                <w:szCs w:val="24"/>
                <w:vertAlign w:val="subscript"/>
              </w:rPr>
              <w:t>10</w:t>
            </w:r>
            <w:r>
              <w:rPr>
                <w:rFonts w:hint="eastAsia" w:cs="Times New Roman"/>
                <w:color w:val="auto"/>
                <w:sz w:val="24"/>
                <w:szCs w:val="24"/>
                <w:vertAlign w:val="baseline"/>
                <w:lang w:eastAsia="zh-CN"/>
              </w:rPr>
              <w:t>、</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和NO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均达到国家环境空气质量二级标准，PM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超过国家环境空气质量二级标准。因此，项目所在地区域为不达标区。</w:t>
            </w:r>
          </w:p>
          <w:p w14:paraId="5D5943BA">
            <w:pPr>
              <w:ind w:firstLine="422"/>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fldChar w:fldCharType="begin"/>
            </w:r>
            <w:r>
              <w:rPr>
                <w:rFonts w:hint="default" w:ascii="Times New Roman" w:hAnsi="Times New Roman" w:eastAsia="宋体" w:cs="Times New Roman"/>
                <w:b w:val="0"/>
                <w:bCs w:val="0"/>
                <w:color w:val="auto"/>
                <w:sz w:val="24"/>
                <w:szCs w:val="24"/>
                <w:lang w:val="en-US" w:eastAsia="zh-CN"/>
              </w:rPr>
              <w:instrText xml:space="preserve"> = 2 \* GB2 \* MERGEFORMAT </w:instrText>
            </w:r>
            <w:r>
              <w:rPr>
                <w:rFonts w:hint="default" w:ascii="Times New Roman" w:hAnsi="Times New Roman" w:eastAsia="宋体" w:cs="Times New Roman"/>
                <w:b w:val="0"/>
                <w:bCs w:val="0"/>
                <w:color w:val="auto"/>
                <w:sz w:val="24"/>
                <w:szCs w:val="24"/>
                <w:lang w:val="en-US" w:eastAsia="zh-CN"/>
              </w:rPr>
              <w:fldChar w:fldCharType="separate"/>
            </w:r>
            <w:r>
              <w:rPr>
                <w:b w:val="0"/>
                <w:bCs w:val="0"/>
                <w:color w:val="auto"/>
              </w:rPr>
              <w:t>⑵</w:t>
            </w:r>
            <w:r>
              <w:rPr>
                <w:rFonts w:hint="default" w:ascii="Times New Roman" w:hAnsi="Times New Roman" w:eastAsia="宋体" w:cs="Times New Roman"/>
                <w:b w:val="0"/>
                <w:bCs w:val="0"/>
                <w:color w:val="auto"/>
                <w:sz w:val="24"/>
                <w:szCs w:val="24"/>
                <w:lang w:val="en-US" w:eastAsia="zh-CN"/>
              </w:rPr>
              <w:fldChar w:fldCharType="end"/>
            </w:r>
            <w:r>
              <w:rPr>
                <w:rFonts w:hint="default" w:ascii="Times New Roman" w:hAnsi="Times New Roman" w:eastAsia="宋体" w:cs="Times New Roman"/>
                <w:b w:val="0"/>
                <w:bCs w:val="0"/>
                <w:color w:val="auto"/>
                <w:sz w:val="24"/>
                <w:szCs w:val="24"/>
                <w:lang w:val="en-US" w:eastAsia="zh-CN"/>
              </w:rPr>
              <w:t>其他</w:t>
            </w:r>
            <w:r>
              <w:rPr>
                <w:rFonts w:hint="default" w:ascii="Times New Roman" w:hAnsi="Times New Roman" w:eastAsia="宋体" w:cs="Times New Roman"/>
                <w:b w:val="0"/>
                <w:bCs w:val="0"/>
                <w:color w:val="auto"/>
                <w:sz w:val="24"/>
                <w:szCs w:val="24"/>
              </w:rPr>
              <w:t>污染物环境质量现状</w:t>
            </w:r>
          </w:p>
          <w:p w14:paraId="53A9FDD6">
            <w:pPr>
              <w:keepNext w:val="0"/>
              <w:keepLines w:val="0"/>
              <w:pageBreakBefore w:val="0"/>
              <w:widowControl w:val="0"/>
              <w:kinsoku/>
              <w:wordWrap/>
              <w:overflowPunct/>
              <w:topLinePunct w:val="0"/>
              <w:bidi w:val="0"/>
              <w:snapToGrid/>
              <w:ind w:firstLine="488"/>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为了解项目区域与项目有关的其他污染物达标情况，本次环评委托陕西明铖检测技术有限公司于</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eastAsia" w:cs="Times New Roman"/>
                <w:color w:val="auto"/>
                <w:sz w:val="24"/>
                <w:szCs w:val="24"/>
                <w:lang w:val="en-US" w:eastAsia="zh-CN"/>
              </w:rPr>
              <w:t>18</w:t>
            </w:r>
            <w:r>
              <w:rPr>
                <w:rFonts w:hint="default" w:ascii="Times New Roman" w:hAnsi="Times New Roman" w:eastAsia="宋体" w:cs="Times New Roman"/>
                <w:color w:val="auto"/>
                <w:sz w:val="24"/>
                <w:szCs w:val="24"/>
              </w:rPr>
              <w:t>日至</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eastAsia" w:cs="Times New Roman"/>
                <w:color w:val="auto"/>
                <w:sz w:val="24"/>
                <w:szCs w:val="24"/>
                <w:lang w:val="en-US" w:eastAsia="zh-CN"/>
              </w:rPr>
              <w:t>20</w:t>
            </w:r>
            <w:r>
              <w:rPr>
                <w:rFonts w:hint="default" w:ascii="Times New Roman" w:hAnsi="Times New Roman" w:eastAsia="宋体" w:cs="Times New Roman"/>
                <w:color w:val="auto"/>
                <w:sz w:val="24"/>
                <w:szCs w:val="24"/>
              </w:rPr>
              <w:t>日对项目所在区域</w:t>
            </w:r>
            <w:r>
              <w:rPr>
                <w:rFonts w:hint="default" w:ascii="Times New Roman" w:hAnsi="Times New Roman" w:eastAsia="宋体" w:cs="Times New Roman"/>
                <w:color w:val="auto"/>
                <w:sz w:val="24"/>
                <w:szCs w:val="24"/>
                <w:lang w:val="en-US" w:eastAsia="zh-CN"/>
              </w:rPr>
              <w:t>TSP</w:t>
            </w:r>
            <w:r>
              <w:rPr>
                <w:rFonts w:hint="default" w:ascii="Times New Roman" w:hAnsi="Times New Roman" w:eastAsia="宋体" w:cs="Times New Roman"/>
                <w:color w:val="auto"/>
                <w:sz w:val="24"/>
                <w:szCs w:val="24"/>
              </w:rPr>
              <w:t>环境质量进行现状监测。</w:t>
            </w:r>
          </w:p>
          <w:p w14:paraId="2A7FFBCF">
            <w:pPr>
              <w:keepNext w:val="0"/>
              <w:keepLines w:val="0"/>
              <w:pageBreakBefore w:val="0"/>
              <w:widowControl w:val="0"/>
              <w:numPr>
                <w:ilvl w:val="0"/>
                <w:numId w:val="0"/>
              </w:numPr>
              <w:kinsoku/>
              <w:wordWrap/>
              <w:overflowPunct/>
              <w:topLinePunct w:val="0"/>
              <w:autoSpaceDE/>
              <w:autoSpaceDN/>
              <w:bidi w:val="0"/>
              <w:adjustRightInd/>
              <w:snapToGrid/>
              <w:ind w:leftChars="200"/>
              <w:jc w:val="both"/>
              <w:textAlignment w:val="auto"/>
              <w:rPr>
                <w:rFonts w:hint="default" w:ascii="Times New Roman" w:hAnsi="Times New Roman" w:eastAsia="宋体" w:cs="Times New Roman"/>
                <w:color w:val="auto"/>
                <w:sz w:val="24"/>
                <w:szCs w:val="24"/>
              </w:rPr>
            </w:pPr>
            <w:r>
              <w:rPr>
                <w:rFonts w:hint="default" w:ascii="Calibri" w:hAnsi="Calibri" w:eastAsia="宋体" w:cs="Calibri"/>
                <w:color w:val="auto"/>
                <w:sz w:val="24"/>
                <w:szCs w:val="24"/>
              </w:rPr>
              <w:t>①</w:t>
            </w:r>
            <w:r>
              <w:rPr>
                <w:rFonts w:hint="default" w:ascii="Times New Roman" w:hAnsi="Times New Roman" w:eastAsia="宋体" w:cs="Times New Roman"/>
                <w:color w:val="auto"/>
                <w:sz w:val="24"/>
                <w:szCs w:val="24"/>
              </w:rPr>
              <w:t>监测因子</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TSP监测点位</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项目所在地</w:t>
            </w:r>
          </w:p>
          <w:p w14:paraId="7C6FE8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jc w:val="both"/>
              <w:textAlignment w:val="auto"/>
              <w:rPr>
                <w:rFonts w:hint="default" w:ascii="Times New Roman" w:hAnsi="Times New Roman" w:eastAsia="宋体" w:cs="Times New Roman"/>
                <w:color w:val="auto"/>
                <w:kern w:val="2"/>
                <w:sz w:val="24"/>
                <w:szCs w:val="24"/>
              </w:rPr>
            </w:pPr>
            <w:r>
              <w:rPr>
                <w:rFonts w:hint="default" w:ascii="Calibri" w:hAnsi="Calibri" w:eastAsia="宋体" w:cs="Calibri"/>
                <w:color w:val="auto"/>
                <w:spacing w:val="2"/>
                <w:kern w:val="2"/>
                <w:sz w:val="24"/>
                <w:szCs w:val="24"/>
                <w:lang w:val="en-US" w:eastAsia="zh-CN" w:bidi="ar"/>
              </w:rPr>
              <w:t>②</w:t>
            </w:r>
            <w:r>
              <w:rPr>
                <w:rFonts w:hint="default" w:ascii="Times New Roman" w:hAnsi="Times New Roman" w:eastAsia="宋体" w:cs="Times New Roman"/>
                <w:color w:val="auto"/>
                <w:spacing w:val="2"/>
                <w:kern w:val="2"/>
                <w:sz w:val="24"/>
                <w:szCs w:val="24"/>
                <w:lang w:val="en-US" w:eastAsia="zh-CN" w:bidi="ar"/>
              </w:rPr>
              <w:t>监测时间及频次：监测3天</w:t>
            </w:r>
          </w:p>
          <w:p w14:paraId="3324233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pacing w:val="2"/>
                <w:kern w:val="2"/>
                <w:sz w:val="24"/>
                <w:szCs w:val="24"/>
                <w:lang w:val="en-US" w:eastAsia="zh-CN" w:bidi="ar"/>
              </w:rPr>
            </w:pPr>
            <w:r>
              <w:rPr>
                <w:rFonts w:hint="default" w:ascii="Times New Roman" w:hAnsi="Times New Roman" w:eastAsia="宋体" w:cs="Times New Roman"/>
                <w:b/>
                <w:bCs w:val="0"/>
                <w:color w:val="auto"/>
                <w:spacing w:val="2"/>
                <w:kern w:val="2"/>
                <w:sz w:val="24"/>
                <w:szCs w:val="24"/>
                <w:lang w:val="en-US" w:eastAsia="zh-CN" w:bidi="ar"/>
              </w:rPr>
              <w:t>表3-2大气环境现状监测结果</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75"/>
              <w:gridCol w:w="3893"/>
            </w:tblGrid>
            <w:tr w14:paraId="35CE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2461" w:type="pct"/>
                  <w:vMerge w:val="restart"/>
                  <w:tcBorders>
                    <w:tl2br w:val="nil"/>
                    <w:tr2bl w:val="nil"/>
                  </w:tcBorders>
                  <w:noWrap w:val="0"/>
                  <w:vAlign w:val="center"/>
                </w:tcPr>
                <w:p w14:paraId="74957F9F">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时间</w:t>
                  </w:r>
                </w:p>
              </w:tc>
              <w:tc>
                <w:tcPr>
                  <w:tcW w:w="2538" w:type="pct"/>
                  <w:tcBorders>
                    <w:tl2br w:val="nil"/>
                    <w:tr2bl w:val="nil"/>
                  </w:tcBorders>
                  <w:noWrap w:val="0"/>
                  <w:vAlign w:val="center"/>
                </w:tcPr>
                <w:p w14:paraId="199A561B">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TSP</w:t>
                  </w:r>
                </w:p>
              </w:tc>
            </w:tr>
            <w:tr w14:paraId="7474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461" w:type="pct"/>
                  <w:vMerge w:val="continue"/>
                  <w:tcBorders>
                    <w:tl2br w:val="nil"/>
                    <w:tr2bl w:val="nil"/>
                  </w:tcBorders>
                  <w:noWrap w:val="0"/>
                  <w:vAlign w:val="center"/>
                </w:tcPr>
                <w:p w14:paraId="3C8B6AA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sz w:val="21"/>
                      <w:szCs w:val="21"/>
                    </w:rPr>
                  </w:pPr>
                </w:p>
              </w:tc>
              <w:tc>
                <w:tcPr>
                  <w:tcW w:w="2538" w:type="pct"/>
                  <w:tcBorders>
                    <w:tl2br w:val="nil"/>
                    <w:tr2bl w:val="nil"/>
                  </w:tcBorders>
                  <w:noWrap w:val="0"/>
                  <w:vAlign w:val="center"/>
                </w:tcPr>
                <w:p w14:paraId="189609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kern w:val="2"/>
                      <w:sz w:val="21"/>
                      <w:szCs w:val="21"/>
                      <w:lang w:val="en-US" w:eastAsia="zh-CN" w:bidi="ar"/>
                    </w:rPr>
                    <w:t>24小时平均</w:t>
                  </w:r>
                  <w:r>
                    <w:rPr>
                      <w:rFonts w:hint="default" w:ascii="Times New Roman" w:hAnsi="Times New Roman" w:eastAsia="宋体" w:cs="Times New Roman"/>
                      <w:b/>
                      <w:bCs/>
                      <w:color w:val="auto"/>
                      <w:kern w:val="0"/>
                      <w:sz w:val="21"/>
                      <w:szCs w:val="21"/>
                      <w:lang w:val="en-US" w:eastAsia="zh-CN" w:bidi="ar"/>
                    </w:rPr>
                    <w:t>（μg/m</w:t>
                  </w:r>
                  <w:r>
                    <w:rPr>
                      <w:rFonts w:hint="default" w:ascii="Times New Roman" w:hAnsi="Times New Roman" w:eastAsia="宋体" w:cs="Times New Roman"/>
                      <w:b/>
                      <w:bCs/>
                      <w:color w:val="auto"/>
                      <w:kern w:val="0"/>
                      <w:sz w:val="21"/>
                      <w:szCs w:val="21"/>
                      <w:vertAlign w:val="superscript"/>
                      <w:lang w:val="en-US" w:eastAsia="zh-CN" w:bidi="ar"/>
                    </w:rPr>
                    <w:t>3</w:t>
                  </w:r>
                  <w:r>
                    <w:rPr>
                      <w:rFonts w:hint="default" w:ascii="Times New Roman" w:hAnsi="Times New Roman" w:eastAsia="宋体" w:cs="Times New Roman"/>
                      <w:b/>
                      <w:bCs/>
                      <w:color w:val="auto"/>
                      <w:kern w:val="0"/>
                      <w:sz w:val="21"/>
                      <w:szCs w:val="21"/>
                      <w:lang w:val="en-US" w:eastAsia="zh-CN" w:bidi="ar"/>
                    </w:rPr>
                    <w:t>）</w:t>
                  </w:r>
                </w:p>
              </w:tc>
            </w:tr>
            <w:tr w14:paraId="2058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461" w:type="pct"/>
                  <w:tcBorders>
                    <w:tl2br w:val="nil"/>
                    <w:tr2bl w:val="nil"/>
                  </w:tcBorders>
                  <w:noWrap w:val="0"/>
                  <w:vAlign w:val="center"/>
                </w:tcPr>
                <w:p w14:paraId="537BEC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rPr>
                  </w:pPr>
                  <w:r>
                    <w:rPr>
                      <w:rFonts w:hint="eastAsia" w:cs="Times New Roman"/>
                      <w:color w:val="auto"/>
                      <w:spacing w:val="2"/>
                      <w:kern w:val="2"/>
                      <w:sz w:val="21"/>
                      <w:szCs w:val="21"/>
                      <w:lang w:val="en-US" w:eastAsia="zh-CN" w:bidi="ar"/>
                    </w:rPr>
                    <w:t>5</w:t>
                  </w:r>
                  <w:r>
                    <w:rPr>
                      <w:rFonts w:hint="default" w:ascii="Times New Roman" w:hAnsi="Times New Roman" w:eastAsia="宋体" w:cs="Times New Roman"/>
                      <w:color w:val="auto"/>
                      <w:spacing w:val="2"/>
                      <w:kern w:val="2"/>
                      <w:sz w:val="21"/>
                      <w:szCs w:val="21"/>
                      <w:lang w:val="en-US" w:eastAsia="zh-CN" w:bidi="ar"/>
                    </w:rPr>
                    <w:t>月</w:t>
                  </w:r>
                  <w:r>
                    <w:rPr>
                      <w:rFonts w:hint="eastAsia" w:cs="Times New Roman"/>
                      <w:color w:val="auto"/>
                      <w:spacing w:val="2"/>
                      <w:kern w:val="2"/>
                      <w:sz w:val="21"/>
                      <w:szCs w:val="21"/>
                      <w:lang w:val="en-US" w:eastAsia="zh-CN" w:bidi="ar"/>
                    </w:rPr>
                    <w:t>18</w:t>
                  </w:r>
                  <w:r>
                    <w:rPr>
                      <w:rFonts w:hint="default" w:ascii="Times New Roman" w:hAnsi="Times New Roman" w:eastAsia="宋体" w:cs="Times New Roman"/>
                      <w:color w:val="auto"/>
                      <w:spacing w:val="2"/>
                      <w:kern w:val="2"/>
                      <w:sz w:val="21"/>
                      <w:szCs w:val="21"/>
                      <w:lang w:val="en-US" w:eastAsia="zh-CN" w:bidi="ar"/>
                    </w:rPr>
                    <w:t>日</w:t>
                  </w:r>
                </w:p>
              </w:tc>
              <w:tc>
                <w:tcPr>
                  <w:tcW w:w="2538" w:type="pct"/>
                  <w:tcBorders>
                    <w:tl2br w:val="nil"/>
                    <w:tr2bl w:val="nil"/>
                  </w:tcBorders>
                  <w:noWrap w:val="0"/>
                  <w:vAlign w:val="center"/>
                </w:tcPr>
                <w:p w14:paraId="5A87E0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230</w:t>
                  </w:r>
                </w:p>
              </w:tc>
            </w:tr>
            <w:tr w14:paraId="28A3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461" w:type="pct"/>
                  <w:tcBorders>
                    <w:tl2br w:val="nil"/>
                    <w:tr2bl w:val="nil"/>
                  </w:tcBorders>
                  <w:noWrap w:val="0"/>
                  <w:vAlign w:val="center"/>
                </w:tcPr>
                <w:p w14:paraId="5A8A9B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cs="Times New Roman"/>
                      <w:color w:val="auto"/>
                      <w:spacing w:val="2"/>
                      <w:kern w:val="2"/>
                      <w:sz w:val="21"/>
                      <w:szCs w:val="21"/>
                      <w:lang w:val="en-US" w:eastAsia="zh-CN" w:bidi="ar"/>
                    </w:rPr>
                    <w:t>5</w:t>
                  </w:r>
                  <w:r>
                    <w:rPr>
                      <w:rFonts w:hint="default" w:ascii="Times New Roman" w:hAnsi="Times New Roman" w:eastAsia="宋体" w:cs="Times New Roman"/>
                      <w:color w:val="auto"/>
                      <w:spacing w:val="2"/>
                      <w:kern w:val="2"/>
                      <w:sz w:val="21"/>
                      <w:szCs w:val="21"/>
                      <w:lang w:val="en-US" w:eastAsia="zh-CN" w:bidi="ar"/>
                    </w:rPr>
                    <w:t>月</w:t>
                  </w:r>
                  <w:r>
                    <w:rPr>
                      <w:rFonts w:hint="eastAsia" w:cs="Times New Roman"/>
                      <w:color w:val="auto"/>
                      <w:spacing w:val="2"/>
                      <w:kern w:val="2"/>
                      <w:sz w:val="21"/>
                      <w:szCs w:val="21"/>
                      <w:lang w:val="en-US" w:eastAsia="zh-CN" w:bidi="ar"/>
                    </w:rPr>
                    <w:t>19</w:t>
                  </w:r>
                  <w:r>
                    <w:rPr>
                      <w:rFonts w:hint="default" w:ascii="Times New Roman" w:hAnsi="Times New Roman" w:eastAsia="宋体" w:cs="Times New Roman"/>
                      <w:color w:val="auto"/>
                      <w:spacing w:val="2"/>
                      <w:kern w:val="2"/>
                      <w:sz w:val="21"/>
                      <w:szCs w:val="21"/>
                      <w:lang w:val="en-US" w:eastAsia="zh-CN" w:bidi="ar"/>
                    </w:rPr>
                    <w:t>日</w:t>
                  </w:r>
                </w:p>
              </w:tc>
              <w:tc>
                <w:tcPr>
                  <w:tcW w:w="2538" w:type="pct"/>
                  <w:tcBorders>
                    <w:tl2br w:val="nil"/>
                    <w:tr2bl w:val="nil"/>
                  </w:tcBorders>
                  <w:noWrap w:val="0"/>
                  <w:vAlign w:val="center"/>
                </w:tcPr>
                <w:p w14:paraId="5D9CBE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104</w:t>
                  </w:r>
                </w:p>
              </w:tc>
            </w:tr>
            <w:tr w14:paraId="3683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461" w:type="pct"/>
                  <w:tcBorders>
                    <w:tl2br w:val="nil"/>
                    <w:tr2bl w:val="nil"/>
                  </w:tcBorders>
                  <w:noWrap w:val="0"/>
                  <w:vAlign w:val="center"/>
                </w:tcPr>
                <w:p w14:paraId="1B84C3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rPr>
                  </w:pPr>
                  <w:r>
                    <w:rPr>
                      <w:rFonts w:hint="eastAsia" w:cs="Times New Roman"/>
                      <w:color w:val="auto"/>
                      <w:spacing w:val="2"/>
                      <w:kern w:val="2"/>
                      <w:sz w:val="21"/>
                      <w:szCs w:val="21"/>
                      <w:lang w:val="en-US" w:eastAsia="zh-CN" w:bidi="ar"/>
                    </w:rPr>
                    <w:t>5</w:t>
                  </w:r>
                  <w:r>
                    <w:rPr>
                      <w:rFonts w:hint="default" w:ascii="Times New Roman" w:hAnsi="Times New Roman" w:eastAsia="宋体" w:cs="Times New Roman"/>
                      <w:color w:val="auto"/>
                      <w:spacing w:val="2"/>
                      <w:kern w:val="2"/>
                      <w:sz w:val="21"/>
                      <w:szCs w:val="21"/>
                      <w:lang w:val="en-US" w:eastAsia="zh-CN" w:bidi="ar"/>
                    </w:rPr>
                    <w:t>月</w:t>
                  </w:r>
                  <w:r>
                    <w:rPr>
                      <w:rFonts w:hint="eastAsia" w:cs="Times New Roman"/>
                      <w:color w:val="auto"/>
                      <w:spacing w:val="2"/>
                      <w:kern w:val="2"/>
                      <w:sz w:val="21"/>
                      <w:szCs w:val="21"/>
                      <w:lang w:val="en-US" w:eastAsia="zh-CN" w:bidi="ar"/>
                    </w:rPr>
                    <w:t>20</w:t>
                  </w:r>
                  <w:r>
                    <w:rPr>
                      <w:rFonts w:hint="default" w:ascii="Times New Roman" w:hAnsi="Times New Roman" w:eastAsia="宋体" w:cs="Times New Roman"/>
                      <w:color w:val="auto"/>
                      <w:spacing w:val="2"/>
                      <w:kern w:val="2"/>
                      <w:sz w:val="21"/>
                      <w:szCs w:val="21"/>
                      <w:lang w:val="en-US" w:eastAsia="zh-CN" w:bidi="ar"/>
                    </w:rPr>
                    <w:t>日</w:t>
                  </w:r>
                </w:p>
              </w:tc>
              <w:tc>
                <w:tcPr>
                  <w:tcW w:w="2538" w:type="pct"/>
                  <w:tcBorders>
                    <w:tl2br w:val="nil"/>
                    <w:tr2bl w:val="nil"/>
                  </w:tcBorders>
                  <w:noWrap w:val="0"/>
                  <w:vAlign w:val="center"/>
                </w:tcPr>
                <w:p w14:paraId="1DCFFB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98</w:t>
                  </w:r>
                </w:p>
              </w:tc>
            </w:tr>
            <w:tr w14:paraId="3383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461" w:type="pct"/>
                  <w:tcBorders>
                    <w:tl2br w:val="nil"/>
                    <w:tr2bl w:val="nil"/>
                  </w:tcBorders>
                  <w:noWrap w:val="0"/>
                  <w:vAlign w:val="center"/>
                </w:tcPr>
                <w:p w14:paraId="011BA7DA">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标准值</w:t>
                  </w:r>
                </w:p>
              </w:tc>
              <w:tc>
                <w:tcPr>
                  <w:tcW w:w="2538" w:type="pct"/>
                  <w:tcBorders>
                    <w:tl2br w:val="nil"/>
                    <w:tr2bl w:val="nil"/>
                  </w:tcBorders>
                  <w:noWrap w:val="0"/>
                  <w:vAlign w:val="center"/>
                </w:tcPr>
                <w:p w14:paraId="782E15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spacing w:val="2"/>
                      <w:kern w:val="2"/>
                      <w:sz w:val="21"/>
                      <w:szCs w:val="21"/>
                      <w:lang w:val="en-US" w:eastAsia="zh-CN" w:bidi="ar"/>
                    </w:rPr>
                    <w:t>300</w:t>
                  </w:r>
                </w:p>
              </w:tc>
            </w:tr>
            <w:tr w14:paraId="53E8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461" w:type="pct"/>
                  <w:tcBorders>
                    <w:tl2br w:val="nil"/>
                    <w:tr2bl w:val="nil"/>
                  </w:tcBorders>
                  <w:noWrap w:val="0"/>
                  <w:vAlign w:val="center"/>
                </w:tcPr>
                <w:p w14:paraId="5AA3659A">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达标结果</w:t>
                  </w:r>
                </w:p>
              </w:tc>
              <w:tc>
                <w:tcPr>
                  <w:tcW w:w="2538" w:type="pct"/>
                  <w:tcBorders>
                    <w:tl2br w:val="nil"/>
                    <w:tr2bl w:val="nil"/>
                  </w:tcBorders>
                  <w:noWrap w:val="0"/>
                  <w:vAlign w:val="center"/>
                </w:tcPr>
                <w:p w14:paraId="76A2DFE4">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达标</w:t>
                  </w:r>
                </w:p>
              </w:tc>
            </w:tr>
          </w:tbl>
          <w:p w14:paraId="22AD1D89">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8"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spacing w:val="2"/>
                <w:kern w:val="2"/>
                <w:sz w:val="24"/>
                <w:szCs w:val="24"/>
                <w:lang w:val="en-US" w:eastAsia="zh-CN" w:bidi="ar"/>
              </w:rPr>
              <w:t>从监测结果可以看出，项目所在区域环境空气指标TSP可达到《环境空气质量标准》（GB3095-2012）中的二级标准浓度限值。</w:t>
            </w:r>
          </w:p>
          <w:p w14:paraId="7DCD3491">
            <w:pPr>
              <w:pStyle w:val="3"/>
              <w:numPr>
                <w:ilvl w:val="0"/>
                <w:numId w:val="0"/>
              </w:numPr>
              <w:ind w:firstLine="480" w:firstLineChars="200"/>
              <w:rPr>
                <w:rFonts w:hint="default" w:ascii="Times New Roman" w:hAnsi="Times New Roman" w:eastAsia="宋体" w:cs="Times New Roman"/>
                <w:b w:val="0"/>
                <w:bCs w:val="0"/>
                <w:color w:val="auto"/>
                <w:sz w:val="24"/>
                <w:szCs w:val="24"/>
              </w:rPr>
            </w:pPr>
            <w:r>
              <w:rPr>
                <w:rFonts w:hint="eastAsia"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rPr>
              <w:t>声环境质量现状</w:t>
            </w:r>
          </w:p>
          <w:p w14:paraId="12B3F6CE">
            <w:pPr>
              <w:autoSpaceDE w:val="0"/>
              <w:autoSpaceDN w:val="0"/>
              <w:adjustRightInd w:val="0"/>
              <w:snapToGrid w:val="0"/>
              <w:ind w:firstLine="420"/>
              <w:rPr>
                <w:rFonts w:hint="default" w:ascii="Times New Roman" w:hAnsi="Times New Roman" w:eastAsia="宋体" w:cs="Times New Roman"/>
                <w:color w:val="auto"/>
                <w:kern w:val="0"/>
                <w:sz w:val="24"/>
                <w:szCs w:val="24"/>
                <w:lang w:val="zh-CN"/>
              </w:rPr>
            </w:pPr>
            <w:r>
              <w:rPr>
                <w:rFonts w:hint="default" w:ascii="Times New Roman" w:hAnsi="Times New Roman" w:eastAsia="宋体" w:cs="Times New Roman"/>
                <w:color w:val="auto"/>
                <w:kern w:val="0"/>
                <w:sz w:val="24"/>
                <w:szCs w:val="24"/>
              </w:rPr>
              <w:t>根据《建设项目环境影响报告表编制技术指南（生态影响类）试行》和《建设项目环境影响报告表编制技术指南（污染影响类）试行》，区域环境质量现状对声环境的监测要求，厂界外周边50m范围内存在声环境保护目标的建设项目，应监测保护目标声环境质量现状并评价达标情况。</w:t>
            </w:r>
          </w:p>
          <w:p w14:paraId="52834170">
            <w:pPr>
              <w:pStyle w:val="3"/>
              <w:numPr>
                <w:ilvl w:val="0"/>
                <w:numId w:val="0"/>
              </w:numPr>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本项目位于</w:t>
            </w:r>
            <w:r>
              <w:rPr>
                <w:rFonts w:hint="eastAsia" w:eastAsia="宋体" w:cs="Times New Roman"/>
                <w:b w:val="0"/>
                <w:bCs w:val="0"/>
                <w:color w:val="auto"/>
                <w:kern w:val="44"/>
                <w:sz w:val="24"/>
                <w:szCs w:val="24"/>
                <w:lang w:val="en-US" w:eastAsia="zh-CN" w:bidi="ar-SA"/>
              </w:rPr>
              <w:t>宝鸡市陈仓区香泉镇梨树沟</w:t>
            </w:r>
            <w:r>
              <w:rPr>
                <w:rFonts w:hint="default" w:ascii="Times New Roman" w:hAnsi="Times New Roman" w:eastAsia="宋体" w:cs="Times New Roman"/>
                <w:b w:val="0"/>
                <w:bCs w:val="0"/>
                <w:color w:val="auto"/>
                <w:kern w:val="44"/>
                <w:sz w:val="24"/>
                <w:szCs w:val="24"/>
                <w:lang w:val="en-US" w:eastAsia="zh-CN" w:bidi="ar-SA"/>
              </w:rPr>
              <w:t>，项目厂界外周边50m范围内无声环境保护目标，因此不需要开展声环境质量现状监测</w:t>
            </w:r>
            <w:r>
              <w:rPr>
                <w:rFonts w:hint="eastAsia" w:eastAsia="宋体" w:cs="Times New Roman"/>
                <w:b w:val="0"/>
                <w:bCs w:val="0"/>
                <w:color w:val="auto"/>
                <w:kern w:val="44"/>
                <w:sz w:val="24"/>
                <w:szCs w:val="24"/>
                <w:lang w:val="en-US" w:eastAsia="zh-CN" w:bidi="ar-SA"/>
              </w:rPr>
              <w:t>。</w:t>
            </w:r>
          </w:p>
          <w:p w14:paraId="52DC5767">
            <w:pPr>
              <w:pStyle w:val="3"/>
              <w:numPr>
                <w:ilvl w:val="0"/>
                <w:numId w:val="0"/>
              </w:numPr>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eastAsia" w:eastAsia="宋体" w:cs="Times New Roman"/>
                <w:b w:val="0"/>
                <w:bCs w:val="0"/>
                <w:color w:val="auto"/>
                <w:kern w:val="44"/>
                <w:sz w:val="24"/>
                <w:szCs w:val="24"/>
                <w:lang w:val="en-US" w:eastAsia="zh-CN" w:bidi="ar-SA"/>
              </w:rPr>
              <w:t>4、地表水环境质量现状</w:t>
            </w:r>
          </w:p>
          <w:p w14:paraId="2AF6EF74">
            <w:pPr>
              <w:pStyle w:val="3"/>
              <w:numPr>
                <w:ilvl w:val="0"/>
                <w:numId w:val="0"/>
              </w:numPr>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本项目废水主要为生活污水和</w:t>
            </w:r>
            <w:r>
              <w:rPr>
                <w:rFonts w:hint="eastAsia" w:eastAsia="宋体" w:cs="Times New Roman"/>
                <w:b w:val="0"/>
                <w:bCs w:val="0"/>
                <w:color w:val="auto"/>
                <w:kern w:val="44"/>
                <w:sz w:val="24"/>
                <w:szCs w:val="24"/>
                <w:lang w:val="en-US" w:eastAsia="zh-CN" w:bidi="ar-SA"/>
              </w:rPr>
              <w:t>洗车</w:t>
            </w:r>
            <w:r>
              <w:rPr>
                <w:rFonts w:hint="default" w:ascii="Times New Roman" w:hAnsi="Times New Roman" w:eastAsia="宋体" w:cs="Times New Roman"/>
                <w:b w:val="0"/>
                <w:bCs w:val="0"/>
                <w:color w:val="auto"/>
                <w:kern w:val="44"/>
                <w:sz w:val="24"/>
                <w:szCs w:val="24"/>
                <w:lang w:val="en-US" w:eastAsia="zh-CN" w:bidi="ar-SA"/>
              </w:rPr>
              <w:t>废水；生活污水经</w:t>
            </w:r>
            <w:r>
              <w:rPr>
                <w:rFonts w:hint="eastAsia" w:eastAsia="宋体" w:cs="Times New Roman"/>
                <w:b w:val="0"/>
                <w:bCs w:val="0"/>
                <w:color w:val="auto"/>
                <w:kern w:val="44"/>
                <w:sz w:val="24"/>
                <w:szCs w:val="24"/>
                <w:lang w:val="en-US" w:eastAsia="zh-CN" w:bidi="ar-SA"/>
              </w:rPr>
              <w:t>化粪池后用于周边农田施肥</w:t>
            </w:r>
            <w:r>
              <w:rPr>
                <w:rFonts w:hint="default" w:ascii="Times New Roman" w:hAnsi="Times New Roman" w:eastAsia="宋体" w:cs="Times New Roman"/>
                <w:b w:val="0"/>
                <w:bCs w:val="0"/>
                <w:color w:val="auto"/>
                <w:kern w:val="44"/>
                <w:sz w:val="24"/>
                <w:szCs w:val="24"/>
                <w:lang w:val="en-US" w:eastAsia="zh-CN" w:bidi="ar-SA"/>
              </w:rPr>
              <w:t>。</w:t>
            </w:r>
            <w:r>
              <w:rPr>
                <w:rFonts w:hint="eastAsia" w:eastAsia="宋体" w:cs="Times New Roman"/>
                <w:b w:val="0"/>
                <w:bCs w:val="0"/>
                <w:color w:val="auto"/>
                <w:kern w:val="44"/>
                <w:sz w:val="24"/>
                <w:szCs w:val="24"/>
                <w:lang w:val="en-US" w:eastAsia="zh-CN" w:bidi="ar-SA"/>
              </w:rPr>
              <w:t>洗车</w:t>
            </w:r>
            <w:r>
              <w:rPr>
                <w:rFonts w:hint="default" w:ascii="Times New Roman" w:hAnsi="Times New Roman" w:eastAsia="宋体" w:cs="Times New Roman"/>
                <w:b w:val="0"/>
                <w:bCs w:val="0"/>
                <w:color w:val="auto"/>
                <w:kern w:val="44"/>
                <w:sz w:val="24"/>
                <w:szCs w:val="24"/>
                <w:lang w:val="en-US" w:eastAsia="zh-CN" w:bidi="ar-SA"/>
              </w:rPr>
              <w:t>废水经沉淀后回用，不外排。本项目不向地表水水体排放污水。</w:t>
            </w:r>
          </w:p>
          <w:p w14:paraId="1B297D27">
            <w:pPr>
              <w:pStyle w:val="3"/>
              <w:numPr>
                <w:ilvl w:val="0"/>
                <w:numId w:val="0"/>
              </w:numPr>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根据《环境影响评价技术导则地表水环境》（HJ2.3-2018），间接排放建设项目评价等级为三级B，因此本项目地表水评价等级为三级B，因此本次不进行地表水环境质量现状调查。</w:t>
            </w:r>
          </w:p>
          <w:p w14:paraId="7963B14B">
            <w:pPr>
              <w:pStyle w:val="3"/>
              <w:numPr>
                <w:ilvl w:val="0"/>
                <w:numId w:val="0"/>
              </w:numPr>
              <w:ind w:firstLine="480" w:firstLineChars="200"/>
              <w:rPr>
                <w:rFonts w:hint="default" w:ascii="Times New Roman" w:hAnsi="Times New Roman" w:eastAsia="宋体" w:cs="Times New Roman"/>
                <w:b w:val="0"/>
                <w:bCs w:val="0"/>
                <w:color w:val="auto"/>
                <w:sz w:val="24"/>
                <w:szCs w:val="24"/>
              </w:rPr>
            </w:pPr>
            <w:r>
              <w:rPr>
                <w:rFonts w:hint="eastAsia" w:eastAsia="宋体" w:cs="Times New Roman"/>
                <w:b w:val="0"/>
                <w:bCs w:val="0"/>
                <w:color w:val="auto"/>
                <w:kern w:val="44"/>
                <w:sz w:val="24"/>
                <w:szCs w:val="24"/>
                <w:lang w:val="en-US" w:eastAsia="zh-CN" w:bidi="ar-SA"/>
              </w:rPr>
              <w:t>5</w:t>
            </w:r>
            <w:r>
              <w:rPr>
                <w:rFonts w:hint="default" w:ascii="Times New Roman" w:hAnsi="Times New Roman" w:eastAsia="宋体" w:cs="Times New Roman"/>
                <w:b w:val="0"/>
                <w:bCs w:val="0"/>
                <w:color w:val="auto"/>
                <w:kern w:val="44"/>
                <w:sz w:val="24"/>
                <w:szCs w:val="24"/>
                <w:lang w:val="en-US" w:eastAsia="zh-CN" w:bidi="ar-SA"/>
              </w:rPr>
              <w:t>、</w:t>
            </w:r>
            <w:r>
              <w:rPr>
                <w:rFonts w:hint="default" w:ascii="Times New Roman" w:hAnsi="Times New Roman" w:eastAsia="宋体" w:cs="Times New Roman"/>
                <w:b w:val="0"/>
                <w:bCs w:val="0"/>
                <w:color w:val="auto"/>
                <w:sz w:val="24"/>
                <w:szCs w:val="24"/>
              </w:rPr>
              <w:t>生态环境质量现状</w:t>
            </w:r>
          </w:p>
          <w:p w14:paraId="472003AA">
            <w:pPr>
              <w:spacing w:line="360" w:lineRule="auto"/>
              <w:ind w:firstLine="435"/>
              <w:rPr>
                <w:rFonts w:hint="eastAsia" w:cs="Times New Roman"/>
                <w:sz w:val="24"/>
                <w:szCs w:val="24"/>
                <w:lang w:eastAsia="zh-CN"/>
              </w:rPr>
            </w:pPr>
            <w:bookmarkStart w:id="2" w:name="_Toc34090829"/>
            <w:r>
              <w:rPr>
                <w:rFonts w:hint="default" w:ascii="Times New Roman" w:hAnsi="Times New Roman" w:eastAsia="宋体" w:cs="Times New Roman"/>
                <w:color w:val="auto"/>
                <w:kern w:val="0"/>
                <w:sz w:val="24"/>
                <w:szCs w:val="24"/>
                <w:lang w:val="zh-CN"/>
              </w:rPr>
              <w:t>项目</w:t>
            </w:r>
            <w:r>
              <w:rPr>
                <w:rFonts w:hint="default" w:ascii="Times New Roman" w:hAnsi="Times New Roman" w:eastAsia="宋体" w:cs="Times New Roman"/>
                <w:color w:val="auto"/>
                <w:sz w:val="24"/>
                <w:szCs w:val="24"/>
              </w:rPr>
              <w:t>位于</w:t>
            </w:r>
            <w:r>
              <w:rPr>
                <w:rFonts w:hint="default" w:ascii="Times New Roman" w:hAnsi="Times New Roman" w:eastAsia="宋体" w:cs="Times New Roman"/>
                <w:sz w:val="24"/>
                <w:szCs w:val="24"/>
              </w:rPr>
              <w:t>陕西省</w:t>
            </w:r>
            <w:r>
              <w:rPr>
                <w:rFonts w:hint="eastAsia" w:eastAsia="宋体" w:cs="Times New Roman"/>
                <w:b w:val="0"/>
                <w:bCs w:val="0"/>
                <w:color w:val="auto"/>
                <w:kern w:val="44"/>
                <w:sz w:val="24"/>
                <w:szCs w:val="24"/>
                <w:lang w:val="en-US" w:eastAsia="zh-CN" w:bidi="ar-SA"/>
              </w:rPr>
              <w:t>宝鸡市陈仓区香泉镇梨树沟</w:t>
            </w:r>
            <w:r>
              <w:rPr>
                <w:rFonts w:hint="default" w:ascii="Times New Roman" w:hAnsi="Times New Roman" w:eastAsia="宋体" w:cs="Times New Roman"/>
                <w:sz w:val="24"/>
                <w:szCs w:val="24"/>
              </w:rPr>
              <w:t>，不涉及国家公园、自然公园等自然保护地、世界自然遗产等区域，不涉及重要物种的天然集中分布区、栖息地。根据《环境影响评价技术导则生态影响》（HJ19-2022），本项目不涉及“6.1.2条中a）、b）、c）、d）、e）、f）”所述情况，按照“6.1.2条中g）”，判定评价等级为三级。根据《环境影响评价技术导则生态影响》（HJ19-2022）“6.2评价范围确定”原则，矿山开采项目评价范围应涵盖开采区及其影响范围、各类场地及运输系统占地以及施工临时占地范围等，因此本项目生态评价范围为：涵盖开采区及其影响范围、各类场地及运输系统占地以及施工临时占地范围等</w:t>
            </w:r>
            <w:r>
              <w:rPr>
                <w:rFonts w:hint="eastAsia" w:cs="Times New Roman"/>
                <w:sz w:val="24"/>
                <w:szCs w:val="24"/>
                <w:lang w:eastAsia="zh-CN"/>
              </w:rPr>
              <w:t>。</w:t>
            </w:r>
          </w:p>
          <w:p w14:paraId="3E71272B">
            <w:pPr>
              <w:spacing w:line="360" w:lineRule="auto"/>
              <w:ind w:firstLine="435"/>
              <w:rPr>
                <w:rFonts w:hint="default" w:ascii="Times New Roman" w:hAnsi="Times New Roman" w:eastAsia="宋体" w:cs="Times New Roman"/>
                <w:sz w:val="24"/>
                <w:szCs w:val="24"/>
              </w:rPr>
            </w:pPr>
            <w:r>
              <w:rPr>
                <w:rFonts w:hint="eastAsia" w:cs="Times New Roman"/>
                <w:sz w:val="24"/>
                <w:szCs w:val="24"/>
                <w:lang w:eastAsia="zh-CN"/>
              </w:rPr>
              <w:t>项目</w:t>
            </w:r>
            <w:r>
              <w:rPr>
                <w:rFonts w:hint="default" w:ascii="Times New Roman" w:hAnsi="Times New Roman" w:eastAsia="宋体" w:cs="Times New Roman"/>
                <w:sz w:val="24"/>
                <w:szCs w:val="24"/>
              </w:rPr>
              <w:t>区域地处秦岭北麓，属暖温带半湿润气候区，森林植被属暖温带落叶阔叶林带。</w:t>
            </w:r>
            <w:r>
              <w:rPr>
                <w:rFonts w:hint="eastAsia" w:cs="Times New Roman"/>
                <w:sz w:val="24"/>
                <w:szCs w:val="24"/>
                <w:lang w:val="en-US" w:eastAsia="zh-CN"/>
              </w:rPr>
              <w:t>根据《陕西省宝鸡市陈仓区—陇县梨树沟—中南沟脉石英矿详查项目临时使用林地可行性报告》可知，</w:t>
            </w:r>
            <w:r>
              <w:rPr>
                <w:rFonts w:hint="default" w:ascii="Times New Roman" w:hAnsi="Times New Roman" w:eastAsia="宋体" w:cs="Times New Roman"/>
                <w:sz w:val="24"/>
                <w:szCs w:val="24"/>
              </w:rPr>
              <w:t>目前以天然次生林为主。优势树种主要主要树种为栎类阔叶树种、龄组中龄林、平均树高11米、平均胸径14厘米、郁闭度0.4。灌木主要有忍冬、绣线菊、胡枝子、胡颓子、野樱桃等，覆盖度30%。地被物主要有禾草、蒿类、菊科草等，覆盖度0.6。</w:t>
            </w:r>
          </w:p>
          <w:p w14:paraId="0E515DCC">
            <w:pPr>
              <w:spacing w:line="360" w:lineRule="auto"/>
              <w:ind w:firstLine="43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灌木主要有胡颓子、绣线菊、忍冬、粗榧、黄蔷薇、黄栌，地被物为蒿类、莎草、菅草、蕨类等。项目区内地表覆盖层较薄，植被发育以草丛及灌木为主。除天然森林植被外，还有丰富的药用植物等。本项目区无古树名木和珍稀树种。</w:t>
            </w:r>
          </w:p>
          <w:p w14:paraId="4DD73C65">
            <w:pPr>
              <w:spacing w:line="360" w:lineRule="auto"/>
              <w:ind w:firstLine="43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项目区地处浅山地带，野生动物种类比较稀少，没有属于国家和省级重点保护的野生动物。</w:t>
            </w:r>
          </w:p>
          <w:bookmarkEnd w:id="2"/>
          <w:p w14:paraId="6970B026">
            <w:pPr>
              <w:pStyle w:val="3"/>
              <w:numPr>
                <w:ilvl w:val="0"/>
                <w:numId w:val="0"/>
              </w:numPr>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eastAsia" w:eastAsia="宋体" w:cs="Times New Roman"/>
                <w:b w:val="0"/>
                <w:bCs w:val="0"/>
                <w:color w:val="auto"/>
                <w:kern w:val="44"/>
                <w:sz w:val="24"/>
                <w:szCs w:val="24"/>
                <w:lang w:val="en-US" w:eastAsia="zh-CN" w:bidi="ar-SA"/>
              </w:rPr>
              <w:t>6、土地利用现状</w:t>
            </w:r>
          </w:p>
          <w:p w14:paraId="385ACB19">
            <w:pPr>
              <w:pStyle w:val="3"/>
              <w:numPr>
                <w:ilvl w:val="0"/>
                <w:numId w:val="0"/>
              </w:numPr>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eastAsia" w:eastAsia="宋体" w:cs="Times New Roman"/>
                <w:b w:val="0"/>
                <w:bCs w:val="0"/>
                <w:color w:val="auto"/>
                <w:kern w:val="44"/>
                <w:sz w:val="24"/>
                <w:szCs w:val="24"/>
                <w:lang w:val="en-US" w:eastAsia="zh-CN" w:bidi="ar-SA"/>
              </w:rPr>
              <w:t>根据《陕西省宝鸡市陈仓区梨树沟冶金用脉石英矿矿山地质环境保护与土地复垦方案》中</w:t>
            </w:r>
            <w:r>
              <w:rPr>
                <w:rFonts w:hint="default" w:ascii="Times New Roman" w:hAnsi="Times New Roman" w:eastAsia="宋体" w:cs="Times New Roman"/>
                <w:b w:val="0"/>
                <w:bCs w:val="0"/>
                <w:color w:val="auto"/>
                <w:kern w:val="44"/>
                <w:sz w:val="24"/>
                <w:szCs w:val="24"/>
                <w:lang w:val="en-US" w:eastAsia="zh-CN" w:bidi="ar-SA"/>
              </w:rPr>
              <w:t>矿山计划采矿活动范围主要涉及矿权内设施用地，其中矿权内用地288.633hm</w:t>
            </w:r>
            <w:r>
              <w:rPr>
                <w:rFonts w:hint="default" w:ascii="Times New Roman" w:hAnsi="Times New Roman" w:eastAsia="宋体" w:cs="Times New Roman"/>
                <w:b w:val="0"/>
                <w:bCs w:val="0"/>
                <w:color w:val="auto"/>
                <w:kern w:val="44"/>
                <w:sz w:val="24"/>
                <w:szCs w:val="24"/>
                <w:vertAlign w:val="superscript"/>
                <w:lang w:val="en-US" w:eastAsia="zh-CN" w:bidi="ar-SA"/>
              </w:rPr>
              <w:t>2</w:t>
            </w:r>
            <w:r>
              <w:rPr>
                <w:rFonts w:hint="default" w:ascii="Times New Roman" w:hAnsi="Times New Roman" w:eastAsia="宋体" w:cs="Times New Roman"/>
                <w:b w:val="0"/>
                <w:bCs w:val="0"/>
                <w:color w:val="auto"/>
                <w:kern w:val="44"/>
                <w:sz w:val="24"/>
                <w:szCs w:val="24"/>
                <w:lang w:val="en-US" w:eastAsia="zh-CN" w:bidi="ar-SA"/>
              </w:rPr>
              <w:t>。本矿权内无“国家公园、自然保护区、风景名胜区、地质公园、森林公园、湿地公园、水产种质资源保护区、野生植物原生境保护区（点）、野生动物重要栖息地以及饮用水水源保护区、文物保护区”等。依据宝鸡市自然资源和规划局陈仓分局提供的1:10000土地利用现状图</w:t>
            </w:r>
            <w:r>
              <w:rPr>
                <w:rFonts w:hint="eastAsia" w:eastAsia="宋体" w:cs="Times New Roman"/>
                <w:b w:val="0"/>
                <w:bCs w:val="0"/>
                <w:color w:val="auto"/>
                <w:kern w:val="44"/>
                <w:sz w:val="24"/>
                <w:szCs w:val="24"/>
                <w:lang w:val="en-US" w:eastAsia="zh-CN" w:bidi="ar-SA"/>
              </w:rPr>
              <w:t>（见附图5）可知，</w:t>
            </w:r>
            <w:r>
              <w:rPr>
                <w:rFonts w:hint="default" w:ascii="Times New Roman" w:hAnsi="Times New Roman" w:eastAsia="宋体" w:cs="Times New Roman"/>
                <w:b w:val="0"/>
                <w:bCs w:val="0"/>
                <w:color w:val="auto"/>
                <w:kern w:val="44"/>
                <w:sz w:val="24"/>
                <w:szCs w:val="24"/>
                <w:lang w:val="en-US" w:eastAsia="zh-CN" w:bidi="ar-SA"/>
              </w:rPr>
              <w:t>林地是矿区的主要用地类型，主要类型为乔木林地，面积288.633hm</w:t>
            </w:r>
            <w:r>
              <w:rPr>
                <w:rFonts w:hint="default" w:ascii="Times New Roman" w:hAnsi="Times New Roman" w:eastAsia="宋体" w:cs="Times New Roman"/>
                <w:b w:val="0"/>
                <w:bCs w:val="0"/>
                <w:color w:val="auto"/>
                <w:kern w:val="44"/>
                <w:sz w:val="24"/>
                <w:szCs w:val="24"/>
                <w:vertAlign w:val="superscript"/>
                <w:lang w:val="en-US" w:eastAsia="zh-CN" w:bidi="ar-SA"/>
              </w:rPr>
              <w:t>2</w:t>
            </w:r>
            <w:r>
              <w:rPr>
                <w:rFonts w:hint="default" w:ascii="Times New Roman" w:hAnsi="Times New Roman" w:eastAsia="宋体" w:cs="Times New Roman"/>
                <w:b w:val="0"/>
                <w:bCs w:val="0"/>
                <w:color w:val="auto"/>
                <w:kern w:val="44"/>
                <w:sz w:val="24"/>
                <w:szCs w:val="24"/>
                <w:lang w:val="en-US" w:eastAsia="zh-CN" w:bidi="ar-SA"/>
              </w:rPr>
              <w:t>，主要植被类型</w:t>
            </w:r>
            <w:r>
              <w:rPr>
                <w:rFonts w:hint="eastAsia" w:eastAsia="宋体" w:cs="Times New Roman"/>
                <w:b w:val="0"/>
                <w:bCs w:val="0"/>
                <w:color w:val="auto"/>
                <w:kern w:val="44"/>
                <w:sz w:val="24"/>
                <w:szCs w:val="24"/>
                <w:lang w:val="en-US" w:eastAsia="zh-CN" w:bidi="ar-SA"/>
              </w:rPr>
              <w:t>为森林植被</w:t>
            </w:r>
            <w:r>
              <w:rPr>
                <w:rFonts w:hint="default" w:ascii="Times New Roman" w:hAnsi="Times New Roman" w:eastAsia="宋体" w:cs="Times New Roman"/>
                <w:b w:val="0"/>
                <w:bCs w:val="0"/>
                <w:color w:val="auto"/>
                <w:kern w:val="44"/>
                <w:sz w:val="24"/>
                <w:szCs w:val="24"/>
                <w:lang w:val="en-US" w:eastAsia="zh-CN" w:bidi="ar-SA"/>
              </w:rPr>
              <w:t>。</w:t>
            </w:r>
          </w:p>
          <w:p w14:paraId="22A4E524">
            <w:pPr>
              <w:pStyle w:val="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3-3</w:t>
            </w:r>
            <w:r>
              <w:rPr>
                <w:rFonts w:hint="default" w:ascii="Times New Roman" w:hAnsi="Times New Roman" w:eastAsia="宋体" w:cs="Times New Roman"/>
                <w:b/>
                <w:bCs/>
                <w:color w:val="auto"/>
                <w:sz w:val="24"/>
                <w:szCs w:val="24"/>
                <w:lang w:val="en-US" w:eastAsia="zh-CN"/>
              </w:rPr>
              <w:t>矿区土地利用现状情况表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1264"/>
              <w:gridCol w:w="1285"/>
              <w:gridCol w:w="1373"/>
              <w:gridCol w:w="1186"/>
              <w:gridCol w:w="2559"/>
            </w:tblGrid>
            <w:tr w14:paraId="5C6E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1662" w:type="pct"/>
                  <w:gridSpan w:val="2"/>
                  <w:tcBorders>
                    <w:tl2br w:val="nil"/>
                    <w:tr2bl w:val="nil"/>
                  </w:tcBorders>
                  <w:noWrap w:val="0"/>
                  <w:vAlign w:val="center"/>
                </w:tcPr>
                <w:p w14:paraId="43295882">
                  <w:pPr>
                    <w:pStyle w:val="65"/>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一级地类</w:t>
                  </w:r>
                </w:p>
              </w:tc>
              <w:tc>
                <w:tcPr>
                  <w:tcW w:w="1668" w:type="pct"/>
                  <w:gridSpan w:val="2"/>
                  <w:tcBorders>
                    <w:tl2br w:val="nil"/>
                    <w:tr2bl w:val="nil"/>
                  </w:tcBorders>
                  <w:noWrap w:val="0"/>
                  <w:vAlign w:val="center"/>
                </w:tcPr>
                <w:p w14:paraId="311DB29B">
                  <w:pPr>
                    <w:pStyle w:val="65"/>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二级地类</w:t>
                  </w:r>
                </w:p>
              </w:tc>
              <w:tc>
                <w:tcPr>
                  <w:tcW w:w="1668" w:type="pct"/>
                  <w:tcBorders>
                    <w:tl2br w:val="nil"/>
                    <w:tr2bl w:val="nil"/>
                  </w:tcBorders>
                  <w:noWrap w:val="0"/>
                  <w:vAlign w:val="center"/>
                </w:tcPr>
                <w:p w14:paraId="2BE737F2">
                  <w:pPr>
                    <w:pStyle w:val="65"/>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面积（</w:t>
                  </w:r>
                  <w:r>
                    <w:rPr>
                      <w:rFonts w:hint="eastAsia" w:ascii="Times New Roman" w:hAnsi="Times New Roman" w:cs="Times New Roman"/>
                      <w:b/>
                      <w:bCs/>
                      <w:color w:val="auto"/>
                      <w:sz w:val="21"/>
                      <w:szCs w:val="21"/>
                      <w:lang w:val="en-US" w:eastAsia="zh-CN"/>
                    </w:rPr>
                    <w:t>h</w:t>
                  </w:r>
                  <w:r>
                    <w:rPr>
                      <w:rFonts w:hint="default" w:ascii="Times New Roman" w:hAnsi="Times New Roman" w:cs="Times New Roman"/>
                      <w:b/>
                      <w:bCs/>
                      <w:color w:val="auto"/>
                      <w:sz w:val="21"/>
                      <w:szCs w:val="21"/>
                      <w:lang w:val="en-US" w:eastAsia="zh-CN"/>
                    </w:rPr>
                    <w:t>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sz w:val="21"/>
                      <w:szCs w:val="21"/>
                      <w:lang w:val="en-US" w:eastAsia="zh-CN"/>
                    </w:rPr>
                    <w:t>）</w:t>
                  </w:r>
                </w:p>
              </w:tc>
            </w:tr>
            <w:tr w14:paraId="62A9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24" w:type="pct"/>
                  <w:tcBorders>
                    <w:tl2br w:val="nil"/>
                    <w:tr2bl w:val="nil"/>
                  </w:tcBorders>
                  <w:noWrap w:val="0"/>
                  <w:vAlign w:val="center"/>
                </w:tcPr>
                <w:p w14:paraId="6DE3E00C">
                  <w:pPr>
                    <w:pStyle w:val="65"/>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地类代码</w:t>
                  </w:r>
                </w:p>
              </w:tc>
              <w:tc>
                <w:tcPr>
                  <w:tcW w:w="838" w:type="pct"/>
                  <w:tcBorders>
                    <w:tl2br w:val="nil"/>
                    <w:tr2bl w:val="nil"/>
                  </w:tcBorders>
                  <w:noWrap w:val="0"/>
                  <w:vAlign w:val="center"/>
                </w:tcPr>
                <w:p w14:paraId="48ED24BC">
                  <w:pPr>
                    <w:pStyle w:val="65"/>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地类名称</w:t>
                  </w:r>
                </w:p>
              </w:tc>
              <w:tc>
                <w:tcPr>
                  <w:tcW w:w="895" w:type="pct"/>
                  <w:tcBorders>
                    <w:tl2br w:val="nil"/>
                    <w:tr2bl w:val="nil"/>
                  </w:tcBorders>
                  <w:noWrap w:val="0"/>
                  <w:vAlign w:val="center"/>
                </w:tcPr>
                <w:p w14:paraId="447C7AF4">
                  <w:pPr>
                    <w:pStyle w:val="65"/>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地类代码</w:t>
                  </w:r>
                </w:p>
              </w:tc>
              <w:tc>
                <w:tcPr>
                  <w:tcW w:w="773" w:type="pct"/>
                  <w:tcBorders>
                    <w:tl2br w:val="nil"/>
                    <w:tr2bl w:val="nil"/>
                  </w:tcBorders>
                  <w:noWrap w:val="0"/>
                  <w:vAlign w:val="center"/>
                </w:tcPr>
                <w:p w14:paraId="723F4857">
                  <w:pPr>
                    <w:pStyle w:val="65"/>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地类名称</w:t>
                  </w:r>
                </w:p>
              </w:tc>
              <w:tc>
                <w:tcPr>
                  <w:tcW w:w="1668" w:type="pct"/>
                  <w:vMerge w:val="restart"/>
                  <w:tcBorders>
                    <w:tl2br w:val="nil"/>
                    <w:tr2bl w:val="nil"/>
                  </w:tcBorders>
                  <w:noWrap w:val="0"/>
                  <w:vAlign w:val="center"/>
                </w:tcPr>
                <w:p w14:paraId="6C0899A8">
                  <w:pPr>
                    <w:pStyle w:val="65"/>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288.633</w:t>
                  </w:r>
                </w:p>
              </w:tc>
            </w:tr>
            <w:tr w14:paraId="5A00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24" w:type="pct"/>
                  <w:tcBorders>
                    <w:tl2br w:val="nil"/>
                    <w:tr2bl w:val="nil"/>
                  </w:tcBorders>
                  <w:noWrap w:val="0"/>
                  <w:vAlign w:val="center"/>
                </w:tcPr>
                <w:p w14:paraId="2616F6EF">
                  <w:pPr>
                    <w:pStyle w:val="65"/>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c>
                <w:tcPr>
                  <w:tcW w:w="838" w:type="pct"/>
                  <w:tcBorders>
                    <w:tl2br w:val="nil"/>
                    <w:tr2bl w:val="nil"/>
                  </w:tcBorders>
                  <w:noWrap w:val="0"/>
                  <w:vAlign w:val="center"/>
                </w:tcPr>
                <w:p w14:paraId="34AE49CB">
                  <w:pPr>
                    <w:pStyle w:val="65"/>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林地</w:t>
                  </w:r>
                </w:p>
              </w:tc>
              <w:tc>
                <w:tcPr>
                  <w:tcW w:w="895" w:type="pct"/>
                  <w:tcBorders>
                    <w:tl2br w:val="nil"/>
                    <w:tr2bl w:val="nil"/>
                  </w:tcBorders>
                  <w:noWrap w:val="0"/>
                  <w:vAlign w:val="center"/>
                </w:tcPr>
                <w:p w14:paraId="699D5E00">
                  <w:pPr>
                    <w:pStyle w:val="65"/>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0301</w:t>
                  </w:r>
                </w:p>
              </w:tc>
              <w:tc>
                <w:tcPr>
                  <w:tcW w:w="773" w:type="pct"/>
                  <w:tcBorders>
                    <w:tl2br w:val="nil"/>
                    <w:tr2bl w:val="nil"/>
                  </w:tcBorders>
                  <w:noWrap w:val="0"/>
                  <w:vAlign w:val="center"/>
                </w:tcPr>
                <w:p w14:paraId="648739B0">
                  <w:pPr>
                    <w:pStyle w:val="65"/>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乔木林地</w:t>
                  </w:r>
                </w:p>
              </w:tc>
              <w:tc>
                <w:tcPr>
                  <w:tcW w:w="1668" w:type="pct"/>
                  <w:vMerge w:val="continue"/>
                  <w:tcBorders>
                    <w:tl2br w:val="nil"/>
                    <w:tr2bl w:val="nil"/>
                  </w:tcBorders>
                  <w:noWrap w:val="0"/>
                  <w:vAlign w:val="center"/>
                </w:tcPr>
                <w:p w14:paraId="6D58873C">
                  <w:pPr>
                    <w:pStyle w:val="65"/>
                    <w:bidi w:val="0"/>
                    <w:jc w:val="center"/>
                    <w:rPr>
                      <w:rFonts w:hint="default" w:ascii="Times New Roman" w:hAnsi="Times New Roman" w:eastAsia="宋体" w:cs="Times New Roman"/>
                      <w:color w:val="auto"/>
                      <w:sz w:val="21"/>
                      <w:szCs w:val="21"/>
                      <w:lang w:val="en-US" w:eastAsia="zh-CN"/>
                    </w:rPr>
                  </w:pPr>
                </w:p>
              </w:tc>
            </w:tr>
          </w:tbl>
          <w:p w14:paraId="236E2C41">
            <w:pPr>
              <w:pStyle w:val="3"/>
              <w:numPr>
                <w:ilvl w:val="0"/>
                <w:numId w:val="0"/>
              </w:numPr>
              <w:ind w:firstLine="480" w:firstLineChars="200"/>
              <w:rPr>
                <w:rFonts w:hint="default" w:ascii="Times New Roman" w:hAnsi="Times New Roman" w:eastAsia="宋体" w:cs="Times New Roman"/>
                <w:b w:val="0"/>
                <w:bCs w:val="0"/>
                <w:color w:val="auto"/>
                <w:sz w:val="24"/>
                <w:szCs w:val="24"/>
              </w:rPr>
            </w:pPr>
            <w:r>
              <w:rPr>
                <w:rFonts w:hint="eastAsia" w:eastAsia="宋体" w:cs="Times New Roman"/>
                <w:b w:val="0"/>
                <w:bCs w:val="0"/>
                <w:color w:val="auto"/>
                <w:kern w:val="44"/>
                <w:sz w:val="24"/>
                <w:szCs w:val="24"/>
                <w:lang w:val="en-US" w:eastAsia="zh-CN" w:bidi="ar-SA"/>
              </w:rPr>
              <w:t>7</w:t>
            </w:r>
            <w:r>
              <w:rPr>
                <w:rFonts w:hint="default" w:ascii="Times New Roman" w:hAnsi="Times New Roman" w:eastAsia="宋体" w:cs="Times New Roman"/>
                <w:b w:val="0"/>
                <w:bCs w:val="0"/>
                <w:color w:val="auto"/>
                <w:kern w:val="44"/>
                <w:sz w:val="24"/>
                <w:szCs w:val="24"/>
                <w:lang w:val="en-US" w:eastAsia="zh-CN" w:bidi="ar-SA"/>
              </w:rPr>
              <w:t>、</w:t>
            </w:r>
            <w:r>
              <w:rPr>
                <w:rFonts w:hint="default" w:ascii="Times New Roman" w:hAnsi="Times New Roman" w:eastAsia="宋体" w:cs="Times New Roman"/>
                <w:b w:val="0"/>
                <w:bCs w:val="0"/>
                <w:color w:val="auto"/>
                <w:sz w:val="24"/>
                <w:szCs w:val="24"/>
              </w:rPr>
              <w:t>地下水环境质量现状</w:t>
            </w:r>
          </w:p>
          <w:p w14:paraId="21C53781">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地下水环境》（HJ610-2016）中附录A（规范性附录）地下水环境影响评价行业分类表，根据地下水导则附录A地下水环境影响评价行业分类表，本项目行业类别为：J非金属矿采选及制品制造，54、土砂石开采。地下水环境影响评价项目类别为IV类。因此本项目不开展地下水环境影响评价。</w:t>
            </w:r>
          </w:p>
          <w:p w14:paraId="5161A34D">
            <w:pPr>
              <w:numPr>
                <w:ilvl w:val="0"/>
                <w:numId w:val="0"/>
              </w:numPr>
              <w:ind w:leftChars="200"/>
              <w:rPr>
                <w:rFonts w:hint="eastAsia" w:cs="Times New Roman"/>
                <w:color w:val="auto"/>
                <w:sz w:val="24"/>
                <w:szCs w:val="24"/>
                <w:lang w:val="en-US" w:eastAsia="zh-CN"/>
              </w:rPr>
            </w:pPr>
            <w:r>
              <w:rPr>
                <w:rFonts w:hint="eastAsia" w:cs="Times New Roman"/>
                <w:color w:val="auto"/>
                <w:sz w:val="24"/>
                <w:szCs w:val="24"/>
                <w:lang w:val="en-US" w:eastAsia="zh-CN"/>
              </w:rPr>
              <w:t>8、土壤环境质量现状</w:t>
            </w:r>
          </w:p>
          <w:p w14:paraId="2FF4D20A">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矿山开采属于附录A中的采矿业其他类，根据《环境影响评价技术导则土壤环境（试行）》（HJ964-2018）附录A，本项目为其他，属于Ⅲ类项目，根据《环境影响评价技术导则土壤环境（试行）》（HJ964-2018）中表1生态影响型敏感程度分级表，本项目敏感程度为不敏感。</w:t>
            </w:r>
          </w:p>
          <w:p w14:paraId="4CB46A2A">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因此，根据环境影响评价技术导则土壤环境（试行）》（HJ964-2018）中表2生态影响性评价工作等级划分表，本项目土壤评价等级为“-”，可不开展土壤环境影响评价工作。</w:t>
            </w:r>
          </w:p>
          <w:p w14:paraId="746ADD93">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cs="Times New Roman"/>
                <w:color w:val="FF0000"/>
                <w:sz w:val="24"/>
                <w:szCs w:val="24"/>
                <w:lang w:val="en-US" w:eastAsia="zh-CN"/>
              </w:rPr>
            </w:pPr>
            <w:r>
              <w:rPr>
                <w:rFonts w:hint="default" w:cs="Times New Roman"/>
                <w:color w:val="auto"/>
                <w:sz w:val="24"/>
                <w:szCs w:val="24"/>
                <w:lang w:val="en-US" w:eastAsia="zh-CN"/>
              </w:rPr>
              <w:t>本次环评委托陕西明铖检测技术有限公司于2025年5月18日对项目占地范围内布设1个表层样</w:t>
            </w:r>
            <w:r>
              <w:rPr>
                <w:rFonts w:hint="eastAsia" w:cs="Times New Roman"/>
                <w:color w:val="auto"/>
                <w:sz w:val="24"/>
                <w:szCs w:val="24"/>
                <w:lang w:val="en-US" w:eastAsia="zh-CN"/>
              </w:rPr>
              <w:t>，</w:t>
            </w:r>
            <w:r>
              <w:rPr>
                <w:rFonts w:hint="default" w:cs="Times New Roman"/>
                <w:color w:val="auto"/>
                <w:sz w:val="24"/>
                <w:szCs w:val="24"/>
                <w:lang w:val="en-US" w:eastAsia="zh-CN"/>
              </w:rPr>
              <w:t>对项目区域土壤环境质量进行监测，监测点位如下。</w:t>
            </w:r>
          </w:p>
          <w:p w14:paraId="5F39465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pacing w:val="2"/>
                <w:kern w:val="2"/>
                <w:sz w:val="24"/>
                <w:szCs w:val="24"/>
                <w:lang w:val="en-US" w:eastAsia="zh-CN" w:bidi="ar"/>
              </w:rPr>
            </w:pPr>
            <w:r>
              <w:rPr>
                <w:rFonts w:hint="default" w:ascii="Times New Roman" w:hAnsi="Times New Roman" w:eastAsia="宋体" w:cs="Times New Roman"/>
                <w:b/>
                <w:bCs w:val="0"/>
                <w:color w:val="auto"/>
                <w:spacing w:val="2"/>
                <w:kern w:val="2"/>
                <w:sz w:val="24"/>
                <w:szCs w:val="24"/>
                <w:lang w:val="en-US" w:eastAsia="zh-CN" w:bidi="ar"/>
              </w:rPr>
              <w:t>表3-</w:t>
            </w:r>
            <w:r>
              <w:rPr>
                <w:rFonts w:hint="eastAsia" w:cs="Times New Roman"/>
                <w:b/>
                <w:bCs w:val="0"/>
                <w:color w:val="auto"/>
                <w:spacing w:val="2"/>
                <w:kern w:val="2"/>
                <w:sz w:val="24"/>
                <w:szCs w:val="24"/>
                <w:lang w:val="en-US" w:eastAsia="zh-CN" w:bidi="ar"/>
              </w:rPr>
              <w:t>4</w:t>
            </w:r>
            <w:r>
              <w:rPr>
                <w:rFonts w:hint="eastAsia" w:ascii="Times New Roman" w:hAnsi="Times New Roman" w:cs="Times New Roman"/>
                <w:b/>
                <w:bCs w:val="0"/>
                <w:color w:val="auto"/>
                <w:spacing w:val="2"/>
                <w:kern w:val="2"/>
                <w:sz w:val="24"/>
                <w:szCs w:val="24"/>
                <w:lang w:val="en-US" w:eastAsia="zh-CN" w:bidi="ar"/>
              </w:rPr>
              <w:t>土壤</w:t>
            </w:r>
            <w:r>
              <w:rPr>
                <w:rFonts w:hint="default" w:ascii="Times New Roman" w:hAnsi="Times New Roman" w:eastAsia="宋体" w:cs="Times New Roman"/>
                <w:b/>
                <w:bCs w:val="0"/>
                <w:color w:val="auto"/>
                <w:spacing w:val="2"/>
                <w:kern w:val="2"/>
                <w:sz w:val="24"/>
                <w:szCs w:val="24"/>
                <w:lang w:val="en-US" w:eastAsia="zh-CN" w:bidi="ar"/>
              </w:rPr>
              <w:t>现状监测结果</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2"/>
              <w:gridCol w:w="1886"/>
              <w:gridCol w:w="1949"/>
              <w:gridCol w:w="1950"/>
            </w:tblGrid>
            <w:tr w14:paraId="7EE1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227" w:type="pct"/>
                  <w:tcBorders>
                    <w:tl2br w:val="nil"/>
                    <w:tr2bl w:val="nil"/>
                  </w:tcBorders>
                  <w:noWrap w:val="0"/>
                  <w:vAlign w:val="center"/>
                </w:tcPr>
                <w:p w14:paraId="3F45B20F">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bCs/>
                      <w:color w:val="auto"/>
                      <w:kern w:val="2"/>
                      <w:sz w:val="21"/>
                      <w:szCs w:val="21"/>
                      <w:lang w:eastAsia="zh-CN"/>
                    </w:rPr>
                  </w:pPr>
                  <w:r>
                    <w:rPr>
                      <w:rFonts w:hint="eastAsia" w:ascii="Times New Roman" w:hAnsi="Times New Roman" w:cs="Times New Roman"/>
                      <w:b/>
                      <w:bCs/>
                      <w:color w:val="auto"/>
                      <w:kern w:val="2"/>
                      <w:sz w:val="21"/>
                      <w:szCs w:val="21"/>
                      <w:lang w:eastAsia="zh-CN"/>
                    </w:rPr>
                    <w:t>采样点位</w:t>
                  </w:r>
                </w:p>
              </w:tc>
              <w:tc>
                <w:tcPr>
                  <w:tcW w:w="1229" w:type="pct"/>
                  <w:tcBorders>
                    <w:tl2br w:val="nil"/>
                    <w:tr2bl w:val="nil"/>
                  </w:tcBorders>
                  <w:noWrap w:val="0"/>
                  <w:vAlign w:val="center"/>
                </w:tcPr>
                <w:p w14:paraId="74019BA3">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时间</w:t>
                  </w:r>
                </w:p>
              </w:tc>
              <w:tc>
                <w:tcPr>
                  <w:tcW w:w="1270" w:type="pct"/>
                  <w:tcBorders>
                    <w:tl2br w:val="nil"/>
                    <w:tr2bl w:val="nil"/>
                  </w:tcBorders>
                  <w:noWrap w:val="0"/>
                  <w:vAlign w:val="center"/>
                </w:tcPr>
                <w:p w14:paraId="23456743">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bCs/>
                      <w:color w:val="auto"/>
                      <w:kern w:val="2"/>
                      <w:sz w:val="21"/>
                      <w:szCs w:val="21"/>
                      <w:lang w:eastAsia="zh-CN"/>
                    </w:rPr>
                  </w:pPr>
                  <w:r>
                    <w:rPr>
                      <w:rFonts w:hint="eastAsia" w:ascii="Times New Roman" w:hAnsi="Times New Roman" w:cs="Times New Roman"/>
                      <w:b/>
                      <w:bCs/>
                      <w:color w:val="auto"/>
                      <w:kern w:val="2"/>
                      <w:sz w:val="21"/>
                      <w:szCs w:val="21"/>
                      <w:lang w:eastAsia="zh-CN"/>
                    </w:rPr>
                    <w:t>监测项目</w:t>
                  </w:r>
                </w:p>
              </w:tc>
              <w:tc>
                <w:tcPr>
                  <w:tcW w:w="1271" w:type="pct"/>
                  <w:tcBorders>
                    <w:tl2br w:val="nil"/>
                    <w:tr2bl w:val="nil"/>
                  </w:tcBorders>
                  <w:noWrap w:val="0"/>
                  <w:vAlign w:val="center"/>
                </w:tcPr>
                <w:p w14:paraId="6DA5D039">
                  <w:pPr>
                    <w:pStyle w:val="6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bCs/>
                      <w:color w:val="auto"/>
                      <w:kern w:val="2"/>
                      <w:sz w:val="21"/>
                      <w:szCs w:val="21"/>
                      <w:lang w:eastAsia="zh-CN"/>
                    </w:rPr>
                  </w:pPr>
                  <w:r>
                    <w:rPr>
                      <w:rFonts w:hint="eastAsia" w:ascii="Times New Roman" w:hAnsi="Times New Roman" w:cs="Times New Roman"/>
                      <w:b/>
                      <w:bCs/>
                      <w:color w:val="auto"/>
                      <w:kern w:val="2"/>
                      <w:sz w:val="21"/>
                      <w:szCs w:val="21"/>
                      <w:lang w:eastAsia="zh-CN"/>
                    </w:rPr>
                    <w:t>结果</w:t>
                  </w:r>
                </w:p>
              </w:tc>
            </w:tr>
            <w:tr w14:paraId="2F9D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27" w:type="pct"/>
                  <w:vMerge w:val="restart"/>
                  <w:tcBorders>
                    <w:tl2br w:val="nil"/>
                    <w:tr2bl w:val="nil"/>
                  </w:tcBorders>
                  <w:noWrap w:val="0"/>
                  <w:vAlign w:val="center"/>
                </w:tcPr>
                <w:p w14:paraId="17CCEE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pacing w:val="2"/>
                      <w:kern w:val="2"/>
                      <w:sz w:val="21"/>
                      <w:szCs w:val="21"/>
                      <w:lang w:val="en-US" w:eastAsia="zh-CN" w:bidi="ar"/>
                    </w:rPr>
                  </w:pPr>
                  <w:r>
                    <w:rPr>
                      <w:rFonts w:hint="eastAsia" w:cs="Times New Roman"/>
                      <w:color w:val="auto"/>
                      <w:spacing w:val="2"/>
                      <w:kern w:val="2"/>
                      <w:sz w:val="21"/>
                      <w:szCs w:val="21"/>
                      <w:lang w:val="en-US" w:eastAsia="zh-CN" w:bidi="ar"/>
                    </w:rPr>
                    <w:t>占地范围内表层样</w:t>
                  </w:r>
                </w:p>
              </w:tc>
              <w:tc>
                <w:tcPr>
                  <w:tcW w:w="1229" w:type="pct"/>
                  <w:vMerge w:val="restart"/>
                  <w:tcBorders>
                    <w:tl2br w:val="nil"/>
                    <w:tr2bl w:val="nil"/>
                  </w:tcBorders>
                  <w:noWrap w:val="0"/>
                  <w:vAlign w:val="center"/>
                </w:tcPr>
                <w:p w14:paraId="17201A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rPr>
                  </w:pPr>
                  <w:r>
                    <w:rPr>
                      <w:rFonts w:hint="eastAsia" w:cs="Times New Roman"/>
                      <w:color w:val="auto"/>
                      <w:spacing w:val="2"/>
                      <w:kern w:val="2"/>
                      <w:sz w:val="21"/>
                      <w:szCs w:val="21"/>
                      <w:lang w:val="en-US" w:eastAsia="zh-CN" w:bidi="ar"/>
                    </w:rPr>
                    <w:t>5</w:t>
                  </w:r>
                  <w:r>
                    <w:rPr>
                      <w:rFonts w:hint="default" w:ascii="Times New Roman" w:hAnsi="Times New Roman" w:eastAsia="宋体" w:cs="Times New Roman"/>
                      <w:color w:val="auto"/>
                      <w:spacing w:val="2"/>
                      <w:kern w:val="2"/>
                      <w:sz w:val="21"/>
                      <w:szCs w:val="21"/>
                      <w:lang w:val="en-US" w:eastAsia="zh-CN" w:bidi="ar"/>
                    </w:rPr>
                    <w:t>月</w:t>
                  </w:r>
                  <w:r>
                    <w:rPr>
                      <w:rFonts w:hint="eastAsia" w:cs="Times New Roman"/>
                      <w:color w:val="auto"/>
                      <w:spacing w:val="2"/>
                      <w:kern w:val="2"/>
                      <w:sz w:val="21"/>
                      <w:szCs w:val="21"/>
                      <w:lang w:val="en-US" w:eastAsia="zh-CN" w:bidi="ar"/>
                    </w:rPr>
                    <w:t>18</w:t>
                  </w:r>
                  <w:r>
                    <w:rPr>
                      <w:rFonts w:hint="default" w:ascii="Times New Roman" w:hAnsi="Times New Roman" w:eastAsia="宋体" w:cs="Times New Roman"/>
                      <w:color w:val="auto"/>
                      <w:spacing w:val="2"/>
                      <w:kern w:val="2"/>
                      <w:sz w:val="21"/>
                      <w:szCs w:val="21"/>
                      <w:lang w:val="en-US" w:eastAsia="zh-CN" w:bidi="ar"/>
                    </w:rPr>
                    <w:t>日</w:t>
                  </w:r>
                </w:p>
              </w:tc>
              <w:tc>
                <w:tcPr>
                  <w:tcW w:w="1270" w:type="pct"/>
                  <w:tcBorders>
                    <w:tl2br w:val="nil"/>
                    <w:tr2bl w:val="nil"/>
                  </w:tcBorders>
                  <w:noWrap w:val="0"/>
                  <w:vAlign w:val="center"/>
                </w:tcPr>
                <w:p w14:paraId="4382B8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spacing w:val="2"/>
                      <w:kern w:val="2"/>
                      <w:sz w:val="21"/>
                      <w:szCs w:val="21"/>
                      <w:lang w:val="en-US" w:eastAsia="zh-CN" w:bidi="ar"/>
                    </w:rPr>
                  </w:pPr>
                  <w:r>
                    <w:rPr>
                      <w:rFonts w:hint="eastAsia" w:cs="Times New Roman"/>
                      <w:color w:val="auto"/>
                      <w:spacing w:val="2"/>
                      <w:kern w:val="2"/>
                      <w:sz w:val="21"/>
                      <w:szCs w:val="21"/>
                      <w:lang w:val="en-US" w:eastAsia="zh-CN" w:bidi="ar"/>
                    </w:rPr>
                    <w:t>Ph（无量纲）</w:t>
                  </w:r>
                </w:p>
              </w:tc>
              <w:tc>
                <w:tcPr>
                  <w:tcW w:w="1271" w:type="pct"/>
                  <w:tcBorders>
                    <w:tl2br w:val="nil"/>
                    <w:tr2bl w:val="nil"/>
                  </w:tcBorders>
                  <w:noWrap w:val="0"/>
                  <w:vAlign w:val="center"/>
                </w:tcPr>
                <w:p w14:paraId="7E497B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7.82</w:t>
                  </w:r>
                </w:p>
              </w:tc>
            </w:tr>
            <w:tr w14:paraId="2EEC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27" w:type="pct"/>
                  <w:vMerge w:val="continue"/>
                  <w:tcBorders>
                    <w:tl2br w:val="nil"/>
                    <w:tr2bl w:val="nil"/>
                  </w:tcBorders>
                  <w:noWrap w:val="0"/>
                  <w:vAlign w:val="center"/>
                </w:tcPr>
                <w:p w14:paraId="08B251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pacing w:val="2"/>
                      <w:kern w:val="2"/>
                      <w:sz w:val="21"/>
                      <w:szCs w:val="21"/>
                      <w:lang w:val="en-US" w:eastAsia="zh-CN" w:bidi="ar"/>
                    </w:rPr>
                  </w:pPr>
                </w:p>
              </w:tc>
              <w:tc>
                <w:tcPr>
                  <w:tcW w:w="1229" w:type="pct"/>
                  <w:vMerge w:val="continue"/>
                  <w:tcBorders>
                    <w:tl2br w:val="nil"/>
                    <w:tr2bl w:val="nil"/>
                  </w:tcBorders>
                  <w:noWrap w:val="0"/>
                  <w:vAlign w:val="center"/>
                </w:tcPr>
                <w:p w14:paraId="2B1773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p>
              </w:tc>
              <w:tc>
                <w:tcPr>
                  <w:tcW w:w="1270" w:type="pct"/>
                  <w:tcBorders>
                    <w:tl2br w:val="nil"/>
                    <w:tr2bl w:val="nil"/>
                  </w:tcBorders>
                  <w:noWrap w:val="0"/>
                  <w:vAlign w:val="center"/>
                </w:tcPr>
                <w:p w14:paraId="22722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pacing w:val="2"/>
                      <w:kern w:val="2"/>
                      <w:sz w:val="21"/>
                      <w:szCs w:val="21"/>
                      <w:lang w:val="en-US" w:eastAsia="zh-CN" w:bidi="ar"/>
                    </w:rPr>
                  </w:pPr>
                  <w:r>
                    <w:rPr>
                      <w:rFonts w:hint="eastAsia" w:cs="Times New Roman"/>
                      <w:color w:val="auto"/>
                      <w:spacing w:val="2"/>
                      <w:kern w:val="2"/>
                      <w:sz w:val="21"/>
                      <w:szCs w:val="21"/>
                      <w:lang w:val="en-US" w:eastAsia="zh-CN" w:bidi="ar"/>
                    </w:rPr>
                    <w:t>全盐量g/kg</w:t>
                  </w:r>
                </w:p>
              </w:tc>
              <w:tc>
                <w:tcPr>
                  <w:tcW w:w="1271" w:type="pct"/>
                  <w:tcBorders>
                    <w:tl2br w:val="nil"/>
                    <w:tr2bl w:val="nil"/>
                  </w:tcBorders>
                  <w:noWrap w:val="0"/>
                  <w:vAlign w:val="center"/>
                </w:tcPr>
                <w:p w14:paraId="074A12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1.6</w:t>
                  </w:r>
                </w:p>
              </w:tc>
            </w:tr>
          </w:tbl>
          <w:p w14:paraId="4D777C6B">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cs="Times New Roman"/>
                <w:color w:val="FF0000"/>
                <w:sz w:val="24"/>
                <w:szCs w:val="24"/>
                <w:lang w:val="en-US" w:eastAsia="zh-CN"/>
              </w:rPr>
            </w:pPr>
            <w:r>
              <w:rPr>
                <w:rFonts w:hint="default" w:cs="Times New Roman"/>
                <w:color w:val="auto"/>
                <w:sz w:val="24"/>
                <w:szCs w:val="24"/>
                <w:lang w:val="en-US" w:eastAsia="zh-CN"/>
              </w:rPr>
              <w:t>土壤环境质量监测表明1#监测点监测因子满足《土壤环境质量</w:t>
            </w:r>
            <w:r>
              <w:rPr>
                <w:rFonts w:hint="eastAsia" w:cs="Times New Roman"/>
                <w:color w:val="auto"/>
                <w:sz w:val="24"/>
                <w:szCs w:val="24"/>
                <w:lang w:val="en-US" w:eastAsia="zh-CN"/>
              </w:rPr>
              <w:t>农</w:t>
            </w:r>
            <w:r>
              <w:rPr>
                <w:rFonts w:hint="default" w:cs="Times New Roman"/>
                <w:color w:val="auto"/>
                <w:sz w:val="24"/>
                <w:szCs w:val="24"/>
                <w:lang w:val="en-US" w:eastAsia="zh-CN"/>
              </w:rPr>
              <w:t>用地土壤污染风险管控标准（试行）》（GB</w:t>
            </w:r>
            <w:r>
              <w:rPr>
                <w:rFonts w:hint="eastAsia" w:cs="Times New Roman"/>
                <w:color w:val="auto"/>
                <w:sz w:val="24"/>
                <w:szCs w:val="24"/>
                <w:lang w:val="en-US" w:eastAsia="zh-CN"/>
              </w:rPr>
              <w:t>15618</w:t>
            </w:r>
            <w:r>
              <w:rPr>
                <w:rFonts w:hint="default" w:cs="Times New Roman"/>
                <w:color w:val="auto"/>
                <w:sz w:val="24"/>
                <w:szCs w:val="24"/>
                <w:lang w:val="en-US" w:eastAsia="zh-CN"/>
              </w:rPr>
              <w:t>-2018）中选值。</w:t>
            </w:r>
          </w:p>
        </w:tc>
      </w:tr>
      <w:tr w14:paraId="710C9B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98" w:type="pct"/>
            <w:vAlign w:val="center"/>
          </w:tcPr>
          <w:p w14:paraId="42B94CA2">
            <w:pPr>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bCs/>
                <w:color w:val="auto"/>
                <w:sz w:val="24"/>
                <w:szCs w:val="24"/>
              </w:rPr>
              <w:t>与项目有关的原有环境污染和生态破坏问题</w:t>
            </w:r>
          </w:p>
        </w:tc>
        <w:tc>
          <w:tcPr>
            <w:tcW w:w="4501" w:type="pct"/>
            <w:vAlign w:val="center"/>
          </w:tcPr>
          <w:p w14:paraId="47CA0111">
            <w:pPr>
              <w:pStyle w:val="23"/>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本项目为新建，项目区现状为空地，无与项目有关的原有环境污染和生态破坏问题</w:t>
            </w:r>
            <w:r>
              <w:rPr>
                <w:rFonts w:hint="eastAsia" w:cs="Times New Roman"/>
                <w:color w:val="auto"/>
                <w:kern w:val="0"/>
                <w:sz w:val="24"/>
                <w:szCs w:val="24"/>
                <w:lang w:eastAsia="zh-CN"/>
              </w:rPr>
              <w:t>。</w:t>
            </w:r>
          </w:p>
        </w:tc>
      </w:tr>
      <w:tr w14:paraId="457A8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pct"/>
            <w:vAlign w:val="center"/>
          </w:tcPr>
          <w:p w14:paraId="01028432">
            <w:pPr>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生态环境保护目标</w:t>
            </w:r>
          </w:p>
        </w:tc>
        <w:tc>
          <w:tcPr>
            <w:tcW w:w="4501" w:type="pct"/>
            <w:vAlign w:val="center"/>
          </w:tcPr>
          <w:p w14:paraId="2E114905">
            <w:pPr>
              <w:pStyle w:val="3"/>
              <w:numPr>
                <w:ilvl w:val="0"/>
                <w:numId w:val="0"/>
              </w:numPr>
              <w:ind w:firstLine="480" w:firstLineChars="200"/>
              <w:rPr>
                <w:rFonts w:hint="default" w:ascii="Times New Roman" w:hAnsi="Times New Roman" w:eastAsia="宋体" w:cs="Times New Roman"/>
                <w:b w:val="0"/>
                <w:bCs w:val="0"/>
                <w:color w:val="auto"/>
                <w:sz w:val="24"/>
                <w:szCs w:val="24"/>
              </w:rPr>
            </w:pPr>
            <w:r>
              <w:rPr>
                <w:rFonts w:hint="eastAsia"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环境空气保护目标</w:t>
            </w:r>
          </w:p>
          <w:p w14:paraId="3DD0FE51">
            <w:pPr>
              <w:ind w:firstLine="420"/>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根据《建设项目环境报告表编制技术指南》（生态影响类试行2021年），项目周边500m范围内</w:t>
            </w:r>
            <w:r>
              <w:rPr>
                <w:rFonts w:hint="default" w:ascii="Times New Roman" w:hAnsi="Times New Roman" w:eastAsia="宋体" w:cs="Times New Roman"/>
                <w:b w:val="0"/>
                <w:bCs w:val="0"/>
                <w:color w:val="auto"/>
                <w:sz w:val="24"/>
                <w:szCs w:val="24"/>
                <w:lang w:val="en-US" w:eastAsia="zh-CN"/>
              </w:rPr>
              <w:t>无常住居民及其他</w:t>
            </w:r>
            <w:r>
              <w:rPr>
                <w:rFonts w:hint="default" w:ascii="Times New Roman" w:hAnsi="Times New Roman" w:eastAsia="宋体" w:cs="Times New Roman"/>
                <w:b w:val="0"/>
                <w:bCs w:val="0"/>
                <w:color w:val="auto"/>
                <w:sz w:val="24"/>
                <w:szCs w:val="24"/>
              </w:rPr>
              <w:t>环境空气环境保护目标</w:t>
            </w:r>
            <w:r>
              <w:rPr>
                <w:rFonts w:hint="default" w:ascii="Times New Roman" w:hAnsi="Times New Roman" w:eastAsia="宋体" w:cs="Times New Roman"/>
                <w:b w:val="0"/>
                <w:bCs w:val="0"/>
                <w:color w:val="auto"/>
                <w:sz w:val="24"/>
                <w:szCs w:val="24"/>
                <w:lang w:eastAsia="zh-CN"/>
              </w:rPr>
              <w:t>。</w:t>
            </w:r>
          </w:p>
          <w:p w14:paraId="688CC893">
            <w:pPr>
              <w:pStyle w:val="3"/>
              <w:numPr>
                <w:ilvl w:val="0"/>
                <w:numId w:val="0"/>
              </w:numPr>
              <w:ind w:firstLine="480" w:firstLineChars="200"/>
              <w:rPr>
                <w:rFonts w:hint="default" w:ascii="Times New Roman" w:hAnsi="Times New Roman" w:eastAsia="宋体" w:cs="Times New Roman"/>
                <w:b w:val="0"/>
                <w:bCs w:val="0"/>
                <w:color w:val="auto"/>
                <w:sz w:val="24"/>
                <w:szCs w:val="24"/>
              </w:rPr>
            </w:pPr>
            <w:r>
              <w:rPr>
                <w:rFonts w:hint="eastAsia"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rPr>
              <w:t>声环境保护目标</w:t>
            </w:r>
          </w:p>
          <w:p w14:paraId="2D822EAB">
            <w:pPr>
              <w:ind w:firstLine="42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kern w:val="0"/>
                <w:sz w:val="24"/>
                <w:szCs w:val="24"/>
              </w:rPr>
              <w:t>项目厂界外周边50m范围内不存在声环境保护目标</w:t>
            </w:r>
            <w:r>
              <w:rPr>
                <w:rFonts w:hint="default" w:ascii="Times New Roman" w:hAnsi="Times New Roman" w:eastAsia="宋体" w:cs="Times New Roman"/>
                <w:b w:val="0"/>
                <w:bCs w:val="0"/>
                <w:color w:val="auto"/>
                <w:sz w:val="24"/>
                <w:szCs w:val="24"/>
              </w:rPr>
              <w:t>。</w:t>
            </w:r>
          </w:p>
          <w:p w14:paraId="4CE17A4B">
            <w:pPr>
              <w:pStyle w:val="3"/>
              <w:numPr>
                <w:ilvl w:val="0"/>
                <w:numId w:val="0"/>
              </w:numPr>
              <w:ind w:firstLine="480" w:firstLineChars="200"/>
              <w:rPr>
                <w:rFonts w:hint="default" w:ascii="Times New Roman" w:hAnsi="Times New Roman" w:eastAsia="宋体" w:cs="Times New Roman"/>
                <w:b w:val="0"/>
                <w:bCs w:val="0"/>
                <w:color w:val="auto"/>
                <w:sz w:val="24"/>
                <w:szCs w:val="24"/>
              </w:rPr>
            </w:pPr>
            <w:r>
              <w:rPr>
                <w:rFonts w:hint="eastAsia"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rPr>
              <w:t>地下水环境保护目标</w:t>
            </w:r>
          </w:p>
          <w:p w14:paraId="68C54091">
            <w:pPr>
              <w:ind w:firstLine="42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项目厂界外500m范围内无地下水集中式饮用水水源和热水、矿泉水、温泉等特殊地下水资源，不存在地下水环境保护目标。</w:t>
            </w:r>
          </w:p>
          <w:p w14:paraId="28180F16">
            <w:pPr>
              <w:pStyle w:val="3"/>
              <w:numPr>
                <w:ilvl w:val="0"/>
                <w:numId w:val="0"/>
              </w:numPr>
              <w:ind w:firstLine="480" w:firstLineChars="200"/>
              <w:rPr>
                <w:rFonts w:hint="default" w:ascii="Times New Roman" w:hAnsi="Times New Roman" w:eastAsia="宋体" w:cs="Times New Roman"/>
                <w:b w:val="0"/>
                <w:bCs w:val="0"/>
                <w:color w:val="auto"/>
                <w:sz w:val="24"/>
                <w:szCs w:val="24"/>
                <w:lang w:eastAsia="zh-CN"/>
              </w:rPr>
            </w:pPr>
            <w:r>
              <w:rPr>
                <w:rFonts w:hint="eastAsia"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eastAsia="zh-CN"/>
              </w:rPr>
              <w:t>地表水环境保护目标</w:t>
            </w:r>
          </w:p>
          <w:p w14:paraId="56188082">
            <w:pPr>
              <w:ind w:firstLine="42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eastAsia="zh-CN"/>
              </w:rPr>
              <w:t>地表水体为项目</w:t>
            </w:r>
            <w:r>
              <w:rPr>
                <w:rFonts w:hint="eastAsia" w:cs="Times New Roman"/>
                <w:color w:val="auto"/>
                <w:sz w:val="24"/>
                <w:szCs w:val="24"/>
                <w:lang w:eastAsia="zh-CN"/>
              </w:rPr>
              <w:t>西</w:t>
            </w:r>
            <w:r>
              <w:rPr>
                <w:rFonts w:hint="default" w:ascii="Times New Roman" w:hAnsi="Times New Roman" w:eastAsia="宋体" w:cs="Times New Roman"/>
                <w:color w:val="auto"/>
                <w:sz w:val="24"/>
                <w:szCs w:val="24"/>
                <w:lang w:eastAsia="zh-CN"/>
              </w:rPr>
              <w:t>侧</w:t>
            </w:r>
            <w:r>
              <w:rPr>
                <w:rFonts w:hint="default" w:ascii="Times New Roman" w:hAnsi="Times New Roman" w:eastAsia="宋体" w:cs="Times New Roman"/>
                <w:color w:val="auto"/>
                <w:sz w:val="24"/>
                <w:szCs w:val="24"/>
                <w:lang w:val="en-US" w:eastAsia="zh-CN"/>
              </w:rPr>
              <w:t>的</w:t>
            </w:r>
            <w:r>
              <w:rPr>
                <w:rFonts w:hint="eastAsia" w:cs="Times New Roman"/>
                <w:color w:val="auto"/>
                <w:sz w:val="24"/>
                <w:szCs w:val="24"/>
                <w:lang w:val="en-US" w:eastAsia="zh-CN"/>
              </w:rPr>
              <w:t>香泉</w:t>
            </w:r>
            <w:r>
              <w:rPr>
                <w:rFonts w:hint="default" w:ascii="Times New Roman" w:hAnsi="Times New Roman" w:eastAsia="宋体" w:cs="Times New Roman"/>
                <w:color w:val="auto"/>
                <w:sz w:val="24"/>
                <w:szCs w:val="24"/>
                <w:lang w:val="en-US" w:eastAsia="zh-CN"/>
              </w:rPr>
              <w:t>河，经调查现场无饮用水水源保护区</w:t>
            </w:r>
            <w:r>
              <w:rPr>
                <w:rFonts w:hint="default" w:ascii="Times New Roman" w:hAnsi="Times New Roman" w:eastAsia="宋体" w:cs="Times New Roman"/>
                <w:b w:val="0"/>
                <w:bCs w:val="0"/>
                <w:color w:val="auto"/>
                <w:sz w:val="24"/>
                <w:szCs w:val="24"/>
                <w:lang w:val="en-US" w:eastAsia="zh-CN"/>
              </w:rPr>
              <w:t>等水环境保护目标。</w:t>
            </w:r>
          </w:p>
          <w:p w14:paraId="4E2BE304">
            <w:pPr>
              <w:pStyle w:val="3"/>
              <w:numPr>
                <w:ilvl w:val="0"/>
                <w:numId w:val="0"/>
              </w:numPr>
              <w:ind w:firstLine="480" w:firstLineChars="200"/>
              <w:rPr>
                <w:rFonts w:hint="default" w:ascii="Times New Roman" w:hAnsi="Times New Roman" w:eastAsia="宋体" w:cs="Times New Roman"/>
                <w:b w:val="0"/>
                <w:bCs w:val="0"/>
                <w:color w:val="auto"/>
                <w:sz w:val="24"/>
                <w:szCs w:val="24"/>
              </w:rPr>
            </w:pPr>
            <w:r>
              <w:rPr>
                <w:rFonts w:hint="eastAsia"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生态环境保护目标</w:t>
            </w:r>
          </w:p>
          <w:p w14:paraId="32D270CE">
            <w:pPr>
              <w:keepNext w:val="0"/>
              <w:keepLines/>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rPr>
            </w:pPr>
            <w:r>
              <w:rPr>
                <w:rFonts w:hint="eastAsia" w:ascii="Times New Roman" w:hAnsi="Times New Roman" w:eastAsia="宋体" w:cs="Times New Roman"/>
                <w:color w:val="auto"/>
                <w:kern w:val="0"/>
                <w:sz w:val="24"/>
                <w:lang w:val="en-US" w:eastAsia="zh-CN"/>
              </w:rPr>
              <w:t>根据《环境影响评价技术导则生态影响》（HJ19-2022），项目区内无生态敏感区以及其他需要保护的物种、种群、生物群落及生态空间等。本项目占地范围内不涉及国家公园、自然保护区、世界自然遗产、重要生境、自然公园、生态保护红线等生态敏感区</w:t>
            </w:r>
            <w:r>
              <w:rPr>
                <w:rFonts w:hint="eastAsia" w:cs="Times New Roman"/>
                <w:color w:val="auto"/>
                <w:kern w:val="0"/>
                <w:sz w:val="24"/>
                <w:lang w:val="en-US" w:eastAsia="zh-CN"/>
              </w:rPr>
              <w:t>。</w:t>
            </w:r>
          </w:p>
        </w:tc>
      </w:tr>
      <w:tr w14:paraId="74131C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pct"/>
            <w:vAlign w:val="center"/>
          </w:tcPr>
          <w:p w14:paraId="1785D0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评价</w:t>
            </w:r>
          </w:p>
          <w:p w14:paraId="437F89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kern w:val="0"/>
                <w:sz w:val="24"/>
                <w:szCs w:val="24"/>
              </w:rPr>
            </w:pPr>
            <w:r>
              <w:rPr>
                <w:rFonts w:hint="default" w:ascii="Times New Roman" w:hAnsi="Times New Roman" w:eastAsia="宋体" w:cs="Times New Roman"/>
                <w:color w:val="auto"/>
                <w:kern w:val="0"/>
                <w:sz w:val="24"/>
                <w:szCs w:val="24"/>
              </w:rPr>
              <w:t>标准</w:t>
            </w:r>
          </w:p>
        </w:tc>
        <w:tc>
          <w:tcPr>
            <w:tcW w:w="4501" w:type="pct"/>
            <w:vAlign w:val="center"/>
          </w:tcPr>
          <w:p w14:paraId="694AF45B">
            <w:pPr>
              <w:pStyle w:val="3"/>
              <w:keepNext/>
              <w:keepLines w:val="0"/>
              <w:pageBreakBefore w:val="0"/>
              <w:widowControl w:val="0"/>
              <w:numPr>
                <w:ilvl w:val="0"/>
                <w:numId w:val="0"/>
              </w:numPr>
              <w:kinsoku/>
              <w:wordWrap/>
              <w:overflowPunct w:val="0"/>
              <w:topLinePunct w:val="0"/>
              <w:autoSpaceDE/>
              <w:autoSpaceDN/>
              <w:bidi w:val="0"/>
              <w:adjustRightInd/>
              <w:snapToGrid w:val="0"/>
              <w:textAlignment w:val="auto"/>
              <w:rPr>
                <w:rFonts w:hint="default" w:ascii="Times New Roman" w:hAnsi="Times New Roman" w:eastAsia="宋体" w:cs="Times New Roman"/>
                <w:b w:val="0"/>
                <w:bCs w:val="0"/>
                <w:color w:val="auto"/>
                <w:sz w:val="24"/>
                <w:szCs w:val="24"/>
              </w:rPr>
            </w:pPr>
            <w:r>
              <w:rPr>
                <w:rFonts w:hint="eastAsia"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环境质量标准</w:t>
            </w:r>
          </w:p>
          <w:p w14:paraId="152E1F8A">
            <w:pPr>
              <w:keepLines w:val="0"/>
              <w:pageBreakBefore w:val="0"/>
              <w:widowControl w:val="0"/>
              <w:numPr>
                <w:ilvl w:val="0"/>
                <w:numId w:val="0"/>
              </w:numPr>
              <w:kinsoku/>
              <w:wordWrap/>
              <w:topLinePunct w:val="0"/>
              <w:autoSpaceDE/>
              <w:autoSpaceDN/>
              <w:bidi w:val="0"/>
              <w:adjustRightInd/>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 1 \* GB2 \* MERGEFORMAT </w:instrText>
            </w:r>
            <w:r>
              <w:rPr>
                <w:rFonts w:hint="default" w:ascii="Times New Roman" w:hAnsi="Times New Roman" w:eastAsia="宋体" w:cs="Times New Roman"/>
                <w:b w:val="0"/>
                <w:bCs w:val="0"/>
                <w:color w:val="auto"/>
                <w:sz w:val="24"/>
                <w:szCs w:val="24"/>
              </w:rPr>
              <w:fldChar w:fldCharType="separate"/>
            </w:r>
            <w:r>
              <w:rPr>
                <w:b w:val="0"/>
                <w:bCs w:val="0"/>
              </w:rPr>
              <w:t>⑴</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t>环境空气</w:t>
            </w:r>
          </w:p>
          <w:p w14:paraId="77EBC0EF">
            <w:pPr>
              <w:keepLines w:val="0"/>
              <w:pageBreakBefore w:val="0"/>
              <w:widowControl w:val="0"/>
              <w:kinsoku/>
              <w:wordWrap/>
              <w:topLinePunct w:val="0"/>
              <w:autoSpaceDE/>
              <w:autoSpaceDN/>
              <w:bidi w:val="0"/>
              <w:adjustRightInd/>
              <w:spacing w:line="360" w:lineRule="auto"/>
              <w:ind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项目所在地区域空气环境质量功能区划为二类功能区，环境空气执行《环境空气质量标准》（GB3095-2012）及其修改单二级标准，标准限值详见下表：</w:t>
            </w:r>
          </w:p>
          <w:p w14:paraId="7E4C5BDD">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w:t>
            </w:r>
            <w:r>
              <w:rPr>
                <w:rFonts w:hint="eastAsia" w:ascii="Times New Roman" w:cs="Times New Roman"/>
                <w:b/>
                <w:bCs/>
                <w:color w:val="auto"/>
                <w:sz w:val="24"/>
                <w:szCs w:val="24"/>
                <w:lang w:val="en-US" w:eastAsia="zh-CN"/>
              </w:rPr>
              <w:t>6</w:t>
            </w:r>
            <w:r>
              <w:rPr>
                <w:rFonts w:hint="default" w:ascii="Times New Roman" w:hAnsi="Times New Roman" w:eastAsia="宋体" w:cs="Times New Roman"/>
                <w:b/>
                <w:bCs/>
                <w:color w:val="auto"/>
                <w:sz w:val="24"/>
                <w:szCs w:val="24"/>
              </w:rPr>
              <w:t>环境空气质量标准限值</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340"/>
              <w:gridCol w:w="1176"/>
              <w:gridCol w:w="1365"/>
              <w:gridCol w:w="1207"/>
              <w:gridCol w:w="1320"/>
              <w:gridCol w:w="1257"/>
            </w:tblGrid>
            <w:tr w14:paraId="7BD4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9" w:hRule="atLeast"/>
                <w:jc w:val="center"/>
              </w:trPr>
              <w:tc>
                <w:tcPr>
                  <w:tcW w:w="874" w:type="pct"/>
                  <w:tcBorders>
                    <w:tl2br w:val="nil"/>
                    <w:tr2bl w:val="nil"/>
                  </w:tcBorders>
                  <w:shd w:val="clear" w:color="auto" w:fill="FFFFFF" w:themeFill="background1"/>
                  <w:vAlign w:val="center"/>
                </w:tcPr>
                <w:p w14:paraId="7AF8E828">
                  <w:pPr>
                    <w:pStyle w:val="4"/>
                    <w:numPr>
                      <w:ilvl w:val="1"/>
                      <w:numId w:val="0"/>
                    </w:num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767" w:type="pct"/>
                  <w:tcBorders>
                    <w:tl2br w:val="nil"/>
                    <w:tr2bl w:val="nil"/>
                  </w:tcBorders>
                  <w:shd w:val="clear" w:color="auto" w:fill="FFFFFF" w:themeFill="background1"/>
                  <w:vAlign w:val="center"/>
                </w:tcPr>
                <w:p w14:paraId="3A72551B">
                  <w:pPr>
                    <w:pStyle w:val="4"/>
                    <w:numPr>
                      <w:ilvl w:val="1"/>
                      <w:numId w:val="0"/>
                    </w:num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890" w:type="pct"/>
                  <w:tcBorders>
                    <w:tl2br w:val="nil"/>
                    <w:tr2bl w:val="nil"/>
                  </w:tcBorders>
                  <w:shd w:val="clear" w:color="auto" w:fill="FFFFFF" w:themeFill="background1"/>
                  <w:vAlign w:val="center"/>
                </w:tcPr>
                <w:p w14:paraId="5EE82D7A">
                  <w:pPr>
                    <w:pStyle w:val="4"/>
                    <w:numPr>
                      <w:ilvl w:val="1"/>
                      <w:numId w:val="0"/>
                    </w:num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1h平均</w:t>
                  </w:r>
                </w:p>
              </w:tc>
              <w:tc>
                <w:tcPr>
                  <w:tcW w:w="787" w:type="pct"/>
                  <w:tcBorders>
                    <w:tl2br w:val="nil"/>
                    <w:tr2bl w:val="nil"/>
                  </w:tcBorders>
                  <w:shd w:val="clear" w:color="auto" w:fill="FFFFFF" w:themeFill="background1"/>
                  <w:vAlign w:val="center"/>
                </w:tcPr>
                <w:p w14:paraId="11A67433">
                  <w:pPr>
                    <w:pStyle w:val="4"/>
                    <w:numPr>
                      <w:ilvl w:val="1"/>
                      <w:numId w:val="0"/>
                    </w:num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8h平均</w:t>
                  </w:r>
                </w:p>
              </w:tc>
              <w:tc>
                <w:tcPr>
                  <w:tcW w:w="861" w:type="pct"/>
                  <w:tcBorders>
                    <w:tl2br w:val="nil"/>
                    <w:tr2bl w:val="nil"/>
                  </w:tcBorders>
                  <w:shd w:val="clear" w:color="auto" w:fill="FFFFFF" w:themeFill="background1"/>
                  <w:vAlign w:val="center"/>
                </w:tcPr>
                <w:p w14:paraId="5527943E">
                  <w:pPr>
                    <w:pStyle w:val="4"/>
                    <w:numPr>
                      <w:ilvl w:val="1"/>
                      <w:numId w:val="0"/>
                    </w:num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24h平均</w:t>
                  </w:r>
                </w:p>
              </w:tc>
              <w:tc>
                <w:tcPr>
                  <w:tcW w:w="819" w:type="pct"/>
                  <w:tcBorders>
                    <w:tl2br w:val="nil"/>
                    <w:tr2bl w:val="nil"/>
                  </w:tcBorders>
                  <w:shd w:val="clear" w:color="auto" w:fill="FFFFFF" w:themeFill="background1"/>
                  <w:vAlign w:val="center"/>
                </w:tcPr>
                <w:p w14:paraId="2C614A25">
                  <w:pPr>
                    <w:pStyle w:val="4"/>
                    <w:numPr>
                      <w:ilvl w:val="1"/>
                      <w:numId w:val="0"/>
                    </w:num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年平均</w:t>
                  </w:r>
                </w:p>
              </w:tc>
            </w:tr>
            <w:tr w14:paraId="3E9C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874" w:type="pct"/>
                  <w:tcBorders>
                    <w:tl2br w:val="nil"/>
                    <w:tr2bl w:val="nil"/>
                  </w:tcBorders>
                  <w:shd w:val="clear" w:color="auto" w:fill="FFFFFF" w:themeFill="background1"/>
                  <w:vAlign w:val="center"/>
                </w:tcPr>
                <w:p w14:paraId="7F3E9E62">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SO</w:t>
                  </w:r>
                  <w:r>
                    <w:rPr>
                      <w:rFonts w:hint="default" w:ascii="Times New Roman" w:hAnsi="Times New Roman" w:eastAsia="宋体" w:cs="Times New Roman"/>
                      <w:b w:val="0"/>
                      <w:bCs w:val="0"/>
                      <w:color w:val="auto"/>
                      <w:sz w:val="21"/>
                      <w:szCs w:val="21"/>
                      <w:vertAlign w:val="subscript"/>
                    </w:rPr>
                    <w:t>2</w:t>
                  </w:r>
                </w:p>
              </w:tc>
              <w:tc>
                <w:tcPr>
                  <w:tcW w:w="767" w:type="pct"/>
                  <w:tcBorders>
                    <w:tl2br w:val="nil"/>
                    <w:tr2bl w:val="nil"/>
                  </w:tcBorders>
                  <w:shd w:val="clear" w:color="auto" w:fill="FFFFFF" w:themeFill="background1"/>
                  <w:vAlign w:val="center"/>
                </w:tcPr>
                <w:p w14:paraId="30C128F0">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μg/m</w:t>
                  </w:r>
                  <w:r>
                    <w:rPr>
                      <w:rFonts w:hint="default" w:ascii="Times New Roman" w:hAnsi="Times New Roman" w:eastAsia="宋体" w:cs="Times New Roman"/>
                      <w:b w:val="0"/>
                      <w:bCs w:val="0"/>
                      <w:color w:val="auto"/>
                      <w:sz w:val="21"/>
                      <w:szCs w:val="21"/>
                      <w:vertAlign w:val="superscript"/>
                    </w:rPr>
                    <w:t>3</w:t>
                  </w:r>
                </w:p>
              </w:tc>
              <w:tc>
                <w:tcPr>
                  <w:tcW w:w="890" w:type="pct"/>
                  <w:tcBorders>
                    <w:tl2br w:val="nil"/>
                    <w:tr2bl w:val="nil"/>
                  </w:tcBorders>
                  <w:shd w:val="clear" w:color="auto" w:fill="FFFFFF" w:themeFill="background1"/>
                  <w:vAlign w:val="center"/>
                </w:tcPr>
                <w:p w14:paraId="239CF37D">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500</w:t>
                  </w:r>
                </w:p>
              </w:tc>
              <w:tc>
                <w:tcPr>
                  <w:tcW w:w="787" w:type="pct"/>
                  <w:tcBorders>
                    <w:tl2br w:val="nil"/>
                    <w:tr2bl w:val="nil"/>
                  </w:tcBorders>
                  <w:shd w:val="clear" w:color="auto" w:fill="FFFFFF" w:themeFill="background1"/>
                  <w:vAlign w:val="center"/>
                </w:tcPr>
                <w:p w14:paraId="43BD859B">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861" w:type="pct"/>
                  <w:tcBorders>
                    <w:tl2br w:val="nil"/>
                    <w:tr2bl w:val="nil"/>
                  </w:tcBorders>
                  <w:shd w:val="clear" w:color="auto" w:fill="FFFFFF" w:themeFill="background1"/>
                  <w:vAlign w:val="center"/>
                </w:tcPr>
                <w:p w14:paraId="6338CCB3">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150</w:t>
                  </w:r>
                </w:p>
              </w:tc>
              <w:tc>
                <w:tcPr>
                  <w:tcW w:w="819" w:type="pct"/>
                  <w:tcBorders>
                    <w:tl2br w:val="nil"/>
                    <w:tr2bl w:val="nil"/>
                  </w:tcBorders>
                  <w:shd w:val="clear" w:color="auto" w:fill="FFFFFF" w:themeFill="background1"/>
                  <w:vAlign w:val="center"/>
                </w:tcPr>
                <w:p w14:paraId="0A7441B1">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60</w:t>
                  </w:r>
                </w:p>
              </w:tc>
            </w:tr>
            <w:tr w14:paraId="137B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874" w:type="pct"/>
                  <w:tcBorders>
                    <w:tl2br w:val="nil"/>
                    <w:tr2bl w:val="nil"/>
                  </w:tcBorders>
                  <w:shd w:val="clear" w:color="auto" w:fill="FFFFFF" w:themeFill="background1"/>
                  <w:vAlign w:val="center"/>
                </w:tcPr>
                <w:p w14:paraId="182C7C95">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NO</w:t>
                  </w:r>
                  <w:r>
                    <w:rPr>
                      <w:rFonts w:hint="default" w:ascii="Times New Roman" w:hAnsi="Times New Roman" w:eastAsia="宋体" w:cs="Times New Roman"/>
                      <w:b w:val="0"/>
                      <w:bCs w:val="0"/>
                      <w:color w:val="auto"/>
                      <w:sz w:val="21"/>
                      <w:szCs w:val="21"/>
                      <w:vertAlign w:val="subscript"/>
                    </w:rPr>
                    <w:t>2</w:t>
                  </w:r>
                </w:p>
              </w:tc>
              <w:tc>
                <w:tcPr>
                  <w:tcW w:w="767" w:type="pct"/>
                  <w:tcBorders>
                    <w:tl2br w:val="nil"/>
                    <w:tr2bl w:val="nil"/>
                  </w:tcBorders>
                  <w:shd w:val="clear" w:color="auto" w:fill="FFFFFF" w:themeFill="background1"/>
                  <w:vAlign w:val="center"/>
                </w:tcPr>
                <w:p w14:paraId="5D1C0281">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μg/m</w:t>
                  </w:r>
                  <w:r>
                    <w:rPr>
                      <w:rFonts w:hint="default" w:ascii="Times New Roman" w:hAnsi="Times New Roman" w:eastAsia="宋体" w:cs="Times New Roman"/>
                      <w:b w:val="0"/>
                      <w:bCs w:val="0"/>
                      <w:color w:val="auto"/>
                      <w:sz w:val="21"/>
                      <w:szCs w:val="21"/>
                      <w:vertAlign w:val="superscript"/>
                    </w:rPr>
                    <w:t>3</w:t>
                  </w:r>
                </w:p>
              </w:tc>
              <w:tc>
                <w:tcPr>
                  <w:tcW w:w="890" w:type="pct"/>
                  <w:tcBorders>
                    <w:tl2br w:val="nil"/>
                    <w:tr2bl w:val="nil"/>
                  </w:tcBorders>
                  <w:shd w:val="clear" w:color="auto" w:fill="FFFFFF" w:themeFill="background1"/>
                  <w:vAlign w:val="center"/>
                </w:tcPr>
                <w:p w14:paraId="3E5378EE">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w:t>
                  </w:r>
                </w:p>
              </w:tc>
              <w:tc>
                <w:tcPr>
                  <w:tcW w:w="787" w:type="pct"/>
                  <w:tcBorders>
                    <w:tl2br w:val="nil"/>
                    <w:tr2bl w:val="nil"/>
                  </w:tcBorders>
                  <w:shd w:val="clear" w:color="auto" w:fill="FFFFFF" w:themeFill="background1"/>
                  <w:vAlign w:val="center"/>
                </w:tcPr>
                <w:p w14:paraId="264EA3D4">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861" w:type="pct"/>
                  <w:tcBorders>
                    <w:tl2br w:val="nil"/>
                    <w:tr2bl w:val="nil"/>
                  </w:tcBorders>
                  <w:shd w:val="clear" w:color="auto" w:fill="FFFFFF" w:themeFill="background1"/>
                  <w:vAlign w:val="center"/>
                </w:tcPr>
                <w:p w14:paraId="2781527B">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80</w:t>
                  </w:r>
                </w:p>
              </w:tc>
              <w:tc>
                <w:tcPr>
                  <w:tcW w:w="819" w:type="pct"/>
                  <w:tcBorders>
                    <w:tl2br w:val="nil"/>
                    <w:tr2bl w:val="nil"/>
                  </w:tcBorders>
                  <w:shd w:val="clear" w:color="auto" w:fill="FFFFFF" w:themeFill="background1"/>
                  <w:vAlign w:val="center"/>
                </w:tcPr>
                <w:p w14:paraId="41DB3C4E">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w:t>
                  </w:r>
                </w:p>
              </w:tc>
            </w:tr>
            <w:tr w14:paraId="6EAC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874" w:type="pct"/>
                  <w:tcBorders>
                    <w:tl2br w:val="nil"/>
                    <w:tr2bl w:val="nil"/>
                  </w:tcBorders>
                  <w:shd w:val="clear" w:color="auto" w:fill="FFFFFF" w:themeFill="background1"/>
                  <w:vAlign w:val="center"/>
                </w:tcPr>
                <w:p w14:paraId="6EFA79AD">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PM</w:t>
                  </w:r>
                  <w:r>
                    <w:rPr>
                      <w:rFonts w:hint="default" w:ascii="Times New Roman" w:hAnsi="Times New Roman" w:eastAsia="宋体" w:cs="Times New Roman"/>
                      <w:b w:val="0"/>
                      <w:bCs w:val="0"/>
                      <w:color w:val="auto"/>
                      <w:sz w:val="21"/>
                      <w:szCs w:val="21"/>
                      <w:vertAlign w:val="subscript"/>
                    </w:rPr>
                    <w:t>10</w:t>
                  </w:r>
                </w:p>
              </w:tc>
              <w:tc>
                <w:tcPr>
                  <w:tcW w:w="767" w:type="pct"/>
                  <w:tcBorders>
                    <w:tl2br w:val="nil"/>
                    <w:tr2bl w:val="nil"/>
                  </w:tcBorders>
                  <w:shd w:val="clear" w:color="auto" w:fill="FFFFFF" w:themeFill="background1"/>
                  <w:vAlign w:val="center"/>
                </w:tcPr>
                <w:p w14:paraId="282FC5E0">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μg/m</w:t>
                  </w:r>
                  <w:r>
                    <w:rPr>
                      <w:rFonts w:hint="default" w:ascii="Times New Roman" w:hAnsi="Times New Roman" w:eastAsia="宋体" w:cs="Times New Roman"/>
                      <w:b w:val="0"/>
                      <w:bCs w:val="0"/>
                      <w:color w:val="auto"/>
                      <w:sz w:val="21"/>
                      <w:szCs w:val="21"/>
                      <w:vertAlign w:val="superscript"/>
                    </w:rPr>
                    <w:t>3</w:t>
                  </w:r>
                </w:p>
              </w:tc>
              <w:tc>
                <w:tcPr>
                  <w:tcW w:w="890" w:type="pct"/>
                  <w:tcBorders>
                    <w:tl2br w:val="nil"/>
                    <w:tr2bl w:val="nil"/>
                  </w:tcBorders>
                  <w:shd w:val="clear" w:color="auto" w:fill="FFFFFF" w:themeFill="background1"/>
                  <w:vAlign w:val="center"/>
                </w:tcPr>
                <w:p w14:paraId="72230079">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787" w:type="pct"/>
                  <w:tcBorders>
                    <w:tl2br w:val="nil"/>
                    <w:tr2bl w:val="nil"/>
                  </w:tcBorders>
                  <w:shd w:val="clear" w:color="auto" w:fill="FFFFFF" w:themeFill="background1"/>
                  <w:vAlign w:val="center"/>
                </w:tcPr>
                <w:p w14:paraId="68EE338F">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861" w:type="pct"/>
                  <w:tcBorders>
                    <w:tl2br w:val="nil"/>
                    <w:tr2bl w:val="nil"/>
                  </w:tcBorders>
                  <w:shd w:val="clear" w:color="auto" w:fill="FFFFFF" w:themeFill="background1"/>
                  <w:vAlign w:val="center"/>
                </w:tcPr>
                <w:p w14:paraId="499E3B78">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150</w:t>
                  </w:r>
                </w:p>
              </w:tc>
              <w:tc>
                <w:tcPr>
                  <w:tcW w:w="819" w:type="pct"/>
                  <w:tcBorders>
                    <w:tl2br w:val="nil"/>
                    <w:tr2bl w:val="nil"/>
                  </w:tcBorders>
                  <w:shd w:val="clear" w:color="auto" w:fill="FFFFFF" w:themeFill="background1"/>
                  <w:vAlign w:val="center"/>
                </w:tcPr>
                <w:p w14:paraId="5F8F29EF">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70</w:t>
                  </w:r>
                </w:p>
              </w:tc>
            </w:tr>
            <w:tr w14:paraId="284F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874" w:type="pct"/>
                  <w:tcBorders>
                    <w:tl2br w:val="nil"/>
                    <w:tr2bl w:val="nil"/>
                  </w:tcBorders>
                  <w:shd w:val="clear" w:color="auto" w:fill="FFFFFF" w:themeFill="background1"/>
                  <w:vAlign w:val="center"/>
                </w:tcPr>
                <w:p w14:paraId="3F4F5B6E">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PM</w:t>
                  </w:r>
                  <w:r>
                    <w:rPr>
                      <w:rFonts w:hint="default" w:ascii="Times New Roman" w:hAnsi="Times New Roman" w:eastAsia="宋体" w:cs="Times New Roman"/>
                      <w:b w:val="0"/>
                      <w:bCs w:val="0"/>
                      <w:color w:val="auto"/>
                      <w:sz w:val="21"/>
                      <w:szCs w:val="21"/>
                      <w:vertAlign w:val="subscript"/>
                    </w:rPr>
                    <w:t>2.5</w:t>
                  </w:r>
                </w:p>
              </w:tc>
              <w:tc>
                <w:tcPr>
                  <w:tcW w:w="767" w:type="pct"/>
                  <w:tcBorders>
                    <w:tl2br w:val="nil"/>
                    <w:tr2bl w:val="nil"/>
                  </w:tcBorders>
                  <w:shd w:val="clear" w:color="auto" w:fill="FFFFFF" w:themeFill="background1"/>
                  <w:vAlign w:val="center"/>
                </w:tcPr>
                <w:p w14:paraId="0FC58526">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μg/m</w:t>
                  </w:r>
                  <w:r>
                    <w:rPr>
                      <w:rFonts w:hint="default" w:ascii="Times New Roman" w:hAnsi="Times New Roman" w:eastAsia="宋体" w:cs="Times New Roman"/>
                      <w:b w:val="0"/>
                      <w:bCs w:val="0"/>
                      <w:color w:val="auto"/>
                      <w:sz w:val="21"/>
                      <w:szCs w:val="21"/>
                      <w:vertAlign w:val="superscript"/>
                    </w:rPr>
                    <w:t>3</w:t>
                  </w:r>
                </w:p>
              </w:tc>
              <w:tc>
                <w:tcPr>
                  <w:tcW w:w="890" w:type="pct"/>
                  <w:tcBorders>
                    <w:tl2br w:val="nil"/>
                    <w:tr2bl w:val="nil"/>
                  </w:tcBorders>
                  <w:shd w:val="clear" w:color="auto" w:fill="FFFFFF" w:themeFill="background1"/>
                  <w:vAlign w:val="center"/>
                </w:tcPr>
                <w:p w14:paraId="63417059">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787" w:type="pct"/>
                  <w:tcBorders>
                    <w:tl2br w:val="nil"/>
                    <w:tr2bl w:val="nil"/>
                  </w:tcBorders>
                  <w:shd w:val="clear" w:color="auto" w:fill="FFFFFF" w:themeFill="background1"/>
                  <w:vAlign w:val="center"/>
                </w:tcPr>
                <w:p w14:paraId="4FD71829">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861" w:type="pct"/>
                  <w:tcBorders>
                    <w:tl2br w:val="nil"/>
                    <w:tr2bl w:val="nil"/>
                  </w:tcBorders>
                  <w:shd w:val="clear" w:color="auto" w:fill="FFFFFF" w:themeFill="background1"/>
                  <w:vAlign w:val="center"/>
                </w:tcPr>
                <w:p w14:paraId="27E79D70">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w:t>
                  </w:r>
                </w:p>
              </w:tc>
              <w:tc>
                <w:tcPr>
                  <w:tcW w:w="819" w:type="pct"/>
                  <w:tcBorders>
                    <w:tl2br w:val="nil"/>
                    <w:tr2bl w:val="nil"/>
                  </w:tcBorders>
                  <w:shd w:val="clear" w:color="auto" w:fill="FFFFFF" w:themeFill="background1"/>
                  <w:vAlign w:val="center"/>
                </w:tcPr>
                <w:p w14:paraId="0AE80353">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35</w:t>
                  </w:r>
                </w:p>
              </w:tc>
            </w:tr>
            <w:tr w14:paraId="7585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874" w:type="pct"/>
                  <w:tcBorders>
                    <w:tl2br w:val="nil"/>
                    <w:tr2bl w:val="nil"/>
                  </w:tcBorders>
                  <w:shd w:val="clear" w:color="auto" w:fill="FFFFFF" w:themeFill="background1"/>
                  <w:vAlign w:val="center"/>
                </w:tcPr>
                <w:p w14:paraId="3116450B">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CO</w:t>
                  </w:r>
                </w:p>
              </w:tc>
              <w:tc>
                <w:tcPr>
                  <w:tcW w:w="767" w:type="pct"/>
                  <w:tcBorders>
                    <w:tl2br w:val="nil"/>
                    <w:tr2bl w:val="nil"/>
                  </w:tcBorders>
                  <w:shd w:val="clear" w:color="auto" w:fill="FFFFFF" w:themeFill="background1"/>
                  <w:vAlign w:val="center"/>
                </w:tcPr>
                <w:p w14:paraId="05CF9187">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mg/m</w:t>
                  </w:r>
                  <w:r>
                    <w:rPr>
                      <w:rFonts w:hint="default" w:ascii="Times New Roman" w:hAnsi="Times New Roman" w:eastAsia="宋体" w:cs="Times New Roman"/>
                      <w:b w:val="0"/>
                      <w:bCs w:val="0"/>
                      <w:color w:val="auto"/>
                      <w:sz w:val="21"/>
                      <w:szCs w:val="21"/>
                      <w:vertAlign w:val="superscript"/>
                    </w:rPr>
                    <w:t>3</w:t>
                  </w:r>
                </w:p>
              </w:tc>
              <w:tc>
                <w:tcPr>
                  <w:tcW w:w="890" w:type="pct"/>
                  <w:tcBorders>
                    <w:tl2br w:val="nil"/>
                    <w:tr2bl w:val="nil"/>
                  </w:tcBorders>
                  <w:shd w:val="clear" w:color="auto" w:fill="FFFFFF" w:themeFill="background1"/>
                  <w:vAlign w:val="center"/>
                </w:tcPr>
                <w:p w14:paraId="755B1883">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c>
                <w:tcPr>
                  <w:tcW w:w="787" w:type="pct"/>
                  <w:tcBorders>
                    <w:tl2br w:val="nil"/>
                    <w:tr2bl w:val="nil"/>
                  </w:tcBorders>
                  <w:shd w:val="clear" w:color="auto" w:fill="FFFFFF" w:themeFill="background1"/>
                  <w:vAlign w:val="center"/>
                </w:tcPr>
                <w:p w14:paraId="506F68AF">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861" w:type="pct"/>
                  <w:tcBorders>
                    <w:tl2br w:val="nil"/>
                    <w:tr2bl w:val="nil"/>
                  </w:tcBorders>
                  <w:shd w:val="clear" w:color="auto" w:fill="FFFFFF" w:themeFill="background1"/>
                  <w:vAlign w:val="center"/>
                </w:tcPr>
                <w:p w14:paraId="0AD141CF">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w:t>
                  </w:r>
                </w:p>
              </w:tc>
              <w:tc>
                <w:tcPr>
                  <w:tcW w:w="819" w:type="pct"/>
                  <w:tcBorders>
                    <w:tl2br w:val="nil"/>
                    <w:tr2bl w:val="nil"/>
                  </w:tcBorders>
                  <w:shd w:val="clear" w:color="auto" w:fill="FFFFFF" w:themeFill="background1"/>
                  <w:vAlign w:val="center"/>
                </w:tcPr>
                <w:p w14:paraId="4AB3EB55">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r>
            <w:tr w14:paraId="3695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874" w:type="pct"/>
                  <w:tcBorders>
                    <w:tl2br w:val="nil"/>
                    <w:tr2bl w:val="nil"/>
                  </w:tcBorders>
                  <w:shd w:val="clear" w:color="auto" w:fill="FFFFFF" w:themeFill="background1"/>
                  <w:vAlign w:val="center"/>
                </w:tcPr>
                <w:p w14:paraId="44E00C6F">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O</w:t>
                  </w:r>
                  <w:r>
                    <w:rPr>
                      <w:rFonts w:hint="default" w:ascii="Times New Roman" w:hAnsi="Times New Roman" w:eastAsia="宋体" w:cs="Times New Roman"/>
                      <w:b w:val="0"/>
                      <w:bCs w:val="0"/>
                      <w:color w:val="auto"/>
                      <w:sz w:val="21"/>
                      <w:szCs w:val="21"/>
                      <w:vertAlign w:val="subscript"/>
                    </w:rPr>
                    <w:t>3</w:t>
                  </w:r>
                </w:p>
              </w:tc>
              <w:tc>
                <w:tcPr>
                  <w:tcW w:w="767" w:type="pct"/>
                  <w:tcBorders>
                    <w:tl2br w:val="nil"/>
                    <w:tr2bl w:val="nil"/>
                  </w:tcBorders>
                  <w:shd w:val="clear" w:color="auto" w:fill="FFFFFF" w:themeFill="background1"/>
                  <w:vAlign w:val="center"/>
                </w:tcPr>
                <w:p w14:paraId="20FA91CD">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μg/m</w:t>
                  </w:r>
                  <w:r>
                    <w:rPr>
                      <w:rFonts w:hint="default" w:ascii="Times New Roman" w:hAnsi="Times New Roman" w:eastAsia="宋体" w:cs="Times New Roman"/>
                      <w:b w:val="0"/>
                      <w:bCs w:val="0"/>
                      <w:color w:val="auto"/>
                      <w:sz w:val="21"/>
                      <w:szCs w:val="21"/>
                      <w:vertAlign w:val="superscript"/>
                    </w:rPr>
                    <w:t>3</w:t>
                  </w:r>
                </w:p>
              </w:tc>
              <w:tc>
                <w:tcPr>
                  <w:tcW w:w="890" w:type="pct"/>
                  <w:tcBorders>
                    <w:tl2br w:val="nil"/>
                    <w:tr2bl w:val="nil"/>
                  </w:tcBorders>
                  <w:shd w:val="clear" w:color="auto" w:fill="FFFFFF" w:themeFill="background1"/>
                  <w:vAlign w:val="center"/>
                </w:tcPr>
                <w:p w14:paraId="1849F41E">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w:t>
                  </w:r>
                </w:p>
              </w:tc>
              <w:tc>
                <w:tcPr>
                  <w:tcW w:w="787" w:type="pct"/>
                  <w:tcBorders>
                    <w:tl2br w:val="nil"/>
                    <w:tr2bl w:val="nil"/>
                  </w:tcBorders>
                  <w:shd w:val="clear" w:color="auto" w:fill="FFFFFF" w:themeFill="background1"/>
                  <w:vAlign w:val="center"/>
                </w:tcPr>
                <w:p w14:paraId="53BFF71B">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160</w:t>
                  </w:r>
                </w:p>
              </w:tc>
              <w:tc>
                <w:tcPr>
                  <w:tcW w:w="861" w:type="pct"/>
                  <w:tcBorders>
                    <w:tl2br w:val="nil"/>
                    <w:tr2bl w:val="nil"/>
                  </w:tcBorders>
                  <w:shd w:val="clear" w:color="auto" w:fill="FFFFFF" w:themeFill="background1"/>
                  <w:vAlign w:val="center"/>
                </w:tcPr>
                <w:p w14:paraId="50BB9916">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819" w:type="pct"/>
                  <w:tcBorders>
                    <w:tl2br w:val="nil"/>
                    <w:tr2bl w:val="nil"/>
                  </w:tcBorders>
                  <w:shd w:val="clear" w:color="auto" w:fill="FFFFFF" w:themeFill="background1"/>
                  <w:vAlign w:val="center"/>
                </w:tcPr>
                <w:p w14:paraId="680E50E1">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r>
            <w:tr w14:paraId="6517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874" w:type="pct"/>
                  <w:tcBorders>
                    <w:tl2br w:val="nil"/>
                    <w:tr2bl w:val="nil"/>
                  </w:tcBorders>
                  <w:shd w:val="clear" w:color="auto" w:fill="FFFFFF" w:themeFill="background1"/>
                  <w:vAlign w:val="center"/>
                </w:tcPr>
                <w:p w14:paraId="1B76E33F">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TSP</w:t>
                  </w:r>
                </w:p>
              </w:tc>
              <w:tc>
                <w:tcPr>
                  <w:tcW w:w="767" w:type="pct"/>
                  <w:tcBorders>
                    <w:tl2br w:val="nil"/>
                    <w:tr2bl w:val="nil"/>
                  </w:tcBorders>
                  <w:shd w:val="clear" w:color="auto" w:fill="FFFFFF" w:themeFill="background1"/>
                  <w:vAlign w:val="center"/>
                </w:tcPr>
                <w:p w14:paraId="1550B65D">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μg/m</w:t>
                  </w:r>
                  <w:r>
                    <w:rPr>
                      <w:rFonts w:hint="default" w:ascii="Times New Roman" w:hAnsi="Times New Roman" w:eastAsia="宋体" w:cs="Times New Roman"/>
                      <w:b w:val="0"/>
                      <w:bCs w:val="0"/>
                      <w:color w:val="auto"/>
                      <w:sz w:val="21"/>
                      <w:szCs w:val="21"/>
                      <w:vertAlign w:val="superscript"/>
                    </w:rPr>
                    <w:t>3</w:t>
                  </w:r>
                </w:p>
              </w:tc>
              <w:tc>
                <w:tcPr>
                  <w:tcW w:w="890" w:type="pct"/>
                  <w:tcBorders>
                    <w:tl2br w:val="nil"/>
                    <w:tr2bl w:val="nil"/>
                  </w:tcBorders>
                  <w:shd w:val="clear" w:color="auto" w:fill="FFFFFF" w:themeFill="background1"/>
                  <w:vAlign w:val="center"/>
                </w:tcPr>
                <w:p w14:paraId="35333D81">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787" w:type="pct"/>
                  <w:tcBorders>
                    <w:tl2br w:val="nil"/>
                    <w:tr2bl w:val="nil"/>
                  </w:tcBorders>
                  <w:shd w:val="clear" w:color="auto" w:fill="FFFFFF" w:themeFill="background1"/>
                  <w:vAlign w:val="center"/>
                </w:tcPr>
                <w:p w14:paraId="4324F3E6">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861" w:type="pct"/>
                  <w:tcBorders>
                    <w:tl2br w:val="nil"/>
                    <w:tr2bl w:val="nil"/>
                  </w:tcBorders>
                  <w:shd w:val="clear" w:color="auto" w:fill="FFFFFF" w:themeFill="background1"/>
                  <w:vAlign w:val="center"/>
                </w:tcPr>
                <w:p w14:paraId="5254DB5D">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c>
                <w:tcPr>
                  <w:tcW w:w="819" w:type="pct"/>
                  <w:tcBorders>
                    <w:tl2br w:val="nil"/>
                    <w:tr2bl w:val="nil"/>
                  </w:tcBorders>
                  <w:shd w:val="clear" w:color="auto" w:fill="FFFFFF" w:themeFill="background1"/>
                  <w:vAlign w:val="center"/>
                </w:tcPr>
                <w:p w14:paraId="1DADAFA3">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w:t>
                  </w:r>
                </w:p>
              </w:tc>
            </w:tr>
          </w:tbl>
          <w:p w14:paraId="7BE2E480">
            <w:pPr>
              <w:keepNext w:val="0"/>
              <w:keepLines w:val="0"/>
              <w:pageBreakBefore w:val="0"/>
              <w:widowControl w:val="0"/>
              <w:numPr>
                <w:ilvl w:val="0"/>
                <w:numId w:val="0"/>
              </w:numPr>
              <w:kinsoku/>
              <w:wordWrap/>
              <w:overflowPunct/>
              <w:topLinePunct w:val="0"/>
              <w:autoSpaceDE/>
              <w:autoSpaceDN/>
              <w:bidi w:val="0"/>
              <w:adjustRightInd/>
              <w:snapToGrid/>
              <w:spacing w:before="157" w:beforeLines="50"/>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 2 \* GB2 \* MERGEFORMAT </w:instrText>
            </w:r>
            <w:r>
              <w:rPr>
                <w:rFonts w:hint="default" w:ascii="Times New Roman" w:hAnsi="Times New Roman" w:eastAsia="宋体" w:cs="Times New Roman"/>
                <w:b w:val="0"/>
                <w:bCs w:val="0"/>
                <w:color w:val="auto"/>
                <w:sz w:val="24"/>
                <w:szCs w:val="24"/>
              </w:rPr>
              <w:fldChar w:fldCharType="separate"/>
            </w:r>
            <w:r>
              <w:rPr>
                <w:b w:val="0"/>
                <w:bCs w:val="0"/>
              </w:rPr>
              <w:t>⑵</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t>声环境</w:t>
            </w:r>
          </w:p>
          <w:p w14:paraId="6925DA8F">
            <w:pPr>
              <w:spacing w:line="360" w:lineRule="auto"/>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项目所在区域声环境</w:t>
            </w:r>
            <w:r>
              <w:rPr>
                <w:rFonts w:hint="eastAsia" w:cs="Times New Roman"/>
                <w:color w:val="auto"/>
                <w:sz w:val="24"/>
                <w:szCs w:val="24"/>
                <w:lang w:val="en-US" w:eastAsia="zh-CN"/>
              </w:rPr>
              <w:t>质量</w:t>
            </w:r>
            <w:r>
              <w:rPr>
                <w:rFonts w:hint="default" w:ascii="Times New Roman" w:hAnsi="Times New Roman" w:eastAsia="宋体" w:cs="Times New Roman"/>
                <w:color w:val="auto"/>
                <w:sz w:val="24"/>
                <w:szCs w:val="24"/>
              </w:rPr>
              <w:t>现状应分别执行《声环境质量标准》（GB3096-2008）中的2类标准限值，具体见下表。</w:t>
            </w:r>
          </w:p>
          <w:p w14:paraId="30ACBB54">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w:t>
            </w:r>
            <w:r>
              <w:rPr>
                <w:rFonts w:hint="eastAsia" w:ascii="Times New Roman" w:cs="Times New Roman"/>
                <w:b/>
                <w:bCs/>
                <w:color w:val="auto"/>
                <w:sz w:val="24"/>
                <w:szCs w:val="24"/>
                <w:lang w:val="en-US" w:eastAsia="zh-CN"/>
              </w:rPr>
              <w:t>7</w:t>
            </w:r>
            <w:r>
              <w:rPr>
                <w:rFonts w:hint="default" w:ascii="Times New Roman" w:hAnsi="Times New Roman" w:eastAsia="宋体" w:cs="Times New Roman"/>
                <w:b/>
                <w:bCs/>
                <w:color w:val="auto"/>
                <w:sz w:val="24"/>
                <w:szCs w:val="24"/>
              </w:rPr>
              <w:t>声环境质量标准限值（dB（A））</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392"/>
              <w:gridCol w:w="1779"/>
              <w:gridCol w:w="1525"/>
              <w:gridCol w:w="1974"/>
            </w:tblGrid>
            <w:tr w14:paraId="6AD9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1" w:hRule="atLeast"/>
              </w:trPr>
              <w:tc>
                <w:tcPr>
                  <w:tcW w:w="1559" w:type="pct"/>
                  <w:tcBorders>
                    <w:tl2br w:val="nil"/>
                    <w:tr2bl w:val="nil"/>
                  </w:tcBorders>
                  <w:shd w:val="clear" w:color="auto" w:fill="FFFFFF" w:themeFill="background1"/>
                  <w:vAlign w:val="center"/>
                </w:tcPr>
                <w:p w14:paraId="311F59FF">
                  <w:pPr>
                    <w:pStyle w:val="4"/>
                    <w:numPr>
                      <w:ilvl w:val="1"/>
                      <w:numId w:val="0"/>
                    </w:numPr>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位置</w:t>
                  </w:r>
                </w:p>
              </w:tc>
              <w:tc>
                <w:tcPr>
                  <w:tcW w:w="1159" w:type="pct"/>
                  <w:tcBorders>
                    <w:tl2br w:val="nil"/>
                    <w:tr2bl w:val="nil"/>
                  </w:tcBorders>
                  <w:shd w:val="clear" w:color="auto" w:fill="FFFFFF" w:themeFill="background1"/>
                  <w:vAlign w:val="center"/>
                </w:tcPr>
                <w:p w14:paraId="71FC2EE2">
                  <w:pPr>
                    <w:pStyle w:val="4"/>
                    <w:numPr>
                      <w:ilvl w:val="1"/>
                      <w:numId w:val="0"/>
                    </w:num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昼间限值</w:t>
                  </w:r>
                </w:p>
              </w:tc>
              <w:tc>
                <w:tcPr>
                  <w:tcW w:w="994" w:type="pct"/>
                  <w:tcBorders>
                    <w:tl2br w:val="nil"/>
                    <w:tr2bl w:val="nil"/>
                  </w:tcBorders>
                  <w:shd w:val="clear" w:color="auto" w:fill="FFFFFF" w:themeFill="background1"/>
                  <w:vAlign w:val="center"/>
                </w:tcPr>
                <w:p w14:paraId="6B1E018A">
                  <w:pPr>
                    <w:pStyle w:val="4"/>
                    <w:numPr>
                      <w:ilvl w:val="1"/>
                      <w:numId w:val="0"/>
                    </w:num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夜间限值</w:t>
                  </w:r>
                </w:p>
              </w:tc>
              <w:tc>
                <w:tcPr>
                  <w:tcW w:w="1286" w:type="pct"/>
                  <w:tcBorders>
                    <w:tl2br w:val="nil"/>
                    <w:tr2bl w:val="nil"/>
                  </w:tcBorders>
                  <w:shd w:val="clear" w:color="auto" w:fill="FFFFFF" w:themeFill="background1"/>
                  <w:vAlign w:val="center"/>
                </w:tcPr>
                <w:p w14:paraId="3DB9547C">
                  <w:pPr>
                    <w:pStyle w:val="4"/>
                    <w:numPr>
                      <w:ilvl w:val="1"/>
                      <w:numId w:val="0"/>
                    </w:numPr>
                    <w:spacing w:line="240" w:lineRule="auto"/>
                    <w:ind w:left="0" w:lef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r>
            <w:tr w14:paraId="1944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559" w:type="pct"/>
                  <w:tcBorders>
                    <w:tl2br w:val="nil"/>
                    <w:tr2bl w:val="nil"/>
                  </w:tcBorders>
                  <w:shd w:val="clear" w:color="auto" w:fill="FFFFFF" w:themeFill="background1"/>
                  <w:vAlign w:val="center"/>
                </w:tcPr>
                <w:p w14:paraId="2680B83B">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厂界</w:t>
                  </w:r>
                  <w:r>
                    <w:rPr>
                      <w:rFonts w:hint="eastAsia" w:ascii="Times New Roman" w:hAnsi="Times New Roman" w:cs="Times New Roman"/>
                      <w:b w:val="0"/>
                      <w:bCs w:val="0"/>
                      <w:color w:val="auto"/>
                      <w:sz w:val="21"/>
                      <w:szCs w:val="21"/>
                      <w:lang w:val="en-US" w:eastAsia="zh-CN"/>
                    </w:rPr>
                    <w:t>四周</w:t>
                  </w:r>
                </w:p>
              </w:tc>
              <w:tc>
                <w:tcPr>
                  <w:tcW w:w="1159" w:type="pct"/>
                  <w:tcBorders>
                    <w:tl2br w:val="nil"/>
                    <w:tr2bl w:val="nil"/>
                  </w:tcBorders>
                  <w:shd w:val="clear" w:color="auto" w:fill="FFFFFF" w:themeFill="background1"/>
                  <w:vAlign w:val="center"/>
                </w:tcPr>
                <w:p w14:paraId="29572196">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60</w:t>
                  </w:r>
                </w:p>
              </w:tc>
              <w:tc>
                <w:tcPr>
                  <w:tcW w:w="994" w:type="pct"/>
                  <w:tcBorders>
                    <w:tl2br w:val="nil"/>
                    <w:tr2bl w:val="nil"/>
                  </w:tcBorders>
                  <w:shd w:val="clear" w:color="auto" w:fill="FFFFFF" w:themeFill="background1"/>
                  <w:vAlign w:val="center"/>
                </w:tcPr>
                <w:p w14:paraId="27656F61">
                  <w:pPr>
                    <w:pStyle w:val="4"/>
                    <w:numPr>
                      <w:ilvl w:val="1"/>
                      <w:numId w:val="0"/>
                    </w:num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50</w:t>
                  </w:r>
                </w:p>
              </w:tc>
              <w:tc>
                <w:tcPr>
                  <w:tcW w:w="1286" w:type="pct"/>
                  <w:tcBorders>
                    <w:tl2br w:val="nil"/>
                    <w:tr2bl w:val="nil"/>
                  </w:tcBorders>
                  <w:shd w:val="clear" w:color="auto" w:fill="FFFFFF" w:themeFill="background1"/>
                  <w:vAlign w:val="center"/>
                </w:tcPr>
                <w:p w14:paraId="73E9888B">
                  <w:pPr>
                    <w:pStyle w:val="4"/>
                    <w:numPr>
                      <w:ilvl w:val="1"/>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2类</w:t>
                  </w:r>
                </w:p>
              </w:tc>
            </w:tr>
          </w:tbl>
          <w:p w14:paraId="40706EC2">
            <w:pPr>
              <w:pStyle w:val="3"/>
              <w:keepNext/>
              <w:keepLines w:val="0"/>
              <w:pageBreakBefore w:val="0"/>
              <w:widowControl w:val="0"/>
              <w:numPr>
                <w:ilvl w:val="0"/>
                <w:numId w:val="0"/>
              </w:numPr>
              <w:kinsoku/>
              <w:wordWrap/>
              <w:overflowPunct w:val="0"/>
              <w:topLinePunct w:val="0"/>
              <w:autoSpaceDE/>
              <w:autoSpaceDN/>
              <w:bidi w:val="0"/>
              <w:adjustRightInd/>
              <w:snapToGrid w:val="0"/>
              <w:ind w:firstLine="480" w:firstLineChars="200"/>
              <w:textAlignment w:val="auto"/>
              <w:rPr>
                <w:rFonts w:hint="default" w:ascii="Times New Roman" w:hAnsi="Times New Roman" w:eastAsia="宋体" w:cs="Times New Roman"/>
                <w:b w:val="0"/>
                <w:bCs w:val="0"/>
                <w:color w:val="auto"/>
                <w:sz w:val="24"/>
                <w:szCs w:val="24"/>
              </w:rPr>
            </w:pPr>
            <w:r>
              <w:rPr>
                <w:rFonts w:hint="eastAsia"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rPr>
              <w:t>污染物排放标准</w:t>
            </w:r>
          </w:p>
          <w:p w14:paraId="3AC2BA51">
            <w:pPr>
              <w:pageBreakBefore w:val="0"/>
              <w:widowControl w:val="0"/>
              <w:numPr>
                <w:ilvl w:val="0"/>
                <w:numId w:val="0"/>
              </w:numPr>
              <w:kinsoku/>
              <w:wordWrap/>
              <w:topLinePunct w:val="0"/>
              <w:autoSpaceDE/>
              <w:autoSpaceDN/>
              <w:bidi w:val="0"/>
              <w:adjustRightInd/>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 1 \* GB2 \* MERGEFORMAT </w:instrText>
            </w:r>
            <w:r>
              <w:rPr>
                <w:rFonts w:hint="default" w:ascii="Times New Roman" w:hAnsi="Times New Roman" w:eastAsia="宋体" w:cs="Times New Roman"/>
                <w:b/>
                <w:bCs/>
                <w:color w:val="auto"/>
                <w:sz w:val="24"/>
                <w:szCs w:val="24"/>
              </w:rPr>
              <w:fldChar w:fldCharType="separate"/>
            </w:r>
            <w:r>
              <w:rPr>
                <w:b/>
                <w:bCs/>
              </w:rPr>
              <w:t>⑴</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大气</w:t>
            </w:r>
          </w:p>
          <w:p w14:paraId="21F49849">
            <w:pPr>
              <w:spacing w:line="360" w:lineRule="auto"/>
              <w:ind w:firstLine="480" w:firstLineChars="200"/>
              <w:jc w:val="both"/>
              <w:rPr>
                <w:rFonts w:hint="default" w:ascii="Times New Roman" w:hAnsi="Times New Roman" w:cs="Times New Roman"/>
                <w:b/>
                <w:bCs/>
                <w:color w:val="auto"/>
                <w:sz w:val="21"/>
                <w:szCs w:val="21"/>
              </w:rPr>
            </w:pPr>
            <w:r>
              <w:rPr>
                <w:rFonts w:hint="default" w:ascii="Times New Roman" w:hAnsi="Times New Roman" w:cs="Times New Roman"/>
                <w:color w:val="auto"/>
                <w:sz w:val="24"/>
              </w:rPr>
              <w:t>①施工扬尘执行《施工场界扬尘排放限值》（DB61/1078-2017）标准，具体工场界扬尘（总悬浮颗粒物）浓度标准限值</w:t>
            </w:r>
            <w:r>
              <w:rPr>
                <w:rFonts w:hint="default" w:ascii="Times New Roman" w:hAnsi="Times New Roman" w:cs="Times New Roman"/>
                <w:color w:val="auto"/>
                <w:kern w:val="0"/>
                <w:sz w:val="24"/>
              </w:rPr>
              <w:t>见表</w:t>
            </w:r>
            <w:r>
              <w:rPr>
                <w:rFonts w:hint="default" w:ascii="Times New Roman" w:hAnsi="Times New Roman" w:eastAsia="TimesNewRomanPSMT" w:cs="Times New Roman"/>
                <w:color w:val="auto"/>
                <w:kern w:val="0"/>
                <w:sz w:val="24"/>
              </w:rPr>
              <w:t>3-</w:t>
            </w:r>
            <w:r>
              <w:rPr>
                <w:rFonts w:hint="default" w:ascii="Times New Roman" w:hAnsi="Times New Roman" w:eastAsia="宋体" w:cs="Times New Roman"/>
                <w:color w:val="auto"/>
                <w:kern w:val="0"/>
                <w:sz w:val="24"/>
                <w:lang w:val="en-US" w:eastAsia="zh-CN"/>
              </w:rPr>
              <w:t>7</w:t>
            </w:r>
            <w:r>
              <w:rPr>
                <w:rFonts w:hint="default" w:ascii="Times New Roman" w:hAnsi="Times New Roman" w:cs="Times New Roman"/>
                <w:color w:val="auto"/>
                <w:sz w:val="24"/>
              </w:rPr>
              <w:t>。</w:t>
            </w:r>
          </w:p>
          <w:p w14:paraId="27D2F76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4"/>
                <w:szCs w:val="24"/>
              </w:rPr>
              <w:t>表3-</w:t>
            </w:r>
            <w:r>
              <w:rPr>
                <w:rFonts w:hint="eastAsia" w:cs="Times New Roman"/>
                <w:b/>
                <w:bCs/>
                <w:color w:val="auto"/>
                <w:sz w:val="24"/>
                <w:szCs w:val="24"/>
                <w:lang w:val="en-US" w:eastAsia="zh-CN"/>
              </w:rPr>
              <w:t>8</w:t>
            </w:r>
            <w:r>
              <w:rPr>
                <w:rFonts w:hint="default" w:ascii="Times New Roman" w:hAnsi="Times New Roman" w:cs="Times New Roman"/>
                <w:b/>
                <w:bCs/>
                <w:color w:val="auto"/>
                <w:sz w:val="24"/>
                <w:szCs w:val="24"/>
              </w:rPr>
              <w:t>施工场界扬尘（总悬浮颗粒物）浓度限值</w:t>
            </w:r>
          </w:p>
          <w:tbl>
            <w:tblPr>
              <w:tblStyle w:val="24"/>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5"/>
              <w:gridCol w:w="2248"/>
              <w:gridCol w:w="3325"/>
            </w:tblGrid>
            <w:tr w14:paraId="3A30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pct"/>
                  <w:noWrap w:val="0"/>
                  <w:vAlign w:val="center"/>
                </w:tcPr>
                <w:p w14:paraId="3759CC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1468" w:type="pct"/>
                  <w:noWrap w:val="0"/>
                  <w:vAlign w:val="center"/>
                </w:tcPr>
                <w:p w14:paraId="71DF95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监控点</w:t>
                  </w:r>
                </w:p>
              </w:tc>
              <w:tc>
                <w:tcPr>
                  <w:tcW w:w="2169" w:type="pct"/>
                  <w:noWrap w:val="0"/>
                  <w:vAlign w:val="center"/>
                </w:tcPr>
                <w:p w14:paraId="26A4A3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小时平均浓度限值（mg/m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r>
            <w:tr w14:paraId="2F96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pct"/>
                  <w:noWrap w:val="0"/>
                  <w:vAlign w:val="center"/>
                </w:tcPr>
                <w:p w14:paraId="6039B2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施工扬尘（即总悬浮颗粒物TSP）</w:t>
                  </w:r>
                </w:p>
              </w:tc>
              <w:tc>
                <w:tcPr>
                  <w:tcW w:w="1468" w:type="pct"/>
                  <w:noWrap w:val="0"/>
                  <w:vAlign w:val="center"/>
                </w:tcPr>
                <w:p w14:paraId="109338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周界外浓度最高点</w:t>
                  </w:r>
                </w:p>
              </w:tc>
              <w:tc>
                <w:tcPr>
                  <w:tcW w:w="2169" w:type="pct"/>
                  <w:noWrap w:val="0"/>
                  <w:vAlign w:val="center"/>
                </w:tcPr>
                <w:p w14:paraId="4FF0DD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w:t>
                  </w:r>
                </w:p>
              </w:tc>
            </w:tr>
            <w:tr w14:paraId="112D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noWrap w:val="0"/>
                  <w:vAlign w:val="center"/>
                </w:tcPr>
                <w:p w14:paraId="6113513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说明：周界外浓度最高点一般应设置于无组织排放源下风向的单位周界外10m范围内，若预计无组织排放的最大落地浓度点超出10m范围，可将监控点移至该预计浓度最高点附近。</w:t>
                  </w:r>
                </w:p>
              </w:tc>
            </w:tr>
          </w:tbl>
          <w:p w14:paraId="104871C4">
            <w:pPr>
              <w:pStyle w:val="4"/>
              <w:pageBreakBefore w:val="0"/>
              <w:widowControl w:val="0"/>
              <w:numPr>
                <w:ilvl w:val="0"/>
                <w:numId w:val="0"/>
              </w:numPr>
              <w:kinsoku/>
              <w:wordWrap/>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运营期</w:t>
            </w:r>
            <w:r>
              <w:rPr>
                <w:rFonts w:hint="eastAsia" w:ascii="Times New Roman" w:hAnsi="Times New Roman" w:cs="Times New Roman"/>
                <w:color w:val="auto"/>
                <w:sz w:val="24"/>
                <w:szCs w:val="24"/>
                <w:lang w:val="en-US" w:eastAsia="zh-CN"/>
              </w:rPr>
              <w:t>大气颗粒物</w:t>
            </w:r>
            <w:r>
              <w:rPr>
                <w:rFonts w:hint="default" w:ascii="Times New Roman" w:hAnsi="Times New Roman" w:eastAsia="宋体" w:cs="Times New Roman"/>
                <w:color w:val="auto"/>
                <w:sz w:val="24"/>
                <w:szCs w:val="24"/>
              </w:rPr>
              <w:t>污染物排放执行《大气污染物综合排放标准》（GB16297-1996）无组织排放浓度限值</w:t>
            </w:r>
            <w:r>
              <w:rPr>
                <w:rFonts w:hint="default" w:ascii="Times New Roman" w:hAnsi="Times New Roman" w:eastAsia="宋体" w:cs="Times New Roman"/>
                <w:sz w:val="24"/>
                <w:szCs w:val="24"/>
              </w:rPr>
              <w:t>。</w:t>
            </w:r>
          </w:p>
          <w:p w14:paraId="57E7780E">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w:t>
            </w:r>
            <w:r>
              <w:rPr>
                <w:rFonts w:hint="eastAsia" w:cs="Times New Roman"/>
                <w:b/>
                <w:bCs/>
                <w:color w:val="auto"/>
                <w:sz w:val="24"/>
                <w:szCs w:val="24"/>
                <w:lang w:val="en-US" w:eastAsia="zh-CN"/>
              </w:rPr>
              <w:t>9</w:t>
            </w:r>
            <w:r>
              <w:rPr>
                <w:rFonts w:hint="default" w:ascii="Times New Roman" w:hAnsi="Times New Roman" w:eastAsia="宋体" w:cs="Times New Roman"/>
                <w:b/>
                <w:bCs/>
                <w:color w:val="auto"/>
                <w:sz w:val="24"/>
                <w:szCs w:val="24"/>
              </w:rPr>
              <w:t>大气污染物排放标准限值一览表</w:t>
            </w:r>
          </w:p>
          <w:tbl>
            <w:tblPr>
              <w:tblStyle w:val="2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264"/>
              <w:gridCol w:w="1253"/>
              <w:gridCol w:w="1191"/>
              <w:gridCol w:w="2828"/>
            </w:tblGrid>
            <w:tr w14:paraId="5315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34" w:type="pct"/>
                  <w:tcBorders>
                    <w:tl2br w:val="nil"/>
                    <w:tr2bl w:val="nil"/>
                  </w:tcBorders>
                  <w:shd w:val="clear" w:color="auto" w:fill="auto"/>
                  <w:vAlign w:val="center"/>
                </w:tcPr>
                <w:p w14:paraId="5AB77677">
                  <w:pPr>
                    <w:widowControl/>
                    <w:wordWrap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污染因子</w:t>
                  </w:r>
                </w:p>
              </w:tc>
              <w:tc>
                <w:tcPr>
                  <w:tcW w:w="824" w:type="pct"/>
                  <w:tcBorders>
                    <w:tl2br w:val="nil"/>
                    <w:tr2bl w:val="nil"/>
                  </w:tcBorders>
                  <w:shd w:val="clear" w:color="auto" w:fill="auto"/>
                  <w:vAlign w:val="center"/>
                </w:tcPr>
                <w:p w14:paraId="105A86BF">
                  <w:pPr>
                    <w:widowControl/>
                    <w:wordWrap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排气筒高度（m）</w:t>
                  </w:r>
                </w:p>
              </w:tc>
              <w:tc>
                <w:tcPr>
                  <w:tcW w:w="817" w:type="pct"/>
                  <w:tcBorders>
                    <w:tl2br w:val="nil"/>
                    <w:tr2bl w:val="nil"/>
                  </w:tcBorders>
                  <w:shd w:val="clear" w:color="auto" w:fill="auto"/>
                  <w:vAlign w:val="center"/>
                </w:tcPr>
                <w:p w14:paraId="554AFB51">
                  <w:pPr>
                    <w:widowControl/>
                    <w:wordWrap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排放限值</w:t>
                  </w:r>
                </w:p>
                <w:p w14:paraId="67F1AAC7">
                  <w:pPr>
                    <w:widowControl/>
                    <w:wordWrap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777" w:type="pct"/>
                  <w:tcBorders>
                    <w:tl2br w:val="nil"/>
                    <w:tr2bl w:val="nil"/>
                  </w:tcBorders>
                  <w:shd w:val="clear" w:color="auto" w:fill="auto"/>
                  <w:vAlign w:val="center"/>
                </w:tcPr>
                <w:p w14:paraId="665BD5EA">
                  <w:pPr>
                    <w:widowControl/>
                    <w:wordWrap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排放速率</w:t>
                  </w:r>
                </w:p>
                <w:p w14:paraId="6034F313">
                  <w:pPr>
                    <w:widowControl/>
                    <w:wordWrap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（kg/h）</w:t>
                  </w:r>
                </w:p>
              </w:tc>
              <w:tc>
                <w:tcPr>
                  <w:tcW w:w="1844" w:type="pct"/>
                  <w:tcBorders>
                    <w:tl2br w:val="nil"/>
                    <w:tr2bl w:val="nil"/>
                  </w:tcBorders>
                  <w:shd w:val="clear" w:color="auto" w:fill="auto"/>
                  <w:vAlign w:val="center"/>
                </w:tcPr>
                <w:p w14:paraId="40E242EC">
                  <w:pPr>
                    <w:widowControl/>
                    <w:wordWrap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14:paraId="0DE7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34" w:type="pct"/>
                  <w:tcBorders>
                    <w:tl2br w:val="nil"/>
                    <w:tr2bl w:val="nil"/>
                  </w:tcBorders>
                  <w:vAlign w:val="center"/>
                </w:tcPr>
                <w:p w14:paraId="7E8AD825">
                  <w:pPr>
                    <w:widowControl/>
                    <w:wordWrap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颗粒物</w:t>
                  </w:r>
                </w:p>
              </w:tc>
              <w:tc>
                <w:tcPr>
                  <w:tcW w:w="824" w:type="pct"/>
                  <w:tcBorders>
                    <w:tl2br w:val="nil"/>
                    <w:tr2bl w:val="nil"/>
                  </w:tcBorders>
                  <w:vAlign w:val="center"/>
                </w:tcPr>
                <w:p w14:paraId="700F89F8">
                  <w:pPr>
                    <w:widowControl/>
                    <w:wordWrap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817" w:type="pct"/>
                  <w:tcBorders>
                    <w:tl2br w:val="nil"/>
                    <w:tr2bl w:val="nil"/>
                  </w:tcBorders>
                  <w:vAlign w:val="center"/>
                </w:tcPr>
                <w:p w14:paraId="6C98DDE5">
                  <w:pPr>
                    <w:widowControl/>
                    <w:wordWrap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1</w:t>
                  </w:r>
                  <w:r>
                    <w:rPr>
                      <w:rFonts w:hint="eastAsia" w:cs="Times New Roman"/>
                      <w:b w:val="0"/>
                      <w:bCs w:val="0"/>
                      <w:color w:val="auto"/>
                      <w:sz w:val="21"/>
                      <w:szCs w:val="21"/>
                      <w:lang w:val="en-US" w:eastAsia="zh-CN"/>
                    </w:rPr>
                    <w:t>.0</w:t>
                  </w:r>
                </w:p>
              </w:tc>
              <w:tc>
                <w:tcPr>
                  <w:tcW w:w="777" w:type="pct"/>
                  <w:tcBorders>
                    <w:tl2br w:val="nil"/>
                    <w:tr2bl w:val="nil"/>
                  </w:tcBorders>
                  <w:vAlign w:val="center"/>
                </w:tcPr>
                <w:p w14:paraId="033D360E">
                  <w:pPr>
                    <w:widowControl/>
                    <w:wordWrap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844" w:type="pct"/>
                  <w:tcBorders>
                    <w:tl2br w:val="nil"/>
                    <w:tr2bl w:val="nil"/>
                  </w:tcBorders>
                  <w:vAlign w:val="center"/>
                </w:tcPr>
                <w:p w14:paraId="2AE3F51C">
                  <w:pPr>
                    <w:widowControl/>
                    <w:wordWrap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《大气污染物综合排放标准》（GB16297-1996）</w:t>
                  </w:r>
                </w:p>
              </w:tc>
            </w:tr>
          </w:tbl>
          <w:p w14:paraId="727C95C1">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 2 \* GB2 \* MERGEFORMAT </w:instrText>
            </w:r>
            <w:r>
              <w:rPr>
                <w:rFonts w:hint="default" w:ascii="Times New Roman" w:hAnsi="Times New Roman" w:eastAsia="宋体" w:cs="Times New Roman"/>
                <w:b/>
                <w:bCs/>
                <w:color w:val="auto"/>
                <w:sz w:val="24"/>
                <w:szCs w:val="24"/>
              </w:rPr>
              <w:fldChar w:fldCharType="separate"/>
            </w:r>
            <w:r>
              <w:rPr>
                <w:b/>
                <w:bCs/>
              </w:rPr>
              <w:t>⑵</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噪声</w:t>
            </w:r>
          </w:p>
          <w:p w14:paraId="4C3F4ECD">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施工噪声执行《建筑施工场界环境噪声排放标准》（GB12523-2011）标准，具体施工期噪声执行标准见表3-</w:t>
            </w:r>
            <w:r>
              <w:rPr>
                <w:rFonts w:hint="default" w:ascii="Times New Roman" w:hAnsi="Times New Roman" w:eastAsia="宋体" w:cs="Times New Roman"/>
                <w:color w:val="auto"/>
                <w:sz w:val="24"/>
                <w:lang w:val="en-US" w:eastAsia="zh-CN"/>
              </w:rPr>
              <w:t>11</w:t>
            </w:r>
            <w:r>
              <w:rPr>
                <w:rFonts w:hint="default" w:ascii="Times New Roman" w:hAnsi="Times New Roman" w:cs="Times New Roman"/>
                <w:color w:val="auto"/>
                <w:sz w:val="24"/>
              </w:rPr>
              <w:t>。</w:t>
            </w:r>
          </w:p>
          <w:p w14:paraId="22931DA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表3-</w:t>
            </w:r>
            <w:r>
              <w:rPr>
                <w:rFonts w:hint="default"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0</w:t>
            </w:r>
            <w:r>
              <w:rPr>
                <w:rFonts w:hint="default" w:ascii="Times New Roman" w:hAnsi="Times New Roman" w:cs="Times New Roman"/>
                <w:b/>
                <w:bCs/>
                <w:color w:val="auto"/>
                <w:sz w:val="24"/>
                <w:szCs w:val="24"/>
              </w:rPr>
              <w:t>《建筑施工场界环境噪声排放标准》（GB12523-2011）</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71"/>
              <w:gridCol w:w="3999"/>
            </w:tblGrid>
            <w:tr w14:paraId="52B0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noWrap w:val="0"/>
                  <w:vAlign w:val="center"/>
                </w:tcPr>
                <w:p w14:paraId="0E5B37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2607" w:type="pct"/>
                  <w:noWrap w:val="0"/>
                  <w:vAlign w:val="center"/>
                </w:tcPr>
                <w:p w14:paraId="34269F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14:paraId="6C15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noWrap w:val="0"/>
                  <w:vAlign w:val="center"/>
                </w:tcPr>
                <w:p w14:paraId="2C3E67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70dB（A）</w:t>
                  </w:r>
                </w:p>
              </w:tc>
              <w:tc>
                <w:tcPr>
                  <w:tcW w:w="2607" w:type="pct"/>
                  <w:noWrap w:val="0"/>
                  <w:vAlign w:val="center"/>
                </w:tcPr>
                <w:p w14:paraId="6759E6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55dB（A）</w:t>
                  </w:r>
                </w:p>
              </w:tc>
            </w:tr>
          </w:tbl>
          <w:p w14:paraId="1A7E17F7">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运营期</w:t>
            </w:r>
            <w:r>
              <w:rPr>
                <w:rFonts w:hint="eastAsia" w:cs="Times New Roman"/>
                <w:color w:val="auto"/>
                <w:sz w:val="24"/>
                <w:szCs w:val="24"/>
                <w:lang w:val="en-US" w:eastAsia="zh-CN"/>
              </w:rPr>
              <w:t>厂界处</w:t>
            </w:r>
            <w:r>
              <w:rPr>
                <w:rFonts w:hint="default" w:ascii="Times New Roman" w:hAnsi="Times New Roman" w:eastAsia="宋体" w:cs="Times New Roman"/>
                <w:color w:val="auto"/>
                <w:sz w:val="24"/>
                <w:szCs w:val="24"/>
              </w:rPr>
              <w:t>噪声排放</w:t>
            </w:r>
            <w:r>
              <w:rPr>
                <w:rFonts w:hint="eastAsia" w:eastAsia="宋体" w:cs="Times New Roman"/>
                <w:color w:val="auto"/>
                <w:sz w:val="24"/>
                <w:szCs w:val="24"/>
                <w:lang w:val="en-US" w:eastAsia="zh-CN"/>
              </w:rPr>
              <w:t>标准</w:t>
            </w:r>
            <w:r>
              <w:rPr>
                <w:rFonts w:hint="default" w:ascii="Times New Roman" w:hAnsi="Times New Roman" w:eastAsia="宋体" w:cs="Times New Roman"/>
                <w:color w:val="auto"/>
                <w:sz w:val="24"/>
                <w:szCs w:val="24"/>
              </w:rPr>
              <w:t>分别执行《工业企业厂界环境噪声排放标准》（GB12348-2008）中的2类标准。</w:t>
            </w:r>
          </w:p>
          <w:p w14:paraId="6BB9A866">
            <w:pPr>
              <w:pStyle w:val="56"/>
              <w:keepNext w:val="0"/>
              <w:keepLines w:val="0"/>
              <w:pageBreakBefore w:val="0"/>
              <w:widowControl w:val="0"/>
              <w:kinsoku/>
              <w:wordWrap/>
              <w:overflowPunct/>
              <w:topLinePunct w:val="0"/>
              <w:autoSpaceDE/>
              <w:autoSpaceDN/>
              <w:bidi w:val="0"/>
              <w:adjustRightInd/>
              <w:snapToGrid/>
              <w:spacing w:beforeLines="0" w:line="240" w:lineRule="auto"/>
              <w:ind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表3-</w:t>
            </w:r>
            <w:r>
              <w:rPr>
                <w:rFonts w:hint="eastAsia" w:eastAsia="宋体" w:cs="Times New Roman"/>
                <w:color w:val="auto"/>
                <w:sz w:val="24"/>
                <w:szCs w:val="24"/>
                <w:lang w:val="en-US" w:eastAsia="zh-CN"/>
              </w:rPr>
              <w:t>11</w:t>
            </w:r>
            <w:r>
              <w:rPr>
                <w:rFonts w:hint="default" w:ascii="Times New Roman" w:hAnsi="Times New Roman" w:eastAsia="宋体" w:cs="Times New Roman"/>
                <w:color w:val="auto"/>
                <w:sz w:val="24"/>
                <w:szCs w:val="24"/>
              </w:rPr>
              <w:t>噪声排放标准</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1"/>
              <w:gridCol w:w="903"/>
              <w:gridCol w:w="1458"/>
              <w:gridCol w:w="3362"/>
            </w:tblGrid>
            <w:tr w14:paraId="1121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pct"/>
                  <w:tcBorders>
                    <w:tl2br w:val="nil"/>
                    <w:tr2bl w:val="nil"/>
                  </w:tcBorders>
                  <w:shd w:val="clear" w:color="auto" w:fill="auto"/>
                </w:tcPr>
                <w:p w14:paraId="63D8DAD7">
                  <w:pPr>
                    <w:autoSpaceDE w:val="0"/>
                    <w:autoSpaceDN w:val="0"/>
                    <w:adjustRightInd w:val="0"/>
                    <w:snapToGrid w:val="0"/>
                    <w:spacing w:line="240" w:lineRule="auto"/>
                    <w:ind w:firstLine="0" w:firstLineChars="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项目</w:t>
                  </w:r>
                </w:p>
              </w:tc>
              <w:tc>
                <w:tcPr>
                  <w:tcW w:w="1540" w:type="pct"/>
                  <w:gridSpan w:val="2"/>
                  <w:tcBorders>
                    <w:tl2br w:val="nil"/>
                    <w:tr2bl w:val="nil"/>
                  </w:tcBorders>
                  <w:shd w:val="clear" w:color="auto" w:fill="auto"/>
                </w:tcPr>
                <w:p w14:paraId="3FC85AB7">
                  <w:pPr>
                    <w:autoSpaceDE w:val="0"/>
                    <w:autoSpaceDN w:val="0"/>
                    <w:adjustRightInd w:val="0"/>
                    <w:snapToGrid w:val="0"/>
                    <w:spacing w:line="240" w:lineRule="auto"/>
                    <w:ind w:firstLine="0" w:firstLineChars="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标准限值</w:t>
                  </w:r>
                </w:p>
              </w:tc>
              <w:tc>
                <w:tcPr>
                  <w:tcW w:w="2193" w:type="pct"/>
                  <w:tcBorders>
                    <w:tl2br w:val="nil"/>
                    <w:tr2bl w:val="nil"/>
                  </w:tcBorders>
                  <w:shd w:val="clear" w:color="auto" w:fill="auto"/>
                </w:tcPr>
                <w:p w14:paraId="3F5CEC0E">
                  <w:pPr>
                    <w:autoSpaceDE w:val="0"/>
                    <w:autoSpaceDN w:val="0"/>
                    <w:adjustRightInd w:val="0"/>
                    <w:snapToGrid w:val="0"/>
                    <w:spacing w:line="240" w:lineRule="auto"/>
                    <w:ind w:firstLine="0" w:firstLineChars="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标准来源</w:t>
                  </w:r>
                </w:p>
              </w:tc>
            </w:tr>
            <w:tr w14:paraId="4606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266" w:type="pct"/>
                  <w:vMerge w:val="restart"/>
                  <w:tcBorders>
                    <w:tl2br w:val="nil"/>
                    <w:tr2bl w:val="nil"/>
                  </w:tcBorders>
                  <w:vAlign w:val="center"/>
                </w:tcPr>
                <w:p w14:paraId="226D60E7">
                  <w:pPr>
                    <w:autoSpaceDE w:val="0"/>
                    <w:autoSpaceDN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lang w:val="en-US" w:eastAsia="zh-CN"/>
                    </w:rPr>
                    <w:t>厂界</w:t>
                  </w:r>
                </w:p>
              </w:tc>
              <w:tc>
                <w:tcPr>
                  <w:tcW w:w="589" w:type="pct"/>
                  <w:tcBorders>
                    <w:tl2br w:val="nil"/>
                    <w:tr2bl w:val="nil"/>
                  </w:tcBorders>
                  <w:vAlign w:val="center"/>
                </w:tcPr>
                <w:p w14:paraId="6FE7FE47">
                  <w:pPr>
                    <w:autoSpaceDE w:val="0"/>
                    <w:autoSpaceDN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昼间</w:t>
                  </w:r>
                </w:p>
              </w:tc>
              <w:tc>
                <w:tcPr>
                  <w:tcW w:w="951" w:type="pct"/>
                  <w:tcBorders>
                    <w:tl2br w:val="nil"/>
                    <w:tr2bl w:val="nil"/>
                  </w:tcBorders>
                  <w:vAlign w:val="center"/>
                </w:tcPr>
                <w:p w14:paraId="6A32A55B">
                  <w:pPr>
                    <w:autoSpaceDE w:val="0"/>
                    <w:autoSpaceDN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60dB(A)</w:t>
                  </w:r>
                </w:p>
              </w:tc>
              <w:tc>
                <w:tcPr>
                  <w:tcW w:w="2193" w:type="pct"/>
                  <w:vMerge w:val="restart"/>
                  <w:tcBorders>
                    <w:tl2br w:val="nil"/>
                    <w:tr2bl w:val="nil"/>
                  </w:tcBorders>
                  <w:vAlign w:val="center"/>
                </w:tcPr>
                <w:p w14:paraId="7315327F">
                  <w:pPr>
                    <w:autoSpaceDE w:val="0"/>
                    <w:autoSpaceDN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《工业企业厂界环境噪声排放标准》（GB21906-2008）中</w:t>
                  </w:r>
                  <w:r>
                    <w:rPr>
                      <w:rFonts w:hint="default" w:ascii="Times New Roman" w:hAnsi="Times New Roman" w:eastAsia="宋体" w:cs="Times New Roman"/>
                      <w:b w:val="0"/>
                      <w:bCs/>
                      <w:color w:val="auto"/>
                      <w:kern w:val="0"/>
                      <w:sz w:val="21"/>
                      <w:szCs w:val="21"/>
                      <w:lang w:val="en-US" w:eastAsia="zh-CN"/>
                    </w:rPr>
                    <w:t>2</w:t>
                  </w:r>
                  <w:r>
                    <w:rPr>
                      <w:rFonts w:hint="default" w:ascii="Times New Roman" w:hAnsi="Times New Roman" w:eastAsia="宋体" w:cs="Times New Roman"/>
                      <w:b w:val="0"/>
                      <w:bCs/>
                      <w:color w:val="auto"/>
                      <w:kern w:val="0"/>
                      <w:sz w:val="21"/>
                      <w:szCs w:val="21"/>
                    </w:rPr>
                    <w:t>类标准</w:t>
                  </w:r>
                </w:p>
              </w:tc>
            </w:tr>
            <w:tr w14:paraId="779A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266" w:type="pct"/>
                  <w:vMerge w:val="continue"/>
                  <w:tcBorders>
                    <w:tl2br w:val="nil"/>
                    <w:tr2bl w:val="nil"/>
                  </w:tcBorders>
                </w:tcPr>
                <w:p w14:paraId="468F0305">
                  <w:pPr>
                    <w:autoSpaceDE w:val="0"/>
                    <w:autoSpaceDN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c>
                <w:tcPr>
                  <w:tcW w:w="589" w:type="pct"/>
                  <w:tcBorders>
                    <w:tl2br w:val="nil"/>
                    <w:tr2bl w:val="nil"/>
                  </w:tcBorders>
                  <w:vAlign w:val="center"/>
                </w:tcPr>
                <w:p w14:paraId="6221C392">
                  <w:pPr>
                    <w:autoSpaceDE w:val="0"/>
                    <w:autoSpaceDN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夜间</w:t>
                  </w:r>
                </w:p>
              </w:tc>
              <w:tc>
                <w:tcPr>
                  <w:tcW w:w="951" w:type="pct"/>
                  <w:tcBorders>
                    <w:tl2br w:val="nil"/>
                    <w:tr2bl w:val="nil"/>
                  </w:tcBorders>
                  <w:vAlign w:val="center"/>
                </w:tcPr>
                <w:p w14:paraId="2B75B1D2">
                  <w:pPr>
                    <w:autoSpaceDE w:val="0"/>
                    <w:autoSpaceDN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50dB(A)</w:t>
                  </w:r>
                </w:p>
              </w:tc>
              <w:tc>
                <w:tcPr>
                  <w:tcW w:w="2193" w:type="pct"/>
                  <w:vMerge w:val="continue"/>
                  <w:tcBorders>
                    <w:tl2br w:val="nil"/>
                    <w:tr2bl w:val="nil"/>
                  </w:tcBorders>
                </w:tcPr>
                <w:p w14:paraId="0EFB04A9">
                  <w:pPr>
                    <w:autoSpaceDE w:val="0"/>
                    <w:autoSpaceDN w:val="0"/>
                    <w:adjustRightInd w:val="0"/>
                    <w:snapToGrid w:val="0"/>
                    <w:spacing w:line="240" w:lineRule="auto"/>
                    <w:ind w:firstLine="0" w:firstLineChars="0"/>
                    <w:jc w:val="center"/>
                    <w:rPr>
                      <w:rFonts w:hint="default" w:ascii="Times New Roman" w:hAnsi="Times New Roman" w:eastAsia="宋体" w:cs="Times New Roman"/>
                      <w:b w:val="0"/>
                      <w:bCs/>
                      <w:color w:val="auto"/>
                      <w:kern w:val="0"/>
                      <w:sz w:val="21"/>
                      <w:szCs w:val="21"/>
                    </w:rPr>
                  </w:pPr>
                </w:p>
              </w:tc>
            </w:tr>
          </w:tbl>
          <w:p w14:paraId="6920906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 3 \* GB2 \* MERGEFORMAT </w:instrText>
            </w:r>
            <w:r>
              <w:rPr>
                <w:rFonts w:hint="default" w:ascii="Times New Roman" w:hAnsi="Times New Roman" w:eastAsia="宋体" w:cs="Times New Roman"/>
                <w:b/>
                <w:bCs/>
                <w:color w:val="auto"/>
                <w:sz w:val="24"/>
                <w:szCs w:val="24"/>
              </w:rPr>
              <w:fldChar w:fldCharType="separate"/>
            </w:r>
            <w:r>
              <w:t>⑶</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固体废物</w:t>
            </w:r>
          </w:p>
          <w:p w14:paraId="64EBE59F">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rPr>
            </w:pPr>
            <w:r>
              <w:rPr>
                <w:rFonts w:hint="default" w:ascii="Times New Roman" w:hAnsi="Times New Roman" w:eastAsia="宋体" w:cs="Times New Roman"/>
                <w:color w:val="auto"/>
                <w:sz w:val="24"/>
                <w:szCs w:val="24"/>
                <w:lang w:eastAsia="zh-CN"/>
              </w:rPr>
              <w:t>《一般工业固体废物</w:t>
            </w:r>
            <w:r>
              <w:rPr>
                <w:rFonts w:hint="default" w:ascii="Times New Roman" w:hAnsi="Times New Roman" w:eastAsia="宋体" w:cs="Times New Roman"/>
                <w:color w:val="auto"/>
                <w:sz w:val="24"/>
                <w:szCs w:val="24"/>
              </w:rPr>
              <w:t>贮存</w:t>
            </w:r>
            <w:r>
              <w:rPr>
                <w:rFonts w:hint="default" w:ascii="Times New Roman" w:hAnsi="Times New Roman" w:eastAsia="宋体" w:cs="Times New Roman"/>
                <w:color w:val="auto"/>
                <w:sz w:val="24"/>
                <w:szCs w:val="24"/>
                <w:lang w:eastAsia="zh-CN"/>
              </w:rPr>
              <w:t>和填埋</w:t>
            </w:r>
            <w:r>
              <w:rPr>
                <w:rFonts w:hint="default" w:ascii="Times New Roman" w:hAnsi="Times New Roman" w:eastAsia="宋体" w:cs="Times New Roman"/>
                <w:color w:val="auto"/>
                <w:sz w:val="24"/>
                <w:szCs w:val="24"/>
              </w:rPr>
              <w:t>污染控制标准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GB18599-2020</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要求</w:t>
            </w:r>
            <w:r>
              <w:rPr>
                <w:rFonts w:hint="default" w:ascii="Times New Roman" w:hAnsi="Times New Roman" w:eastAsia="宋体" w:cs="Times New Roman"/>
                <w:color w:val="auto"/>
                <w:sz w:val="24"/>
                <w:szCs w:val="24"/>
              </w:rPr>
              <w:t>。危险废物的暂存设施执行《危险废物贮存污染控制标准》(GB18597-20</w:t>
            </w:r>
            <w:r>
              <w:rPr>
                <w:rFonts w:hint="default"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rPr>
              <w:t>)中相关规定</w:t>
            </w:r>
            <w:r>
              <w:rPr>
                <w:rFonts w:hint="default" w:ascii="Times New Roman" w:hAnsi="Times New Roman" w:eastAsia="宋体" w:cs="Times New Roman"/>
                <w:color w:val="auto"/>
                <w:sz w:val="24"/>
                <w:szCs w:val="24"/>
                <w:lang w:eastAsia="zh-CN"/>
              </w:rPr>
              <w:t>。</w:t>
            </w:r>
          </w:p>
        </w:tc>
      </w:tr>
      <w:tr w14:paraId="36A791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498" w:type="pct"/>
            <w:vAlign w:val="center"/>
          </w:tcPr>
          <w:p w14:paraId="2D9F8041">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FF0000"/>
                <w:kern w:val="0"/>
                <w:sz w:val="24"/>
                <w:szCs w:val="24"/>
              </w:rPr>
            </w:pPr>
            <w:r>
              <w:rPr>
                <w:rFonts w:hint="default" w:ascii="Times New Roman" w:hAnsi="Times New Roman" w:eastAsia="宋体" w:cs="Times New Roman"/>
                <w:color w:val="auto"/>
                <w:kern w:val="0"/>
                <w:sz w:val="24"/>
                <w:szCs w:val="24"/>
              </w:rPr>
              <w:t>总量控制指标</w:t>
            </w:r>
          </w:p>
        </w:tc>
        <w:tc>
          <w:tcPr>
            <w:tcW w:w="4501" w:type="pct"/>
            <w:vAlign w:val="center"/>
          </w:tcPr>
          <w:p w14:paraId="22A4E168">
            <w:pPr>
              <w:pStyle w:val="4"/>
              <w:pageBreakBefore w:val="0"/>
              <w:widowControl w:val="0"/>
              <w:numPr>
                <w:ilvl w:val="1"/>
                <w:numId w:val="0"/>
              </w:numPr>
              <w:kinsoku/>
              <w:wordWrap/>
              <w:overflowPunct/>
              <w:topLinePunct w:val="0"/>
              <w:autoSpaceDE/>
              <w:autoSpaceDN/>
              <w:bidi w:val="0"/>
              <w:spacing w:line="240" w:lineRule="auto"/>
              <w:jc w:val="center"/>
              <w:textAlignment w:val="auto"/>
              <w:rPr>
                <w:rFonts w:hint="default"/>
              </w:rPr>
            </w:pPr>
            <w:r>
              <w:rPr>
                <w:rFonts w:hint="default" w:ascii="Times New Roman" w:hAnsi="Times New Roman" w:eastAsia="宋体" w:cs="Times New Roman"/>
                <w:color w:val="000000"/>
                <w:kern w:val="0"/>
                <w:sz w:val="24"/>
                <w:szCs w:val="24"/>
                <w:lang w:val="en-US" w:eastAsia="zh-CN" w:bidi="ar"/>
              </w:rPr>
              <w:t>无</w:t>
            </w:r>
          </w:p>
        </w:tc>
      </w:tr>
    </w:tbl>
    <w:p w14:paraId="50102288">
      <w:pPr>
        <w:pStyle w:val="20"/>
        <w:adjustRightInd w:val="0"/>
        <w:snapToGrid w:val="0"/>
        <w:spacing w:before="0" w:beforeAutospacing="0" w:after="0" w:afterAutospacing="0" w:line="14" w:lineRule="auto"/>
        <w:jc w:val="center"/>
        <w:outlineLvl w:val="0"/>
        <w:rPr>
          <w:rFonts w:hint="default" w:ascii="Times New Roman" w:hAnsi="Times New Roman" w:eastAsia="宋体" w:cs="Times New Roman"/>
          <w:snapToGrid w:val="0"/>
          <w:color w:val="FF0000"/>
          <w:kern w:val="2"/>
          <w:sz w:val="36"/>
          <w:szCs w:val="36"/>
        </w:rPr>
      </w:pPr>
    </w:p>
    <w:p w14:paraId="643D0AAE">
      <w:pPr>
        <w:ind w:left="0" w:leftChars="0" w:firstLine="0" w:firstLineChars="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br w:type="page"/>
      </w:r>
    </w:p>
    <w:p w14:paraId="4EA368D0">
      <w:pPr>
        <w:pStyle w:val="20"/>
        <w:keepNext w:val="0"/>
        <w:keepLines w:val="0"/>
        <w:pageBreakBefore w:val="0"/>
        <w:widowControl/>
        <w:kinsoku/>
        <w:wordWrap/>
        <w:overflowPunct/>
        <w:topLinePunct w:val="0"/>
        <w:autoSpaceDE/>
        <w:autoSpaceDN/>
        <w:bidi w:val="0"/>
        <w:adjustRightInd/>
        <w:snapToGrid/>
        <w:spacing w:before="0" w:beforeAutospacing="0" w:after="0" w:afterAutospacing="0"/>
        <w:ind w:firstLine="482"/>
        <w:jc w:val="center"/>
        <w:textAlignment w:val="auto"/>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四、生态环境影响分析</w:t>
      </w:r>
    </w:p>
    <w:tbl>
      <w:tblPr>
        <w:tblStyle w:val="24"/>
        <w:tblW w:w="51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3"/>
        <w:gridCol w:w="7931"/>
      </w:tblGrid>
      <w:tr w14:paraId="2A496D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pct"/>
            <w:tcMar>
              <w:left w:w="28" w:type="dxa"/>
              <w:right w:w="28" w:type="dxa"/>
            </w:tcMar>
            <w:vAlign w:val="center"/>
          </w:tcPr>
          <w:p w14:paraId="509C3D42">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bookmarkStart w:id="3" w:name="_Hlk49796138"/>
          </w:p>
          <w:p w14:paraId="6D52D669">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108B95D4">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4ED322CC">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0506E789">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79E000CF">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5E1C01A5">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53771CC0">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07DC50CD">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5CB7C4CD">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26C58523">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39EE13C9">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E453AE4">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1CA6DF4A">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06F6F915">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5C1CAAC8">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78A69B69">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4BDD39DE">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2E69A7AD">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DEE253D">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EE0E797">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rPr>
              <w:t>施工期生态环境影响分析</w:t>
            </w:r>
            <w:bookmarkEnd w:id="3"/>
          </w:p>
          <w:p w14:paraId="52403082">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7575D0FA">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11221B62">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7C31E555">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5D4FB3C3">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2571C255">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E753785">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0813379F">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18933F9A">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5C8CEED3">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4B84FCDA">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2EDA5013">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C8FEDF5">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78376E95">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5AA41A93">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78688217">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2653B81">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0F1345AC">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8B371FB">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07780BC3">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4D7C9B3C">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2E7C2A4A">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2C198A7D">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1359AB4C">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D7B4672">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0E56517">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8319CFA">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2BA5655">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AB94A91">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25D4FEA2">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79D352E3">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494E820C">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8DEC39E">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482A08BF">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0C94E540">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C3A1BD8">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758CAAAC">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C63DFE0">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2A2E58FF">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3BDFFEC4">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22692928">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D06CA70">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7FCB7232">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144DB07B">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165F06FE">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579CF5F7">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455B3818">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3DE561D">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2982FA7B">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2FC1A726">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1520AF1F">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00586C4B">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7BB74827">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08D0BEF7">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34AF67AB">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19E7CEE">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113D129B">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9AF2B10">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3DC65FD3">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7B01E808">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49F8AD6B">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76962DDA">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685928C">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1919DF25">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5E11E087">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7F6F5437">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9FF69C8">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10047D42">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1D013D04">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207A515">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19802846">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07F8BAE4">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7A5ECB13">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spacing w:val="10"/>
                <w:kern w:val="2"/>
                <w:sz w:val="24"/>
                <w:szCs w:val="24"/>
              </w:rPr>
            </w:pPr>
          </w:p>
          <w:p w14:paraId="660C8213">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FF0000"/>
                <w:kern w:val="2"/>
                <w:sz w:val="24"/>
                <w:szCs w:val="24"/>
              </w:rPr>
            </w:pPr>
            <w:r>
              <w:rPr>
                <w:rFonts w:hint="default" w:ascii="Times New Roman" w:hAnsi="Times New Roman" w:eastAsia="宋体" w:cs="Times New Roman"/>
                <w:bCs/>
                <w:color w:val="auto"/>
                <w:spacing w:val="10"/>
                <w:kern w:val="2"/>
                <w:sz w:val="24"/>
                <w:szCs w:val="24"/>
              </w:rPr>
              <w:t>运营期生态环境影响分析</w:t>
            </w:r>
          </w:p>
        </w:tc>
        <w:tc>
          <w:tcPr>
            <w:tcW w:w="4524" w:type="pct"/>
          </w:tcPr>
          <w:p w14:paraId="27DFE542">
            <w:pPr>
              <w:pStyle w:val="55"/>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s="Times New Roman"/>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1.大气环境影响分析</w:t>
            </w:r>
          </w:p>
          <w:p w14:paraId="5C5F4D56">
            <w:pPr>
              <w:pStyle w:val="55"/>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施工现场不设混凝土拌和站，所需混凝土均由混凝土搅拌车运送至施工区。施工期对环境空气产生的影响主要为：土方的挖掘、堆放、清运，以及场地平整等过程中产生的粉尘；施工机械及运输车辆造成的地面扬尘；建筑材料在装卸、运输、堆放等过程中造成的扬尘；矿区预先采掘时，清理石英砂矿产生的粉尘；施工垃圾在堆放、清运过程中的扬尘，以及燃油设备产生的燃油废气。</w:t>
            </w:r>
          </w:p>
          <w:p w14:paraId="70371396">
            <w:pPr>
              <w:pStyle w:val="55"/>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cs="Times New Roman"/>
                <w:b/>
                <w:bCs/>
                <w:color w:val="000000" w:themeColor="text1"/>
                <w:sz w:val="24"/>
                <w:szCs w:val="24"/>
                <w:lang w:val="en-US" w:eastAsia="zh-CN"/>
                <w14:textFill>
                  <w14:solidFill>
                    <w14:schemeClr w14:val="tx1"/>
                  </w14:solidFill>
                </w14:textFill>
              </w:rPr>
            </w:pPr>
            <w:r>
              <w:rPr>
                <w:rFonts w:hint="default" w:cs="Times New Roman"/>
                <w:b/>
                <w:bCs/>
                <w:color w:val="000000" w:themeColor="text1"/>
                <w:sz w:val="24"/>
                <w:szCs w:val="24"/>
                <w:lang w:val="en-US" w:eastAsia="zh-CN"/>
                <w14:textFill>
                  <w14:solidFill>
                    <w14:schemeClr w14:val="tx1"/>
                  </w14:solidFill>
                </w14:textFill>
              </w:rPr>
              <w:t>1.1施工扬尘</w:t>
            </w:r>
          </w:p>
          <w:p w14:paraId="6DA2DD17">
            <w:pPr>
              <w:pStyle w:val="55"/>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场地平整、路基开挖、路基填筑、筑路材料的运输、装卸、摊铺等施工过程会产生大量扬尘，其起尘量视施工场地情况不同而不同，一般来说距施工场地200m范围内贴地环境空气中粉尘浓度可达5-20mg/m</w:t>
            </w:r>
            <w:r>
              <w:rPr>
                <w:rFonts w:hint="default" w:cs="Times New Roman"/>
                <w:color w:val="000000" w:themeColor="text1"/>
                <w:sz w:val="24"/>
                <w:szCs w:val="24"/>
                <w:vertAlign w:val="superscript"/>
                <w:lang w:val="en-US" w:eastAsia="zh-CN"/>
                <w14:textFill>
                  <w14:solidFill>
                    <w14:schemeClr w14:val="tx1"/>
                  </w14:solidFill>
                </w14:textFill>
              </w:rPr>
              <w:t>3</w:t>
            </w:r>
            <w:r>
              <w:rPr>
                <w:rFonts w:hint="default" w:cs="Times New Roman"/>
                <w:color w:val="000000" w:themeColor="text1"/>
                <w:sz w:val="24"/>
                <w:szCs w:val="24"/>
                <w:lang w:val="en-US" w:eastAsia="zh-CN"/>
                <w14:textFill>
                  <w14:solidFill>
                    <w14:schemeClr w14:val="tx1"/>
                  </w14:solidFill>
                </w14:textFill>
              </w:rPr>
              <w:t>，当施工区起风并且风速较大时，扬尘可以影响到距施工场地500m左右的范围；车辆运输土方过程中，若没有防护措施则会导致土方漏洒及出现风吹扬尘；漏洒在运输路线上的土覆盖路面，晒干后又因车辆的作用和风吹再次扬尘；粉状建筑材料运输、装卸、储存和使用过程也会产生扬尘；矿区预先采掘时，清理石英砂矿产生的粉尘；施工区在矿区范围内，先要将清理的石英砂矿堆放至指定的位置，清理及堆放过程也会产生粉尘</w:t>
            </w:r>
            <w:r>
              <w:rPr>
                <w:rFonts w:hint="eastAsia" w:cs="Times New Roman"/>
                <w:color w:val="000000" w:themeColor="text1"/>
                <w:sz w:val="24"/>
                <w:szCs w:val="24"/>
                <w:lang w:val="en-US" w:eastAsia="zh-CN"/>
                <w14:textFill>
                  <w14:solidFill>
                    <w14:schemeClr w14:val="tx1"/>
                  </w14:solidFill>
                </w14:textFill>
              </w:rPr>
              <w:t>。</w:t>
            </w:r>
          </w:p>
          <w:p w14:paraId="2E09AEC5">
            <w:pPr>
              <w:pStyle w:val="55"/>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cs="Times New Roman"/>
                <w:b/>
                <w:bCs/>
                <w:color w:val="000000" w:themeColor="text1"/>
                <w:sz w:val="24"/>
                <w:szCs w:val="24"/>
                <w:lang w:val="en-US" w:eastAsia="zh-CN"/>
                <w14:textFill>
                  <w14:solidFill>
                    <w14:schemeClr w14:val="tx1"/>
                  </w14:solidFill>
                </w14:textFill>
              </w:rPr>
            </w:pPr>
            <w:r>
              <w:rPr>
                <w:rFonts w:hint="default" w:cs="Times New Roman"/>
                <w:b/>
                <w:bCs/>
                <w:color w:val="000000" w:themeColor="text1"/>
                <w:sz w:val="24"/>
                <w:szCs w:val="24"/>
                <w:lang w:val="en-US" w:eastAsia="zh-CN"/>
                <w14:textFill>
                  <w14:solidFill>
                    <w14:schemeClr w14:val="tx1"/>
                  </w14:solidFill>
                </w14:textFill>
              </w:rPr>
              <w:t>1.2机械设备、运输车辆尾气</w:t>
            </w:r>
          </w:p>
          <w:p w14:paraId="26570224">
            <w:pPr>
              <w:pStyle w:val="55"/>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机械设备尾气主要来自各类燃油动力机械施工过程中排出的各种燃油废气，其主要污染物有CO、NO</w:t>
            </w:r>
            <w:r>
              <w:rPr>
                <w:rFonts w:hint="default" w:cs="Times New Roman"/>
                <w:color w:val="000000" w:themeColor="text1"/>
                <w:sz w:val="24"/>
                <w:szCs w:val="24"/>
                <w:vertAlign w:val="subscript"/>
                <w:lang w:val="en-US" w:eastAsia="zh-CN"/>
                <w14:textFill>
                  <w14:solidFill>
                    <w14:schemeClr w14:val="tx1"/>
                  </w14:solidFill>
                </w14:textFill>
              </w:rPr>
              <w:t>X</w:t>
            </w:r>
            <w:r>
              <w:rPr>
                <w:rFonts w:hint="default" w:cs="Times New Roman"/>
                <w:color w:val="000000" w:themeColor="text1"/>
                <w:sz w:val="24"/>
                <w:szCs w:val="24"/>
                <w:lang w:val="en-US" w:eastAsia="zh-CN"/>
                <w14:textFill>
                  <w14:solidFill>
                    <w14:schemeClr w14:val="tx1"/>
                  </w14:solidFill>
                </w14:textFill>
              </w:rPr>
              <w:t>和THC，由于施工的燃油机械为间歇作业，使用数量不多，排放的尾气较少。</w:t>
            </w:r>
          </w:p>
          <w:p w14:paraId="744F4894">
            <w:pPr>
              <w:pStyle w:val="5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运输车辆尾气主要污染因子有CO、THC和NO</w:t>
            </w:r>
            <w:r>
              <w:rPr>
                <w:rFonts w:hint="default" w:cs="Times New Roman"/>
                <w:color w:val="000000" w:themeColor="text1"/>
                <w:sz w:val="24"/>
                <w:szCs w:val="24"/>
                <w:vertAlign w:val="subscript"/>
                <w:lang w:val="en-US" w:eastAsia="zh-CN"/>
                <w14:textFill>
                  <w14:solidFill>
                    <w14:schemeClr w14:val="tx1"/>
                  </w14:solidFill>
                </w14:textFill>
              </w:rPr>
              <w:t>X</w:t>
            </w:r>
            <w:r>
              <w:rPr>
                <w:rFonts w:hint="default" w:cs="Times New Roman"/>
                <w:color w:val="000000" w:themeColor="text1"/>
                <w:sz w:val="24"/>
                <w:szCs w:val="24"/>
                <w:lang w:val="en-US" w:eastAsia="zh-CN"/>
                <w14:textFill>
                  <w14:solidFill>
                    <w14:schemeClr w14:val="tx1"/>
                  </w14:solidFill>
                </w14:textFill>
              </w:rPr>
              <w:t>，一般大型车辆尾气污染物排放量为：CO37.23g/辆km，THC15.98g/辆·km，NO</w:t>
            </w:r>
            <w:r>
              <w:rPr>
                <w:rFonts w:hint="default" w:cs="Times New Roman"/>
                <w:color w:val="000000" w:themeColor="text1"/>
                <w:sz w:val="24"/>
                <w:szCs w:val="24"/>
                <w:vertAlign w:val="subscript"/>
                <w:lang w:val="en-US" w:eastAsia="zh-CN"/>
                <w14:textFill>
                  <w14:solidFill>
                    <w14:schemeClr w14:val="tx1"/>
                  </w14:solidFill>
                </w14:textFill>
              </w:rPr>
              <w:t>X</w:t>
            </w:r>
            <w:r>
              <w:rPr>
                <w:rFonts w:hint="default" w:cs="Times New Roman"/>
                <w:color w:val="000000" w:themeColor="text1"/>
                <w:sz w:val="24"/>
                <w:szCs w:val="24"/>
                <w:lang w:val="en-US" w:eastAsia="zh-CN"/>
                <w14:textFill>
                  <w14:solidFill>
                    <w14:schemeClr w14:val="tx1"/>
                  </w14:solidFill>
                </w14:textFill>
              </w:rPr>
              <w:t>16.83g/辆·km。本项目现场施工车辆一般不超过5辆，排放的车辆尾气较少</w:t>
            </w:r>
            <w:r>
              <w:rPr>
                <w:rFonts w:hint="eastAsia" w:cs="Times New Roman"/>
                <w:color w:val="000000" w:themeColor="text1"/>
                <w:sz w:val="24"/>
                <w:szCs w:val="24"/>
                <w:lang w:val="en-US" w:eastAsia="zh-CN"/>
                <w14:textFill>
                  <w14:solidFill>
                    <w14:schemeClr w14:val="tx1"/>
                  </w14:solidFill>
                </w14:textFill>
              </w:rPr>
              <w:t>。</w:t>
            </w:r>
          </w:p>
          <w:p w14:paraId="48D34ED1">
            <w:pPr>
              <w:pStyle w:val="55"/>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2" w:firstLineChars="200"/>
              <w:textAlignment w:val="auto"/>
              <w:rPr>
                <w:rFonts w:hint="default"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地表示</w:t>
            </w:r>
            <w:r>
              <w:rPr>
                <w:rFonts w:hint="default" w:cs="Times New Roman"/>
                <w:b/>
                <w:bCs/>
                <w:color w:val="000000" w:themeColor="text1"/>
                <w:sz w:val="24"/>
                <w:szCs w:val="24"/>
                <w:lang w:val="en-US" w:eastAsia="zh-CN"/>
                <w14:textFill>
                  <w14:solidFill>
                    <w14:schemeClr w14:val="tx1"/>
                  </w14:solidFill>
                </w14:textFill>
              </w:rPr>
              <w:t>环境影响分析</w:t>
            </w:r>
          </w:p>
          <w:p w14:paraId="40AC9F86">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（1）施工废水</w:t>
            </w:r>
          </w:p>
          <w:p w14:paraId="090D8997">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施工废水为施工机械冲洗、混凝土养护等废水，废水中主要的污染物为悬浮物，建设单位在施工场地内设置临时沉淀池，施工废水通过沉淀后回用于场地降尘等，不外排。</w:t>
            </w:r>
          </w:p>
          <w:p w14:paraId="2BE58279">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（2）生活污水</w:t>
            </w:r>
          </w:p>
          <w:p w14:paraId="2D2F7545">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施工期间施工人员会产生一定的生活污水。生活污水</w:t>
            </w:r>
            <w:r>
              <w:rPr>
                <w:rFonts w:hint="eastAsia" w:cs="Times New Roman"/>
                <w:color w:val="000000" w:themeColor="text1"/>
                <w:sz w:val="24"/>
                <w:szCs w:val="24"/>
                <w:lang w:val="en-US" w:eastAsia="zh-CN"/>
                <w14:textFill>
                  <w14:solidFill>
                    <w14:schemeClr w14:val="tx1"/>
                  </w14:solidFill>
                </w14:textFill>
              </w:rPr>
              <w:t>设置临时防渗卫生厕所</w:t>
            </w:r>
            <w:r>
              <w:rPr>
                <w:rFonts w:hint="default" w:cs="Times New Roman"/>
                <w:color w:val="000000" w:themeColor="text1"/>
                <w:sz w:val="24"/>
                <w:szCs w:val="24"/>
                <w:lang w:val="en-US" w:eastAsia="zh-CN"/>
                <w14:textFill>
                  <w14:solidFill>
                    <w14:schemeClr w14:val="tx1"/>
                  </w14:solidFill>
                </w14:textFill>
              </w:rPr>
              <w:t>，旱厕定期清掏用于施肥。</w:t>
            </w:r>
          </w:p>
          <w:p w14:paraId="6CFBB834">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综上，项目施工期产生的废水量较少，在采取相关措施的情况下，对区域地表水没有影响。</w:t>
            </w:r>
          </w:p>
          <w:p w14:paraId="611DE14E">
            <w:pPr>
              <w:pStyle w:val="55"/>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2" w:firstLineChars="200"/>
              <w:textAlignment w:val="auto"/>
              <w:rPr>
                <w:rFonts w:hint="default" w:cs="Times New Roman"/>
                <w:b/>
                <w:bCs/>
                <w:color w:val="000000" w:themeColor="text1"/>
                <w:sz w:val="24"/>
                <w:szCs w:val="24"/>
                <w:lang w:val="en-US" w:eastAsia="zh-CN"/>
                <w14:textFill>
                  <w14:solidFill>
                    <w14:schemeClr w14:val="tx1"/>
                  </w14:solidFill>
                </w14:textFill>
              </w:rPr>
            </w:pPr>
            <w:r>
              <w:rPr>
                <w:rFonts w:hint="default" w:cs="Times New Roman"/>
                <w:b/>
                <w:bCs/>
                <w:color w:val="000000" w:themeColor="text1"/>
                <w:sz w:val="24"/>
                <w:szCs w:val="24"/>
                <w:lang w:val="en-US" w:eastAsia="zh-CN"/>
                <w14:textFill>
                  <w14:solidFill>
                    <w14:schemeClr w14:val="tx1"/>
                  </w14:solidFill>
                </w14:textFill>
              </w:rPr>
              <w:t>声环境影响分析</w:t>
            </w:r>
          </w:p>
          <w:p w14:paraId="6FD67A82">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本项目施工期间噪声主要来源于施工机械噪声和运输车辆噪声。</w:t>
            </w:r>
          </w:p>
          <w:p w14:paraId="1DB891EE">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（1）施工机械噪声</w:t>
            </w:r>
          </w:p>
          <w:p w14:paraId="6327AA4D">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主要指施工现场使用各类机械设备产生的施工噪声。这些施工机械包括装载机、挖掘机、推土机等，在施工中这类机械是最主要的施工噪声源。根据《环境噪声与振动控制工程技术导则》（HJ2034-2013）附表A.2</w:t>
            </w:r>
            <w:r>
              <w:rPr>
                <w:rFonts w:hint="eastAsia" w:cs="Times New Roman"/>
                <w:color w:val="000000" w:themeColor="text1"/>
                <w:sz w:val="24"/>
                <w:szCs w:val="24"/>
                <w:lang w:val="en-US" w:eastAsia="zh-CN"/>
                <w14:textFill>
                  <w14:solidFill>
                    <w14:schemeClr w14:val="tx1"/>
                  </w14:solidFill>
                </w14:textFill>
              </w:rPr>
              <w:t>，</w:t>
            </w:r>
            <w:r>
              <w:rPr>
                <w:rFonts w:hint="default" w:cs="Times New Roman"/>
                <w:color w:val="000000" w:themeColor="text1"/>
                <w:sz w:val="24"/>
                <w:szCs w:val="24"/>
                <w:lang w:val="en-US" w:eastAsia="zh-CN"/>
                <w14:textFill>
                  <w14:solidFill>
                    <w14:schemeClr w14:val="tx1"/>
                  </w14:solidFill>
                </w14:textFill>
              </w:rPr>
              <w:t>主要施工机械噪声源强见下表</w:t>
            </w:r>
            <w:r>
              <w:rPr>
                <w:rFonts w:hint="eastAsia" w:cs="Times New Roman"/>
                <w:color w:val="000000" w:themeColor="text1"/>
                <w:sz w:val="24"/>
                <w:szCs w:val="24"/>
                <w:lang w:val="en-US" w:eastAsia="zh-CN"/>
                <w14:textFill>
                  <w14:solidFill>
                    <w14:schemeClr w14:val="tx1"/>
                  </w14:solidFill>
                </w14:textFill>
              </w:rPr>
              <w:t>。</w:t>
            </w:r>
          </w:p>
          <w:p w14:paraId="33578BD5">
            <w:pPr>
              <w:pStyle w:val="72"/>
              <w:spacing w:before="34" w:line="214" w:lineRule="auto"/>
              <w:ind w:firstLine="1205" w:firstLineChars="500"/>
              <w:rPr>
                <w:b/>
                <w:bCs/>
                <w:color w:val="auto"/>
                <w:sz w:val="24"/>
                <w:szCs w:val="24"/>
              </w:rPr>
            </w:pPr>
            <w:r>
              <w:rPr>
                <w:b/>
                <w:bCs/>
                <w:color w:val="auto"/>
                <w:sz w:val="24"/>
                <w:szCs w:val="24"/>
              </w:rPr>
              <w:t>表</w:t>
            </w:r>
            <w:r>
              <w:rPr>
                <w:rFonts w:ascii="Times New Roman" w:hAnsi="Times New Roman" w:eastAsia="Times New Roman" w:cs="Times New Roman"/>
                <w:b/>
                <w:bCs/>
                <w:color w:val="auto"/>
                <w:sz w:val="24"/>
                <w:szCs w:val="24"/>
              </w:rPr>
              <w:t>4-1</w:t>
            </w:r>
            <w:r>
              <w:rPr>
                <w:b/>
                <w:bCs/>
                <w:color w:val="auto"/>
                <w:sz w:val="24"/>
                <w:szCs w:val="24"/>
              </w:rPr>
              <w:t>主要施工机械设备的噪声声级单位：</w:t>
            </w:r>
            <w:r>
              <w:rPr>
                <w:rFonts w:ascii="Times New Roman" w:hAnsi="Times New Roman" w:eastAsia="Times New Roman" w:cs="Times New Roman"/>
                <w:b/>
                <w:bCs/>
                <w:color w:val="auto"/>
                <w:sz w:val="24"/>
                <w:szCs w:val="24"/>
              </w:rPr>
              <w:t>dB</w:t>
            </w:r>
            <w:r>
              <w:rPr>
                <w:b/>
                <w:bCs/>
                <w:color w:val="auto"/>
                <w:sz w:val="24"/>
                <w:szCs w:val="24"/>
              </w:rPr>
              <w:t>（</w:t>
            </w:r>
            <w:r>
              <w:rPr>
                <w:rFonts w:ascii="Times New Roman" w:hAnsi="Times New Roman" w:eastAsia="Times New Roman" w:cs="Times New Roman"/>
                <w:b/>
                <w:bCs/>
                <w:color w:val="auto"/>
                <w:sz w:val="24"/>
                <w:szCs w:val="24"/>
              </w:rPr>
              <w:t>A</w:t>
            </w:r>
            <w:r>
              <w:rPr>
                <w:b/>
                <w:bCs/>
                <w:color w:val="auto"/>
                <w:sz w:val="24"/>
                <w:szCs w:val="24"/>
              </w:rPr>
              <w:t>）</w:t>
            </w:r>
          </w:p>
          <w:tbl>
            <w:tblPr>
              <w:tblStyle w:val="73"/>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6"/>
              <w:gridCol w:w="1944"/>
              <w:gridCol w:w="2827"/>
            </w:tblGrid>
            <w:tr w14:paraId="406D6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1904" w:type="pct"/>
                  <w:noWrap w:val="0"/>
                  <w:vAlign w:val="center"/>
                </w:tcPr>
                <w:p w14:paraId="3176F667">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1261" w:type="pct"/>
                  <w:noWrap w:val="0"/>
                  <w:vAlign w:val="center"/>
                </w:tcPr>
                <w:p w14:paraId="57B63436">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声级dB(A)</w:t>
                  </w:r>
                </w:p>
              </w:tc>
              <w:tc>
                <w:tcPr>
                  <w:tcW w:w="1833" w:type="pct"/>
                  <w:noWrap w:val="0"/>
                  <w:vAlign w:val="center"/>
                </w:tcPr>
                <w:p w14:paraId="2ABF4E04">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测点距声源距离(m)</w:t>
                  </w:r>
                </w:p>
              </w:tc>
            </w:tr>
            <w:tr w14:paraId="09EE7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1904" w:type="pct"/>
                  <w:noWrap w:val="0"/>
                  <w:vAlign w:val="center"/>
                </w:tcPr>
                <w:p w14:paraId="7207C040">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轮式装载机</w:t>
                  </w:r>
                </w:p>
              </w:tc>
              <w:tc>
                <w:tcPr>
                  <w:tcW w:w="1261" w:type="pct"/>
                  <w:noWrap w:val="0"/>
                  <w:vAlign w:val="center"/>
                </w:tcPr>
                <w:p w14:paraId="1638A844">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90～95</w:t>
                  </w:r>
                </w:p>
              </w:tc>
              <w:tc>
                <w:tcPr>
                  <w:tcW w:w="1833" w:type="pct"/>
                  <w:noWrap w:val="0"/>
                  <w:vAlign w:val="center"/>
                </w:tcPr>
                <w:p w14:paraId="39176DE3">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r>
            <w:tr w14:paraId="0E8AA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1904" w:type="pct"/>
                  <w:noWrap w:val="0"/>
                  <w:vAlign w:val="center"/>
                </w:tcPr>
                <w:p w14:paraId="1E87289E">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挖掘机</w:t>
                  </w:r>
                </w:p>
              </w:tc>
              <w:tc>
                <w:tcPr>
                  <w:tcW w:w="1261" w:type="pct"/>
                  <w:noWrap w:val="0"/>
                  <w:vAlign w:val="center"/>
                </w:tcPr>
                <w:p w14:paraId="6274B33A">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80～86</w:t>
                  </w:r>
                </w:p>
              </w:tc>
              <w:tc>
                <w:tcPr>
                  <w:tcW w:w="1833" w:type="pct"/>
                  <w:noWrap w:val="0"/>
                  <w:vAlign w:val="center"/>
                </w:tcPr>
                <w:p w14:paraId="1A5530A1">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r>
            <w:tr w14:paraId="6CE10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jc w:val="center"/>
              </w:trPr>
              <w:tc>
                <w:tcPr>
                  <w:tcW w:w="1904" w:type="pct"/>
                  <w:noWrap w:val="0"/>
                  <w:vAlign w:val="center"/>
                </w:tcPr>
                <w:p w14:paraId="2294C1F1">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推土机</w:t>
                  </w:r>
                </w:p>
              </w:tc>
              <w:tc>
                <w:tcPr>
                  <w:tcW w:w="1261" w:type="pct"/>
                  <w:noWrap w:val="0"/>
                  <w:vAlign w:val="center"/>
                </w:tcPr>
                <w:p w14:paraId="22F52B9C">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83～88</w:t>
                  </w:r>
                </w:p>
              </w:tc>
              <w:tc>
                <w:tcPr>
                  <w:tcW w:w="1833" w:type="pct"/>
                  <w:noWrap w:val="0"/>
                  <w:vAlign w:val="center"/>
                </w:tcPr>
                <w:p w14:paraId="036F9462">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r>
            <w:tr w14:paraId="65971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1904" w:type="pct"/>
                  <w:noWrap w:val="0"/>
                  <w:vAlign w:val="center"/>
                </w:tcPr>
                <w:p w14:paraId="62602ACD">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压路机</w:t>
                  </w:r>
                </w:p>
              </w:tc>
              <w:tc>
                <w:tcPr>
                  <w:tcW w:w="1261" w:type="pct"/>
                  <w:noWrap w:val="0"/>
                  <w:vAlign w:val="center"/>
                </w:tcPr>
                <w:p w14:paraId="21213EF1">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80～88</w:t>
                  </w:r>
                </w:p>
              </w:tc>
              <w:tc>
                <w:tcPr>
                  <w:tcW w:w="1833" w:type="pct"/>
                  <w:noWrap w:val="0"/>
                  <w:vAlign w:val="center"/>
                </w:tcPr>
                <w:p w14:paraId="52D7590C">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r>
            <w:tr w14:paraId="29F2F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1904" w:type="pct"/>
                  <w:noWrap w:val="0"/>
                  <w:vAlign w:val="center"/>
                </w:tcPr>
                <w:p w14:paraId="7F50F22C">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重型运输车</w:t>
                  </w:r>
                </w:p>
              </w:tc>
              <w:tc>
                <w:tcPr>
                  <w:tcW w:w="1261" w:type="pct"/>
                  <w:noWrap w:val="0"/>
                  <w:vAlign w:val="center"/>
                </w:tcPr>
                <w:p w14:paraId="4163CF0C">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82～90</w:t>
                  </w:r>
                </w:p>
              </w:tc>
              <w:tc>
                <w:tcPr>
                  <w:tcW w:w="1833" w:type="pct"/>
                  <w:noWrap w:val="0"/>
                  <w:vAlign w:val="center"/>
                </w:tcPr>
                <w:p w14:paraId="00C7BC1C">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r>
          </w:tbl>
          <w:p w14:paraId="299ED09A">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施工期一般为露天作业，声源较高，由于施工场地内机械设备大多属于移动声源，要准确预测施工场地各场界噪声值较困难。施工机械噪声可近似点声源处理，为了反映施工机械噪声对环境的影响，利用距离传播衰减模式预测施工机械噪声距离厂界处的噪声值，公式为：</w:t>
            </w:r>
          </w:p>
          <w:p w14:paraId="0B7EBA78">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960" w:firstLineChars="400"/>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L</w:t>
            </w:r>
            <w:r>
              <w:rPr>
                <w:rFonts w:hint="eastAsia" w:cs="Times New Roman"/>
                <w:color w:val="000000" w:themeColor="text1"/>
                <w:sz w:val="24"/>
                <w:szCs w:val="24"/>
                <w:highlight w:val="none"/>
                <w:vertAlign w:val="subscript"/>
                <w:lang w:val="en-US" w:eastAsia="zh-CN"/>
                <w14:textFill>
                  <w14:solidFill>
                    <w14:schemeClr w14:val="tx1"/>
                  </w14:solidFill>
                </w14:textFill>
              </w:rPr>
              <w:t>A</w:t>
            </w:r>
            <w:r>
              <w:rPr>
                <w:rFonts w:hint="eastAsia" w:cs="Times New Roman"/>
                <w:color w:val="000000" w:themeColor="text1"/>
                <w:sz w:val="24"/>
                <w:szCs w:val="24"/>
                <w:highlight w:val="none"/>
                <w:vertAlign w:val="baseline"/>
                <w:lang w:val="en-US" w:eastAsia="zh-CN"/>
                <w14:textFill>
                  <w14:solidFill>
                    <w14:schemeClr w14:val="tx1"/>
                  </w14:solidFill>
                </w14:textFill>
              </w:rPr>
              <w:t>（r）</w:t>
            </w:r>
            <w:r>
              <w:rPr>
                <w:rFonts w:hint="default" w:cs="Times New Roman"/>
                <w:color w:val="000000" w:themeColor="text1"/>
                <w:sz w:val="24"/>
                <w:szCs w:val="24"/>
                <w:highlight w:val="none"/>
                <w:lang w:val="en-US" w:eastAsia="zh-CN"/>
                <w14:textFill>
                  <w14:solidFill>
                    <w14:schemeClr w14:val="tx1"/>
                  </w14:solidFill>
                </w14:textFill>
              </w:rPr>
              <w:t>=L</w:t>
            </w:r>
            <w:r>
              <w:rPr>
                <w:rFonts w:hint="eastAsia" w:cs="Times New Roman"/>
                <w:color w:val="000000" w:themeColor="text1"/>
                <w:sz w:val="24"/>
                <w:szCs w:val="24"/>
                <w:highlight w:val="none"/>
                <w:vertAlign w:val="subscript"/>
                <w:lang w:val="en-US" w:eastAsia="zh-CN"/>
                <w14:textFill>
                  <w14:solidFill>
                    <w14:schemeClr w14:val="tx1"/>
                  </w14:solidFill>
                </w14:textFill>
              </w:rPr>
              <w:t>A</w:t>
            </w:r>
            <w:r>
              <w:rPr>
                <w:rFonts w:hint="eastAsia" w:cs="Times New Roman"/>
                <w:color w:val="000000" w:themeColor="text1"/>
                <w:sz w:val="24"/>
                <w:szCs w:val="24"/>
                <w:highlight w:val="none"/>
                <w:vertAlign w:val="baseline"/>
                <w:lang w:val="en-US" w:eastAsia="zh-CN"/>
                <w14:textFill>
                  <w14:solidFill>
                    <w14:schemeClr w14:val="tx1"/>
                  </w14:solidFill>
                </w14:textFill>
              </w:rPr>
              <w:t>（r</w:t>
            </w:r>
            <w:r>
              <w:rPr>
                <w:rFonts w:hint="eastAsia" w:cs="Times New Roman"/>
                <w:color w:val="000000" w:themeColor="text1"/>
                <w:sz w:val="24"/>
                <w:szCs w:val="24"/>
                <w:highlight w:val="none"/>
                <w:vertAlign w:val="subscript"/>
                <w:lang w:val="en-US" w:eastAsia="zh-CN"/>
                <w14:textFill>
                  <w14:solidFill>
                    <w14:schemeClr w14:val="tx1"/>
                  </w14:solidFill>
                </w14:textFill>
              </w:rPr>
              <w:t>0</w:t>
            </w:r>
            <w:r>
              <w:rPr>
                <w:rFonts w:hint="eastAsia" w:cs="Times New Roman"/>
                <w:color w:val="000000" w:themeColor="text1"/>
                <w:sz w:val="24"/>
                <w:szCs w:val="24"/>
                <w:highlight w:val="none"/>
                <w:vertAlign w:val="baseline"/>
                <w:lang w:val="en-US" w:eastAsia="zh-CN"/>
                <w14:textFill>
                  <w14:solidFill>
                    <w14:schemeClr w14:val="tx1"/>
                  </w14:solidFill>
                </w14:textFill>
              </w:rPr>
              <w:t>）</w:t>
            </w:r>
            <w:r>
              <w:rPr>
                <w:rFonts w:hint="default" w:cs="Times New Roman"/>
                <w:color w:val="000000" w:themeColor="text1"/>
                <w:sz w:val="24"/>
                <w:szCs w:val="24"/>
                <w:highlight w:val="none"/>
                <w:lang w:val="en-US" w:eastAsia="zh-CN"/>
                <w14:textFill>
                  <w14:solidFill>
                    <w14:schemeClr w14:val="tx1"/>
                  </w14:solidFill>
                </w14:textFill>
              </w:rPr>
              <w:t>-20lg(r/r0)</w:t>
            </w:r>
          </w:p>
          <w:p w14:paraId="565E2B03">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式中：L</w:t>
            </w:r>
            <w:r>
              <w:rPr>
                <w:rFonts w:hint="eastAsia" w:cs="Times New Roman"/>
                <w:color w:val="000000" w:themeColor="text1"/>
                <w:sz w:val="24"/>
                <w:szCs w:val="24"/>
                <w:highlight w:val="none"/>
                <w:vertAlign w:val="subscript"/>
                <w:lang w:val="en-US" w:eastAsia="zh-CN"/>
                <w14:textFill>
                  <w14:solidFill>
                    <w14:schemeClr w14:val="tx1"/>
                  </w14:solidFill>
                </w14:textFill>
              </w:rPr>
              <w:t>A</w:t>
            </w:r>
            <w:r>
              <w:rPr>
                <w:rFonts w:hint="eastAsia" w:cs="Times New Roman"/>
                <w:color w:val="000000" w:themeColor="text1"/>
                <w:sz w:val="24"/>
                <w:szCs w:val="24"/>
                <w:highlight w:val="none"/>
                <w:vertAlign w:val="baseline"/>
                <w:lang w:val="en-US" w:eastAsia="zh-CN"/>
                <w14:textFill>
                  <w14:solidFill>
                    <w14:schemeClr w14:val="tx1"/>
                  </w14:solidFill>
                </w14:textFill>
              </w:rPr>
              <w:t>（r）</w:t>
            </w:r>
            <w:r>
              <w:rPr>
                <w:rFonts w:hint="default"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距离r处的</w:t>
            </w:r>
            <w:r>
              <w:rPr>
                <w:rFonts w:hint="default" w:cs="Times New Roman"/>
                <w:color w:val="000000" w:themeColor="text1"/>
                <w:sz w:val="24"/>
                <w:szCs w:val="24"/>
                <w:highlight w:val="none"/>
                <w:lang w:val="en-US" w:eastAsia="zh-CN"/>
                <w14:textFill>
                  <w14:solidFill>
                    <w14:schemeClr w14:val="tx1"/>
                  </w14:solidFill>
                </w14:textFill>
              </w:rPr>
              <w:t>声</w:t>
            </w:r>
            <w:r>
              <w:rPr>
                <w:rFonts w:hint="eastAsia" w:cs="Times New Roman"/>
                <w:color w:val="000000" w:themeColor="text1"/>
                <w:sz w:val="24"/>
                <w:szCs w:val="24"/>
                <w:highlight w:val="none"/>
                <w:lang w:val="en-US" w:eastAsia="zh-CN"/>
                <w14:textFill>
                  <w14:solidFill>
                    <w14:schemeClr w14:val="tx1"/>
                  </w14:solidFill>
                </w14:textFill>
              </w:rPr>
              <w:t>级</w:t>
            </w:r>
            <w:r>
              <w:rPr>
                <w:rFonts w:hint="default" w:cs="Times New Roman"/>
                <w:color w:val="000000" w:themeColor="text1"/>
                <w:sz w:val="24"/>
                <w:szCs w:val="24"/>
                <w:highlight w:val="none"/>
                <w:lang w:val="en-US" w:eastAsia="zh-CN"/>
                <w14:textFill>
                  <w14:solidFill>
                    <w14:schemeClr w14:val="tx1"/>
                  </w14:solidFill>
                </w14:textFill>
              </w:rPr>
              <w:t>，dB(A)；</w:t>
            </w:r>
          </w:p>
          <w:p w14:paraId="4BE20469">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960" w:firstLineChars="400"/>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L</w:t>
            </w:r>
            <w:r>
              <w:rPr>
                <w:rFonts w:hint="eastAsia" w:cs="Times New Roman"/>
                <w:color w:val="000000" w:themeColor="text1"/>
                <w:sz w:val="24"/>
                <w:szCs w:val="24"/>
                <w:highlight w:val="none"/>
                <w:vertAlign w:val="subscript"/>
                <w:lang w:val="en-US" w:eastAsia="zh-CN"/>
                <w14:textFill>
                  <w14:solidFill>
                    <w14:schemeClr w14:val="tx1"/>
                  </w14:solidFill>
                </w14:textFill>
              </w:rPr>
              <w:t>A</w:t>
            </w:r>
            <w:r>
              <w:rPr>
                <w:rFonts w:hint="eastAsia" w:cs="Times New Roman"/>
                <w:color w:val="000000" w:themeColor="text1"/>
                <w:sz w:val="24"/>
                <w:szCs w:val="24"/>
                <w:highlight w:val="none"/>
                <w:vertAlign w:val="baseline"/>
                <w:lang w:val="en-US" w:eastAsia="zh-CN"/>
                <w14:textFill>
                  <w14:solidFill>
                    <w14:schemeClr w14:val="tx1"/>
                  </w14:solidFill>
                </w14:textFill>
              </w:rPr>
              <w:t>（r</w:t>
            </w:r>
            <w:r>
              <w:rPr>
                <w:rFonts w:hint="eastAsia" w:cs="Times New Roman"/>
                <w:color w:val="000000" w:themeColor="text1"/>
                <w:sz w:val="24"/>
                <w:szCs w:val="24"/>
                <w:highlight w:val="none"/>
                <w:vertAlign w:val="subscript"/>
                <w:lang w:val="en-US" w:eastAsia="zh-CN"/>
                <w14:textFill>
                  <w14:solidFill>
                    <w14:schemeClr w14:val="tx1"/>
                  </w14:solidFill>
                </w14:textFill>
              </w:rPr>
              <w:t>0</w:t>
            </w:r>
            <w:r>
              <w:rPr>
                <w:rFonts w:hint="eastAsia" w:cs="Times New Roman"/>
                <w:color w:val="000000" w:themeColor="text1"/>
                <w:sz w:val="24"/>
                <w:szCs w:val="24"/>
                <w:highlight w:val="none"/>
                <w:vertAlign w:val="baseline"/>
                <w:lang w:val="en-US" w:eastAsia="zh-CN"/>
                <w14:textFill>
                  <w14:solidFill>
                    <w14:schemeClr w14:val="tx1"/>
                  </w14:solidFill>
                </w14:textFill>
              </w:rPr>
              <w:t>）</w:t>
            </w:r>
            <w:r>
              <w:rPr>
                <w:rFonts w:hint="default"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参测点的噪声值</w:t>
            </w:r>
            <w:r>
              <w:rPr>
                <w:rFonts w:hint="default" w:cs="Times New Roman"/>
                <w:color w:val="000000" w:themeColor="text1"/>
                <w:sz w:val="24"/>
                <w:szCs w:val="24"/>
                <w:highlight w:val="none"/>
                <w:lang w:val="en-US" w:eastAsia="zh-CN"/>
                <w14:textFill>
                  <w14:solidFill>
                    <w14:schemeClr w14:val="tx1"/>
                  </w14:solidFill>
                </w14:textFill>
              </w:rPr>
              <w:t>，dB(A)；</w:t>
            </w:r>
          </w:p>
          <w:p w14:paraId="5479688F">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960" w:firstLineChars="400"/>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r—预测点</w:t>
            </w:r>
            <w:r>
              <w:rPr>
                <w:rFonts w:hint="eastAsia" w:cs="Times New Roman"/>
                <w:color w:val="000000" w:themeColor="text1"/>
                <w:sz w:val="24"/>
                <w:szCs w:val="24"/>
                <w:highlight w:val="none"/>
                <w:lang w:val="en-US" w:eastAsia="zh-CN"/>
                <w14:textFill>
                  <w14:solidFill>
                    <w14:schemeClr w14:val="tx1"/>
                  </w14:solidFill>
                </w14:textFill>
              </w:rPr>
              <w:t>距</w:t>
            </w:r>
            <w:r>
              <w:rPr>
                <w:rFonts w:hint="default" w:cs="Times New Roman"/>
                <w:color w:val="000000" w:themeColor="text1"/>
                <w:sz w:val="24"/>
                <w:szCs w:val="24"/>
                <w:highlight w:val="none"/>
                <w:lang w:val="en-US" w:eastAsia="zh-CN"/>
                <w14:textFill>
                  <w14:solidFill>
                    <w14:schemeClr w14:val="tx1"/>
                  </w14:solidFill>
                </w14:textFill>
              </w:rPr>
              <w:t>声源</w:t>
            </w:r>
            <w:r>
              <w:rPr>
                <w:rFonts w:hint="eastAsia" w:cs="Times New Roman"/>
                <w:color w:val="000000" w:themeColor="text1"/>
                <w:sz w:val="24"/>
                <w:szCs w:val="24"/>
                <w:highlight w:val="none"/>
                <w:lang w:val="en-US" w:eastAsia="zh-CN"/>
                <w14:textFill>
                  <w14:solidFill>
                    <w14:schemeClr w14:val="tx1"/>
                  </w14:solidFill>
                </w14:textFill>
              </w:rPr>
              <w:t>的</w:t>
            </w:r>
            <w:r>
              <w:rPr>
                <w:rFonts w:hint="default" w:cs="Times New Roman"/>
                <w:color w:val="000000" w:themeColor="text1"/>
                <w:sz w:val="24"/>
                <w:szCs w:val="24"/>
                <w:highlight w:val="none"/>
                <w:lang w:val="en-US" w:eastAsia="zh-CN"/>
                <w14:textFill>
                  <w14:solidFill>
                    <w14:schemeClr w14:val="tx1"/>
                  </w14:solidFill>
                </w14:textFill>
              </w:rPr>
              <w:t>距离，m；</w:t>
            </w:r>
          </w:p>
          <w:p w14:paraId="5B9C3EE9">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960" w:firstLineChars="400"/>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r</w:t>
            </w:r>
            <w:r>
              <w:rPr>
                <w:rFonts w:hint="default" w:cs="Times New Roman"/>
                <w:color w:val="000000" w:themeColor="text1"/>
                <w:sz w:val="24"/>
                <w:szCs w:val="24"/>
                <w:highlight w:val="none"/>
                <w:vertAlign w:val="subscript"/>
                <w:lang w:val="en-US" w:eastAsia="zh-CN"/>
                <w14:textFill>
                  <w14:solidFill>
                    <w14:schemeClr w14:val="tx1"/>
                  </w14:solidFill>
                </w14:textFill>
              </w:rPr>
              <w:t>0</w:t>
            </w:r>
            <w:r>
              <w:rPr>
                <w:rFonts w:hint="default" w:cs="Times New Roman"/>
                <w:color w:val="000000" w:themeColor="text1"/>
                <w:sz w:val="24"/>
                <w:szCs w:val="24"/>
                <w:highlight w:val="none"/>
                <w:lang w:val="en-US" w:eastAsia="zh-CN"/>
                <w14:textFill>
                  <w14:solidFill>
                    <w14:schemeClr w14:val="tx1"/>
                  </w14:solidFill>
                </w14:textFill>
              </w:rPr>
              <w:t>—参考</w:t>
            </w:r>
            <w:r>
              <w:rPr>
                <w:rFonts w:hint="eastAsia" w:cs="Times New Roman"/>
                <w:color w:val="000000" w:themeColor="text1"/>
                <w:sz w:val="24"/>
                <w:szCs w:val="24"/>
                <w:highlight w:val="none"/>
                <w:lang w:val="en-US" w:eastAsia="zh-CN"/>
                <w14:textFill>
                  <w14:solidFill>
                    <w14:schemeClr w14:val="tx1"/>
                  </w14:solidFill>
                </w14:textFill>
              </w:rPr>
              <w:t>位置距声源的距离</w:t>
            </w:r>
            <w:r>
              <w:rPr>
                <w:rFonts w:hint="default" w:cs="Times New Roman"/>
                <w:color w:val="000000" w:themeColor="text1"/>
                <w:sz w:val="24"/>
                <w:szCs w:val="24"/>
                <w:highlight w:val="none"/>
                <w:lang w:val="en-US" w:eastAsia="zh-CN"/>
                <w14:textFill>
                  <w14:solidFill>
                    <w14:schemeClr w14:val="tx1"/>
                  </w14:solidFill>
                </w14:textFill>
              </w:rPr>
              <w:t>，m。</w:t>
            </w:r>
          </w:p>
          <w:p w14:paraId="2736DF92">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根据上述公式，预测结果见表4-2所示。</w:t>
            </w:r>
          </w:p>
          <w:p w14:paraId="716F4D3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表4-</w:t>
            </w:r>
            <w:r>
              <w:rPr>
                <w:rFonts w:hint="eastAsia" w:cs="Times New Roman"/>
                <w:b/>
                <w:bCs/>
                <w:color w:val="auto"/>
                <w:sz w:val="24"/>
                <w:szCs w:val="24"/>
                <w:vertAlign w:val="baseline"/>
                <w:lang w:val="en-US" w:eastAsia="zh-CN"/>
              </w:rPr>
              <w:t>2</w:t>
            </w:r>
            <w:r>
              <w:rPr>
                <w:rFonts w:hint="default" w:ascii="Times New Roman" w:hAnsi="Times New Roman" w:eastAsia="宋体" w:cs="Times New Roman"/>
                <w:b/>
                <w:bCs/>
                <w:color w:val="auto"/>
                <w:sz w:val="24"/>
                <w:szCs w:val="24"/>
                <w:vertAlign w:val="baseline"/>
                <w:lang w:val="en-US" w:eastAsia="zh-CN"/>
              </w:rPr>
              <w:t>噪声影响范围预测结果单位：dB（A）</w:t>
            </w:r>
          </w:p>
          <w:tbl>
            <w:tblPr>
              <w:tblStyle w:val="25"/>
              <w:tblW w:w="7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819"/>
              <w:gridCol w:w="709"/>
              <w:gridCol w:w="845"/>
              <w:gridCol w:w="873"/>
              <w:gridCol w:w="688"/>
              <w:gridCol w:w="902"/>
              <w:gridCol w:w="902"/>
              <w:gridCol w:w="904"/>
            </w:tblGrid>
            <w:tr w14:paraId="7099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Merge w:val="restart"/>
                  <w:vAlign w:val="center"/>
                </w:tcPr>
                <w:p w14:paraId="0F551B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ascii="Times New Roman" w:hAnsi="Times New Roman" w:eastAsia="宋体" w:cs="Times New Roman"/>
                      <w:b/>
                      <w:bCs/>
                      <w:color w:val="auto"/>
                      <w:sz w:val="21"/>
                      <w:szCs w:val="21"/>
                      <w:vertAlign w:val="baseline"/>
                      <w:lang w:val="en-US" w:eastAsia="zh-CN"/>
                    </w:rPr>
                    <w:t>噪声源</w:t>
                  </w:r>
                </w:p>
              </w:tc>
              <w:tc>
                <w:tcPr>
                  <w:tcW w:w="6642" w:type="dxa"/>
                  <w:gridSpan w:val="8"/>
                  <w:vAlign w:val="center"/>
                </w:tcPr>
                <w:p w14:paraId="3286D5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距声源距离</w:t>
                  </w:r>
                </w:p>
              </w:tc>
            </w:tr>
            <w:tr w14:paraId="5881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Merge w:val="continue"/>
                  <w:vAlign w:val="center"/>
                </w:tcPr>
                <w:p w14:paraId="1B570D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819" w:type="dxa"/>
                  <w:vAlign w:val="center"/>
                </w:tcPr>
                <w:p w14:paraId="14109B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10</w:t>
                  </w:r>
                </w:p>
              </w:tc>
              <w:tc>
                <w:tcPr>
                  <w:tcW w:w="709" w:type="dxa"/>
                  <w:vAlign w:val="center"/>
                </w:tcPr>
                <w:p w14:paraId="050FD5F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20</w:t>
                  </w:r>
                </w:p>
              </w:tc>
              <w:tc>
                <w:tcPr>
                  <w:tcW w:w="845" w:type="dxa"/>
                  <w:vAlign w:val="center"/>
                </w:tcPr>
                <w:p w14:paraId="030F4A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40</w:t>
                  </w:r>
                </w:p>
              </w:tc>
              <w:tc>
                <w:tcPr>
                  <w:tcW w:w="873" w:type="dxa"/>
                  <w:vAlign w:val="center"/>
                </w:tcPr>
                <w:p w14:paraId="52CF9E6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80</w:t>
                  </w:r>
                </w:p>
              </w:tc>
              <w:tc>
                <w:tcPr>
                  <w:tcW w:w="688" w:type="dxa"/>
                  <w:vAlign w:val="center"/>
                </w:tcPr>
                <w:p w14:paraId="504222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100</w:t>
                  </w:r>
                </w:p>
              </w:tc>
              <w:tc>
                <w:tcPr>
                  <w:tcW w:w="902" w:type="dxa"/>
                  <w:vAlign w:val="center"/>
                </w:tcPr>
                <w:p w14:paraId="0A7FFD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150</w:t>
                  </w:r>
                </w:p>
              </w:tc>
              <w:tc>
                <w:tcPr>
                  <w:tcW w:w="902" w:type="dxa"/>
                  <w:vAlign w:val="center"/>
                </w:tcPr>
                <w:p w14:paraId="58E2971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200</w:t>
                  </w:r>
                </w:p>
              </w:tc>
              <w:tc>
                <w:tcPr>
                  <w:tcW w:w="904" w:type="dxa"/>
                  <w:vAlign w:val="center"/>
                </w:tcPr>
                <w:p w14:paraId="06252B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400</w:t>
                  </w:r>
                </w:p>
              </w:tc>
            </w:tr>
            <w:tr w14:paraId="266C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416967B1">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轮式装载机</w:t>
                  </w:r>
                </w:p>
              </w:tc>
              <w:tc>
                <w:tcPr>
                  <w:tcW w:w="819" w:type="dxa"/>
                  <w:vAlign w:val="center"/>
                </w:tcPr>
                <w:p w14:paraId="4F5BFF54">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89</w:t>
                  </w:r>
                </w:p>
              </w:tc>
              <w:tc>
                <w:tcPr>
                  <w:tcW w:w="709" w:type="dxa"/>
                  <w:vAlign w:val="center"/>
                </w:tcPr>
                <w:p w14:paraId="28481890">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83</w:t>
                  </w:r>
                </w:p>
              </w:tc>
              <w:tc>
                <w:tcPr>
                  <w:tcW w:w="845" w:type="dxa"/>
                  <w:vAlign w:val="center"/>
                </w:tcPr>
                <w:p w14:paraId="4D2452C6">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77</w:t>
                  </w:r>
                </w:p>
              </w:tc>
              <w:tc>
                <w:tcPr>
                  <w:tcW w:w="873" w:type="dxa"/>
                  <w:vAlign w:val="center"/>
                </w:tcPr>
                <w:p w14:paraId="47446A5B">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71</w:t>
                  </w:r>
                </w:p>
              </w:tc>
              <w:tc>
                <w:tcPr>
                  <w:tcW w:w="688" w:type="dxa"/>
                  <w:vAlign w:val="center"/>
                </w:tcPr>
                <w:p w14:paraId="1B270C4D">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69</w:t>
                  </w:r>
                </w:p>
              </w:tc>
              <w:tc>
                <w:tcPr>
                  <w:tcW w:w="902" w:type="dxa"/>
                  <w:vAlign w:val="center"/>
                </w:tcPr>
                <w:p w14:paraId="41F08209">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65</w:t>
                  </w:r>
                </w:p>
              </w:tc>
              <w:tc>
                <w:tcPr>
                  <w:tcW w:w="902" w:type="dxa"/>
                  <w:vAlign w:val="center"/>
                </w:tcPr>
                <w:p w14:paraId="3FE2A511">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63</w:t>
                  </w:r>
                </w:p>
              </w:tc>
              <w:tc>
                <w:tcPr>
                  <w:tcW w:w="904" w:type="dxa"/>
                  <w:vAlign w:val="center"/>
                </w:tcPr>
                <w:p w14:paraId="17E73C5D">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55</w:t>
                  </w:r>
                </w:p>
              </w:tc>
            </w:tr>
            <w:tr w14:paraId="4739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6B27C24C">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挖掘机</w:t>
                  </w:r>
                </w:p>
              </w:tc>
              <w:tc>
                <w:tcPr>
                  <w:tcW w:w="819" w:type="dxa"/>
                  <w:vAlign w:val="center"/>
                </w:tcPr>
                <w:p w14:paraId="19B2E637">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80</w:t>
                  </w:r>
                </w:p>
              </w:tc>
              <w:tc>
                <w:tcPr>
                  <w:tcW w:w="709" w:type="dxa"/>
                  <w:vAlign w:val="center"/>
                </w:tcPr>
                <w:p w14:paraId="5B400F22">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74</w:t>
                  </w:r>
                </w:p>
              </w:tc>
              <w:tc>
                <w:tcPr>
                  <w:tcW w:w="845" w:type="dxa"/>
                  <w:vAlign w:val="center"/>
                </w:tcPr>
                <w:p w14:paraId="63C9C5D8">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68</w:t>
                  </w:r>
                </w:p>
              </w:tc>
              <w:tc>
                <w:tcPr>
                  <w:tcW w:w="873" w:type="dxa"/>
                  <w:vAlign w:val="center"/>
                </w:tcPr>
                <w:p w14:paraId="6E74A0C6">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62</w:t>
                  </w:r>
                </w:p>
              </w:tc>
              <w:tc>
                <w:tcPr>
                  <w:tcW w:w="688" w:type="dxa"/>
                  <w:vAlign w:val="center"/>
                </w:tcPr>
                <w:p w14:paraId="550EA4E2">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60</w:t>
                  </w:r>
                </w:p>
              </w:tc>
              <w:tc>
                <w:tcPr>
                  <w:tcW w:w="902" w:type="dxa"/>
                  <w:vAlign w:val="center"/>
                </w:tcPr>
                <w:p w14:paraId="6B10105B">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56</w:t>
                  </w:r>
                </w:p>
              </w:tc>
              <w:tc>
                <w:tcPr>
                  <w:tcW w:w="902" w:type="dxa"/>
                  <w:vAlign w:val="center"/>
                </w:tcPr>
                <w:p w14:paraId="51C7BAC9">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54</w:t>
                  </w:r>
                </w:p>
              </w:tc>
              <w:tc>
                <w:tcPr>
                  <w:tcW w:w="904" w:type="dxa"/>
                  <w:vAlign w:val="center"/>
                </w:tcPr>
                <w:p w14:paraId="2A3CBDBD">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46</w:t>
                  </w:r>
                </w:p>
              </w:tc>
            </w:tr>
            <w:tr w14:paraId="30D4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79660EED">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推土机</w:t>
                  </w:r>
                </w:p>
              </w:tc>
              <w:tc>
                <w:tcPr>
                  <w:tcW w:w="819" w:type="dxa"/>
                  <w:vAlign w:val="center"/>
                </w:tcPr>
                <w:p w14:paraId="3F5400B2">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82</w:t>
                  </w:r>
                </w:p>
              </w:tc>
              <w:tc>
                <w:tcPr>
                  <w:tcW w:w="709" w:type="dxa"/>
                  <w:vAlign w:val="center"/>
                </w:tcPr>
                <w:p w14:paraId="56AFB0E2">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76</w:t>
                  </w:r>
                </w:p>
              </w:tc>
              <w:tc>
                <w:tcPr>
                  <w:tcW w:w="845" w:type="dxa"/>
                  <w:vAlign w:val="center"/>
                </w:tcPr>
                <w:p w14:paraId="3913789D">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70</w:t>
                  </w:r>
                </w:p>
              </w:tc>
              <w:tc>
                <w:tcPr>
                  <w:tcW w:w="873" w:type="dxa"/>
                  <w:vAlign w:val="center"/>
                </w:tcPr>
                <w:p w14:paraId="26F6EC9A">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64</w:t>
                  </w:r>
                </w:p>
              </w:tc>
              <w:tc>
                <w:tcPr>
                  <w:tcW w:w="688" w:type="dxa"/>
                  <w:vAlign w:val="center"/>
                </w:tcPr>
                <w:p w14:paraId="713D3CEF">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62</w:t>
                  </w:r>
                </w:p>
              </w:tc>
              <w:tc>
                <w:tcPr>
                  <w:tcW w:w="902" w:type="dxa"/>
                  <w:vAlign w:val="center"/>
                </w:tcPr>
                <w:p w14:paraId="3DEF995E">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58</w:t>
                  </w:r>
                </w:p>
              </w:tc>
              <w:tc>
                <w:tcPr>
                  <w:tcW w:w="902" w:type="dxa"/>
                  <w:vAlign w:val="center"/>
                </w:tcPr>
                <w:p w14:paraId="5A24587A">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56</w:t>
                  </w:r>
                </w:p>
              </w:tc>
              <w:tc>
                <w:tcPr>
                  <w:tcW w:w="904" w:type="dxa"/>
                  <w:vAlign w:val="center"/>
                </w:tcPr>
                <w:p w14:paraId="3A984027">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48</w:t>
                  </w:r>
                </w:p>
              </w:tc>
            </w:tr>
            <w:tr w14:paraId="6888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680A6E5D">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压路机</w:t>
                  </w:r>
                </w:p>
              </w:tc>
              <w:tc>
                <w:tcPr>
                  <w:tcW w:w="819" w:type="dxa"/>
                  <w:vAlign w:val="center"/>
                </w:tcPr>
                <w:p w14:paraId="1FA25FEB">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82</w:t>
                  </w:r>
                </w:p>
              </w:tc>
              <w:tc>
                <w:tcPr>
                  <w:tcW w:w="709" w:type="dxa"/>
                  <w:vAlign w:val="center"/>
                </w:tcPr>
                <w:p w14:paraId="541B6DFD">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76</w:t>
                  </w:r>
                </w:p>
              </w:tc>
              <w:tc>
                <w:tcPr>
                  <w:tcW w:w="845" w:type="dxa"/>
                  <w:vAlign w:val="center"/>
                </w:tcPr>
                <w:p w14:paraId="5B346C52">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70</w:t>
                  </w:r>
                </w:p>
              </w:tc>
              <w:tc>
                <w:tcPr>
                  <w:tcW w:w="873" w:type="dxa"/>
                  <w:vAlign w:val="center"/>
                </w:tcPr>
                <w:p w14:paraId="48B068D2">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64</w:t>
                  </w:r>
                </w:p>
              </w:tc>
              <w:tc>
                <w:tcPr>
                  <w:tcW w:w="688" w:type="dxa"/>
                  <w:vAlign w:val="center"/>
                </w:tcPr>
                <w:p w14:paraId="5CC0A66A">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62</w:t>
                  </w:r>
                </w:p>
              </w:tc>
              <w:tc>
                <w:tcPr>
                  <w:tcW w:w="902" w:type="dxa"/>
                  <w:vAlign w:val="center"/>
                </w:tcPr>
                <w:p w14:paraId="593A224A">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58</w:t>
                  </w:r>
                </w:p>
              </w:tc>
              <w:tc>
                <w:tcPr>
                  <w:tcW w:w="902" w:type="dxa"/>
                  <w:vAlign w:val="center"/>
                </w:tcPr>
                <w:p w14:paraId="65D3C3B8">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56</w:t>
                  </w:r>
                </w:p>
              </w:tc>
              <w:tc>
                <w:tcPr>
                  <w:tcW w:w="904" w:type="dxa"/>
                  <w:vAlign w:val="center"/>
                </w:tcPr>
                <w:p w14:paraId="45DF84CD">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48</w:t>
                  </w:r>
                </w:p>
              </w:tc>
            </w:tr>
            <w:tr w14:paraId="45411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dxa"/>
                  <w:vAlign w:val="center"/>
                </w:tcPr>
                <w:p w14:paraId="33075184">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重型运输车</w:t>
                  </w:r>
                </w:p>
              </w:tc>
              <w:tc>
                <w:tcPr>
                  <w:tcW w:w="819" w:type="dxa"/>
                  <w:vAlign w:val="center"/>
                </w:tcPr>
                <w:p w14:paraId="009875FB">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84</w:t>
                  </w:r>
                </w:p>
              </w:tc>
              <w:tc>
                <w:tcPr>
                  <w:tcW w:w="709" w:type="dxa"/>
                  <w:vAlign w:val="center"/>
                </w:tcPr>
                <w:p w14:paraId="1B14475D">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78</w:t>
                  </w:r>
                </w:p>
              </w:tc>
              <w:tc>
                <w:tcPr>
                  <w:tcW w:w="845" w:type="dxa"/>
                  <w:vAlign w:val="center"/>
                </w:tcPr>
                <w:p w14:paraId="73381B28">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72</w:t>
                  </w:r>
                </w:p>
              </w:tc>
              <w:tc>
                <w:tcPr>
                  <w:tcW w:w="873" w:type="dxa"/>
                  <w:vAlign w:val="center"/>
                </w:tcPr>
                <w:p w14:paraId="4C19479C">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66</w:t>
                  </w:r>
                </w:p>
              </w:tc>
              <w:tc>
                <w:tcPr>
                  <w:tcW w:w="688" w:type="dxa"/>
                  <w:vAlign w:val="center"/>
                </w:tcPr>
                <w:p w14:paraId="31582FD7">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64</w:t>
                  </w:r>
                </w:p>
              </w:tc>
              <w:tc>
                <w:tcPr>
                  <w:tcW w:w="902" w:type="dxa"/>
                  <w:vAlign w:val="center"/>
                </w:tcPr>
                <w:p w14:paraId="3C9AF8C7">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60</w:t>
                  </w:r>
                </w:p>
              </w:tc>
              <w:tc>
                <w:tcPr>
                  <w:tcW w:w="902" w:type="dxa"/>
                  <w:vAlign w:val="center"/>
                </w:tcPr>
                <w:p w14:paraId="0D4BC311">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58</w:t>
                  </w:r>
                </w:p>
              </w:tc>
              <w:tc>
                <w:tcPr>
                  <w:tcW w:w="904" w:type="dxa"/>
                  <w:vAlign w:val="center"/>
                </w:tcPr>
                <w:p w14:paraId="4B6063DA">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50</w:t>
                  </w:r>
                </w:p>
              </w:tc>
            </w:tr>
          </w:tbl>
          <w:p w14:paraId="30D03FF3">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lang w:val="en-US" w:eastAsia="zh-CN"/>
                <w14:textFill>
                  <w14:solidFill>
                    <w14:schemeClr w14:val="tx1"/>
                  </w14:solidFill>
                </w14:textFill>
              </w:rPr>
              <w:t>由表4-2可知，项目施工期施工机械产生的噪声</w:t>
            </w:r>
            <w:r>
              <w:rPr>
                <w:rFonts w:hint="eastAsia" w:cs="Times New Roman"/>
                <w:color w:val="000000" w:themeColor="text1"/>
                <w:sz w:val="24"/>
                <w:szCs w:val="24"/>
                <w:highlight w:val="none"/>
                <w:lang w:val="en-US" w:eastAsia="zh-CN"/>
                <w14:textFill>
                  <w14:solidFill>
                    <w14:schemeClr w14:val="tx1"/>
                  </w14:solidFill>
                </w14:textFill>
              </w:rPr>
              <w:t>200m</w:t>
            </w:r>
            <w:r>
              <w:rPr>
                <w:rFonts w:hint="default" w:cs="Times New Roman"/>
                <w:color w:val="000000" w:themeColor="text1"/>
                <w:sz w:val="24"/>
                <w:szCs w:val="24"/>
                <w:highlight w:val="none"/>
                <w:lang w:val="en-US" w:eastAsia="zh-CN"/>
                <w14:textFill>
                  <w14:solidFill>
                    <w14:schemeClr w14:val="tx1"/>
                  </w14:solidFill>
                </w14:textFill>
              </w:rPr>
              <w:t>可达到《建筑施工场界环境噪声排放标准》（GB12523-2011）规定的场界排放标准限值。根据现场调查，本项目</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cs="Times New Roman"/>
                <w:color w:val="000000" w:themeColor="text1"/>
                <w:sz w:val="24"/>
                <w:szCs w:val="24"/>
                <w:highlight w:val="none"/>
                <w:lang w:val="en-US" w:eastAsia="zh-CN"/>
                <w14:textFill>
                  <w14:solidFill>
                    <w14:schemeClr w14:val="tx1"/>
                  </w14:solidFill>
                </w14:textFill>
              </w:rPr>
              <w:t>00m范围内无声环境敏感点。</w:t>
            </w:r>
          </w:p>
          <w:p w14:paraId="786C712D">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s="Times New Roman"/>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highlight w:val="none"/>
              </w:rPr>
              <w:t>施工单位采用低噪声施工设备，合理安排施工计划并采取严格的施工管理措施，将施工噪声造成的影响减小到最低。项目夜间不施工，且施工期间加强管理，在严格落实基础减振、隔声等降噪措施的前提下，施工噪声对周围声环境影响较小。</w:t>
            </w:r>
          </w:p>
          <w:p w14:paraId="079BC89F">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cs="Times New Roman"/>
                <w:b/>
                <w:bCs/>
                <w:color w:val="000000" w:themeColor="text1"/>
                <w:sz w:val="24"/>
                <w:szCs w:val="24"/>
                <w:lang w:val="en-US" w:eastAsia="zh-CN"/>
                <w14:textFill>
                  <w14:solidFill>
                    <w14:schemeClr w14:val="tx1"/>
                  </w14:solidFill>
                </w14:textFill>
              </w:rPr>
            </w:pPr>
            <w:r>
              <w:rPr>
                <w:rFonts w:hint="default" w:cs="Times New Roman"/>
                <w:b/>
                <w:bCs/>
                <w:color w:val="000000" w:themeColor="text1"/>
                <w:sz w:val="24"/>
                <w:szCs w:val="24"/>
                <w:lang w:val="en-US" w:eastAsia="zh-CN"/>
                <w14:textFill>
                  <w14:solidFill>
                    <w14:schemeClr w14:val="tx1"/>
                  </w14:solidFill>
                </w14:textFill>
              </w:rPr>
              <w:t>4.固体废物影响分析</w:t>
            </w:r>
          </w:p>
          <w:p w14:paraId="5193FEB4">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本项目不设施工生活营地，因此无生活垃圾产生。施工期固体废物主要来自建筑垃圾及剥离的表土。</w:t>
            </w:r>
          </w:p>
          <w:p w14:paraId="2477C270">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施工期场内道路、截排水设施等建设期会产生剥离土，剥离土统一堆放在表土堆放场，用于后期复垦，并建设排水沟和挡土墙等措施。</w:t>
            </w:r>
          </w:p>
          <w:p w14:paraId="46C418D5">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施工期的建筑垃圾主要为碎砖头、混凝土和砂土，分类收集后由本项目回收利用，本次环评要求对于无利用价值的废弃物应按市政部门要求运往指定地点。另外，建设单位须要求施工单位规范运输，不能随地洒落物料，不能随意倾倒、堆放建筑垃圾，施工结束后应及时清运多余或废弃的建筑材料或建筑垃圾。</w:t>
            </w:r>
          </w:p>
          <w:p w14:paraId="42130AD7">
            <w:pPr>
              <w:pStyle w:val="3"/>
              <w:keepNext/>
              <w:keepLines w:val="0"/>
              <w:pageBreakBefore w:val="0"/>
              <w:widowControl w:val="0"/>
              <w:kinsoku/>
              <w:wordWrap/>
              <w:overflowPunct w:val="0"/>
              <w:topLinePunct w:val="0"/>
              <w:autoSpaceDE/>
              <w:autoSpaceDN/>
              <w:bidi w:val="0"/>
              <w:adjustRightInd/>
              <w:snapToGrid w:val="0"/>
              <w:ind w:leftChars="0" w:firstLine="482" w:firstLineChars="200"/>
              <w:textAlignment w:val="auto"/>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生态环境影响分析</w:t>
            </w:r>
          </w:p>
          <w:p w14:paraId="35848CFB">
            <w:pPr>
              <w:pStyle w:val="23"/>
              <w:keepLines w:val="0"/>
              <w:pageBreakBefore w:val="0"/>
              <w:widowControl w:val="0"/>
              <w:numPr>
                <w:ilvl w:val="0"/>
                <w:numId w:val="0"/>
              </w:numPr>
              <w:kinsoku/>
              <w:wordWrap/>
              <w:topLinePunct w:val="0"/>
              <w:autoSpaceDE/>
              <w:autoSpaceDN/>
              <w:bidi w:val="0"/>
              <w:spacing w:after="0"/>
              <w:ind w:leftChars="0" w:firstLine="482" w:firstLineChars="200"/>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eastAsia="zh-CN"/>
              </w:rPr>
              <w:t>（</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rPr>
              <w:t>对土地利用类型的影响分析</w:t>
            </w:r>
          </w:p>
          <w:p w14:paraId="73B066FF">
            <w:pPr>
              <w:keepLines w:val="0"/>
              <w:pageBreakBefore w:val="0"/>
              <w:widowControl w:val="0"/>
              <w:kinsoku/>
              <w:wordWrap/>
              <w:topLinePunct w:val="0"/>
              <w:autoSpaceDE/>
              <w:autoSpaceDN/>
              <w:bidi w:val="0"/>
              <w:ind w:leftChars="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eastAsia" w:cs="Times New Roman"/>
                <w:color w:val="auto"/>
                <w:sz w:val="24"/>
                <w:szCs w:val="24"/>
                <w:lang w:val="en-US" w:eastAsia="zh-CN"/>
              </w:rPr>
              <w:t>矿区占地为临时占地，</w:t>
            </w:r>
            <w:r>
              <w:rPr>
                <w:rFonts w:hint="default" w:ascii="Times New Roman" w:hAnsi="Times New Roman" w:eastAsia="宋体" w:cs="Times New Roman"/>
                <w:color w:val="auto"/>
                <w:sz w:val="24"/>
                <w:szCs w:val="24"/>
              </w:rPr>
              <w:t>本项目矿山开采方式为“边开采边恢复”，采矿平台终了进行覆土，其上采用乔草相结合的方式进行植被恢复，尽可能优化矿区土地利用结构，将土地利用结构的影响降低到最小。</w:t>
            </w:r>
          </w:p>
          <w:p w14:paraId="351B4035">
            <w:pPr>
              <w:pStyle w:val="23"/>
              <w:keepLines w:val="0"/>
              <w:pageBreakBefore w:val="0"/>
              <w:widowControl w:val="0"/>
              <w:numPr>
                <w:ilvl w:val="0"/>
                <w:numId w:val="0"/>
              </w:numPr>
              <w:kinsoku/>
              <w:wordWrap/>
              <w:topLinePunct w:val="0"/>
              <w:autoSpaceDE/>
              <w:autoSpaceDN/>
              <w:bidi w:val="0"/>
              <w:spacing w:after="0"/>
              <w:ind w:leftChars="0" w:firstLine="482" w:firstLineChars="200"/>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eastAsia="zh-CN"/>
              </w:rPr>
              <w:t>（</w:t>
            </w:r>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rPr>
              <w:t>对生态系统的影响分析</w:t>
            </w:r>
          </w:p>
          <w:p w14:paraId="6B4636D7">
            <w:pPr>
              <w:pStyle w:val="23"/>
              <w:keepLines w:val="0"/>
              <w:pageBreakBefore w:val="0"/>
              <w:widowControl w:val="0"/>
              <w:kinsoku/>
              <w:wordWrap/>
              <w:topLinePunct w:val="0"/>
              <w:autoSpaceDE/>
              <w:autoSpaceDN/>
              <w:bidi w:val="0"/>
              <w:adjustRightInd w:val="0"/>
              <w:snapToGrid w:val="0"/>
              <w:spacing w:after="0"/>
              <w:ind w:left="0" w:left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露天开采，将会导致原有的、自然生产的生态格局的完整性被破坏，由于矿山采矿活动及占地，使动植物自然栖息地受到扰动，属种减少，系统结构将会简单，生态系统功能有所减弱，原有的生态平衡将会被打破。项目使用林地，使林地面积减少，影响森林保持水土，涵养水源等生态效能，但占用地面积较小，同时通过科学施工，严格管理、加强监督检查，对区域生态效能产生影响是轻微的，有限的，随着植被恢复任务的完成，这种影响将会逐步消失。</w:t>
            </w:r>
          </w:p>
          <w:p w14:paraId="459BE4C8">
            <w:pPr>
              <w:pStyle w:val="23"/>
              <w:numPr>
                <w:ilvl w:val="0"/>
                <w:numId w:val="0"/>
              </w:numPr>
              <w:adjustRightInd w:val="0"/>
              <w:snapToGrid w:val="0"/>
              <w:spacing w:after="0"/>
              <w:ind w:firstLine="482" w:firstLineChars="200"/>
              <w:rPr>
                <w:rFonts w:hint="default" w:ascii="Times New Roman" w:hAnsi="Times New Roman" w:eastAsia="宋体" w:cs="Times New Roman"/>
                <w:b/>
                <w:bCs/>
                <w:color w:val="auto"/>
                <w:sz w:val="24"/>
                <w:szCs w:val="24"/>
              </w:rPr>
            </w:pPr>
            <w:r>
              <w:rPr>
                <w:rFonts w:hint="eastAsia" w:cs="Times New Roman"/>
                <w:b/>
                <w:bCs/>
                <w:color w:val="auto"/>
                <w:sz w:val="24"/>
                <w:szCs w:val="24"/>
                <w:lang w:eastAsia="zh-CN"/>
              </w:rPr>
              <w:t>（</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rPr>
              <w:t>对植物的影响分析</w:t>
            </w:r>
          </w:p>
          <w:p w14:paraId="55D408FE">
            <w:pPr>
              <w:adjustRightInd w:val="0"/>
              <w:snapToGrid w:val="0"/>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在矿山开采过程中，运输道路沿线区域的植物，受道路扬尘的影响，光合作用强度将微弱降低；运输车辆排放的NO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等污染物质也会间接影响植物生长发育。项目开采运营中，矿山做好运输车辆密闭运输、清洗轮胎、洒水降尘等工作，会大大降低道路扬尘的产生量及对沿线植物的影响。且由于运输车辆污染物的排放量本身就小，不会对道路沿线植物的生长发育产生显著的负面影响。</w:t>
            </w:r>
          </w:p>
          <w:p w14:paraId="695AB6F6">
            <w:pPr>
              <w:pStyle w:val="23"/>
              <w:numPr>
                <w:ilvl w:val="0"/>
                <w:numId w:val="0"/>
              </w:numPr>
              <w:adjustRightInd w:val="0"/>
              <w:snapToGrid w:val="0"/>
              <w:spacing w:after="0"/>
              <w:ind w:leftChars="200"/>
              <w:rPr>
                <w:rFonts w:hint="default" w:ascii="Times New Roman" w:hAnsi="Times New Roman" w:eastAsia="宋体" w:cs="Times New Roman"/>
                <w:b/>
                <w:bCs/>
                <w:color w:val="auto"/>
                <w:sz w:val="24"/>
                <w:szCs w:val="24"/>
              </w:rPr>
            </w:pPr>
            <w:r>
              <w:rPr>
                <w:rFonts w:hint="eastAsia" w:cs="Times New Roman"/>
                <w:b/>
                <w:bCs/>
                <w:color w:val="auto"/>
                <w:sz w:val="24"/>
                <w:szCs w:val="24"/>
                <w:lang w:eastAsia="zh-CN"/>
              </w:rPr>
              <w:t>（</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对动物的影响分析</w:t>
            </w:r>
          </w:p>
          <w:p w14:paraId="550F87B6">
            <w:pPr>
              <w:pStyle w:val="23"/>
              <w:spacing w:after="0"/>
              <w:ind w:left="0" w:left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对动物的直接影响主要是采场噪声、道路交通噪声对野生动物栖息环境的影响。根据现场实地调查，项目占地范围内动物均为常见动物物种，多为鸟类和小型兽类。生态影响评价区内未发现国家级和省级保护级别的动物的栖息繁殖地。矿山运营过程中，对动物栖息生态环境的破坏不可避免，可能影响鸟类等动物的觅食和繁殖。鸟类等动物的规避本能将会使其远离被干扰地区，向其他林区迁徙。因此，项目运营对项目区周边的野生动物有一定影响，但影响程度在可接受范围内。</w:t>
            </w:r>
          </w:p>
          <w:p w14:paraId="7858AE13">
            <w:pPr>
              <w:pStyle w:val="23"/>
              <w:numPr>
                <w:ilvl w:val="0"/>
                <w:numId w:val="0"/>
              </w:numPr>
              <w:adjustRightInd w:val="0"/>
              <w:snapToGrid w:val="0"/>
              <w:spacing w:after="0"/>
              <w:ind w:leftChars="200"/>
              <w:rPr>
                <w:rFonts w:hint="default" w:ascii="Times New Roman" w:hAnsi="Times New Roman" w:eastAsia="宋体" w:cs="Times New Roman"/>
                <w:b/>
                <w:bCs/>
                <w:color w:val="auto"/>
                <w:sz w:val="24"/>
                <w:szCs w:val="24"/>
              </w:rPr>
            </w:pPr>
            <w:r>
              <w:rPr>
                <w:rFonts w:hint="eastAsia" w:cs="Times New Roman"/>
                <w:b/>
                <w:bCs/>
                <w:color w:val="auto"/>
                <w:sz w:val="24"/>
                <w:szCs w:val="24"/>
                <w:lang w:eastAsia="zh-CN"/>
              </w:rPr>
              <w:t>（</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rPr>
              <w:t>对景观的影响分析</w:t>
            </w:r>
          </w:p>
          <w:p w14:paraId="1109954F">
            <w:pPr>
              <w:pStyle w:val="23"/>
              <w:keepLines w:val="0"/>
              <w:pageBreakBefore w:val="0"/>
              <w:widowControl w:val="0"/>
              <w:kinsoku/>
              <w:wordWrap/>
              <w:topLinePunct w:val="0"/>
              <w:autoSpaceDE/>
              <w:autoSpaceDN/>
              <w:bidi w:val="0"/>
              <w:adjustRightInd/>
              <w:snapToGrid/>
              <w:spacing w:after="0"/>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矿区</w:t>
            </w:r>
            <w:r>
              <w:rPr>
                <w:rFonts w:hint="default" w:ascii="Times New Roman" w:hAnsi="Times New Roman" w:eastAsia="宋体" w:cs="Times New Roman"/>
                <w:color w:val="auto"/>
                <w:sz w:val="24"/>
                <w:szCs w:val="24"/>
              </w:rPr>
              <w:t>露天</w:t>
            </w:r>
            <w:r>
              <w:rPr>
                <w:rFonts w:hint="default" w:ascii="Times New Roman" w:hAnsi="Times New Roman" w:eastAsia="宋体" w:cs="Times New Roman"/>
                <w:color w:val="auto"/>
                <w:sz w:val="24"/>
                <w:szCs w:val="24"/>
                <w:lang w:val="en-US" w:eastAsia="zh-CN"/>
              </w:rPr>
              <w:t>采场</w:t>
            </w:r>
            <w:r>
              <w:rPr>
                <w:rFonts w:hint="default" w:ascii="Times New Roman" w:hAnsi="Times New Roman" w:eastAsia="宋体" w:cs="Times New Roman"/>
                <w:color w:val="auto"/>
                <w:sz w:val="24"/>
                <w:szCs w:val="24"/>
              </w:rPr>
              <w:t>在一定程度上影响景观格局，改变矿区的景观结构，使单纯的自然景观向着人工化、工业化、多样化的方向发展。露天开采占地，使植被减少、地表的完整性与平整性变差。使原来的自然景观类型变为采矿、工矿设施、供电通讯线路以及运输道路等人工景观，而且会对原来的景观进行分隔，造成空间上的非连续性和一些人为的劣质景观，造成与周围自然环境的不相协调。采用“边开采、边恢复”的方式，尽快恢复矿区植被，减少视觉影响。经过水土保持、植被恢复和土地复垦等措施的逐步实施，矿区生态环境会得到逐步改善。</w:t>
            </w:r>
          </w:p>
          <w:p w14:paraId="35FD5AC2">
            <w:pPr>
              <w:keepLines w:val="0"/>
              <w:pageBreakBefore w:val="0"/>
              <w:widowControl w:val="0"/>
              <w:kinsoku/>
              <w:wordWrap/>
              <w:topLinePunct w:val="0"/>
              <w:autoSpaceDE/>
              <w:autoSpaceDN/>
              <w:bidi w:val="0"/>
              <w:adjustRightInd/>
              <w:snapToGrid/>
              <w:ind w:firstLine="482" w:firstLineChars="200"/>
              <w:textAlignment w:val="auto"/>
              <w:rPr>
                <w:rFonts w:hint="eastAsia" w:eastAsia="宋体"/>
                <w:b/>
                <w:bCs/>
                <w:lang w:eastAsia="zh-CN"/>
              </w:rPr>
            </w:pPr>
            <w:r>
              <w:rPr>
                <w:rFonts w:hint="default"/>
                <w:b/>
                <w:bCs/>
              </w:rPr>
              <w:t>（</w:t>
            </w:r>
            <w:r>
              <w:rPr>
                <w:rFonts w:hint="eastAsia"/>
                <w:b/>
                <w:bCs/>
                <w:lang w:val="en-US" w:eastAsia="zh-CN"/>
              </w:rPr>
              <w:t>6</w:t>
            </w:r>
            <w:r>
              <w:rPr>
                <w:rFonts w:hint="default"/>
                <w:b/>
                <w:bCs/>
              </w:rPr>
              <w:t>）水土流失影响</w:t>
            </w:r>
            <w:r>
              <w:rPr>
                <w:rFonts w:hint="eastAsia"/>
                <w:b/>
                <w:bCs/>
                <w:lang w:eastAsia="zh-CN"/>
              </w:rPr>
              <w:t>分析</w:t>
            </w:r>
          </w:p>
          <w:p w14:paraId="03363569">
            <w:pPr>
              <w:pStyle w:val="3"/>
              <w:keepNext/>
              <w:keepLines w:val="0"/>
              <w:pageBreakBefore w:val="0"/>
              <w:widowControl w:val="0"/>
              <w:kinsoku/>
              <w:wordWrap/>
              <w:overflowPunct w:val="0"/>
              <w:topLinePunct w:val="0"/>
              <w:autoSpaceDE/>
              <w:autoSpaceDN/>
              <w:bidi w:val="0"/>
              <w:adjustRightInd/>
              <w:snapToGrid/>
              <w:ind w:firstLine="480" w:firstLineChars="200"/>
              <w:textAlignment w:val="auto"/>
              <w:rPr>
                <w:rFonts w:hint="eastAsia" w:eastAsia="华文宋体"/>
                <w:b w:val="0"/>
                <w:bCs w:val="0"/>
                <w:lang w:eastAsia="zh-CN"/>
              </w:rPr>
            </w:pPr>
            <w:r>
              <w:rPr>
                <w:rFonts w:hint="default"/>
                <w:b w:val="0"/>
                <w:bCs w:val="0"/>
              </w:rPr>
              <w:t>项目建设过程中由于机械作业、表土剥离和地表开挖等，会对地表植被及土壤结构造成一定的破坏，形成地面裸露，遇到下雨及大风天气将会造成土壤侵蚀和水土流失。施工期间对原生地表的扰动和破坏是不可避免的，尽量控制施工期工程范围，合理安排工程进度，尽量减少不必要的动土工程</w:t>
            </w:r>
            <w:r>
              <w:rPr>
                <w:rFonts w:hint="eastAsia"/>
                <w:b w:val="0"/>
                <w:bCs w:val="0"/>
                <w:lang w:eastAsia="zh-CN"/>
              </w:rPr>
              <w:t>。</w:t>
            </w:r>
          </w:p>
          <w:p w14:paraId="5EAAFC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6、二级国家公益林影响分析</w:t>
            </w:r>
          </w:p>
          <w:p w14:paraId="59D01D90">
            <w:pPr>
              <w:pStyle w:val="3"/>
              <w:keepLines w:val="0"/>
              <w:pageBreakBefore w:val="0"/>
              <w:widowControl w:val="0"/>
              <w:kinsoku/>
              <w:wordWrap/>
              <w:topLinePunct w:val="0"/>
              <w:autoSpaceDE/>
              <w:autoSpaceDN/>
              <w:bidi w:val="0"/>
              <w:adjustRightInd w:val="0"/>
              <w:snapToGrid w:val="0"/>
              <w:ind w:firstLine="480" w:firstLineChars="200"/>
              <w:textAlignment w:val="auto"/>
              <w:rPr>
                <w:rFonts w:hint="eastAsia" w:eastAsia="宋体" w:cs="Times New Roman"/>
                <w:color w:val="auto"/>
                <w:sz w:val="24"/>
                <w:szCs w:val="24"/>
                <w:lang w:val="en-US" w:eastAsia="zh-CN"/>
              </w:rPr>
            </w:pPr>
            <w:r>
              <w:rPr>
                <w:rFonts w:hint="eastAsia" w:ascii="Times New Roman" w:hAnsi="Times New Roman" w:eastAsia="宋体" w:cs="Times New Roman"/>
                <w:b w:val="0"/>
                <w:bCs w:val="0"/>
                <w:color w:val="auto"/>
                <w:sz w:val="24"/>
                <w:szCs w:val="24"/>
                <w:vertAlign w:val="baseline"/>
                <w:lang w:val="en-US" w:eastAsia="zh-CN"/>
              </w:rPr>
              <w:t>本项目施工过程中，会临时占用二级公益林，影响呈块状分布。但因项目建设属于临时占地，待项目建成后，根据当地的自然条件，及时进行植被恢复措施，对临时占用的二级公益林最大化进行原貌恢复。施工中造成的损失，在施工后经过采取恢复措施，大部分可恢复原状。同时应加强施工人员管理，严格控制施工范围，以降低施工过程中对公益林的破坏和影响。施工结束后，通过生态恢复措施，可逐步恢复至原始状态。</w:t>
            </w:r>
          </w:p>
          <w:p w14:paraId="2E510315">
            <w:pPr>
              <w:pStyle w:val="3"/>
              <w:snapToGrid/>
              <w:ind w:firstLine="482" w:firstLineChars="200"/>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二</w:t>
            </w:r>
            <w:r>
              <w:rPr>
                <w:rFonts w:hint="default" w:ascii="Times New Roman" w:hAnsi="Times New Roman" w:eastAsia="宋体" w:cs="Times New Roman"/>
                <w:color w:val="auto"/>
                <w:sz w:val="24"/>
                <w:szCs w:val="24"/>
              </w:rPr>
              <w:t>、环境污染影响分析</w:t>
            </w:r>
          </w:p>
          <w:p w14:paraId="2BBAA722">
            <w:pPr>
              <w:ind w:firstLine="422"/>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rPr>
              <w:t>运营期废气</w:t>
            </w:r>
          </w:p>
          <w:p w14:paraId="6260886F">
            <w:pPr>
              <w:pStyle w:val="23"/>
              <w:spacing w:after="0"/>
              <w:ind w:left="0" w:leftChars="0" w:firstLine="422"/>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 1 \* GB2 \* MERGEFORMAT </w:instrText>
            </w:r>
            <w:r>
              <w:rPr>
                <w:rFonts w:hint="default" w:ascii="Times New Roman" w:hAnsi="Times New Roman" w:eastAsia="宋体" w:cs="Times New Roman"/>
                <w:b/>
                <w:bCs/>
                <w:color w:val="auto"/>
                <w:sz w:val="24"/>
                <w:szCs w:val="24"/>
              </w:rPr>
              <w:fldChar w:fldCharType="separate"/>
            </w:r>
            <w:r>
              <w:t>⑴</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val="0"/>
                <w:bCs w:val="0"/>
                <w:color w:val="auto"/>
                <w:sz w:val="24"/>
                <w:szCs w:val="24"/>
              </w:rPr>
              <w:t>采矿区</w:t>
            </w:r>
          </w:p>
          <w:p w14:paraId="7B95F35C">
            <w:pPr>
              <w:pStyle w:val="23"/>
              <w:spacing w:after="0"/>
              <w:ind w:left="0" w:leftChars="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采矿区生产过程中废气主要</w:t>
            </w:r>
            <w:r>
              <w:rPr>
                <w:rFonts w:hint="eastAsia" w:cs="Times New Roman"/>
                <w:b w:val="0"/>
                <w:bCs w:val="0"/>
                <w:color w:val="auto"/>
                <w:sz w:val="24"/>
                <w:szCs w:val="24"/>
                <w:lang w:eastAsia="zh-CN"/>
              </w:rPr>
              <w:t>来自</w:t>
            </w:r>
            <w:r>
              <w:rPr>
                <w:rFonts w:hint="default" w:ascii="Times New Roman" w:hAnsi="Times New Roman" w:eastAsia="宋体" w:cs="Times New Roman"/>
                <w:b w:val="0"/>
                <w:bCs w:val="0"/>
                <w:color w:val="auto"/>
                <w:sz w:val="24"/>
                <w:szCs w:val="24"/>
              </w:rPr>
              <w:t>钻孔、爆破</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装车工序</w:t>
            </w:r>
            <w:r>
              <w:rPr>
                <w:rFonts w:hint="eastAsia" w:cs="Times New Roman"/>
                <w:b w:val="0"/>
                <w:bCs w:val="0"/>
                <w:color w:val="auto"/>
                <w:sz w:val="24"/>
                <w:szCs w:val="24"/>
                <w:lang w:eastAsia="zh-CN"/>
              </w:rPr>
              <w:t>以及运输道路</w:t>
            </w:r>
            <w:r>
              <w:rPr>
                <w:rFonts w:hint="default" w:ascii="Times New Roman" w:hAnsi="Times New Roman" w:eastAsia="宋体" w:cs="Times New Roman"/>
                <w:b w:val="0"/>
                <w:bCs w:val="0"/>
                <w:color w:val="auto"/>
                <w:sz w:val="24"/>
                <w:szCs w:val="24"/>
              </w:rPr>
              <w:t>产生的粉尘。</w:t>
            </w:r>
          </w:p>
          <w:p w14:paraId="64510166">
            <w:pPr>
              <w:pStyle w:val="23"/>
              <w:spacing w:after="0"/>
              <w:ind w:left="0" w:leftChars="0" w:firstLine="422"/>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①钻孔粉尘</w:t>
            </w:r>
          </w:p>
          <w:p w14:paraId="6A01755E">
            <w:pPr>
              <w:pStyle w:val="23"/>
              <w:spacing w:after="0"/>
              <w:ind w:left="0" w:leftChars="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w:t>
            </w:r>
            <w:r>
              <w:rPr>
                <w:rFonts w:hint="default" w:ascii="Times New Roman" w:hAnsi="Times New Roman" w:eastAsia="宋体" w:cs="Times New Roman"/>
                <w:b w:val="0"/>
                <w:bCs w:val="0"/>
                <w:color w:val="auto"/>
                <w:sz w:val="24"/>
                <w:szCs w:val="24"/>
                <w:lang w:val="en-US" w:eastAsia="zh-CN"/>
              </w:rPr>
              <w:t>项目</w:t>
            </w:r>
            <w:r>
              <w:rPr>
                <w:rFonts w:hint="default" w:ascii="Times New Roman" w:hAnsi="Times New Roman" w:eastAsia="宋体" w:cs="Times New Roman"/>
                <w:b w:val="0"/>
                <w:bCs w:val="0"/>
                <w:color w:val="auto"/>
                <w:sz w:val="24"/>
                <w:szCs w:val="24"/>
              </w:rPr>
              <w:t>矿山石料的开采量为</w:t>
            </w:r>
            <w:r>
              <w:rPr>
                <w:rFonts w:hint="eastAsia" w:ascii="Times New Roman" w:hAnsi="Times New Roman" w:eastAsia="宋体" w:cs="Times New Roman"/>
                <w:b w:val="0"/>
                <w:bCs w:val="0"/>
                <w:color w:val="auto"/>
                <w:sz w:val="24"/>
                <w:szCs w:val="24"/>
                <w:lang w:val="en-US" w:eastAsia="zh-CN"/>
              </w:rPr>
              <w:t>40</w:t>
            </w:r>
            <w:r>
              <w:rPr>
                <w:rFonts w:hint="default" w:ascii="Times New Roman" w:hAnsi="Times New Roman" w:eastAsia="宋体" w:cs="Times New Roman"/>
                <w:b w:val="0"/>
                <w:bCs w:val="0"/>
                <w:color w:val="auto"/>
                <w:sz w:val="24"/>
                <w:szCs w:val="24"/>
                <w:lang w:val="en-US" w:eastAsia="zh-CN"/>
              </w:rPr>
              <w:t>万t/a</w:t>
            </w:r>
            <w:r>
              <w:rPr>
                <w:rFonts w:hint="default" w:ascii="Times New Roman" w:hAnsi="Times New Roman" w:eastAsia="宋体" w:cs="Times New Roman"/>
                <w:b w:val="0"/>
                <w:bCs w:val="0"/>
                <w:color w:val="auto"/>
                <w:sz w:val="24"/>
                <w:szCs w:val="24"/>
              </w:rPr>
              <w:t>，参考《逸散性工业粉尘控制技术》钻孔作业中逸散尘排放因子为0.004kg/t（石料），则钻孔时粉尘的产生量约为</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6</w:t>
            </w:r>
            <w:r>
              <w:rPr>
                <w:rFonts w:hint="default" w:ascii="Times New Roman" w:hAnsi="Times New Roman" w:eastAsia="宋体" w:cs="Times New Roman"/>
                <w:b w:val="0"/>
                <w:bCs w:val="0"/>
                <w:color w:val="auto"/>
                <w:sz w:val="24"/>
                <w:szCs w:val="24"/>
              </w:rPr>
              <w:t>t/a。工作制度为1班/天，8小时/班，年运营天数为300天，建设单位在钻孔的时候进行水喷淋降尘处理，处理效率可达到90%左右，采取上述处理方式后，钻孔过程中扬尘排放量为0.</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6</w:t>
            </w:r>
            <w:r>
              <w:rPr>
                <w:rFonts w:hint="default" w:ascii="Times New Roman" w:hAnsi="Times New Roman" w:eastAsia="宋体" w:cs="Times New Roman"/>
                <w:b w:val="0"/>
                <w:bCs w:val="0"/>
                <w:color w:val="auto"/>
                <w:sz w:val="24"/>
                <w:szCs w:val="24"/>
              </w:rPr>
              <w:t>t/a（0.0</w:t>
            </w:r>
            <w:r>
              <w:rPr>
                <w:rFonts w:hint="eastAsia" w:ascii="Times New Roman" w:hAnsi="Times New Roman" w:eastAsia="宋体" w:cs="Times New Roman"/>
                <w:b w:val="0"/>
                <w:bCs w:val="0"/>
                <w:color w:val="auto"/>
                <w:sz w:val="24"/>
                <w:szCs w:val="24"/>
                <w:lang w:val="en-US" w:eastAsia="zh-CN"/>
              </w:rPr>
              <w:t>66</w:t>
            </w:r>
            <w:r>
              <w:rPr>
                <w:rFonts w:hint="default" w:ascii="Times New Roman" w:hAnsi="Times New Roman" w:eastAsia="宋体" w:cs="Times New Roman"/>
                <w:b w:val="0"/>
                <w:bCs w:val="0"/>
                <w:color w:val="auto"/>
                <w:sz w:val="24"/>
                <w:szCs w:val="24"/>
              </w:rPr>
              <w:t>kg/h）。</w:t>
            </w:r>
          </w:p>
          <w:p w14:paraId="554A3428">
            <w:pPr>
              <w:pStyle w:val="23"/>
              <w:spacing w:after="0"/>
              <w:ind w:left="0" w:leftChars="0" w:firstLine="422"/>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②爆破粉尘</w:t>
            </w:r>
          </w:p>
          <w:p w14:paraId="54C950B2">
            <w:pPr>
              <w:tabs>
                <w:tab w:val="left" w:pos="900"/>
              </w:tabs>
              <w:adjustRightInd w:val="0"/>
              <w:snapToGrid w:val="0"/>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炸药爆炸过程中产生的大气污染物主要有CO、NO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rPr>
              <w:t>和粉尘，类比同类项目，爆破过程CO、NO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rPr>
              <w:t>产生量较少，且爆破时周边无</w:t>
            </w:r>
            <w:r>
              <w:rPr>
                <w:rFonts w:hint="default" w:ascii="Times New Roman" w:hAnsi="Times New Roman" w:eastAsia="宋体" w:cs="Times New Roman"/>
                <w:color w:val="auto"/>
                <w:sz w:val="24"/>
                <w:szCs w:val="24"/>
                <w:lang w:val="en-US" w:eastAsia="zh-CN"/>
              </w:rPr>
              <w:t>常住</w:t>
            </w:r>
            <w:r>
              <w:rPr>
                <w:rFonts w:hint="default" w:ascii="Times New Roman" w:hAnsi="Times New Roman" w:eastAsia="宋体" w:cs="Times New Roman"/>
                <w:color w:val="auto"/>
                <w:sz w:val="24"/>
                <w:szCs w:val="24"/>
              </w:rPr>
              <w:t>人员分布，经大气扩散后不会对工作人员及大气环境产生影响，因此本次评价不做定量分析。</w:t>
            </w:r>
          </w:p>
          <w:p w14:paraId="3EB41562">
            <w:pPr>
              <w:tabs>
                <w:tab w:val="left" w:pos="900"/>
              </w:tabs>
              <w:adjustRightInd w:val="0"/>
              <w:snapToGrid w:val="0"/>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根据美国国家环保局AP-42资料，岩石炸药爆炸过程中产生的粉尘为54.2kg/t（炸药）。项目年开采量</w:t>
            </w:r>
            <w:r>
              <w:rPr>
                <w:rFonts w:hint="eastAsia"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rPr>
              <w:t>万t/a，炸药年使用量约为</w:t>
            </w:r>
            <w:r>
              <w:rPr>
                <w:rFonts w:hint="default" w:ascii="Times New Roman" w:hAnsi="Times New Roman" w:eastAsia="宋体" w:cs="Times New Roman"/>
                <w:color w:val="auto"/>
                <w:sz w:val="24"/>
                <w:szCs w:val="24"/>
                <w:lang w:val="en-US" w:eastAsia="zh-CN"/>
              </w:rPr>
              <w:t>120</w:t>
            </w:r>
            <w:r>
              <w:rPr>
                <w:rFonts w:hint="default" w:ascii="Times New Roman" w:hAnsi="Times New Roman" w:eastAsia="宋体" w:cs="Times New Roman"/>
                <w:color w:val="auto"/>
                <w:sz w:val="24"/>
                <w:szCs w:val="24"/>
              </w:rPr>
              <w:t>t，经核算</w:t>
            </w:r>
            <w:r>
              <w:rPr>
                <w:rFonts w:hint="eastAsia" w:cs="Times New Roman"/>
                <w:color w:val="auto"/>
                <w:sz w:val="24"/>
                <w:szCs w:val="24"/>
                <w:lang w:val="en-US" w:eastAsia="zh-CN"/>
              </w:rPr>
              <w:t>扩建</w:t>
            </w:r>
            <w:r>
              <w:rPr>
                <w:rFonts w:hint="default" w:ascii="Times New Roman" w:hAnsi="Times New Roman" w:eastAsia="宋体" w:cs="Times New Roman"/>
                <w:color w:val="auto"/>
                <w:sz w:val="24"/>
                <w:szCs w:val="24"/>
                <w:lang w:val="en-US" w:eastAsia="zh-CN"/>
              </w:rPr>
              <w:t>项目爆破</w:t>
            </w:r>
            <w:r>
              <w:rPr>
                <w:rFonts w:hint="default" w:ascii="Times New Roman" w:hAnsi="Times New Roman" w:eastAsia="宋体" w:cs="Times New Roman"/>
                <w:color w:val="auto"/>
                <w:sz w:val="24"/>
                <w:szCs w:val="24"/>
              </w:rPr>
              <w:t>粉尘产生量为</w:t>
            </w:r>
            <w:r>
              <w:rPr>
                <w:rFonts w:hint="default" w:ascii="Times New Roman" w:hAnsi="Times New Roman" w:eastAsia="宋体" w:cs="Times New Roman"/>
                <w:color w:val="auto"/>
                <w:sz w:val="24"/>
                <w:szCs w:val="24"/>
                <w:lang w:val="en-US" w:eastAsia="zh-CN"/>
              </w:rPr>
              <w:t>6.504</w:t>
            </w:r>
            <w:r>
              <w:rPr>
                <w:rFonts w:hint="default" w:ascii="Times New Roman" w:hAnsi="Times New Roman" w:eastAsia="宋体" w:cs="Times New Roman"/>
                <w:color w:val="auto"/>
                <w:sz w:val="24"/>
                <w:szCs w:val="24"/>
              </w:rPr>
              <w:t>t/a。爆破后粒径大的粉尘在近距离内短时间沉降，粒径&lt;10mm的飘尘不易沉降，但仅占产尘量的</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%以下（约为</w:t>
            </w:r>
            <w:r>
              <w:rPr>
                <w:rFonts w:hint="default" w:ascii="Times New Roman" w:hAnsi="Times New Roman" w:eastAsia="宋体" w:cs="Times New Roman"/>
                <w:color w:val="auto"/>
                <w:sz w:val="24"/>
                <w:szCs w:val="24"/>
                <w:lang w:val="en-US" w:eastAsia="zh-CN"/>
              </w:rPr>
              <w:t>0.195</w:t>
            </w:r>
            <w:r>
              <w:rPr>
                <w:rFonts w:hint="default" w:ascii="Times New Roman" w:hAnsi="Times New Roman" w:eastAsia="宋体" w:cs="Times New Roman"/>
                <w:color w:val="auto"/>
                <w:sz w:val="24"/>
                <w:szCs w:val="24"/>
              </w:rPr>
              <w:t>t/a）。采场区采用洒水抑尘，参照《喷雾洒水抑制城市二次扬尘的效果分析》中“喷雾洒水是抑制二次扬尘的一项有效措施，抑制二次扬尘率为85%”，本次评价取85%，则粉尘排放量为0.0</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t/a，排放速率为0.0</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kg/h。</w:t>
            </w:r>
          </w:p>
          <w:p w14:paraId="46954ABB">
            <w:pPr>
              <w:pStyle w:val="23"/>
              <w:spacing w:after="0"/>
              <w:ind w:left="0" w:leftChars="0" w:firstLine="422"/>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③铲装粉尘</w:t>
            </w:r>
          </w:p>
          <w:p w14:paraId="76DCE153">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项目矿</w:t>
            </w:r>
            <w:r>
              <w:rPr>
                <w:rFonts w:hint="default" w:ascii="Times New Roman" w:hAnsi="Times New Roman" w:eastAsia="宋体" w:cs="Times New Roman"/>
                <w:color w:val="auto"/>
                <w:sz w:val="24"/>
                <w:szCs w:val="24"/>
                <w:lang w:val="en-US" w:eastAsia="zh-CN"/>
              </w:rPr>
              <w:t>石</w:t>
            </w:r>
            <w:r>
              <w:rPr>
                <w:rFonts w:hint="default" w:ascii="Times New Roman" w:hAnsi="Times New Roman" w:eastAsia="宋体" w:cs="Times New Roman"/>
                <w:color w:val="auto"/>
                <w:sz w:val="24"/>
                <w:szCs w:val="24"/>
              </w:rPr>
              <w:t>在装车作业过程中由于落差引起的粉尘，属于无组织排放，使用物料机械落差起尘量推荐公式。</w:t>
            </w:r>
          </w:p>
          <w:p w14:paraId="7ACDA505">
            <w:pPr>
              <w:ind w:firstLine="42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object>
                <v:shape id="_x0000_i1025" o:spt="75" type="#_x0000_t75" style="height:35.15pt;width:136.4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p>
          <w:p w14:paraId="274F88CF">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式中：Q—物料装车时机械落差起尘量（kg/s）；</w:t>
            </w:r>
          </w:p>
          <w:p w14:paraId="1E99F540">
            <w:pPr>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u—平均风速（m/s），本项目取2.0m/s；</w:t>
            </w:r>
          </w:p>
          <w:p w14:paraId="33EE4E0A">
            <w:pPr>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H—物料落差（m），本项目取1.2m；</w:t>
            </w:r>
          </w:p>
          <w:p w14:paraId="52417ACE">
            <w:pPr>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ω—物料含水率（%），本项目取1%；</w:t>
            </w:r>
          </w:p>
          <w:p w14:paraId="5C03F2F3">
            <w:pPr>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t—物料装车所用时间（s），本项目装车时间4min（240s）。</w:t>
            </w:r>
          </w:p>
          <w:p w14:paraId="6D76EB0A">
            <w:pPr>
              <w:tabs>
                <w:tab w:val="left" w:pos="900"/>
              </w:tabs>
              <w:adjustRightInd w:val="0"/>
              <w:snapToGrid w:val="0"/>
              <w:ind w:firstLine="42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经估算，物料装车时机械落差扬尘产生量为0.0004kg/s。项目年开采量</w:t>
            </w:r>
            <w:r>
              <w:rPr>
                <w:rFonts w:hint="eastAsia" w:cs="Times New Roman"/>
                <w:color w:val="auto"/>
                <w:sz w:val="24"/>
                <w:szCs w:val="24"/>
                <w:lang w:val="en-US" w:eastAsia="zh-CN"/>
              </w:rPr>
              <w:t>40</w:t>
            </w:r>
            <w:r>
              <w:rPr>
                <w:rFonts w:hint="default" w:ascii="Times New Roman" w:hAnsi="Times New Roman" w:eastAsia="宋体" w:cs="Times New Roman"/>
                <w:color w:val="auto"/>
                <w:sz w:val="24"/>
                <w:szCs w:val="24"/>
                <w:lang w:val="en-US" w:eastAsia="zh-CN"/>
              </w:rPr>
              <w:t>万t/a</w:t>
            </w:r>
            <w:r>
              <w:rPr>
                <w:rFonts w:hint="default" w:ascii="Times New Roman" w:hAnsi="Times New Roman" w:eastAsia="宋体" w:cs="Times New Roman"/>
                <w:color w:val="auto"/>
                <w:sz w:val="24"/>
                <w:szCs w:val="24"/>
              </w:rPr>
              <w:t>，矿山自卸式汽车进行装载，最大载重量</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rPr>
              <w:t>t，项目年装载次数为</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0000</w:t>
            </w:r>
            <w:r>
              <w:rPr>
                <w:rFonts w:hint="default" w:ascii="Times New Roman" w:hAnsi="Times New Roman" w:eastAsia="宋体" w:cs="Times New Roman"/>
                <w:color w:val="auto"/>
                <w:sz w:val="24"/>
                <w:szCs w:val="24"/>
              </w:rPr>
              <w:t>次，总装车时间为</w:t>
            </w:r>
            <w:r>
              <w:rPr>
                <w:rFonts w:hint="eastAsia" w:cs="Times New Roman"/>
                <w:color w:val="auto"/>
                <w:sz w:val="24"/>
                <w:szCs w:val="24"/>
                <w:lang w:val="en-US" w:eastAsia="zh-CN"/>
              </w:rPr>
              <w:t>8000</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min。经计算，装车粉尘产生量为</w:t>
            </w:r>
            <w:r>
              <w:rPr>
                <w:rFonts w:hint="eastAsia" w:cs="Times New Roman"/>
                <w:color w:val="auto"/>
                <w:sz w:val="24"/>
                <w:szCs w:val="24"/>
                <w:lang w:val="en-US" w:eastAsia="zh-CN"/>
              </w:rPr>
              <w:t>1.28</w:t>
            </w:r>
            <w:r>
              <w:rPr>
                <w:rFonts w:hint="default" w:ascii="Times New Roman" w:hAnsi="Times New Roman" w:eastAsia="宋体" w:cs="Times New Roman"/>
                <w:color w:val="auto"/>
                <w:sz w:val="24"/>
                <w:szCs w:val="24"/>
              </w:rPr>
              <w:t>t/a。在项目作业中定时洒水措施下情况下产尘量可下降85%，则粉尘排放量</w:t>
            </w:r>
            <w:r>
              <w:rPr>
                <w:rFonts w:hint="eastAsia" w:cs="Times New Roman"/>
                <w:color w:val="auto"/>
                <w:sz w:val="24"/>
                <w:szCs w:val="24"/>
                <w:lang w:val="en-US" w:eastAsia="zh-CN"/>
              </w:rPr>
              <w:t>0.192</w:t>
            </w:r>
            <w:r>
              <w:rPr>
                <w:rFonts w:hint="default" w:ascii="Times New Roman" w:hAnsi="Times New Roman" w:eastAsia="宋体" w:cs="Times New Roman"/>
                <w:color w:val="auto"/>
                <w:sz w:val="24"/>
                <w:szCs w:val="24"/>
              </w:rPr>
              <w:t>t/a。</w:t>
            </w:r>
          </w:p>
          <w:p w14:paraId="4008AAC8">
            <w:pPr>
              <w:pStyle w:val="23"/>
              <w:numPr>
                <w:ilvl w:val="0"/>
                <w:numId w:val="0"/>
              </w:numPr>
              <w:spacing w:after="0"/>
              <w:ind w:left="480" w:leftChars="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 3 \* GB2 \* MERGEFORMAT </w:instrText>
            </w:r>
            <w:r>
              <w:rPr>
                <w:rFonts w:hint="default" w:ascii="Times New Roman" w:hAnsi="Times New Roman" w:eastAsia="宋体" w:cs="Times New Roman"/>
                <w:b/>
                <w:bCs/>
                <w:color w:val="auto"/>
                <w:sz w:val="24"/>
                <w:szCs w:val="24"/>
              </w:rPr>
              <w:fldChar w:fldCharType="separate"/>
            </w:r>
            <w:r>
              <w:t>⑶</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运输道路</w:t>
            </w:r>
          </w:p>
          <w:p w14:paraId="4F220517">
            <w:pPr>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矿区公路运输扬尘按照《扬尘源颗粒物排放清单编制技术指南》（试行）未铺装公路扬尘排放系数计算：</w:t>
            </w:r>
            <w:r>
              <w:rPr>
                <w:rFonts w:hint="default" w:ascii="Times New Roman" w:hAnsi="Times New Roman" w:eastAsia="宋体" w:cs="Times New Roman"/>
                <w:color w:val="auto"/>
                <w:sz w:val="24"/>
                <w:szCs w:val="24"/>
              </w:rPr>
              <w:t>。</w:t>
            </w:r>
          </w:p>
          <w:p w14:paraId="0600CF5A">
            <w:pPr>
              <w:ind w:firstLine="420"/>
              <w:jc w:val="center"/>
              <w:rPr>
                <w:rFonts w:hint="default" w:ascii="Times New Roman" w:hAnsi="Times New Roman" w:eastAsia="宋体" w:cs="Times New Roman"/>
                <w:color w:val="0000FF"/>
                <w:sz w:val="24"/>
                <w:szCs w:val="24"/>
              </w:rPr>
            </w:pPr>
            <w:r>
              <w:drawing>
                <wp:inline distT="0" distB="0" distL="114300" distR="114300">
                  <wp:extent cx="2122170" cy="487680"/>
                  <wp:effectExtent l="0" t="0" r="1143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2122170" cy="487680"/>
                          </a:xfrm>
                          <a:prstGeom prst="rect">
                            <a:avLst/>
                          </a:prstGeom>
                          <a:noFill/>
                          <a:ln>
                            <a:noFill/>
                          </a:ln>
                        </pic:spPr>
                      </pic:pic>
                    </a:graphicData>
                  </a:graphic>
                </wp:inline>
              </w:drawing>
            </w:r>
          </w:p>
          <w:p w14:paraId="0ED6C4CF">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式中：E</w:t>
            </w:r>
            <w:r>
              <w:rPr>
                <w:rFonts w:hint="default" w:ascii="Times New Roman" w:hAnsi="Times New Roman" w:eastAsia="宋体" w:cs="Times New Roman"/>
                <w:color w:val="auto"/>
                <w:sz w:val="24"/>
                <w:szCs w:val="24"/>
                <w:vertAlign w:val="subscript"/>
              </w:rPr>
              <w:t>UPi</w:t>
            </w:r>
            <w:r>
              <w:rPr>
                <w:rFonts w:hint="default" w:ascii="Times New Roman" w:hAnsi="Times New Roman" w:eastAsia="宋体" w:cs="Times New Roman"/>
                <w:color w:val="auto"/>
                <w:sz w:val="24"/>
                <w:szCs w:val="24"/>
              </w:rPr>
              <w:t>—未铺装公路扬尘中PMi排放系数，g/km；</w:t>
            </w:r>
          </w:p>
          <w:p w14:paraId="083E9E7F">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ki一产生的扬尘中PMi的粒度乘数，颗粒物取1691.4g/km；a取0.3，b取0.3；</w:t>
            </w:r>
          </w:p>
          <w:p w14:paraId="78CCF1A9">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s—公路表面有效积尘率，取40%；</w:t>
            </w:r>
          </w:p>
          <w:p w14:paraId="34D6C742">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v—平均车速，km/h，本次评价取15km/h；</w:t>
            </w:r>
          </w:p>
          <w:p w14:paraId="19333572">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M—公路积尘含水率，取10%；</w:t>
            </w:r>
          </w:p>
          <w:p w14:paraId="6EF3F41B">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η—污染控制技术对扬尘的去除效率，本项目采取公路洒水降尘、控制车速、载重等措施，控制效率取84%。</w:t>
            </w:r>
          </w:p>
          <w:p w14:paraId="27EE03B5">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通过上式计算，E</w:t>
            </w:r>
            <w:r>
              <w:rPr>
                <w:rFonts w:hint="default" w:ascii="Times New Roman" w:hAnsi="Times New Roman" w:eastAsia="宋体" w:cs="Times New Roman"/>
                <w:color w:val="auto"/>
                <w:sz w:val="24"/>
                <w:szCs w:val="24"/>
                <w:vertAlign w:val="subscript"/>
              </w:rPr>
              <w:t>UPi</w:t>
            </w:r>
            <w:r>
              <w:rPr>
                <w:rFonts w:hint="default" w:ascii="Times New Roman" w:hAnsi="Times New Roman" w:eastAsia="宋体" w:cs="Times New Roman"/>
                <w:color w:val="auto"/>
                <w:sz w:val="24"/>
                <w:szCs w:val="24"/>
              </w:rPr>
              <w:t>为14.58g/km，矿区内公路长度为</w:t>
            </w:r>
            <w:r>
              <w:rPr>
                <w:rFonts w:hint="eastAsia" w:cs="Times New Roman"/>
                <w:color w:val="auto"/>
                <w:sz w:val="24"/>
                <w:szCs w:val="24"/>
                <w:lang w:val="en-US" w:eastAsia="zh-CN"/>
              </w:rPr>
              <w:t>3.68</w:t>
            </w:r>
            <w:r>
              <w:rPr>
                <w:rFonts w:hint="default" w:ascii="Times New Roman" w:hAnsi="Times New Roman" w:eastAsia="宋体" w:cs="Times New Roman"/>
                <w:color w:val="auto"/>
                <w:sz w:val="24"/>
                <w:szCs w:val="24"/>
              </w:rPr>
              <w:t>km。本项目需要汽车运输的矿石约为</w:t>
            </w:r>
            <w:r>
              <w:rPr>
                <w:rFonts w:hint="eastAsia" w:cs="Times New Roman"/>
                <w:color w:val="auto"/>
                <w:sz w:val="24"/>
                <w:szCs w:val="24"/>
                <w:lang w:val="en-US" w:eastAsia="zh-CN"/>
              </w:rPr>
              <w:t>40</w:t>
            </w:r>
            <w:r>
              <w:rPr>
                <w:rFonts w:hint="default" w:ascii="Times New Roman" w:hAnsi="Times New Roman" w:eastAsia="宋体" w:cs="Times New Roman"/>
                <w:color w:val="auto"/>
                <w:sz w:val="24"/>
                <w:szCs w:val="24"/>
              </w:rPr>
              <w:t>万t，每辆汽车的载重量为</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0t，则年运输次数为</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万次，因此公路扬尘产生量为</w:t>
            </w:r>
            <w:r>
              <w:rPr>
                <w:rFonts w:hint="eastAsia" w:cs="Times New Roman"/>
                <w:color w:val="auto"/>
                <w:sz w:val="24"/>
                <w:szCs w:val="24"/>
                <w:lang w:val="en-US" w:eastAsia="zh-CN"/>
              </w:rPr>
              <w:t>1.09</w:t>
            </w:r>
            <w:r>
              <w:rPr>
                <w:rFonts w:hint="default" w:ascii="Times New Roman" w:hAnsi="Times New Roman" w:eastAsia="宋体" w:cs="Times New Roman"/>
                <w:color w:val="auto"/>
                <w:sz w:val="24"/>
                <w:szCs w:val="24"/>
              </w:rPr>
              <w:t>t/a。本环评要求在路面釆用砾石压盖，并洒水降尘，预计抑尘效率可达84%，可得出公路扬尘产生量为</w:t>
            </w:r>
            <w:r>
              <w:rPr>
                <w:rFonts w:hint="eastAsia" w:cs="Times New Roman"/>
                <w:color w:val="auto"/>
                <w:sz w:val="24"/>
                <w:szCs w:val="24"/>
                <w:lang w:eastAsia="zh-CN"/>
              </w:rPr>
              <w:t>0.17</w:t>
            </w:r>
            <w:r>
              <w:rPr>
                <w:rFonts w:hint="default" w:ascii="Times New Roman" w:hAnsi="Times New Roman" w:eastAsia="宋体" w:cs="Times New Roman"/>
                <w:color w:val="auto"/>
                <w:sz w:val="24"/>
                <w:szCs w:val="24"/>
              </w:rPr>
              <w:t>t/a。</w:t>
            </w:r>
          </w:p>
          <w:p w14:paraId="19384A71">
            <w:pPr>
              <w:numPr>
                <w:ilvl w:val="0"/>
                <w:numId w:val="0"/>
              </w:numPr>
              <w:ind w:left="480" w:leftChars="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 4 \* GB2 \* MERGEFORMAT </w:instrText>
            </w:r>
            <w:r>
              <w:rPr>
                <w:rFonts w:hint="default" w:ascii="Times New Roman" w:hAnsi="Times New Roman" w:eastAsia="宋体" w:cs="Times New Roman"/>
                <w:b/>
                <w:bCs/>
                <w:color w:val="auto"/>
                <w:sz w:val="24"/>
                <w:szCs w:val="24"/>
              </w:rPr>
              <w:fldChar w:fldCharType="separate"/>
            </w:r>
            <w:r>
              <w:t>⑷</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车辆尾气</w:t>
            </w:r>
          </w:p>
          <w:p w14:paraId="1241DD7C">
            <w:pPr>
              <w:adjustRightInd w:val="0"/>
              <w:snapToGrid w:val="0"/>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w:t>
            </w:r>
            <w:r>
              <w:rPr>
                <w:rFonts w:hint="eastAsia" w:cs="Times New Roman"/>
                <w:color w:val="auto"/>
                <w:sz w:val="24"/>
                <w:szCs w:val="24"/>
                <w:lang w:val="en-US" w:eastAsia="zh-CN"/>
              </w:rPr>
              <w:t>矿区</w:t>
            </w:r>
            <w:r>
              <w:rPr>
                <w:rFonts w:hint="default" w:ascii="Times New Roman" w:hAnsi="Times New Roman" w:eastAsia="宋体" w:cs="Times New Roman"/>
                <w:color w:val="auto"/>
                <w:sz w:val="24"/>
                <w:szCs w:val="24"/>
              </w:rPr>
              <w:t>主要机械设备为</w:t>
            </w:r>
            <w:r>
              <w:rPr>
                <w:rFonts w:hint="default" w:ascii="Times New Roman" w:hAnsi="Times New Roman" w:eastAsia="宋体" w:cs="Times New Roman"/>
                <w:color w:val="auto"/>
                <w:sz w:val="24"/>
                <w:szCs w:val="24"/>
                <w:lang w:val="en-US" w:eastAsia="zh-CN"/>
              </w:rPr>
              <w:t>挖掘</w:t>
            </w:r>
            <w:r>
              <w:rPr>
                <w:rFonts w:hint="default" w:ascii="Times New Roman" w:hAnsi="Times New Roman" w:eastAsia="宋体" w:cs="Times New Roman"/>
                <w:color w:val="auto"/>
                <w:sz w:val="24"/>
                <w:szCs w:val="24"/>
              </w:rPr>
              <w:t>机、自卸汽车等，机械设备均采用柴油，尾气中的主要污染物为NO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rPr>
              <w:t>、CO和THC等。采取质量合格的机械设备，加强设备的维护等，同时作业环境空旷，产生的尾气经自然扩散后对大气环境的影响较小，本次不做定量分析。</w:t>
            </w:r>
          </w:p>
          <w:p w14:paraId="5A8219B2">
            <w:pPr>
              <w:pStyle w:val="23"/>
              <w:wordWrap w:val="0"/>
              <w:spacing w:after="0"/>
              <w:ind w:left="0" w:left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TW"/>
              </w:rPr>
              <w:t>废气</w:t>
            </w:r>
            <w:r>
              <w:rPr>
                <w:rFonts w:hint="default" w:ascii="Times New Roman" w:hAnsi="Times New Roman" w:eastAsia="宋体" w:cs="Times New Roman"/>
                <w:color w:val="auto"/>
                <w:sz w:val="24"/>
                <w:szCs w:val="24"/>
              </w:rPr>
              <w:t>产排情况汇总见表4-</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，废气监测计划见表4-</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w:t>
            </w:r>
          </w:p>
          <w:p w14:paraId="1D5B4CA1">
            <w:pPr>
              <w:tabs>
                <w:tab w:val="left" w:pos="1294"/>
              </w:tabs>
              <w:spacing w:line="240" w:lineRule="auto"/>
              <w:ind w:firstLine="0" w:firstLineChars="0"/>
              <w:jc w:val="center"/>
              <w:rPr>
                <w:rFonts w:hint="default" w:ascii="Times New Roman" w:hAnsi="Times New Roman" w:eastAsia="宋体" w:cs="Times New Roman"/>
                <w:b/>
                <w:bCs/>
                <w:color w:val="auto"/>
                <w:sz w:val="21"/>
                <w:szCs w:val="21"/>
                <w:lang w:eastAsia="zh-TW"/>
              </w:rPr>
            </w:pPr>
            <w:r>
              <w:rPr>
                <w:rFonts w:hint="default" w:ascii="Times New Roman" w:hAnsi="Times New Roman" w:eastAsia="宋体" w:cs="Times New Roman"/>
                <w:b/>
                <w:bCs/>
                <w:color w:val="auto"/>
                <w:sz w:val="24"/>
                <w:szCs w:val="24"/>
                <w:lang w:eastAsia="zh-TW"/>
              </w:rPr>
              <w:t>表</w:t>
            </w:r>
            <w:r>
              <w:rPr>
                <w:rFonts w:hint="default" w:ascii="Times New Roman" w:hAnsi="Times New Roman" w:eastAsia="宋体" w:cs="Times New Roman"/>
                <w:b/>
                <w:bCs/>
                <w:color w:val="auto"/>
                <w:sz w:val="24"/>
                <w:szCs w:val="24"/>
              </w:rPr>
              <w:t>4-</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TW"/>
              </w:rPr>
              <w:t>废气</w:t>
            </w:r>
            <w:r>
              <w:rPr>
                <w:rFonts w:hint="default" w:ascii="Times New Roman" w:hAnsi="Times New Roman" w:eastAsia="宋体" w:cs="Times New Roman"/>
                <w:b/>
                <w:bCs/>
                <w:color w:val="auto"/>
                <w:sz w:val="24"/>
                <w:szCs w:val="24"/>
              </w:rPr>
              <w:t>产排情况汇总一览</w:t>
            </w:r>
            <w:r>
              <w:rPr>
                <w:rFonts w:hint="default" w:ascii="Times New Roman" w:hAnsi="Times New Roman" w:eastAsia="宋体" w:cs="Times New Roman"/>
                <w:b/>
                <w:bCs/>
                <w:color w:val="auto"/>
                <w:sz w:val="24"/>
                <w:szCs w:val="24"/>
                <w:lang w:eastAsia="zh-TW"/>
              </w:rPr>
              <w:t>表</w:t>
            </w:r>
          </w:p>
          <w:tbl>
            <w:tblPr>
              <w:tblStyle w:val="24"/>
              <w:tblW w:w="4954"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48"/>
              <w:gridCol w:w="610"/>
              <w:gridCol w:w="595"/>
              <w:gridCol w:w="720"/>
              <w:gridCol w:w="613"/>
              <w:gridCol w:w="728"/>
              <w:gridCol w:w="643"/>
              <w:gridCol w:w="677"/>
              <w:gridCol w:w="720"/>
              <w:gridCol w:w="762"/>
              <w:gridCol w:w="819"/>
            </w:tblGrid>
            <w:tr w14:paraId="2C43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6" w:hRule="atLeast"/>
              </w:trPr>
              <w:tc>
                <w:tcPr>
                  <w:tcW w:w="490" w:type="pct"/>
                  <w:vMerge w:val="restart"/>
                  <w:tcBorders>
                    <w:tl2br w:val="nil"/>
                    <w:tr2bl w:val="nil"/>
                  </w:tcBorders>
                  <w:shd w:val="clear" w:color="auto" w:fill="FFFFFF" w:themeFill="background1"/>
                  <w:vAlign w:val="center"/>
                </w:tcPr>
                <w:p w14:paraId="1AD86B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TW"/>
                    </w:rPr>
                    <w:t>产</w:t>
                  </w:r>
                  <w:r>
                    <w:rPr>
                      <w:rFonts w:hint="default" w:ascii="Times New Roman" w:hAnsi="Times New Roman" w:eastAsia="宋体" w:cs="Times New Roman"/>
                      <w:b/>
                      <w:bCs/>
                      <w:color w:val="auto"/>
                      <w:sz w:val="21"/>
                      <w:szCs w:val="21"/>
                    </w:rPr>
                    <w:t>污</w:t>
                  </w:r>
                </w:p>
                <w:p w14:paraId="799174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TW"/>
                    </w:rPr>
                  </w:pPr>
                  <w:r>
                    <w:rPr>
                      <w:rFonts w:hint="default" w:ascii="Times New Roman" w:hAnsi="Times New Roman" w:eastAsia="宋体" w:cs="Times New Roman"/>
                      <w:b/>
                      <w:bCs/>
                      <w:color w:val="auto"/>
                      <w:sz w:val="21"/>
                      <w:szCs w:val="21"/>
                      <w:lang w:eastAsia="zh-TW"/>
                    </w:rPr>
                    <w:t>工序</w:t>
                  </w:r>
                </w:p>
              </w:tc>
              <w:tc>
                <w:tcPr>
                  <w:tcW w:w="399" w:type="pct"/>
                  <w:vMerge w:val="restart"/>
                  <w:tcBorders>
                    <w:tl2br w:val="nil"/>
                    <w:tr2bl w:val="nil"/>
                  </w:tcBorders>
                  <w:shd w:val="clear" w:color="auto" w:fill="FFFFFF" w:themeFill="background1"/>
                  <w:vAlign w:val="center"/>
                </w:tcPr>
                <w:p w14:paraId="3C6701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TW"/>
                    </w:rPr>
                  </w:pPr>
                  <w:r>
                    <w:rPr>
                      <w:rFonts w:hint="default" w:ascii="Times New Roman" w:hAnsi="Times New Roman" w:eastAsia="宋体" w:cs="Times New Roman"/>
                      <w:b/>
                      <w:bCs/>
                      <w:color w:val="auto"/>
                      <w:sz w:val="21"/>
                      <w:szCs w:val="21"/>
                      <w:lang w:eastAsia="zh-TW"/>
                    </w:rPr>
                    <w:t>排放</w:t>
                  </w:r>
                </w:p>
                <w:p w14:paraId="17D52C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TW"/>
                    </w:rPr>
                  </w:pPr>
                  <w:r>
                    <w:rPr>
                      <w:rFonts w:hint="default" w:ascii="Times New Roman" w:hAnsi="Times New Roman" w:eastAsia="宋体" w:cs="Times New Roman"/>
                      <w:b/>
                      <w:bCs/>
                      <w:color w:val="auto"/>
                      <w:sz w:val="21"/>
                      <w:szCs w:val="21"/>
                      <w:lang w:eastAsia="zh-TW"/>
                    </w:rPr>
                    <w:t>形式</w:t>
                  </w:r>
                </w:p>
              </w:tc>
              <w:tc>
                <w:tcPr>
                  <w:tcW w:w="389" w:type="pct"/>
                  <w:vMerge w:val="restart"/>
                  <w:tcBorders>
                    <w:tl2br w:val="nil"/>
                    <w:tr2bl w:val="nil"/>
                  </w:tcBorders>
                  <w:shd w:val="clear" w:color="auto" w:fill="FFFFFF" w:themeFill="background1"/>
                  <w:vAlign w:val="center"/>
                </w:tcPr>
                <w:p w14:paraId="31EA72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物质名称</w:t>
                  </w:r>
                </w:p>
              </w:tc>
              <w:tc>
                <w:tcPr>
                  <w:tcW w:w="1348" w:type="pct"/>
                  <w:gridSpan w:val="3"/>
                  <w:tcBorders>
                    <w:tl2br w:val="nil"/>
                    <w:tr2bl w:val="nil"/>
                  </w:tcBorders>
                  <w:shd w:val="clear" w:color="auto" w:fill="FFFFFF" w:themeFill="background1"/>
                  <w:vAlign w:val="center"/>
                </w:tcPr>
                <w:p w14:paraId="45D2B1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产生情况</w:t>
                  </w:r>
                </w:p>
              </w:tc>
              <w:tc>
                <w:tcPr>
                  <w:tcW w:w="421" w:type="pct"/>
                  <w:vMerge w:val="restart"/>
                  <w:tcBorders>
                    <w:tl2br w:val="nil"/>
                    <w:tr2bl w:val="nil"/>
                  </w:tcBorders>
                  <w:shd w:val="clear" w:color="auto" w:fill="FFFFFF" w:themeFill="background1"/>
                  <w:vAlign w:val="center"/>
                </w:tcPr>
                <w:p w14:paraId="455258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环保</w:t>
                  </w:r>
                </w:p>
                <w:p w14:paraId="2036D5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措施</w:t>
                  </w:r>
                </w:p>
              </w:tc>
              <w:tc>
                <w:tcPr>
                  <w:tcW w:w="444" w:type="pct"/>
                  <w:vMerge w:val="restart"/>
                  <w:tcBorders>
                    <w:tl2br w:val="nil"/>
                    <w:tr2bl w:val="nil"/>
                  </w:tcBorders>
                  <w:shd w:val="clear" w:color="auto" w:fill="FFFFFF" w:themeFill="background1"/>
                  <w:vAlign w:val="center"/>
                </w:tcPr>
                <w:p w14:paraId="422E3D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是否为可行技术</w:t>
                  </w:r>
                </w:p>
              </w:tc>
              <w:tc>
                <w:tcPr>
                  <w:tcW w:w="1505" w:type="pct"/>
                  <w:gridSpan w:val="3"/>
                  <w:tcBorders>
                    <w:tl2br w:val="nil"/>
                    <w:tr2bl w:val="nil"/>
                  </w:tcBorders>
                  <w:shd w:val="clear" w:color="auto" w:fill="FFFFFF" w:themeFill="background1"/>
                  <w:vAlign w:val="center"/>
                </w:tcPr>
                <w:p w14:paraId="4D9250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排放情况</w:t>
                  </w:r>
                </w:p>
              </w:tc>
            </w:tr>
            <w:tr w14:paraId="114A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90" w:type="pct"/>
                  <w:vMerge w:val="continue"/>
                  <w:tcBorders>
                    <w:tl2br w:val="nil"/>
                    <w:tr2bl w:val="nil"/>
                  </w:tcBorders>
                  <w:shd w:val="clear" w:color="auto" w:fill="FFFFFF" w:themeFill="background1"/>
                </w:tcPr>
                <w:p w14:paraId="29B6A0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399" w:type="pct"/>
                  <w:vMerge w:val="continue"/>
                  <w:tcBorders>
                    <w:tl2br w:val="nil"/>
                    <w:tr2bl w:val="nil"/>
                  </w:tcBorders>
                  <w:shd w:val="clear" w:color="auto" w:fill="FFFFFF" w:themeFill="background1"/>
                  <w:vAlign w:val="center"/>
                </w:tcPr>
                <w:p w14:paraId="222398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389" w:type="pct"/>
                  <w:vMerge w:val="continue"/>
                  <w:tcBorders>
                    <w:tl2br w:val="nil"/>
                    <w:tr2bl w:val="nil"/>
                  </w:tcBorders>
                  <w:shd w:val="clear" w:color="auto" w:fill="FFFFFF" w:themeFill="background1"/>
                  <w:vAlign w:val="center"/>
                </w:tcPr>
                <w:p w14:paraId="109120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471" w:type="pct"/>
                  <w:tcBorders>
                    <w:tl2br w:val="nil"/>
                    <w:tr2bl w:val="nil"/>
                  </w:tcBorders>
                  <w:shd w:val="clear" w:color="auto" w:fill="FFFFFF" w:themeFill="background1"/>
                  <w:vAlign w:val="center"/>
                </w:tcPr>
                <w:p w14:paraId="726DA1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bCs/>
                      <w:color w:val="auto"/>
                      <w:sz w:val="21"/>
                      <w:szCs w:val="21"/>
                      <w:lang w:eastAsia="zh-TW"/>
                    </w:rPr>
                  </w:pPr>
                  <w:r>
                    <w:rPr>
                      <w:rFonts w:hint="default" w:ascii="Times New Roman" w:hAnsi="Times New Roman" w:eastAsia="宋体" w:cs="Times New Roman"/>
                      <w:b/>
                      <w:bCs/>
                      <w:color w:val="auto"/>
                      <w:sz w:val="21"/>
                      <w:szCs w:val="21"/>
                      <w:lang w:eastAsia="zh-TW"/>
                    </w:rPr>
                    <w:t>产生量t/a</w:t>
                  </w:r>
                </w:p>
              </w:tc>
              <w:tc>
                <w:tcPr>
                  <w:tcW w:w="401" w:type="pct"/>
                  <w:tcBorders>
                    <w:tl2br w:val="nil"/>
                    <w:tr2bl w:val="nil"/>
                  </w:tcBorders>
                  <w:shd w:val="clear" w:color="auto" w:fill="FFFFFF" w:themeFill="background1"/>
                  <w:vAlign w:val="center"/>
                </w:tcPr>
                <w:p w14:paraId="4CFDA3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产生速率</w:t>
                  </w:r>
                </w:p>
                <w:p w14:paraId="3379CF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kg/h</w:t>
                  </w:r>
                </w:p>
              </w:tc>
              <w:tc>
                <w:tcPr>
                  <w:tcW w:w="474" w:type="pct"/>
                  <w:tcBorders>
                    <w:tl2br w:val="nil"/>
                    <w:tr2bl w:val="nil"/>
                  </w:tcBorders>
                  <w:shd w:val="clear" w:color="auto" w:fill="FFFFFF" w:themeFill="background1"/>
                  <w:vAlign w:val="center"/>
                </w:tcPr>
                <w:p w14:paraId="5AC53B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产生浓度</w:t>
                  </w:r>
                </w:p>
                <w:p w14:paraId="1D0824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vertAlign w:val="superscript"/>
                      <w:lang w:val="en-US" w:eastAsia="zh-CN"/>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lang w:val="en-US" w:eastAsia="zh-CN"/>
                    </w:rPr>
                    <w:t>3</w:t>
                  </w:r>
                </w:p>
              </w:tc>
              <w:tc>
                <w:tcPr>
                  <w:tcW w:w="421" w:type="pct"/>
                  <w:vMerge w:val="continue"/>
                  <w:tcBorders>
                    <w:tl2br w:val="nil"/>
                    <w:tr2bl w:val="nil"/>
                  </w:tcBorders>
                  <w:shd w:val="clear" w:color="auto" w:fill="FFFFFF" w:themeFill="background1"/>
                  <w:vAlign w:val="center"/>
                </w:tcPr>
                <w:p w14:paraId="286B5D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TW"/>
                    </w:rPr>
                  </w:pPr>
                </w:p>
              </w:tc>
              <w:tc>
                <w:tcPr>
                  <w:tcW w:w="444" w:type="pct"/>
                  <w:vMerge w:val="continue"/>
                  <w:tcBorders>
                    <w:tl2br w:val="nil"/>
                    <w:tr2bl w:val="nil"/>
                  </w:tcBorders>
                  <w:shd w:val="clear" w:color="auto" w:fill="FFFFFF" w:themeFill="background1"/>
                </w:tcPr>
                <w:p w14:paraId="70941B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TW"/>
                    </w:rPr>
                  </w:pPr>
                </w:p>
              </w:tc>
              <w:tc>
                <w:tcPr>
                  <w:tcW w:w="471" w:type="pct"/>
                  <w:tcBorders>
                    <w:tl2br w:val="nil"/>
                    <w:tr2bl w:val="nil"/>
                  </w:tcBorders>
                  <w:shd w:val="clear" w:color="auto" w:fill="FFFFFF" w:themeFill="background1"/>
                  <w:vAlign w:val="center"/>
                </w:tcPr>
                <w:p w14:paraId="6E1535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TW"/>
                    </w:rPr>
                  </w:pPr>
                  <w:r>
                    <w:rPr>
                      <w:rFonts w:hint="default" w:ascii="Times New Roman" w:hAnsi="Times New Roman" w:eastAsia="宋体" w:cs="Times New Roman"/>
                      <w:b/>
                      <w:bCs/>
                      <w:color w:val="auto"/>
                      <w:sz w:val="21"/>
                      <w:szCs w:val="21"/>
                      <w:lang w:eastAsia="zh-TW"/>
                    </w:rPr>
                    <w:t>排放量</w:t>
                  </w:r>
                </w:p>
                <w:p w14:paraId="4F6A26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TW"/>
                    </w:rPr>
                  </w:pPr>
                  <w:r>
                    <w:rPr>
                      <w:rFonts w:hint="default" w:ascii="Times New Roman" w:hAnsi="Times New Roman" w:eastAsia="宋体" w:cs="Times New Roman"/>
                      <w:b/>
                      <w:bCs/>
                      <w:color w:val="auto"/>
                      <w:sz w:val="21"/>
                      <w:szCs w:val="21"/>
                      <w:lang w:eastAsia="zh-TW"/>
                    </w:rPr>
                    <w:t>t/a</w:t>
                  </w:r>
                </w:p>
              </w:tc>
              <w:tc>
                <w:tcPr>
                  <w:tcW w:w="499" w:type="pct"/>
                  <w:tcBorders>
                    <w:tl2br w:val="nil"/>
                    <w:tr2bl w:val="nil"/>
                  </w:tcBorders>
                  <w:shd w:val="clear" w:color="auto" w:fill="FFFFFF" w:themeFill="background1"/>
                  <w:vAlign w:val="center"/>
                </w:tcPr>
                <w:p w14:paraId="2F577F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排放速率</w:t>
                  </w:r>
                </w:p>
                <w:p w14:paraId="56B0FD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kg/h</w:t>
                  </w:r>
                </w:p>
              </w:tc>
              <w:tc>
                <w:tcPr>
                  <w:tcW w:w="533" w:type="pct"/>
                  <w:tcBorders>
                    <w:tl2br w:val="nil"/>
                    <w:tr2bl w:val="nil"/>
                  </w:tcBorders>
                  <w:shd w:val="clear" w:color="auto" w:fill="FFFFFF" w:themeFill="background1"/>
                  <w:vAlign w:val="center"/>
                </w:tcPr>
                <w:p w14:paraId="644E95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排放浓度</w:t>
                  </w:r>
                </w:p>
                <w:p w14:paraId="3A6800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TW"/>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r>
            <w:tr w14:paraId="7498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90" w:type="pct"/>
                  <w:tcBorders>
                    <w:tl2br w:val="nil"/>
                    <w:tr2bl w:val="nil"/>
                  </w:tcBorders>
                  <w:shd w:val="clear" w:color="auto" w:fill="FFFFFF" w:themeFill="background1"/>
                  <w:vAlign w:val="center"/>
                </w:tcPr>
                <w:p w14:paraId="5949FB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钻孔粉尘</w:t>
                  </w:r>
                </w:p>
              </w:tc>
              <w:tc>
                <w:tcPr>
                  <w:tcW w:w="399" w:type="pct"/>
                  <w:tcBorders>
                    <w:tl2br w:val="nil"/>
                    <w:tr2bl w:val="nil"/>
                  </w:tcBorders>
                  <w:shd w:val="clear" w:color="auto" w:fill="FFFFFF" w:themeFill="background1"/>
                  <w:vAlign w:val="center"/>
                </w:tcPr>
                <w:p w14:paraId="1D6198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无组织</w:t>
                  </w:r>
                </w:p>
              </w:tc>
              <w:tc>
                <w:tcPr>
                  <w:tcW w:w="389" w:type="pct"/>
                  <w:tcBorders>
                    <w:tl2br w:val="nil"/>
                    <w:tr2bl w:val="nil"/>
                  </w:tcBorders>
                  <w:shd w:val="clear" w:color="auto" w:fill="FFFFFF" w:themeFill="background1"/>
                  <w:vAlign w:val="center"/>
                </w:tcPr>
                <w:p w14:paraId="0A967B86">
                  <w:pPr>
                    <w:pStyle w:val="1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颗粒物</w:t>
                  </w:r>
                </w:p>
              </w:tc>
              <w:tc>
                <w:tcPr>
                  <w:tcW w:w="471" w:type="pct"/>
                  <w:tcBorders>
                    <w:tl2br w:val="nil"/>
                    <w:tr2bl w:val="nil"/>
                  </w:tcBorders>
                  <w:shd w:val="clear" w:color="auto" w:fill="FFFFFF" w:themeFill="background1"/>
                  <w:vAlign w:val="center"/>
                </w:tcPr>
                <w:p w14:paraId="234C46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1.6</w:t>
                  </w:r>
                </w:p>
              </w:tc>
              <w:tc>
                <w:tcPr>
                  <w:tcW w:w="401" w:type="pct"/>
                  <w:tcBorders>
                    <w:tl2br w:val="nil"/>
                    <w:tr2bl w:val="nil"/>
                  </w:tcBorders>
                  <w:shd w:val="clear" w:color="auto" w:fill="FFFFFF" w:themeFill="background1"/>
                  <w:vAlign w:val="center"/>
                </w:tcPr>
                <w:p w14:paraId="1CA03E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r>
                    <w:rPr>
                      <w:rFonts w:hint="eastAsia" w:cs="Times New Roman"/>
                      <w:b w:val="0"/>
                      <w:bCs w:val="0"/>
                      <w:color w:val="auto"/>
                      <w:sz w:val="21"/>
                      <w:szCs w:val="21"/>
                      <w:lang w:val="en-US" w:eastAsia="zh-CN"/>
                    </w:rPr>
                    <w:t>66</w:t>
                  </w:r>
                </w:p>
              </w:tc>
              <w:tc>
                <w:tcPr>
                  <w:tcW w:w="474" w:type="pct"/>
                  <w:tcBorders>
                    <w:tl2br w:val="nil"/>
                    <w:tr2bl w:val="nil"/>
                  </w:tcBorders>
                  <w:shd w:val="clear" w:color="auto" w:fill="FFFFFF" w:themeFill="background1"/>
                  <w:vAlign w:val="center"/>
                </w:tcPr>
                <w:p w14:paraId="38D6F9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421" w:type="pct"/>
                  <w:tcBorders>
                    <w:tl2br w:val="nil"/>
                    <w:tr2bl w:val="nil"/>
                  </w:tcBorders>
                  <w:shd w:val="clear" w:color="auto" w:fill="FFFFFF" w:themeFill="background1"/>
                  <w:vAlign w:val="center"/>
                </w:tcPr>
                <w:p w14:paraId="2831D7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喷淋降尘</w:t>
                  </w:r>
                </w:p>
              </w:tc>
              <w:tc>
                <w:tcPr>
                  <w:tcW w:w="444" w:type="pct"/>
                  <w:tcBorders>
                    <w:tl2br w:val="nil"/>
                    <w:tr2bl w:val="nil"/>
                  </w:tcBorders>
                  <w:shd w:val="clear" w:color="auto" w:fill="FFFFFF" w:themeFill="background1"/>
                  <w:vAlign w:val="center"/>
                </w:tcPr>
                <w:p w14:paraId="7466D0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是</w:t>
                  </w:r>
                </w:p>
              </w:tc>
              <w:tc>
                <w:tcPr>
                  <w:tcW w:w="471" w:type="pct"/>
                  <w:tcBorders>
                    <w:tl2br w:val="nil"/>
                    <w:tr2bl w:val="nil"/>
                  </w:tcBorders>
                  <w:shd w:val="clear" w:color="auto" w:fill="FFFFFF" w:themeFill="background1"/>
                  <w:vAlign w:val="center"/>
                </w:tcPr>
                <w:p w14:paraId="24D860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r>
                    <w:rPr>
                      <w:rFonts w:hint="eastAsia" w:cs="Times New Roman"/>
                      <w:b w:val="0"/>
                      <w:bCs w:val="0"/>
                      <w:color w:val="auto"/>
                      <w:sz w:val="21"/>
                      <w:szCs w:val="21"/>
                      <w:lang w:val="en-US" w:eastAsia="zh-CN"/>
                    </w:rPr>
                    <w:t>16</w:t>
                  </w:r>
                </w:p>
              </w:tc>
              <w:tc>
                <w:tcPr>
                  <w:tcW w:w="499" w:type="pct"/>
                  <w:tcBorders>
                    <w:tl2br w:val="nil"/>
                    <w:tr2bl w:val="nil"/>
                  </w:tcBorders>
                  <w:shd w:val="clear" w:color="auto" w:fill="FFFFFF" w:themeFill="background1"/>
                  <w:vAlign w:val="center"/>
                </w:tcPr>
                <w:p w14:paraId="77FEF6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w:t>
                  </w:r>
                  <w:r>
                    <w:rPr>
                      <w:rFonts w:hint="eastAsia" w:cs="Times New Roman"/>
                      <w:b w:val="0"/>
                      <w:bCs w:val="0"/>
                      <w:color w:val="auto"/>
                      <w:sz w:val="21"/>
                      <w:szCs w:val="21"/>
                      <w:lang w:val="en-US" w:eastAsia="zh-CN"/>
                    </w:rPr>
                    <w:t>66</w:t>
                  </w:r>
                </w:p>
              </w:tc>
              <w:tc>
                <w:tcPr>
                  <w:tcW w:w="533" w:type="pct"/>
                  <w:tcBorders>
                    <w:tl2br w:val="nil"/>
                    <w:tr2bl w:val="nil"/>
                  </w:tcBorders>
                  <w:shd w:val="clear" w:color="auto" w:fill="FFFFFF" w:themeFill="background1"/>
                  <w:vAlign w:val="center"/>
                </w:tcPr>
                <w:p w14:paraId="3628A6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r>
            <w:tr w14:paraId="1538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90" w:type="pct"/>
                  <w:tcBorders>
                    <w:tl2br w:val="nil"/>
                    <w:tr2bl w:val="nil"/>
                  </w:tcBorders>
                  <w:shd w:val="clear" w:color="auto" w:fill="FFFFFF" w:themeFill="background1"/>
                  <w:vAlign w:val="center"/>
                </w:tcPr>
                <w:p w14:paraId="086FCD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爆破粉尘</w:t>
                  </w:r>
                </w:p>
              </w:tc>
              <w:tc>
                <w:tcPr>
                  <w:tcW w:w="399" w:type="pct"/>
                  <w:tcBorders>
                    <w:tl2br w:val="nil"/>
                    <w:tr2bl w:val="nil"/>
                  </w:tcBorders>
                  <w:shd w:val="clear" w:color="auto" w:fill="FFFFFF" w:themeFill="background1"/>
                  <w:vAlign w:val="center"/>
                </w:tcPr>
                <w:p w14:paraId="6FA965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无组织</w:t>
                  </w:r>
                </w:p>
              </w:tc>
              <w:tc>
                <w:tcPr>
                  <w:tcW w:w="389" w:type="pct"/>
                  <w:tcBorders>
                    <w:tl2br w:val="nil"/>
                    <w:tr2bl w:val="nil"/>
                  </w:tcBorders>
                  <w:shd w:val="clear" w:color="auto" w:fill="FFFFFF" w:themeFill="background1"/>
                  <w:vAlign w:val="center"/>
                </w:tcPr>
                <w:p w14:paraId="78F1B2BA">
                  <w:pPr>
                    <w:pStyle w:val="1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颗粒物</w:t>
                  </w:r>
                </w:p>
              </w:tc>
              <w:tc>
                <w:tcPr>
                  <w:tcW w:w="471" w:type="pct"/>
                  <w:tcBorders>
                    <w:tl2br w:val="nil"/>
                    <w:tr2bl w:val="nil"/>
                  </w:tcBorders>
                  <w:shd w:val="clear" w:color="auto" w:fill="FFFFFF" w:themeFill="background1"/>
                  <w:vAlign w:val="center"/>
                </w:tcPr>
                <w:p w14:paraId="4D2CE6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r>
                    <w:rPr>
                      <w:rFonts w:hint="eastAsia" w:cs="Times New Roman"/>
                      <w:b w:val="0"/>
                      <w:bCs w:val="0"/>
                      <w:color w:val="auto"/>
                      <w:sz w:val="21"/>
                      <w:szCs w:val="21"/>
                      <w:lang w:val="en-US" w:eastAsia="zh-CN"/>
                    </w:rPr>
                    <w:t>195</w:t>
                  </w:r>
                </w:p>
              </w:tc>
              <w:tc>
                <w:tcPr>
                  <w:tcW w:w="401" w:type="pct"/>
                  <w:tcBorders>
                    <w:tl2br w:val="nil"/>
                    <w:tr2bl w:val="nil"/>
                  </w:tcBorders>
                  <w:shd w:val="clear" w:color="auto" w:fill="FFFFFF" w:themeFill="background1"/>
                  <w:vAlign w:val="center"/>
                </w:tcPr>
                <w:p w14:paraId="5467DA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r>
                    <w:rPr>
                      <w:rFonts w:hint="eastAsia" w:cs="Times New Roman"/>
                      <w:b w:val="0"/>
                      <w:bCs w:val="0"/>
                      <w:color w:val="auto"/>
                      <w:sz w:val="21"/>
                      <w:szCs w:val="21"/>
                      <w:lang w:val="en-US" w:eastAsia="zh-CN"/>
                    </w:rPr>
                    <w:t>081</w:t>
                  </w:r>
                </w:p>
              </w:tc>
              <w:tc>
                <w:tcPr>
                  <w:tcW w:w="474" w:type="pct"/>
                  <w:tcBorders>
                    <w:tl2br w:val="nil"/>
                    <w:tr2bl w:val="nil"/>
                  </w:tcBorders>
                  <w:shd w:val="clear" w:color="auto" w:fill="FFFFFF" w:themeFill="background1"/>
                  <w:vAlign w:val="center"/>
                </w:tcPr>
                <w:p w14:paraId="68DC5D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421" w:type="pct"/>
                  <w:tcBorders>
                    <w:tl2br w:val="nil"/>
                    <w:tr2bl w:val="nil"/>
                  </w:tcBorders>
                  <w:shd w:val="clear" w:color="auto" w:fill="FFFFFF" w:themeFill="background1"/>
                  <w:vAlign w:val="center"/>
                </w:tcPr>
                <w:p w14:paraId="6B59A7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喷淋降尘</w:t>
                  </w:r>
                </w:p>
              </w:tc>
              <w:tc>
                <w:tcPr>
                  <w:tcW w:w="444" w:type="pct"/>
                  <w:tcBorders>
                    <w:tl2br w:val="nil"/>
                    <w:tr2bl w:val="nil"/>
                  </w:tcBorders>
                  <w:shd w:val="clear" w:color="auto" w:fill="FFFFFF" w:themeFill="background1"/>
                  <w:vAlign w:val="center"/>
                </w:tcPr>
                <w:p w14:paraId="780BFF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是</w:t>
                  </w:r>
                </w:p>
              </w:tc>
              <w:tc>
                <w:tcPr>
                  <w:tcW w:w="471" w:type="pct"/>
                  <w:tcBorders>
                    <w:tl2br w:val="nil"/>
                    <w:tr2bl w:val="nil"/>
                  </w:tcBorders>
                  <w:shd w:val="clear" w:color="auto" w:fill="FFFFFF" w:themeFill="background1"/>
                  <w:vAlign w:val="center"/>
                </w:tcPr>
                <w:p w14:paraId="652FE9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0.029</w:t>
                  </w:r>
                </w:p>
              </w:tc>
              <w:tc>
                <w:tcPr>
                  <w:tcW w:w="499" w:type="pct"/>
                  <w:tcBorders>
                    <w:tl2br w:val="nil"/>
                    <w:tr2bl w:val="nil"/>
                  </w:tcBorders>
                  <w:shd w:val="clear" w:color="auto" w:fill="FFFFFF" w:themeFill="background1"/>
                  <w:vAlign w:val="center"/>
                </w:tcPr>
                <w:p w14:paraId="190DE0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0.012</w:t>
                  </w:r>
                </w:p>
              </w:tc>
              <w:tc>
                <w:tcPr>
                  <w:tcW w:w="533" w:type="pct"/>
                  <w:tcBorders>
                    <w:tl2br w:val="nil"/>
                    <w:tr2bl w:val="nil"/>
                  </w:tcBorders>
                  <w:shd w:val="clear" w:color="auto" w:fill="FFFFFF" w:themeFill="background1"/>
                  <w:vAlign w:val="center"/>
                </w:tcPr>
                <w:p w14:paraId="26E99B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r>
            <w:tr w14:paraId="698A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90" w:type="pct"/>
                  <w:tcBorders>
                    <w:tl2br w:val="nil"/>
                    <w:tr2bl w:val="nil"/>
                  </w:tcBorders>
                  <w:shd w:val="clear" w:color="auto" w:fill="FFFFFF" w:themeFill="background1"/>
                  <w:vAlign w:val="center"/>
                </w:tcPr>
                <w:p w14:paraId="340B6B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铲装粉尘</w:t>
                  </w:r>
                </w:p>
              </w:tc>
              <w:tc>
                <w:tcPr>
                  <w:tcW w:w="399" w:type="pct"/>
                  <w:tcBorders>
                    <w:tl2br w:val="nil"/>
                    <w:tr2bl w:val="nil"/>
                  </w:tcBorders>
                  <w:shd w:val="clear" w:color="auto" w:fill="FFFFFF" w:themeFill="background1"/>
                  <w:vAlign w:val="center"/>
                </w:tcPr>
                <w:p w14:paraId="5693DD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无组织</w:t>
                  </w:r>
                </w:p>
              </w:tc>
              <w:tc>
                <w:tcPr>
                  <w:tcW w:w="389" w:type="pct"/>
                  <w:tcBorders>
                    <w:tl2br w:val="nil"/>
                    <w:tr2bl w:val="nil"/>
                  </w:tcBorders>
                  <w:shd w:val="clear" w:color="auto" w:fill="FFFFFF" w:themeFill="background1"/>
                  <w:vAlign w:val="center"/>
                </w:tcPr>
                <w:p w14:paraId="4A75480B">
                  <w:pPr>
                    <w:pStyle w:val="1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颗粒物</w:t>
                  </w:r>
                </w:p>
              </w:tc>
              <w:tc>
                <w:tcPr>
                  <w:tcW w:w="471" w:type="pct"/>
                  <w:tcBorders>
                    <w:tl2br w:val="nil"/>
                    <w:tr2bl w:val="nil"/>
                  </w:tcBorders>
                  <w:shd w:val="clear" w:color="auto" w:fill="FFFFFF" w:themeFill="background1"/>
                  <w:vAlign w:val="center"/>
                </w:tcPr>
                <w:p w14:paraId="2FE485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1.28</w:t>
                  </w:r>
                </w:p>
              </w:tc>
              <w:tc>
                <w:tcPr>
                  <w:tcW w:w="401" w:type="pct"/>
                  <w:tcBorders>
                    <w:tl2br w:val="nil"/>
                    <w:tr2bl w:val="nil"/>
                  </w:tcBorders>
                  <w:shd w:val="clear" w:color="auto" w:fill="FFFFFF" w:themeFill="background1"/>
                  <w:vAlign w:val="center"/>
                </w:tcPr>
                <w:p w14:paraId="291076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r>
                    <w:rPr>
                      <w:rFonts w:hint="eastAsia" w:cs="Times New Roman"/>
                      <w:b w:val="0"/>
                      <w:bCs w:val="0"/>
                      <w:color w:val="auto"/>
                      <w:sz w:val="21"/>
                      <w:szCs w:val="21"/>
                      <w:lang w:val="en-US" w:eastAsia="zh-CN"/>
                    </w:rPr>
                    <w:t>533</w:t>
                  </w:r>
                </w:p>
              </w:tc>
              <w:tc>
                <w:tcPr>
                  <w:tcW w:w="474" w:type="pct"/>
                  <w:tcBorders>
                    <w:tl2br w:val="nil"/>
                    <w:tr2bl w:val="nil"/>
                  </w:tcBorders>
                  <w:shd w:val="clear" w:color="auto" w:fill="FFFFFF" w:themeFill="background1"/>
                  <w:vAlign w:val="center"/>
                </w:tcPr>
                <w:p w14:paraId="67F17C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421" w:type="pct"/>
                  <w:tcBorders>
                    <w:tl2br w:val="nil"/>
                    <w:tr2bl w:val="nil"/>
                  </w:tcBorders>
                  <w:shd w:val="clear" w:color="auto" w:fill="FFFFFF" w:themeFill="background1"/>
                  <w:vAlign w:val="center"/>
                </w:tcPr>
                <w:p w14:paraId="13809B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洒水抑尘</w:t>
                  </w:r>
                </w:p>
              </w:tc>
              <w:tc>
                <w:tcPr>
                  <w:tcW w:w="444" w:type="pct"/>
                  <w:tcBorders>
                    <w:tl2br w:val="nil"/>
                    <w:tr2bl w:val="nil"/>
                  </w:tcBorders>
                  <w:shd w:val="clear" w:color="auto" w:fill="FFFFFF" w:themeFill="background1"/>
                  <w:vAlign w:val="center"/>
                </w:tcPr>
                <w:p w14:paraId="180632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是</w:t>
                  </w:r>
                </w:p>
              </w:tc>
              <w:tc>
                <w:tcPr>
                  <w:tcW w:w="471" w:type="pct"/>
                  <w:tcBorders>
                    <w:tl2br w:val="nil"/>
                    <w:tr2bl w:val="nil"/>
                  </w:tcBorders>
                  <w:shd w:val="clear" w:color="auto" w:fill="FFFFFF" w:themeFill="background1"/>
                  <w:vAlign w:val="center"/>
                </w:tcPr>
                <w:p w14:paraId="20CB17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r>
                    <w:rPr>
                      <w:rFonts w:hint="eastAsia" w:cs="Times New Roman"/>
                      <w:b w:val="0"/>
                      <w:bCs w:val="0"/>
                      <w:color w:val="auto"/>
                      <w:sz w:val="21"/>
                      <w:szCs w:val="21"/>
                      <w:lang w:val="en-US" w:eastAsia="zh-CN"/>
                    </w:rPr>
                    <w:t>192</w:t>
                  </w:r>
                </w:p>
              </w:tc>
              <w:tc>
                <w:tcPr>
                  <w:tcW w:w="499" w:type="pct"/>
                  <w:tcBorders>
                    <w:tl2br w:val="nil"/>
                    <w:tr2bl w:val="nil"/>
                  </w:tcBorders>
                  <w:shd w:val="clear" w:color="auto" w:fill="FFFFFF" w:themeFill="background1"/>
                  <w:vAlign w:val="center"/>
                </w:tcPr>
                <w:p w14:paraId="167CC3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r>
                    <w:rPr>
                      <w:rFonts w:hint="eastAsia" w:cs="Times New Roman"/>
                      <w:b w:val="0"/>
                      <w:bCs w:val="0"/>
                      <w:color w:val="auto"/>
                      <w:sz w:val="21"/>
                      <w:szCs w:val="21"/>
                      <w:lang w:val="en-US" w:eastAsia="zh-CN"/>
                    </w:rPr>
                    <w:t>08</w:t>
                  </w:r>
                </w:p>
              </w:tc>
              <w:tc>
                <w:tcPr>
                  <w:tcW w:w="533" w:type="pct"/>
                  <w:tcBorders>
                    <w:tl2br w:val="nil"/>
                    <w:tr2bl w:val="nil"/>
                  </w:tcBorders>
                  <w:shd w:val="clear" w:color="auto" w:fill="FFFFFF" w:themeFill="background1"/>
                  <w:vAlign w:val="center"/>
                </w:tcPr>
                <w:p w14:paraId="5729E9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r>
            <w:tr w14:paraId="12B0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90" w:type="pct"/>
                  <w:tcBorders>
                    <w:tl2br w:val="nil"/>
                    <w:tr2bl w:val="nil"/>
                  </w:tcBorders>
                  <w:shd w:val="clear" w:color="auto" w:fill="FFFFFF" w:themeFill="background1"/>
                  <w:vAlign w:val="center"/>
                </w:tcPr>
                <w:p w14:paraId="7B303A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自卸汽车卸料扬尘</w:t>
                  </w:r>
                </w:p>
              </w:tc>
              <w:tc>
                <w:tcPr>
                  <w:tcW w:w="399" w:type="pct"/>
                  <w:tcBorders>
                    <w:tl2br w:val="nil"/>
                    <w:tr2bl w:val="nil"/>
                  </w:tcBorders>
                  <w:shd w:val="clear" w:color="auto" w:fill="FFFFFF" w:themeFill="background1"/>
                  <w:vAlign w:val="center"/>
                </w:tcPr>
                <w:p w14:paraId="7A1347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无</w:t>
                  </w:r>
                  <w:r>
                    <w:rPr>
                      <w:rFonts w:hint="default" w:ascii="Times New Roman" w:hAnsi="Times New Roman" w:eastAsia="宋体" w:cs="Times New Roman"/>
                      <w:b w:val="0"/>
                      <w:bCs w:val="0"/>
                      <w:color w:val="auto"/>
                      <w:sz w:val="21"/>
                      <w:szCs w:val="21"/>
                    </w:rPr>
                    <w:t>组织</w:t>
                  </w:r>
                </w:p>
              </w:tc>
              <w:tc>
                <w:tcPr>
                  <w:tcW w:w="389" w:type="pct"/>
                  <w:tcBorders>
                    <w:tl2br w:val="nil"/>
                    <w:tr2bl w:val="nil"/>
                  </w:tcBorders>
                  <w:shd w:val="clear" w:color="auto" w:fill="FFFFFF" w:themeFill="background1"/>
                  <w:vAlign w:val="center"/>
                </w:tcPr>
                <w:p w14:paraId="349E5B39">
                  <w:pPr>
                    <w:pStyle w:val="1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颗粒物</w:t>
                  </w:r>
                </w:p>
              </w:tc>
              <w:tc>
                <w:tcPr>
                  <w:tcW w:w="471" w:type="pct"/>
                  <w:tcBorders>
                    <w:tl2br w:val="nil"/>
                    <w:tr2bl w:val="nil"/>
                  </w:tcBorders>
                  <w:shd w:val="clear" w:color="auto" w:fill="FFFFFF" w:themeFill="background1"/>
                  <w:vAlign w:val="center"/>
                </w:tcPr>
                <w:p w14:paraId="6578D505">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1.09</w:t>
                  </w:r>
                </w:p>
              </w:tc>
              <w:tc>
                <w:tcPr>
                  <w:tcW w:w="401" w:type="pct"/>
                  <w:tcBorders>
                    <w:tl2br w:val="nil"/>
                    <w:tr2bl w:val="nil"/>
                  </w:tcBorders>
                  <w:shd w:val="clear" w:color="auto" w:fill="FFFFFF" w:themeFill="background1"/>
                  <w:vAlign w:val="center"/>
                </w:tcPr>
                <w:p w14:paraId="74DF1C32">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w:t>
                  </w:r>
                  <w:r>
                    <w:rPr>
                      <w:rFonts w:hint="eastAsia" w:cs="Times New Roman"/>
                      <w:b w:val="0"/>
                      <w:bCs w:val="0"/>
                      <w:color w:val="auto"/>
                      <w:sz w:val="21"/>
                      <w:szCs w:val="21"/>
                      <w:lang w:val="en-US" w:eastAsia="zh-CN"/>
                    </w:rPr>
                    <w:t>97</w:t>
                  </w:r>
                </w:p>
              </w:tc>
              <w:tc>
                <w:tcPr>
                  <w:tcW w:w="474" w:type="pct"/>
                  <w:tcBorders>
                    <w:tl2br w:val="nil"/>
                    <w:tr2bl w:val="nil"/>
                  </w:tcBorders>
                  <w:shd w:val="clear" w:color="auto" w:fill="FFFFFF" w:themeFill="background1"/>
                  <w:vAlign w:val="center"/>
                </w:tcPr>
                <w:p w14:paraId="44A4E89D">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w:t>
                  </w:r>
                </w:p>
              </w:tc>
              <w:tc>
                <w:tcPr>
                  <w:tcW w:w="421" w:type="pct"/>
                  <w:tcBorders>
                    <w:tl2br w:val="nil"/>
                    <w:tr2bl w:val="nil"/>
                  </w:tcBorders>
                  <w:shd w:val="clear" w:color="auto" w:fill="FFFFFF" w:themeFill="background1"/>
                  <w:vAlign w:val="center"/>
                </w:tcPr>
                <w:p w14:paraId="6886E3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喷淋降尘</w:t>
                  </w:r>
                </w:p>
              </w:tc>
              <w:tc>
                <w:tcPr>
                  <w:tcW w:w="444" w:type="pct"/>
                  <w:tcBorders>
                    <w:tl2br w:val="nil"/>
                    <w:tr2bl w:val="nil"/>
                  </w:tcBorders>
                  <w:shd w:val="clear" w:color="auto" w:fill="FFFFFF" w:themeFill="background1"/>
                  <w:vAlign w:val="center"/>
                </w:tcPr>
                <w:p w14:paraId="262B6B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是</w:t>
                  </w:r>
                </w:p>
              </w:tc>
              <w:tc>
                <w:tcPr>
                  <w:tcW w:w="471" w:type="pct"/>
                  <w:tcBorders>
                    <w:tl2br w:val="nil"/>
                    <w:tr2bl w:val="nil"/>
                  </w:tcBorders>
                  <w:shd w:val="clear" w:color="auto" w:fill="FFFFFF" w:themeFill="background1"/>
                  <w:vAlign w:val="center"/>
                </w:tcPr>
                <w:p w14:paraId="49BC7535">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0.17</w:t>
                  </w:r>
                </w:p>
              </w:tc>
              <w:tc>
                <w:tcPr>
                  <w:tcW w:w="499" w:type="pct"/>
                  <w:tcBorders>
                    <w:tl2br w:val="nil"/>
                    <w:tr2bl w:val="nil"/>
                  </w:tcBorders>
                  <w:shd w:val="clear" w:color="auto" w:fill="FFFFFF" w:themeFill="background1"/>
                  <w:vAlign w:val="center"/>
                </w:tcPr>
                <w:p w14:paraId="54CB45A0">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w:t>
                  </w:r>
                  <w:r>
                    <w:rPr>
                      <w:rFonts w:hint="eastAsia" w:cs="Times New Roman"/>
                      <w:b w:val="0"/>
                      <w:bCs w:val="0"/>
                      <w:color w:val="auto"/>
                      <w:sz w:val="21"/>
                      <w:szCs w:val="21"/>
                      <w:lang w:val="en-US" w:eastAsia="zh-CN"/>
                    </w:rPr>
                    <w:t>71</w:t>
                  </w:r>
                </w:p>
              </w:tc>
              <w:tc>
                <w:tcPr>
                  <w:tcW w:w="533" w:type="pct"/>
                  <w:tcBorders>
                    <w:tl2br w:val="nil"/>
                    <w:tr2bl w:val="nil"/>
                  </w:tcBorders>
                  <w:shd w:val="clear" w:color="auto" w:fill="FFFFFF" w:themeFill="background1"/>
                  <w:vAlign w:val="center"/>
                </w:tcPr>
                <w:p w14:paraId="377FA57E">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bl>
          <w:p w14:paraId="7246C992">
            <w:pPr>
              <w:ind w:left="0" w:leftChars="0" w:firstLine="0" w:firstLineChars="0"/>
              <w:rPr>
                <w:rFonts w:hint="default"/>
              </w:rPr>
            </w:pPr>
          </w:p>
        </w:tc>
      </w:tr>
    </w:tbl>
    <w:p w14:paraId="70D91BEC">
      <w:pPr>
        <w:pStyle w:val="20"/>
        <w:ind w:firstLine="0" w:firstLineChars="0"/>
        <w:jc w:val="both"/>
        <w:rPr>
          <w:rFonts w:hint="default" w:ascii="Times New Roman" w:hAnsi="Times New Roman" w:eastAsia="宋体" w:cs="Times New Roman"/>
          <w:snapToGrid w:val="0"/>
          <w:color w:val="FF0000"/>
          <w:sz w:val="36"/>
          <w:szCs w:val="36"/>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7604"/>
      </w:tblGrid>
      <w:tr w14:paraId="1996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dxa"/>
            <w:vAlign w:val="center"/>
          </w:tcPr>
          <w:p w14:paraId="2C78CBC1">
            <w:pPr>
              <w:pStyle w:val="20"/>
              <w:adjustRightInd w:val="0"/>
              <w:snapToGrid w:val="0"/>
              <w:spacing w:before="0" w:beforeAutospacing="0" w:after="0" w:afterAutospacing="0"/>
              <w:ind w:firstLine="0" w:firstLineChars="0"/>
              <w:jc w:val="center"/>
              <w:rPr>
                <w:rFonts w:hint="default" w:ascii="Times New Roman" w:hAnsi="Times New Roman" w:eastAsia="宋体" w:cs="Times New Roman"/>
                <w:bCs/>
                <w:color w:val="FF0000"/>
                <w:kern w:val="2"/>
                <w:sz w:val="21"/>
                <w:szCs w:val="21"/>
              </w:rPr>
            </w:pPr>
          </w:p>
        </w:tc>
        <w:tc>
          <w:tcPr>
            <w:tcW w:w="7604" w:type="dxa"/>
            <w:vAlign w:val="center"/>
          </w:tcPr>
          <w:p w14:paraId="3E98B7DD">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both"/>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（5）废气监测计划</w:t>
            </w:r>
          </w:p>
          <w:p w14:paraId="21BB0B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val="0"/>
                <w:bCs w:val="0"/>
                <w:lang w:eastAsia="zh-CN"/>
              </w:rPr>
            </w:pPr>
            <w:r>
              <w:rPr>
                <w:rFonts w:hint="eastAsia" w:cs="Times New Roman"/>
                <w:b w:val="0"/>
                <w:bCs w:val="0"/>
                <w:color w:val="auto"/>
                <w:sz w:val="24"/>
                <w:szCs w:val="24"/>
                <w:lang w:eastAsia="zh-CN"/>
              </w:rPr>
              <w:t>参考《排污单位自行监测技术指南总则》</w:t>
            </w:r>
            <w:r>
              <w:rPr>
                <w:rFonts w:hint="eastAsia" w:cs="Times New Roman"/>
                <w:b w:val="0"/>
                <w:bCs w:val="0"/>
                <w:color w:val="auto"/>
                <w:sz w:val="24"/>
                <w:szCs w:val="24"/>
                <w:lang w:val="en-US" w:eastAsia="zh-CN"/>
              </w:rPr>
              <w:t>5.2.2.2监测频次中</w:t>
            </w:r>
            <w:r>
              <w:rPr>
                <w:rFonts w:hint="eastAsia" w:cs="Times New Roman"/>
                <w:b w:val="0"/>
                <w:bCs w:val="0"/>
                <w:color w:val="auto"/>
                <w:sz w:val="24"/>
                <w:szCs w:val="24"/>
                <w:lang w:eastAsia="zh-CN"/>
              </w:rPr>
              <w:t>采矿业等无组织废气排放较重的污染源，无组织废气每季度至少开展一次监测。项目监测计划见下表：</w:t>
            </w:r>
          </w:p>
          <w:p w14:paraId="4F1A0CBB">
            <w:pPr>
              <w:pStyle w:val="23"/>
              <w:spacing w:after="0" w:line="240" w:lineRule="auto"/>
              <w:ind w:left="0" w:leftChars="0" w:firstLine="0" w:firstLineChars="0"/>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表4-</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废气监测计划一览表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2"/>
              <w:gridCol w:w="1118"/>
              <w:gridCol w:w="1232"/>
              <w:gridCol w:w="1632"/>
              <w:gridCol w:w="2420"/>
            </w:tblGrid>
            <w:tr w14:paraId="5281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4" w:hRule="atLeast"/>
                <w:jc w:val="center"/>
              </w:trPr>
              <w:tc>
                <w:tcPr>
                  <w:tcW w:w="659" w:type="pct"/>
                  <w:tcBorders>
                    <w:tl2br w:val="nil"/>
                    <w:tr2bl w:val="nil"/>
                  </w:tcBorders>
                  <w:shd w:val="clear" w:color="auto" w:fill="FFFFFF" w:themeFill="background1"/>
                  <w:vAlign w:val="center"/>
                </w:tcPr>
                <w:p w14:paraId="6E9B510E">
                  <w:pPr>
                    <w:pStyle w:val="60"/>
                    <w:adjustRightInd w:val="0"/>
                    <w:snapToGrid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污染源</w:t>
                  </w:r>
                </w:p>
              </w:tc>
              <w:tc>
                <w:tcPr>
                  <w:tcW w:w="758" w:type="pct"/>
                  <w:tcBorders>
                    <w:tl2br w:val="nil"/>
                    <w:tr2bl w:val="nil"/>
                  </w:tcBorders>
                  <w:shd w:val="clear" w:color="auto" w:fill="FFFFFF" w:themeFill="background1"/>
                  <w:vAlign w:val="center"/>
                </w:tcPr>
                <w:p w14:paraId="12EA6E0E">
                  <w:pPr>
                    <w:pStyle w:val="60"/>
                    <w:adjustRightInd w:val="0"/>
                    <w:snapToGrid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监测点位</w:t>
                  </w:r>
                </w:p>
              </w:tc>
              <w:tc>
                <w:tcPr>
                  <w:tcW w:w="835" w:type="pct"/>
                  <w:tcBorders>
                    <w:tl2br w:val="nil"/>
                    <w:tr2bl w:val="nil"/>
                  </w:tcBorders>
                  <w:shd w:val="clear" w:color="auto" w:fill="FFFFFF" w:themeFill="background1"/>
                  <w:vAlign w:val="center"/>
                </w:tcPr>
                <w:p w14:paraId="05C76A04">
                  <w:pPr>
                    <w:pStyle w:val="60"/>
                    <w:adjustRightInd w:val="0"/>
                    <w:snapToGrid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监测项目</w:t>
                  </w:r>
                </w:p>
              </w:tc>
              <w:tc>
                <w:tcPr>
                  <w:tcW w:w="1106" w:type="pct"/>
                  <w:tcBorders>
                    <w:tl2br w:val="nil"/>
                    <w:tr2bl w:val="nil"/>
                  </w:tcBorders>
                  <w:shd w:val="clear" w:color="auto" w:fill="FFFFFF" w:themeFill="background1"/>
                  <w:vAlign w:val="center"/>
                </w:tcPr>
                <w:p w14:paraId="0670C66A">
                  <w:pPr>
                    <w:pStyle w:val="60"/>
                    <w:adjustRightInd w:val="0"/>
                    <w:snapToGrid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监测频率</w:t>
                  </w:r>
                </w:p>
              </w:tc>
              <w:tc>
                <w:tcPr>
                  <w:tcW w:w="1640" w:type="pct"/>
                  <w:tcBorders>
                    <w:tl2br w:val="nil"/>
                    <w:tr2bl w:val="nil"/>
                  </w:tcBorders>
                  <w:shd w:val="clear" w:color="auto" w:fill="FFFFFF" w:themeFill="background1"/>
                  <w:vAlign w:val="center"/>
                </w:tcPr>
                <w:p w14:paraId="26AF9B52">
                  <w:pPr>
                    <w:pStyle w:val="60"/>
                    <w:wordWrap w:val="0"/>
                    <w:adjustRightInd w:val="0"/>
                    <w:snapToGrid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控制标准</w:t>
                  </w:r>
                </w:p>
              </w:tc>
            </w:tr>
            <w:tr w14:paraId="7ECE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9" w:type="pct"/>
                  <w:tcBorders>
                    <w:tl2br w:val="nil"/>
                    <w:tr2bl w:val="nil"/>
                  </w:tcBorders>
                  <w:shd w:val="clear" w:color="auto" w:fill="FFFFFF" w:themeFill="background1"/>
                  <w:vAlign w:val="center"/>
                </w:tcPr>
                <w:p w14:paraId="318671A0">
                  <w:pPr>
                    <w:pStyle w:val="60"/>
                    <w:adjustRightInd w:val="0"/>
                    <w:snapToGrid w:val="0"/>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废气</w:t>
                  </w:r>
                </w:p>
              </w:tc>
              <w:tc>
                <w:tcPr>
                  <w:tcW w:w="758" w:type="pct"/>
                  <w:tcBorders>
                    <w:tl2br w:val="nil"/>
                    <w:tr2bl w:val="nil"/>
                  </w:tcBorders>
                  <w:shd w:val="clear" w:color="auto" w:fill="FFFFFF" w:themeFill="background1"/>
                  <w:vAlign w:val="center"/>
                </w:tcPr>
                <w:p w14:paraId="6039C35B">
                  <w:pPr>
                    <w:pStyle w:val="60"/>
                    <w:adjustRightInd w:val="0"/>
                    <w:snapToGrid w:val="0"/>
                    <w:rPr>
                      <w:rFonts w:hint="default" w:ascii="Times New Roman" w:hAnsi="Times New Roman" w:eastAsia="宋体" w:cs="Times New Roman"/>
                      <w:b w:val="0"/>
                      <w:bCs w:val="0"/>
                      <w:color w:val="auto"/>
                      <w:szCs w:val="21"/>
                    </w:rPr>
                  </w:pPr>
                  <w:r>
                    <w:rPr>
                      <w:rFonts w:hint="eastAsia" w:cs="Times New Roman"/>
                      <w:b w:val="0"/>
                      <w:bCs w:val="0"/>
                      <w:color w:val="auto"/>
                      <w:szCs w:val="21"/>
                      <w:lang w:eastAsia="zh-CN"/>
                    </w:rPr>
                    <w:t>露天采场</w:t>
                  </w:r>
                  <w:r>
                    <w:rPr>
                      <w:rFonts w:hint="default" w:ascii="Times New Roman" w:hAnsi="Times New Roman" w:eastAsia="宋体" w:cs="Times New Roman"/>
                      <w:b w:val="0"/>
                      <w:bCs w:val="0"/>
                      <w:color w:val="auto"/>
                      <w:szCs w:val="21"/>
                    </w:rPr>
                    <w:t>厂界</w:t>
                  </w:r>
                </w:p>
              </w:tc>
              <w:tc>
                <w:tcPr>
                  <w:tcW w:w="835" w:type="pct"/>
                  <w:tcBorders>
                    <w:tl2br w:val="nil"/>
                    <w:tr2bl w:val="nil"/>
                  </w:tcBorders>
                  <w:shd w:val="clear" w:color="auto" w:fill="FFFFFF" w:themeFill="background1"/>
                  <w:vAlign w:val="center"/>
                </w:tcPr>
                <w:p w14:paraId="309B61FD">
                  <w:pPr>
                    <w:pStyle w:val="60"/>
                    <w:adjustRightInd w:val="0"/>
                    <w:snapToGrid w:val="0"/>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颗粒物</w:t>
                  </w:r>
                </w:p>
              </w:tc>
              <w:tc>
                <w:tcPr>
                  <w:tcW w:w="1106" w:type="pct"/>
                  <w:tcBorders>
                    <w:tl2br w:val="nil"/>
                    <w:tr2bl w:val="nil"/>
                  </w:tcBorders>
                  <w:shd w:val="clear" w:color="auto" w:fill="FFFFFF" w:themeFill="background1"/>
                  <w:vAlign w:val="center"/>
                </w:tcPr>
                <w:p w14:paraId="290308D1">
                  <w:pPr>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1次/</w:t>
                  </w:r>
                  <w:r>
                    <w:rPr>
                      <w:rFonts w:hint="eastAsia" w:cs="Times New Roman"/>
                      <w:b w:val="0"/>
                      <w:bCs w:val="0"/>
                      <w:color w:val="auto"/>
                      <w:sz w:val="21"/>
                      <w:szCs w:val="21"/>
                      <w:lang w:eastAsia="zh-CN"/>
                    </w:rPr>
                    <w:t>季度</w:t>
                  </w:r>
                </w:p>
              </w:tc>
              <w:tc>
                <w:tcPr>
                  <w:tcW w:w="1640" w:type="pct"/>
                  <w:tcBorders>
                    <w:tl2br w:val="nil"/>
                    <w:tr2bl w:val="nil"/>
                  </w:tcBorders>
                  <w:shd w:val="clear" w:color="auto" w:fill="FFFFFF" w:themeFill="background1"/>
                  <w:vAlign w:val="center"/>
                </w:tcPr>
                <w:p w14:paraId="21C5499D">
                  <w:pPr>
                    <w:pStyle w:val="60"/>
                    <w:wordWrap w:val="0"/>
                    <w:adjustRightInd w:val="0"/>
                    <w:snapToGrid w:val="0"/>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《大气污染物综合排放标准》（GB16297-1996）</w:t>
                  </w:r>
                </w:p>
              </w:tc>
            </w:tr>
          </w:tbl>
          <w:p w14:paraId="687FE7D1">
            <w:pPr>
              <w:numPr>
                <w:ilvl w:val="0"/>
                <w:numId w:val="0"/>
              </w:numPr>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 6 \* GB2 \* MERGEFORMAT </w:instrText>
            </w:r>
            <w:r>
              <w:rPr>
                <w:rFonts w:hint="default" w:ascii="Times New Roman" w:hAnsi="Times New Roman" w:eastAsia="宋体" w:cs="Times New Roman"/>
                <w:b/>
                <w:bCs/>
                <w:color w:val="auto"/>
                <w:sz w:val="24"/>
                <w:szCs w:val="24"/>
              </w:rPr>
              <w:fldChar w:fldCharType="separate"/>
            </w:r>
            <w:r>
              <w:rPr>
                <w:b/>
                <w:bCs/>
              </w:rPr>
              <w:t>⑹</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污染物排放量核算表见表</w:t>
            </w:r>
            <w:r>
              <w:rPr>
                <w:rFonts w:hint="default" w:ascii="Times New Roman" w:hAnsi="Times New Roman" w:eastAsia="宋体" w:cs="Times New Roman"/>
                <w:b/>
                <w:bCs/>
                <w:color w:val="auto"/>
                <w:sz w:val="24"/>
                <w:szCs w:val="24"/>
                <w:lang w:val="en-US" w:eastAsia="zh-CN"/>
              </w:rPr>
              <w:t>4-</w:t>
            </w:r>
            <w:r>
              <w:rPr>
                <w:rFonts w:hint="eastAsia" w:cs="Times New Roman"/>
                <w:b/>
                <w:bCs/>
                <w:color w:val="auto"/>
                <w:sz w:val="24"/>
                <w:szCs w:val="24"/>
                <w:lang w:val="en-US" w:eastAsia="zh-CN"/>
              </w:rPr>
              <w:t>5</w:t>
            </w:r>
          </w:p>
          <w:p w14:paraId="32C510BE">
            <w:pPr>
              <w:pStyle w:val="20"/>
              <w:tabs>
                <w:tab w:val="left" w:pos="2282"/>
                <w:tab w:val="center" w:pos="4920"/>
              </w:tabs>
              <w:spacing w:before="0" w:beforeAutospacing="0" w:after="0" w:afterAutospacing="0" w:line="240" w:lineRule="auto"/>
              <w:ind w:firstLine="422"/>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表4-</w:t>
            </w:r>
            <w:r>
              <w:rPr>
                <w:rFonts w:hint="eastAsia" w:ascii="Times New Roman" w:hAnsi="Times New Roman" w:cs="Times New Roman"/>
                <w:b/>
                <w:color w:val="auto"/>
                <w:sz w:val="24"/>
                <w:szCs w:val="24"/>
                <w:lang w:val="en-US" w:eastAsia="zh-CN"/>
              </w:rPr>
              <w:t>5</w:t>
            </w:r>
            <w:r>
              <w:rPr>
                <w:rFonts w:hint="default" w:ascii="Times New Roman" w:hAnsi="Times New Roman" w:eastAsia="宋体" w:cs="Times New Roman"/>
                <w:b/>
                <w:color w:val="auto"/>
                <w:sz w:val="24"/>
                <w:szCs w:val="24"/>
              </w:rPr>
              <w:t>大气污染物无组织排放量核算表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81"/>
              <w:gridCol w:w="826"/>
              <w:gridCol w:w="1251"/>
              <w:gridCol w:w="1301"/>
              <w:gridCol w:w="1318"/>
              <w:gridCol w:w="967"/>
            </w:tblGrid>
            <w:tr w14:paraId="20C7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restart"/>
                  <w:tcBorders>
                    <w:tl2br w:val="nil"/>
                    <w:tr2bl w:val="nil"/>
                  </w:tcBorders>
                  <w:shd w:val="clear" w:color="auto" w:fill="auto"/>
                  <w:vAlign w:val="center"/>
                </w:tcPr>
                <w:p w14:paraId="05899F47">
                  <w:pPr>
                    <w:adjustRightInd w:val="0"/>
                    <w:snapToGrid w:val="0"/>
                    <w:spacing w:line="240" w:lineRule="auto"/>
                    <w:ind w:left="85" w:right="80" w:firstLine="0" w:firstLineChars="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val="en-US" w:eastAsia="zh-CN"/>
                    </w:rPr>
                    <w:t>编号</w:t>
                  </w:r>
                </w:p>
              </w:tc>
              <w:tc>
                <w:tcPr>
                  <w:tcW w:w="732" w:type="pct"/>
                  <w:vMerge w:val="restart"/>
                  <w:tcBorders>
                    <w:tl2br w:val="nil"/>
                    <w:tr2bl w:val="nil"/>
                  </w:tcBorders>
                  <w:shd w:val="clear" w:color="auto" w:fill="auto"/>
                  <w:vAlign w:val="center"/>
                </w:tcPr>
                <w:p w14:paraId="1D1A4BAF">
                  <w:pPr>
                    <w:adjustRightInd w:val="0"/>
                    <w:snapToGrid w:val="0"/>
                    <w:spacing w:line="240" w:lineRule="auto"/>
                    <w:ind w:left="85" w:right="8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产污环节</w:t>
                  </w:r>
                </w:p>
              </w:tc>
              <w:tc>
                <w:tcPr>
                  <w:tcW w:w="560" w:type="pct"/>
                  <w:vMerge w:val="restart"/>
                  <w:tcBorders>
                    <w:tl2br w:val="nil"/>
                    <w:tr2bl w:val="nil"/>
                  </w:tcBorders>
                  <w:shd w:val="clear" w:color="auto" w:fill="auto"/>
                  <w:vAlign w:val="center"/>
                </w:tcPr>
                <w:p w14:paraId="206DC57B">
                  <w:pPr>
                    <w:adjustRightInd w:val="0"/>
                    <w:snapToGrid w:val="0"/>
                    <w:spacing w:line="240" w:lineRule="auto"/>
                    <w:ind w:left="85" w:right="8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w:t>
                  </w:r>
                </w:p>
              </w:tc>
              <w:tc>
                <w:tcPr>
                  <w:tcW w:w="848" w:type="pct"/>
                  <w:vMerge w:val="restart"/>
                  <w:tcBorders>
                    <w:tl2br w:val="nil"/>
                    <w:tr2bl w:val="nil"/>
                  </w:tcBorders>
                  <w:shd w:val="clear" w:color="auto" w:fill="auto"/>
                  <w:vAlign w:val="center"/>
                </w:tcPr>
                <w:p w14:paraId="313EFA8A">
                  <w:pPr>
                    <w:adjustRightInd w:val="0"/>
                    <w:snapToGrid w:val="0"/>
                    <w:spacing w:line="240" w:lineRule="auto"/>
                    <w:ind w:left="85" w:right="8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主要污染防治措施</w:t>
                  </w:r>
                </w:p>
              </w:tc>
              <w:tc>
                <w:tcPr>
                  <w:tcW w:w="1775" w:type="pct"/>
                  <w:gridSpan w:val="2"/>
                  <w:tcBorders>
                    <w:tl2br w:val="nil"/>
                    <w:tr2bl w:val="nil"/>
                  </w:tcBorders>
                  <w:shd w:val="clear" w:color="auto" w:fill="auto"/>
                  <w:vAlign w:val="center"/>
                </w:tcPr>
                <w:p w14:paraId="129B760B">
                  <w:pPr>
                    <w:adjustRightInd w:val="0"/>
                    <w:snapToGrid w:val="0"/>
                    <w:spacing w:line="240" w:lineRule="auto"/>
                    <w:ind w:left="85" w:right="8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污染物排放标准</w:t>
                  </w:r>
                </w:p>
              </w:tc>
              <w:tc>
                <w:tcPr>
                  <w:tcW w:w="655" w:type="pct"/>
                  <w:vMerge w:val="restart"/>
                  <w:tcBorders>
                    <w:tl2br w:val="nil"/>
                    <w:tr2bl w:val="nil"/>
                  </w:tcBorders>
                  <w:shd w:val="clear" w:color="auto" w:fill="auto"/>
                  <w:vAlign w:val="center"/>
                </w:tcPr>
                <w:p w14:paraId="15A8A129">
                  <w:pPr>
                    <w:adjustRightInd w:val="0"/>
                    <w:snapToGrid w:val="0"/>
                    <w:spacing w:line="240" w:lineRule="auto"/>
                    <w:ind w:left="85" w:right="80"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bCs/>
                      <w:color w:val="auto"/>
                      <w:kern w:val="0"/>
                      <w:sz w:val="21"/>
                      <w:szCs w:val="21"/>
                    </w:rPr>
                    <w:t>年排放量</w:t>
                  </w:r>
                  <w:r>
                    <w:rPr>
                      <w:rFonts w:hint="default" w:ascii="Times New Roman" w:hAnsi="Times New Roman" w:eastAsia="宋体" w:cs="Times New Roman"/>
                      <w:b/>
                      <w:bCs/>
                      <w:color w:val="auto"/>
                      <w:sz w:val="21"/>
                      <w:szCs w:val="21"/>
                    </w:rPr>
                    <w:t>t/a</w:t>
                  </w:r>
                </w:p>
              </w:tc>
            </w:tr>
            <w:tr w14:paraId="6FE2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tcBorders>
                    <w:tl2br w:val="nil"/>
                    <w:tr2bl w:val="nil"/>
                  </w:tcBorders>
                  <w:shd w:val="clear" w:color="auto" w:fill="auto"/>
                  <w:vAlign w:val="center"/>
                </w:tcPr>
                <w:p w14:paraId="08D2D127">
                  <w:pPr>
                    <w:adjustRightInd w:val="0"/>
                    <w:snapToGrid w:val="0"/>
                    <w:spacing w:line="240" w:lineRule="auto"/>
                    <w:ind w:left="85" w:right="80" w:firstLine="0" w:firstLineChars="0"/>
                    <w:jc w:val="center"/>
                    <w:rPr>
                      <w:rFonts w:hint="default" w:ascii="Times New Roman" w:hAnsi="Times New Roman" w:eastAsia="宋体" w:cs="Times New Roman"/>
                      <w:b/>
                      <w:bCs/>
                      <w:color w:val="auto"/>
                      <w:sz w:val="21"/>
                      <w:szCs w:val="21"/>
                    </w:rPr>
                  </w:pPr>
                </w:p>
              </w:tc>
              <w:tc>
                <w:tcPr>
                  <w:tcW w:w="732" w:type="pct"/>
                  <w:vMerge w:val="continue"/>
                  <w:tcBorders>
                    <w:tl2br w:val="nil"/>
                    <w:tr2bl w:val="nil"/>
                  </w:tcBorders>
                  <w:shd w:val="clear" w:color="auto" w:fill="auto"/>
                  <w:vAlign w:val="center"/>
                </w:tcPr>
                <w:p w14:paraId="4FDBBFCC">
                  <w:pPr>
                    <w:adjustRightInd w:val="0"/>
                    <w:snapToGrid w:val="0"/>
                    <w:spacing w:line="240" w:lineRule="auto"/>
                    <w:ind w:left="85" w:right="80" w:firstLine="0" w:firstLineChars="0"/>
                    <w:jc w:val="center"/>
                    <w:rPr>
                      <w:rFonts w:hint="default" w:ascii="Times New Roman" w:hAnsi="Times New Roman" w:eastAsia="宋体" w:cs="Times New Roman"/>
                      <w:b/>
                      <w:bCs/>
                      <w:color w:val="auto"/>
                      <w:sz w:val="21"/>
                      <w:szCs w:val="21"/>
                    </w:rPr>
                  </w:pPr>
                </w:p>
              </w:tc>
              <w:tc>
                <w:tcPr>
                  <w:tcW w:w="560" w:type="pct"/>
                  <w:vMerge w:val="continue"/>
                  <w:tcBorders>
                    <w:tl2br w:val="nil"/>
                    <w:tr2bl w:val="nil"/>
                  </w:tcBorders>
                  <w:shd w:val="clear" w:color="auto" w:fill="auto"/>
                  <w:vAlign w:val="center"/>
                </w:tcPr>
                <w:p w14:paraId="1099D970">
                  <w:pPr>
                    <w:adjustRightInd w:val="0"/>
                    <w:snapToGrid w:val="0"/>
                    <w:spacing w:line="240" w:lineRule="auto"/>
                    <w:ind w:left="85" w:right="80" w:firstLine="0" w:firstLineChars="0"/>
                    <w:jc w:val="center"/>
                    <w:rPr>
                      <w:rFonts w:hint="default" w:ascii="Times New Roman" w:hAnsi="Times New Roman" w:eastAsia="宋体" w:cs="Times New Roman"/>
                      <w:b/>
                      <w:bCs/>
                      <w:color w:val="auto"/>
                      <w:sz w:val="21"/>
                      <w:szCs w:val="21"/>
                    </w:rPr>
                  </w:pPr>
                </w:p>
              </w:tc>
              <w:tc>
                <w:tcPr>
                  <w:tcW w:w="848" w:type="pct"/>
                  <w:vMerge w:val="continue"/>
                  <w:tcBorders>
                    <w:tl2br w:val="nil"/>
                    <w:tr2bl w:val="nil"/>
                  </w:tcBorders>
                  <w:shd w:val="clear" w:color="auto" w:fill="auto"/>
                  <w:vAlign w:val="center"/>
                </w:tcPr>
                <w:p w14:paraId="053B7016">
                  <w:pPr>
                    <w:adjustRightInd w:val="0"/>
                    <w:snapToGrid w:val="0"/>
                    <w:spacing w:line="240" w:lineRule="auto"/>
                    <w:ind w:left="85" w:right="80" w:firstLine="0" w:firstLineChars="0"/>
                    <w:jc w:val="center"/>
                    <w:rPr>
                      <w:rFonts w:hint="default" w:ascii="Times New Roman" w:hAnsi="Times New Roman" w:eastAsia="宋体" w:cs="Times New Roman"/>
                      <w:b/>
                      <w:bCs/>
                      <w:color w:val="auto"/>
                      <w:sz w:val="21"/>
                      <w:szCs w:val="21"/>
                    </w:rPr>
                  </w:pPr>
                </w:p>
              </w:tc>
              <w:tc>
                <w:tcPr>
                  <w:tcW w:w="882" w:type="pct"/>
                  <w:tcBorders>
                    <w:tl2br w:val="nil"/>
                    <w:tr2bl w:val="nil"/>
                  </w:tcBorders>
                  <w:shd w:val="clear" w:color="auto" w:fill="auto"/>
                  <w:vAlign w:val="center"/>
                </w:tcPr>
                <w:p w14:paraId="55713BC1">
                  <w:pPr>
                    <w:adjustRightInd w:val="0"/>
                    <w:snapToGrid w:val="0"/>
                    <w:spacing w:line="240" w:lineRule="auto"/>
                    <w:ind w:left="85" w:right="8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标准名称</w:t>
                  </w:r>
                </w:p>
              </w:tc>
              <w:tc>
                <w:tcPr>
                  <w:tcW w:w="893" w:type="pct"/>
                  <w:tcBorders>
                    <w:tl2br w:val="nil"/>
                    <w:tr2bl w:val="nil"/>
                  </w:tcBorders>
                  <w:shd w:val="clear" w:color="auto" w:fill="auto"/>
                  <w:vAlign w:val="center"/>
                </w:tcPr>
                <w:p w14:paraId="28FC9573">
                  <w:pPr>
                    <w:adjustRightInd w:val="0"/>
                    <w:snapToGrid w:val="0"/>
                    <w:spacing w:line="240" w:lineRule="auto"/>
                    <w:ind w:left="85" w:right="8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浓度限值</w:t>
                  </w:r>
                  <w:r>
                    <w:rPr>
                      <w:rFonts w:hint="default" w:ascii="Times New Roman" w:hAnsi="Times New Roman" w:eastAsia="宋体" w:cs="Times New Roman"/>
                      <w:b/>
                      <w:bCs/>
                      <w:color w:val="auto"/>
                      <w:kern w:val="0"/>
                      <w:sz w:val="21"/>
                      <w:szCs w:val="21"/>
                    </w:rPr>
                    <w:t>mg/m</w:t>
                  </w:r>
                  <w:r>
                    <w:rPr>
                      <w:rFonts w:hint="default" w:ascii="Times New Roman" w:hAnsi="Times New Roman" w:eastAsia="宋体" w:cs="Times New Roman"/>
                      <w:b/>
                      <w:bCs/>
                      <w:color w:val="auto"/>
                      <w:sz w:val="21"/>
                      <w:szCs w:val="21"/>
                      <w:vertAlign w:val="superscript"/>
                    </w:rPr>
                    <w:t>3</w:t>
                  </w:r>
                </w:p>
              </w:tc>
              <w:tc>
                <w:tcPr>
                  <w:tcW w:w="655" w:type="pct"/>
                  <w:vMerge w:val="continue"/>
                  <w:tcBorders>
                    <w:tl2br w:val="nil"/>
                    <w:tr2bl w:val="nil"/>
                  </w:tcBorders>
                  <w:shd w:val="clear" w:color="auto" w:fill="auto"/>
                  <w:vAlign w:val="center"/>
                </w:tcPr>
                <w:p w14:paraId="1DC11503">
                  <w:pPr>
                    <w:adjustRightInd w:val="0"/>
                    <w:snapToGrid w:val="0"/>
                    <w:spacing w:line="240" w:lineRule="auto"/>
                    <w:ind w:left="85" w:right="80" w:firstLine="0" w:firstLineChars="0"/>
                    <w:jc w:val="center"/>
                    <w:rPr>
                      <w:rFonts w:hint="default" w:ascii="Times New Roman" w:hAnsi="Times New Roman" w:eastAsia="宋体" w:cs="Times New Roman"/>
                      <w:b w:val="0"/>
                      <w:bCs w:val="0"/>
                      <w:color w:val="auto"/>
                      <w:sz w:val="21"/>
                      <w:szCs w:val="21"/>
                    </w:rPr>
                  </w:pPr>
                </w:p>
              </w:tc>
            </w:tr>
            <w:tr w14:paraId="68D9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Borders>
                    <w:tl2br w:val="nil"/>
                    <w:tr2bl w:val="nil"/>
                  </w:tcBorders>
                  <w:vAlign w:val="center"/>
                </w:tcPr>
                <w:p w14:paraId="1CF45FEF">
                  <w:pPr>
                    <w:adjustRightInd w:val="0"/>
                    <w:snapToGrid w:val="0"/>
                    <w:spacing w:line="240" w:lineRule="auto"/>
                    <w:ind w:right="8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732" w:type="pct"/>
                  <w:tcBorders>
                    <w:tl2br w:val="nil"/>
                    <w:tr2bl w:val="nil"/>
                  </w:tcBorders>
                  <w:vAlign w:val="center"/>
                </w:tcPr>
                <w:p w14:paraId="093E1A2E">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钻孔粉尘</w:t>
                  </w:r>
                </w:p>
              </w:tc>
              <w:tc>
                <w:tcPr>
                  <w:tcW w:w="560" w:type="pct"/>
                  <w:tcBorders>
                    <w:tl2br w:val="nil"/>
                    <w:tr2bl w:val="nil"/>
                  </w:tcBorders>
                  <w:vAlign w:val="center"/>
                </w:tcPr>
                <w:p w14:paraId="5AA2C860">
                  <w:pPr>
                    <w:adjustRightInd w:val="0"/>
                    <w:snapToGrid w:val="0"/>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颗粒物</w:t>
                  </w:r>
                </w:p>
              </w:tc>
              <w:tc>
                <w:tcPr>
                  <w:tcW w:w="848" w:type="pct"/>
                  <w:tcBorders>
                    <w:tl2br w:val="nil"/>
                    <w:tr2bl w:val="nil"/>
                  </w:tcBorders>
                  <w:vAlign w:val="center"/>
                </w:tcPr>
                <w:p w14:paraId="032F6B91">
                  <w:pPr>
                    <w:adjustRightInd w:val="0"/>
                    <w:snapToGrid w:val="0"/>
                    <w:spacing w:line="240" w:lineRule="auto"/>
                    <w:ind w:left="85" w:right="80"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sz w:val="21"/>
                      <w:szCs w:val="21"/>
                      <w:lang w:val="en-US" w:eastAsia="zh-CN"/>
                    </w:rPr>
                    <w:t>喷淋抑尘</w:t>
                  </w:r>
                </w:p>
              </w:tc>
              <w:tc>
                <w:tcPr>
                  <w:tcW w:w="882" w:type="pct"/>
                  <w:vMerge w:val="restart"/>
                  <w:tcBorders>
                    <w:tl2br w:val="nil"/>
                    <w:tr2bl w:val="nil"/>
                  </w:tcBorders>
                  <w:vAlign w:val="center"/>
                </w:tcPr>
                <w:p w14:paraId="5D65B31B">
                  <w:pPr>
                    <w:adjustRightInd w:val="0"/>
                    <w:snapToGrid w:val="0"/>
                    <w:spacing w:line="240" w:lineRule="auto"/>
                    <w:ind w:left="85" w:right="80"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sz w:val="21"/>
                      <w:szCs w:val="21"/>
                    </w:rPr>
                    <w:t>《大气污染物综合排放标准》（GB16297-1996）</w:t>
                  </w:r>
                </w:p>
              </w:tc>
              <w:tc>
                <w:tcPr>
                  <w:tcW w:w="893" w:type="pct"/>
                  <w:vMerge w:val="restart"/>
                  <w:tcBorders>
                    <w:tl2br w:val="nil"/>
                    <w:tr2bl w:val="nil"/>
                  </w:tcBorders>
                  <w:vAlign w:val="center"/>
                </w:tcPr>
                <w:p w14:paraId="02F556B4">
                  <w:pPr>
                    <w:adjustRightInd w:val="0"/>
                    <w:snapToGrid w:val="0"/>
                    <w:spacing w:line="240" w:lineRule="auto"/>
                    <w:ind w:left="85" w:right="80"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1.0</w:t>
                  </w:r>
                </w:p>
              </w:tc>
              <w:tc>
                <w:tcPr>
                  <w:tcW w:w="967" w:type="dxa"/>
                  <w:tcBorders>
                    <w:tl2br w:val="nil"/>
                    <w:tr2bl w:val="nil"/>
                  </w:tcBorders>
                  <w:vAlign w:val="center"/>
                </w:tcPr>
                <w:p w14:paraId="26AD39CD">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w:t>
                  </w:r>
                  <w:r>
                    <w:rPr>
                      <w:rFonts w:hint="eastAsia" w:cs="Times New Roman"/>
                      <w:b w:val="0"/>
                      <w:bCs w:val="0"/>
                      <w:color w:val="auto"/>
                      <w:sz w:val="21"/>
                      <w:szCs w:val="21"/>
                      <w:lang w:val="en-US" w:eastAsia="zh-CN"/>
                    </w:rPr>
                    <w:t>16</w:t>
                  </w:r>
                </w:p>
              </w:tc>
            </w:tr>
            <w:tr w14:paraId="3539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Borders>
                    <w:tl2br w:val="nil"/>
                    <w:tr2bl w:val="nil"/>
                  </w:tcBorders>
                  <w:vAlign w:val="center"/>
                </w:tcPr>
                <w:p w14:paraId="77EEA31D">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732" w:type="pct"/>
                  <w:tcBorders>
                    <w:tl2br w:val="nil"/>
                    <w:tr2bl w:val="nil"/>
                  </w:tcBorders>
                  <w:vAlign w:val="center"/>
                </w:tcPr>
                <w:p w14:paraId="691A63C9">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爆破粉尘</w:t>
                  </w:r>
                </w:p>
              </w:tc>
              <w:tc>
                <w:tcPr>
                  <w:tcW w:w="560" w:type="pct"/>
                  <w:tcBorders>
                    <w:tl2br w:val="nil"/>
                    <w:tr2bl w:val="nil"/>
                  </w:tcBorders>
                  <w:vAlign w:val="center"/>
                </w:tcPr>
                <w:p w14:paraId="575C3060">
                  <w:pPr>
                    <w:adjustRightInd w:val="0"/>
                    <w:snapToGrid w:val="0"/>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颗粒物</w:t>
                  </w:r>
                </w:p>
              </w:tc>
              <w:tc>
                <w:tcPr>
                  <w:tcW w:w="848" w:type="pct"/>
                  <w:tcBorders>
                    <w:tl2br w:val="nil"/>
                    <w:tr2bl w:val="nil"/>
                  </w:tcBorders>
                  <w:vAlign w:val="center"/>
                </w:tcPr>
                <w:p w14:paraId="5B7413A2">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喷淋抑尘</w:t>
                  </w:r>
                </w:p>
              </w:tc>
              <w:tc>
                <w:tcPr>
                  <w:tcW w:w="882" w:type="pct"/>
                  <w:vMerge w:val="continue"/>
                  <w:tcBorders>
                    <w:tl2br w:val="nil"/>
                    <w:tr2bl w:val="nil"/>
                  </w:tcBorders>
                  <w:vAlign w:val="center"/>
                </w:tcPr>
                <w:p w14:paraId="3F797DEC">
                  <w:pPr>
                    <w:adjustRightInd w:val="0"/>
                    <w:snapToGrid w:val="0"/>
                    <w:spacing w:line="240" w:lineRule="auto"/>
                    <w:ind w:left="85" w:right="80" w:firstLine="0" w:firstLineChars="0"/>
                    <w:jc w:val="center"/>
                    <w:rPr>
                      <w:rFonts w:hint="default" w:ascii="Times New Roman" w:hAnsi="Times New Roman" w:eastAsia="宋体" w:cs="Times New Roman"/>
                      <w:b w:val="0"/>
                      <w:bCs w:val="0"/>
                      <w:color w:val="auto"/>
                      <w:kern w:val="0"/>
                      <w:sz w:val="21"/>
                      <w:szCs w:val="21"/>
                    </w:rPr>
                  </w:pPr>
                </w:p>
              </w:tc>
              <w:tc>
                <w:tcPr>
                  <w:tcW w:w="893" w:type="pct"/>
                  <w:vMerge w:val="continue"/>
                  <w:tcBorders>
                    <w:tl2br w:val="nil"/>
                    <w:tr2bl w:val="nil"/>
                  </w:tcBorders>
                  <w:vAlign w:val="center"/>
                </w:tcPr>
                <w:p w14:paraId="3D02FC09">
                  <w:pPr>
                    <w:adjustRightInd w:val="0"/>
                    <w:snapToGrid w:val="0"/>
                    <w:spacing w:line="240" w:lineRule="auto"/>
                    <w:ind w:left="85" w:right="80" w:firstLine="0" w:firstLineChars="0"/>
                    <w:jc w:val="center"/>
                    <w:rPr>
                      <w:rFonts w:hint="default" w:ascii="Times New Roman" w:hAnsi="Times New Roman" w:eastAsia="宋体" w:cs="Times New Roman"/>
                      <w:b w:val="0"/>
                      <w:bCs w:val="0"/>
                      <w:color w:val="auto"/>
                      <w:kern w:val="0"/>
                      <w:sz w:val="21"/>
                      <w:szCs w:val="21"/>
                    </w:rPr>
                  </w:pPr>
                </w:p>
              </w:tc>
              <w:tc>
                <w:tcPr>
                  <w:tcW w:w="967" w:type="dxa"/>
                  <w:tcBorders>
                    <w:tl2br w:val="nil"/>
                    <w:tr2bl w:val="nil"/>
                  </w:tcBorders>
                  <w:vAlign w:val="center"/>
                </w:tcPr>
                <w:p w14:paraId="088F8E4D">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0.029</w:t>
                  </w:r>
                </w:p>
              </w:tc>
            </w:tr>
            <w:tr w14:paraId="6C4A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tcBorders>
                    <w:tl2br w:val="nil"/>
                    <w:tr2bl w:val="nil"/>
                  </w:tcBorders>
                  <w:vAlign w:val="center"/>
                </w:tcPr>
                <w:p w14:paraId="558C510C">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732" w:type="pct"/>
                  <w:tcBorders>
                    <w:tl2br w:val="nil"/>
                    <w:tr2bl w:val="nil"/>
                  </w:tcBorders>
                  <w:vAlign w:val="center"/>
                </w:tcPr>
                <w:p w14:paraId="36A2F77C">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铲装粉尘</w:t>
                  </w:r>
                </w:p>
              </w:tc>
              <w:tc>
                <w:tcPr>
                  <w:tcW w:w="560" w:type="pct"/>
                  <w:tcBorders>
                    <w:tl2br w:val="nil"/>
                    <w:tr2bl w:val="nil"/>
                  </w:tcBorders>
                  <w:vAlign w:val="center"/>
                </w:tcPr>
                <w:p w14:paraId="0A55C00F">
                  <w:pPr>
                    <w:adjustRightInd w:val="0"/>
                    <w:snapToGrid w:val="0"/>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颗粒物</w:t>
                  </w:r>
                </w:p>
              </w:tc>
              <w:tc>
                <w:tcPr>
                  <w:tcW w:w="848" w:type="pct"/>
                  <w:tcBorders>
                    <w:tl2br w:val="nil"/>
                    <w:tr2bl w:val="nil"/>
                  </w:tcBorders>
                  <w:vAlign w:val="center"/>
                </w:tcPr>
                <w:p w14:paraId="32CA6FC3">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洒水抑尘</w:t>
                  </w:r>
                </w:p>
              </w:tc>
              <w:tc>
                <w:tcPr>
                  <w:tcW w:w="882" w:type="pct"/>
                  <w:vMerge w:val="continue"/>
                  <w:tcBorders>
                    <w:tl2br w:val="nil"/>
                    <w:tr2bl w:val="nil"/>
                  </w:tcBorders>
                  <w:vAlign w:val="center"/>
                </w:tcPr>
                <w:p w14:paraId="5886B5C8">
                  <w:pPr>
                    <w:adjustRightInd w:val="0"/>
                    <w:snapToGrid w:val="0"/>
                    <w:spacing w:line="240" w:lineRule="auto"/>
                    <w:ind w:left="85" w:right="80" w:firstLine="0" w:firstLineChars="0"/>
                    <w:jc w:val="center"/>
                    <w:rPr>
                      <w:rFonts w:hint="default" w:ascii="Times New Roman" w:hAnsi="Times New Roman" w:eastAsia="宋体" w:cs="Times New Roman"/>
                      <w:b w:val="0"/>
                      <w:bCs w:val="0"/>
                      <w:color w:val="auto"/>
                      <w:kern w:val="0"/>
                      <w:sz w:val="21"/>
                      <w:szCs w:val="21"/>
                    </w:rPr>
                  </w:pPr>
                </w:p>
              </w:tc>
              <w:tc>
                <w:tcPr>
                  <w:tcW w:w="893" w:type="pct"/>
                  <w:vMerge w:val="continue"/>
                  <w:tcBorders>
                    <w:tl2br w:val="nil"/>
                    <w:tr2bl w:val="nil"/>
                  </w:tcBorders>
                  <w:vAlign w:val="center"/>
                </w:tcPr>
                <w:p w14:paraId="60243690">
                  <w:pPr>
                    <w:adjustRightInd w:val="0"/>
                    <w:snapToGrid w:val="0"/>
                    <w:spacing w:line="240" w:lineRule="auto"/>
                    <w:ind w:left="85" w:right="80" w:firstLine="0" w:firstLineChars="0"/>
                    <w:jc w:val="center"/>
                    <w:rPr>
                      <w:rFonts w:hint="default" w:ascii="Times New Roman" w:hAnsi="Times New Roman" w:eastAsia="宋体" w:cs="Times New Roman"/>
                      <w:b w:val="0"/>
                      <w:bCs w:val="0"/>
                      <w:color w:val="auto"/>
                      <w:kern w:val="0"/>
                      <w:sz w:val="21"/>
                      <w:szCs w:val="21"/>
                    </w:rPr>
                  </w:pPr>
                </w:p>
              </w:tc>
              <w:tc>
                <w:tcPr>
                  <w:tcW w:w="967" w:type="dxa"/>
                  <w:tcBorders>
                    <w:tl2br w:val="nil"/>
                    <w:tr2bl w:val="nil"/>
                  </w:tcBorders>
                  <w:vAlign w:val="center"/>
                </w:tcPr>
                <w:p w14:paraId="172749FF">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0.</w:t>
                  </w:r>
                  <w:r>
                    <w:rPr>
                      <w:rFonts w:hint="eastAsia" w:cs="Times New Roman"/>
                      <w:b w:val="0"/>
                      <w:bCs w:val="0"/>
                      <w:color w:val="auto"/>
                      <w:sz w:val="21"/>
                      <w:szCs w:val="21"/>
                      <w:lang w:val="en-US" w:eastAsia="zh-CN"/>
                    </w:rPr>
                    <w:t>192</w:t>
                  </w:r>
                </w:p>
              </w:tc>
            </w:tr>
            <w:tr w14:paraId="6D811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427" w:type="pct"/>
                  <w:tcBorders>
                    <w:tl2br w:val="nil"/>
                    <w:tr2bl w:val="nil"/>
                  </w:tcBorders>
                  <w:vAlign w:val="center"/>
                </w:tcPr>
                <w:p w14:paraId="4201E464">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w:t>
                  </w:r>
                </w:p>
              </w:tc>
              <w:tc>
                <w:tcPr>
                  <w:tcW w:w="732" w:type="pct"/>
                  <w:tcBorders>
                    <w:tl2br w:val="nil"/>
                    <w:tr2bl w:val="nil"/>
                  </w:tcBorders>
                  <w:vAlign w:val="center"/>
                </w:tcPr>
                <w:p w14:paraId="5A23CA66">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自卸汽车卸料扬尘</w:t>
                  </w:r>
                </w:p>
              </w:tc>
              <w:tc>
                <w:tcPr>
                  <w:tcW w:w="560" w:type="pct"/>
                  <w:tcBorders>
                    <w:tl2br w:val="nil"/>
                    <w:tr2bl w:val="nil"/>
                  </w:tcBorders>
                  <w:vAlign w:val="center"/>
                </w:tcPr>
                <w:p w14:paraId="0D30DA38">
                  <w:pPr>
                    <w:adjustRightInd w:val="0"/>
                    <w:snapToGrid w:val="0"/>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颗粒物</w:t>
                  </w:r>
                </w:p>
              </w:tc>
              <w:tc>
                <w:tcPr>
                  <w:tcW w:w="848" w:type="pct"/>
                  <w:tcBorders>
                    <w:tl2br w:val="nil"/>
                    <w:tr2bl w:val="nil"/>
                  </w:tcBorders>
                  <w:vAlign w:val="center"/>
                </w:tcPr>
                <w:p w14:paraId="4DC0C442">
                  <w:pPr>
                    <w:adjustRightInd w:val="0"/>
                    <w:snapToGrid w:val="0"/>
                    <w:spacing w:line="240" w:lineRule="auto"/>
                    <w:ind w:left="85" w:right="8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洒水抑尘+覆盖抑尘网</w:t>
                  </w:r>
                </w:p>
              </w:tc>
              <w:tc>
                <w:tcPr>
                  <w:tcW w:w="882" w:type="pct"/>
                  <w:vMerge w:val="continue"/>
                  <w:tcBorders>
                    <w:tl2br w:val="nil"/>
                    <w:tr2bl w:val="nil"/>
                  </w:tcBorders>
                  <w:vAlign w:val="center"/>
                </w:tcPr>
                <w:p w14:paraId="02F2A459">
                  <w:pPr>
                    <w:adjustRightInd w:val="0"/>
                    <w:snapToGrid w:val="0"/>
                    <w:spacing w:line="240" w:lineRule="auto"/>
                    <w:ind w:left="85" w:right="80" w:firstLine="0" w:firstLineChars="0"/>
                    <w:jc w:val="center"/>
                    <w:rPr>
                      <w:rFonts w:hint="default" w:ascii="Times New Roman" w:hAnsi="Times New Roman" w:eastAsia="宋体" w:cs="Times New Roman"/>
                      <w:b w:val="0"/>
                      <w:bCs w:val="0"/>
                      <w:color w:val="auto"/>
                      <w:kern w:val="0"/>
                      <w:sz w:val="21"/>
                      <w:szCs w:val="21"/>
                    </w:rPr>
                  </w:pPr>
                </w:p>
              </w:tc>
              <w:tc>
                <w:tcPr>
                  <w:tcW w:w="893" w:type="pct"/>
                  <w:vMerge w:val="continue"/>
                  <w:tcBorders>
                    <w:tl2br w:val="nil"/>
                    <w:tr2bl w:val="nil"/>
                  </w:tcBorders>
                  <w:vAlign w:val="center"/>
                </w:tcPr>
                <w:p w14:paraId="6A09F5E2">
                  <w:pPr>
                    <w:adjustRightInd w:val="0"/>
                    <w:snapToGrid w:val="0"/>
                    <w:spacing w:line="240" w:lineRule="auto"/>
                    <w:ind w:left="85" w:right="80" w:firstLine="0" w:firstLineChars="0"/>
                    <w:jc w:val="center"/>
                    <w:rPr>
                      <w:rFonts w:hint="default" w:ascii="Times New Roman" w:hAnsi="Times New Roman" w:eastAsia="宋体" w:cs="Times New Roman"/>
                      <w:b w:val="0"/>
                      <w:bCs w:val="0"/>
                      <w:color w:val="auto"/>
                      <w:kern w:val="0"/>
                      <w:sz w:val="21"/>
                      <w:szCs w:val="21"/>
                    </w:rPr>
                  </w:pPr>
                </w:p>
              </w:tc>
              <w:tc>
                <w:tcPr>
                  <w:tcW w:w="967" w:type="dxa"/>
                  <w:tcBorders>
                    <w:tl2br w:val="nil"/>
                    <w:tr2bl w:val="nil"/>
                  </w:tcBorders>
                  <w:vAlign w:val="center"/>
                </w:tcPr>
                <w:p w14:paraId="2277B54F">
                  <w:pPr>
                    <w:pStyle w:val="23"/>
                    <w:adjustRightInd w:val="0"/>
                    <w:snapToGrid w:val="0"/>
                    <w:spacing w:after="0" w:line="240" w:lineRule="auto"/>
                    <w:ind w:left="0" w:lef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0.17</w:t>
                  </w:r>
                </w:p>
              </w:tc>
            </w:tr>
            <w:tr w14:paraId="0ECD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60" w:type="pct"/>
                  <w:gridSpan w:val="2"/>
                  <w:tcBorders>
                    <w:tl2br w:val="nil"/>
                    <w:tr2bl w:val="nil"/>
                  </w:tcBorders>
                  <w:vAlign w:val="center"/>
                </w:tcPr>
                <w:p w14:paraId="30F130FB">
                  <w:pPr>
                    <w:adjustRightInd w:val="0"/>
                    <w:snapToGrid w:val="0"/>
                    <w:spacing w:line="240" w:lineRule="auto"/>
                    <w:ind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无组织排放合计</w:t>
                  </w:r>
                </w:p>
              </w:tc>
              <w:tc>
                <w:tcPr>
                  <w:tcW w:w="3184" w:type="pct"/>
                  <w:gridSpan w:val="4"/>
                  <w:tcBorders>
                    <w:tl2br w:val="nil"/>
                    <w:tr2bl w:val="nil"/>
                  </w:tcBorders>
                  <w:vAlign w:val="center"/>
                </w:tcPr>
                <w:p w14:paraId="119E5E25">
                  <w:pPr>
                    <w:adjustRightInd w:val="0"/>
                    <w:snapToGrid w:val="0"/>
                    <w:spacing w:line="240" w:lineRule="auto"/>
                    <w:ind w:left="85" w:right="80" w:firstLine="0" w:firstLine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颗粒物</w:t>
                  </w:r>
                </w:p>
              </w:tc>
              <w:tc>
                <w:tcPr>
                  <w:tcW w:w="655" w:type="pct"/>
                  <w:tcBorders>
                    <w:tl2br w:val="nil"/>
                    <w:tr2bl w:val="nil"/>
                  </w:tcBorders>
                  <w:vAlign w:val="center"/>
                </w:tcPr>
                <w:p w14:paraId="24EC231E">
                  <w:pPr>
                    <w:adjustRightInd w:val="0"/>
                    <w:snapToGrid w:val="0"/>
                    <w:spacing w:line="240" w:lineRule="auto"/>
                    <w:ind w:left="85" w:right="80" w:firstLine="0" w:firstLineChars="0"/>
                    <w:jc w:val="center"/>
                    <w:rPr>
                      <w:rFonts w:hint="default" w:ascii="Times New Roman" w:hAnsi="Times New Roman"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0.551</w:t>
                  </w:r>
                </w:p>
              </w:tc>
            </w:tr>
          </w:tbl>
          <w:p w14:paraId="53F744FF">
            <w:pPr>
              <w:tabs>
                <w:tab w:val="left" w:pos="5520"/>
                <w:tab w:val="left" w:pos="6060"/>
              </w:tabs>
              <w:spacing w:line="240" w:lineRule="auto"/>
              <w:ind w:firstLine="422"/>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cs="Times New Roman"/>
                <w:b/>
                <w:bCs/>
                <w:color w:val="auto"/>
                <w:sz w:val="24"/>
                <w:szCs w:val="24"/>
                <w:lang w:val="en-US" w:eastAsia="zh-CN"/>
              </w:rPr>
              <w:t>6</w:t>
            </w:r>
            <w:r>
              <w:rPr>
                <w:rFonts w:hint="default" w:ascii="Times New Roman" w:hAnsi="Times New Roman" w:eastAsia="宋体" w:cs="Times New Roman"/>
                <w:b/>
                <w:bCs/>
                <w:color w:val="auto"/>
                <w:sz w:val="24"/>
                <w:szCs w:val="24"/>
              </w:rPr>
              <w:t>大气污染物年排放量核算表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2891"/>
              <w:gridCol w:w="2788"/>
            </w:tblGrid>
            <w:tr w14:paraId="28C05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151" w:type="pct"/>
                  <w:tcBorders>
                    <w:tl2br w:val="nil"/>
                    <w:tr2bl w:val="nil"/>
                  </w:tcBorders>
                  <w:shd w:val="clear" w:color="auto" w:fill="auto"/>
                  <w:vAlign w:val="center"/>
                </w:tcPr>
                <w:p w14:paraId="51D18E81">
                  <w:pPr>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1959" w:type="pct"/>
                  <w:tcBorders>
                    <w:tl2br w:val="nil"/>
                    <w:tr2bl w:val="nil"/>
                  </w:tcBorders>
                  <w:shd w:val="clear" w:color="auto" w:fill="auto"/>
                  <w:vAlign w:val="center"/>
                </w:tcPr>
                <w:p w14:paraId="0919B72D">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889" w:type="pct"/>
                  <w:tcBorders>
                    <w:tl2br w:val="nil"/>
                    <w:tr2bl w:val="nil"/>
                  </w:tcBorders>
                  <w:shd w:val="clear" w:color="auto" w:fill="auto"/>
                  <w:vAlign w:val="center"/>
                </w:tcPr>
                <w:p w14:paraId="108A235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kern w:val="0"/>
                      <w:sz w:val="21"/>
                      <w:szCs w:val="21"/>
                    </w:rPr>
                    <w:t>核算排放量</w:t>
                  </w:r>
                  <w:r>
                    <w:rPr>
                      <w:rFonts w:hint="default" w:ascii="Times New Roman" w:hAnsi="Times New Roman" w:eastAsia="宋体" w:cs="Times New Roman"/>
                      <w:b/>
                      <w:bCs/>
                      <w:color w:val="auto"/>
                      <w:sz w:val="21"/>
                      <w:szCs w:val="21"/>
                    </w:rPr>
                    <w:t>t/a</w:t>
                  </w:r>
                </w:p>
              </w:tc>
            </w:tr>
            <w:tr w14:paraId="713B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51" w:type="pct"/>
                  <w:tcBorders>
                    <w:tl2br w:val="nil"/>
                    <w:tr2bl w:val="nil"/>
                  </w:tcBorders>
                  <w:vAlign w:val="center"/>
                </w:tcPr>
                <w:p w14:paraId="43E6E3AF">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w:t>
                  </w:r>
                </w:p>
              </w:tc>
              <w:tc>
                <w:tcPr>
                  <w:tcW w:w="1959" w:type="pct"/>
                  <w:tcBorders>
                    <w:tl2br w:val="nil"/>
                    <w:tr2bl w:val="nil"/>
                  </w:tcBorders>
                  <w:vAlign w:val="center"/>
                </w:tcPr>
                <w:p w14:paraId="6159C84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889" w:type="pct"/>
                  <w:tcBorders>
                    <w:tl2br w:val="nil"/>
                    <w:tr2bl w:val="nil"/>
                  </w:tcBorders>
                  <w:vAlign w:val="center"/>
                </w:tcPr>
                <w:p w14:paraId="08C91439">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0.551</w:t>
                  </w:r>
                </w:p>
              </w:tc>
            </w:tr>
          </w:tbl>
          <w:p w14:paraId="22D738B5">
            <w:pPr>
              <w:ind w:firstLine="422"/>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rPr>
              <w:t>运营期废水</w:t>
            </w:r>
          </w:p>
          <w:p w14:paraId="6D4D21B7">
            <w:pPr>
              <w:pStyle w:val="51"/>
              <w:ind w:firstLine="420"/>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default" w:ascii="Times New Roman" w:hAnsi="Times New Roman" w:eastAsia="宋体" w:cs="Times New Roman"/>
                <w:b/>
                <w:bCs/>
                <w:color w:val="auto"/>
                <w:sz w:val="24"/>
                <w:szCs w:val="24"/>
              </w:rPr>
              <w:t>①</w:t>
            </w:r>
            <w:r>
              <w:rPr>
                <w:rFonts w:hint="default" w:ascii="Times New Roman" w:hAnsi="Times New Roman" w:eastAsia="宋体" w:cs="Times New Roman"/>
                <w:b/>
                <w:bCs/>
                <w:color w:val="000000" w:themeColor="text1"/>
                <w:kern w:val="2"/>
                <w:sz w:val="24"/>
                <w:szCs w:val="24"/>
                <w14:textFill>
                  <w14:solidFill>
                    <w14:schemeClr w14:val="tx1"/>
                  </w14:solidFill>
                </w14:textFill>
              </w:rPr>
              <w:t>生活用水</w:t>
            </w:r>
          </w:p>
          <w:p w14:paraId="7E79B1EA">
            <w:pPr>
              <w:pStyle w:val="51"/>
              <w:ind w:firstLine="42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项目劳动定员</w:t>
            </w:r>
            <w:r>
              <w:rPr>
                <w:rFonts w:hint="eastAsia" w:ascii="Times New Roman" w:hAnsi="Times New Roman" w:cs="Times New Roman"/>
                <w:color w:val="000000" w:themeColor="text1"/>
                <w:sz w:val="24"/>
                <w:szCs w:val="24"/>
                <w:lang w:val="en-US" w:eastAsia="zh-CN"/>
                <w14:textFill>
                  <w14:solidFill>
                    <w14:schemeClr w14:val="tx1"/>
                  </w14:solidFill>
                </w14:textFill>
              </w:rPr>
              <w:t>34人，根据《陕西省行业用水定额（DB61/T943-2020）》，生活用水量按50L/人·d计算</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年工作时间300天，</w:t>
            </w:r>
            <w:r>
              <w:rPr>
                <w:rFonts w:hint="default" w:ascii="Times New Roman" w:hAnsi="Times New Roman" w:eastAsia="宋体" w:cs="Times New Roman"/>
                <w:color w:val="000000" w:themeColor="text1"/>
                <w:kern w:val="2"/>
                <w:sz w:val="24"/>
                <w:szCs w:val="24"/>
                <w14:textFill>
                  <w14:solidFill>
                    <w14:schemeClr w14:val="tx1"/>
                  </w14:solidFill>
                </w14:textFill>
              </w:rPr>
              <w:t>则生活用水量为</w:t>
            </w:r>
            <w:r>
              <w:rPr>
                <w:rFonts w:hint="eastAsia" w:ascii="Times New Roman" w:hAnsi="Times New Roman" w:cs="Times New Roman"/>
                <w:color w:val="000000" w:themeColor="text1"/>
                <w:kern w:val="2"/>
                <w:sz w:val="24"/>
                <w:szCs w:val="24"/>
                <w:lang w:val="en-US" w:eastAsia="zh-CN"/>
                <w14:textFill>
                  <w14:solidFill>
                    <w14:schemeClr w14:val="tx1"/>
                  </w14:solidFill>
                </w14:textFill>
              </w:rPr>
              <w:t>510</w:t>
            </w:r>
            <w:r>
              <w:rPr>
                <w:rFonts w:hint="default" w:ascii="Times New Roman" w:hAnsi="Times New Roman" w:eastAsia="宋体" w:cs="Times New Roman"/>
                <w:color w:val="000000" w:themeColor="text1"/>
                <w:kern w:val="2"/>
                <w:sz w:val="24"/>
                <w:szCs w:val="24"/>
                <w14:textFill>
                  <w14:solidFill>
                    <w14:schemeClr w14:val="tx1"/>
                  </w14:solidFill>
                </w14:textFill>
              </w:rPr>
              <w:t>t/a</w:t>
            </w:r>
            <w:r>
              <w:rPr>
                <w:rFonts w:hint="eastAsia" w:ascii="Times New Roman" w:hAnsi="Times New Roman" w:cs="Times New Roman"/>
                <w:color w:val="000000" w:themeColor="text1"/>
                <w:kern w:val="2"/>
                <w:sz w:val="24"/>
                <w:szCs w:val="24"/>
                <w:lang w:eastAsia="zh-CN"/>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14:textFill>
                  <w14:solidFill>
                    <w14:schemeClr w14:val="tx1"/>
                  </w14:solidFill>
                </w14:textFill>
              </w:rPr>
              <w:t>1.7</w:t>
            </w:r>
            <w:r>
              <w:rPr>
                <w:rFonts w:hint="eastAsia" w:ascii="Times New Roman" w:hAnsi="Times New Roman" w:cs="Times New Roman"/>
                <w:color w:val="000000" w:themeColor="text1"/>
                <w:kern w:val="2"/>
                <w:sz w:val="24"/>
                <w:szCs w:val="24"/>
                <w:lang w:eastAsia="zh-CN"/>
                <w14:textFill>
                  <w14:solidFill>
                    <w14:schemeClr w14:val="tx1"/>
                  </w14:solidFill>
                </w14:textFill>
              </w:rPr>
              <w:t>m</w:t>
            </w:r>
            <w:r>
              <w:rPr>
                <w:rFonts w:hint="eastAsia" w:ascii="Times New Roman" w:hAnsi="Times New Roman" w:cs="Times New Roman"/>
                <w:color w:val="000000" w:themeColor="text1"/>
                <w:kern w:val="2"/>
                <w:sz w:val="24"/>
                <w:szCs w:val="24"/>
                <w:vertAlign w:val="superscript"/>
                <w:lang w:eastAsia="zh-CN"/>
                <w14:textFill>
                  <w14:solidFill>
                    <w14:schemeClr w14:val="tx1"/>
                  </w14:solidFill>
                </w14:textFill>
              </w:rPr>
              <w:t>3</w:t>
            </w:r>
            <w:r>
              <w:rPr>
                <w:rFonts w:hint="eastAsia" w:ascii="Times New Roman" w:hAnsi="Times New Roman" w:cs="Times New Roman"/>
                <w:color w:val="000000" w:themeColor="text1"/>
                <w:kern w:val="2"/>
                <w:sz w:val="24"/>
                <w:szCs w:val="24"/>
                <w:lang w:eastAsia="zh-CN"/>
                <w14:textFill>
                  <w14:solidFill>
                    <w14:schemeClr w14:val="tx1"/>
                  </w14:solidFill>
                </w14:textFill>
              </w:rPr>
              <w:t>/d）</w:t>
            </w:r>
            <w:r>
              <w:rPr>
                <w:rFonts w:hint="default" w:ascii="Times New Roman" w:hAnsi="Times New Roman" w:eastAsia="宋体" w:cs="Times New Roman"/>
                <w:color w:val="000000" w:themeColor="text1"/>
                <w:kern w:val="2"/>
                <w:sz w:val="24"/>
                <w:szCs w:val="24"/>
                <w14:textFill>
                  <w14:solidFill>
                    <w14:schemeClr w14:val="tx1"/>
                  </w14:solidFill>
                </w14:textFill>
              </w:rPr>
              <w:t>。生活污水量按用水量的80%计，则生活污水的产生量为</w:t>
            </w:r>
            <w:r>
              <w:rPr>
                <w:rFonts w:hint="eastAsia" w:ascii="Times New Roman" w:hAnsi="Times New Roman" w:cs="Times New Roman"/>
                <w:color w:val="000000" w:themeColor="text1"/>
                <w:kern w:val="2"/>
                <w:sz w:val="24"/>
                <w:szCs w:val="24"/>
                <w:lang w:val="en-US" w:eastAsia="zh-CN"/>
                <w14:textFill>
                  <w14:solidFill>
                    <w14:schemeClr w14:val="tx1"/>
                  </w14:solidFill>
                </w14:textFill>
              </w:rPr>
              <w:t>408</w:t>
            </w:r>
            <w:r>
              <w:rPr>
                <w:rFonts w:hint="default" w:ascii="Times New Roman" w:hAnsi="Times New Roman" w:eastAsia="宋体" w:cs="Times New Roman"/>
                <w:color w:val="000000" w:themeColor="text1"/>
                <w:kern w:val="2"/>
                <w:sz w:val="24"/>
                <w:szCs w:val="24"/>
                <w14:textFill>
                  <w14:solidFill>
                    <w14:schemeClr w14:val="tx1"/>
                  </w14:solidFill>
                </w14:textFill>
              </w:rPr>
              <w:t>t/a</w:t>
            </w:r>
            <w:r>
              <w:rPr>
                <w:rFonts w:hint="eastAsia" w:ascii="Times New Roman" w:hAnsi="Times New Roman" w:cs="Times New Roman"/>
                <w:color w:val="000000" w:themeColor="text1"/>
                <w:kern w:val="2"/>
                <w:sz w:val="24"/>
                <w:szCs w:val="24"/>
                <w:lang w:eastAsia="zh-CN"/>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14:textFill>
                  <w14:solidFill>
                    <w14:schemeClr w14:val="tx1"/>
                  </w14:solidFill>
                </w14:textFill>
              </w:rPr>
              <w:t>1.36</w:t>
            </w:r>
            <w:r>
              <w:rPr>
                <w:rFonts w:hint="eastAsia" w:ascii="Times New Roman" w:hAnsi="Times New Roman" w:cs="Times New Roman"/>
                <w:color w:val="000000" w:themeColor="text1"/>
                <w:kern w:val="2"/>
                <w:sz w:val="24"/>
                <w:szCs w:val="24"/>
                <w:lang w:eastAsia="zh-CN"/>
                <w14:textFill>
                  <w14:solidFill>
                    <w14:schemeClr w14:val="tx1"/>
                  </w14:solidFill>
                </w14:textFill>
              </w:rPr>
              <w:t>m</w:t>
            </w:r>
            <w:r>
              <w:rPr>
                <w:rFonts w:hint="eastAsia" w:ascii="Times New Roman" w:hAnsi="Times New Roman" w:cs="Times New Roman"/>
                <w:color w:val="000000" w:themeColor="text1"/>
                <w:kern w:val="2"/>
                <w:sz w:val="24"/>
                <w:szCs w:val="24"/>
                <w:vertAlign w:val="superscript"/>
                <w:lang w:eastAsia="zh-CN"/>
                <w14:textFill>
                  <w14:solidFill>
                    <w14:schemeClr w14:val="tx1"/>
                  </w14:solidFill>
                </w14:textFill>
              </w:rPr>
              <w:t>3</w:t>
            </w:r>
            <w:r>
              <w:rPr>
                <w:rFonts w:hint="eastAsia" w:ascii="Times New Roman" w:hAnsi="Times New Roman" w:cs="Times New Roman"/>
                <w:color w:val="000000" w:themeColor="text1"/>
                <w:kern w:val="2"/>
                <w:sz w:val="24"/>
                <w:szCs w:val="24"/>
                <w:lang w:eastAsia="zh-CN"/>
                <w14:textFill>
                  <w14:solidFill>
                    <w14:schemeClr w14:val="tx1"/>
                  </w14:solidFill>
                </w14:textFill>
              </w:rPr>
              <w:t>/d）</w:t>
            </w:r>
            <w:r>
              <w:rPr>
                <w:rFonts w:hint="default" w:ascii="Times New Roman" w:hAnsi="Times New Roman" w:eastAsia="宋体" w:cs="Times New Roman"/>
                <w:color w:val="000000" w:themeColor="text1"/>
                <w:kern w:val="2"/>
                <w:sz w:val="24"/>
                <w:szCs w:val="24"/>
                <w14:textFill>
                  <w14:solidFill>
                    <w14:schemeClr w14:val="tx1"/>
                  </w14:solidFill>
                </w14:textFill>
              </w:rPr>
              <w:t>，主要污染物为COD、BOD</w:t>
            </w:r>
            <w:r>
              <w:rPr>
                <w:rFonts w:hint="default" w:ascii="Times New Roman" w:hAnsi="Times New Roman" w:eastAsia="宋体" w:cs="Times New Roman"/>
                <w:color w:val="000000" w:themeColor="text1"/>
                <w:kern w:val="2"/>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kern w:val="2"/>
                <w:sz w:val="24"/>
                <w:szCs w:val="24"/>
                <w14:textFill>
                  <w14:solidFill>
                    <w14:schemeClr w14:val="tx1"/>
                  </w14:solidFill>
                </w14:textFill>
              </w:rPr>
              <w:t>、NH</w:t>
            </w:r>
            <w:r>
              <w:rPr>
                <w:rFonts w:hint="default" w:ascii="Times New Roman" w:hAnsi="Times New Roman" w:eastAsia="宋体" w:cs="Times New Roman"/>
                <w:color w:val="000000" w:themeColor="text1"/>
                <w:kern w:val="2"/>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kern w:val="2"/>
                <w:sz w:val="24"/>
                <w:szCs w:val="24"/>
                <w14:textFill>
                  <w14:solidFill>
                    <w14:schemeClr w14:val="tx1"/>
                  </w14:solidFill>
                </w14:textFill>
              </w:rPr>
              <w:t>-N、SS等。生活污水利用</w:t>
            </w:r>
            <w:r>
              <w:rPr>
                <w:rFonts w:hint="eastAsia" w:ascii="Times New Roman" w:hAnsi="Times New Roman" w:cs="Times New Roman"/>
                <w:color w:val="000000" w:themeColor="text1"/>
                <w:kern w:val="2"/>
                <w:sz w:val="24"/>
                <w:szCs w:val="24"/>
                <w:lang w:eastAsia="zh-CN"/>
                <w14:textFill>
                  <w14:solidFill>
                    <w14:schemeClr w14:val="tx1"/>
                  </w14:solidFill>
                </w14:textFill>
              </w:rPr>
              <w:t>租赁生活区的</w:t>
            </w:r>
            <w:r>
              <w:rPr>
                <w:rFonts w:hint="default" w:ascii="Times New Roman" w:hAnsi="Times New Roman" w:eastAsia="宋体" w:cs="Times New Roman"/>
                <w:color w:val="000000" w:themeColor="text1"/>
                <w:kern w:val="2"/>
                <w:sz w:val="24"/>
                <w:szCs w:val="24"/>
                <w14:textFill>
                  <w14:solidFill>
                    <w14:schemeClr w14:val="tx1"/>
                  </w14:solidFill>
                </w14:textFill>
              </w:rPr>
              <w:t>旱厕处理后清掏用作农肥。</w:t>
            </w:r>
          </w:p>
          <w:p w14:paraId="74DAD645">
            <w:pPr>
              <w:ind w:firstLine="422"/>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②喷雾抑尘用水、洒水车用水</w:t>
            </w:r>
          </w:p>
          <w:p w14:paraId="3435FBA4">
            <w:pPr>
              <w:ind w:firstLine="422"/>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kern w:val="2"/>
                <w:sz w:val="24"/>
                <w:szCs w:val="24"/>
              </w:rPr>
              <w:t>喷雾</w:t>
            </w:r>
            <w:r>
              <w:rPr>
                <w:rFonts w:hint="default" w:ascii="Times New Roman" w:hAnsi="Times New Roman" w:eastAsia="宋体" w:cs="Times New Roman"/>
                <w:color w:val="auto"/>
                <w:sz w:val="24"/>
                <w:szCs w:val="24"/>
                <w:lang w:val="zh-CN"/>
              </w:rPr>
              <w:t>抑尘</w:t>
            </w:r>
            <w:r>
              <w:rPr>
                <w:rFonts w:hint="default" w:ascii="Times New Roman" w:hAnsi="Times New Roman" w:eastAsia="宋体" w:cs="Times New Roman"/>
                <w:color w:val="auto"/>
                <w:sz w:val="24"/>
                <w:szCs w:val="24"/>
              </w:rPr>
              <w:t>用水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
                <w:sz w:val="24"/>
                <w:szCs w:val="24"/>
              </w:rPr>
              <w:t>运输道路洒水抑尘</w:t>
            </w:r>
            <w:r>
              <w:rPr>
                <w:rFonts w:hint="default" w:ascii="Times New Roman" w:hAnsi="Times New Roman" w:eastAsia="宋体" w:cs="Times New Roman"/>
                <w:color w:val="auto"/>
                <w:sz w:val="24"/>
                <w:szCs w:val="24"/>
                <w:lang w:val="zh-CN"/>
              </w:rPr>
              <w:t>：</w:t>
            </w:r>
            <w:r>
              <w:rPr>
                <w:rFonts w:hint="default" w:ascii="Times New Roman" w:hAnsi="Times New Roman" w:eastAsia="宋体" w:cs="Times New Roman"/>
                <w:color w:val="auto"/>
                <w:kern w:val="2"/>
                <w:sz w:val="24"/>
                <w:szCs w:val="24"/>
                <w:lang w:val="en-US" w:eastAsia="zh-CN"/>
              </w:rPr>
              <w:t>全部蒸发损失，不外排。</w:t>
            </w:r>
          </w:p>
          <w:p w14:paraId="114C9EAD">
            <w:pPr>
              <w:ind w:firstLine="422"/>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③车辆清洗废水</w:t>
            </w:r>
          </w:p>
          <w:p w14:paraId="6358AE10">
            <w:pPr>
              <w:adjustRightInd w:val="0"/>
              <w:snapToGrid w:val="0"/>
              <w:ind w:firstLine="420"/>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开采石料需通过汽车运输，为防止汽车卸料后车上附着的粉尘在车辆行驶过程污染路面，需对运输车辆进行清洗。加工区进门口设有车辆清洗台，对运输车辆进行清洗，清洗废水经沉淀处理后循环使用，不外排。项目共有</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rPr>
              <w:t>辆自卸式运输车辆，清洗</w:t>
            </w:r>
            <w:r>
              <w:rPr>
                <w:rFonts w:hint="eastAsia" w:cs="Times New Roman"/>
                <w:color w:val="auto"/>
                <w:sz w:val="24"/>
                <w:szCs w:val="24"/>
                <w:lang w:eastAsia="zh-CN"/>
              </w:rPr>
              <w:t>废</w:t>
            </w:r>
            <w:r>
              <w:rPr>
                <w:rFonts w:hint="default" w:ascii="Times New Roman" w:hAnsi="Times New Roman" w:eastAsia="宋体" w:cs="Times New Roman"/>
                <w:color w:val="auto"/>
                <w:sz w:val="24"/>
                <w:szCs w:val="24"/>
              </w:rPr>
              <w:t>水量为</w:t>
            </w:r>
            <w:r>
              <w:rPr>
                <w:rFonts w:hint="eastAsia" w:cs="Times New Roman"/>
                <w:color w:val="auto"/>
                <w:sz w:val="24"/>
                <w:szCs w:val="24"/>
                <w:lang w:val="en-US" w:eastAsia="zh-CN"/>
              </w:rPr>
              <w:t>6.6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/d，废水经排水沟汇入沉淀池沉淀后循环使用。</w:t>
            </w:r>
          </w:p>
          <w:p w14:paraId="256E8880">
            <w:pPr>
              <w:adjustRightInd w:val="0"/>
              <w:snapToGrid w:val="0"/>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综上所述，本项目产生的废水对周围地表水环境影响较小。</w:t>
            </w:r>
          </w:p>
          <w:p w14:paraId="72CB6239">
            <w:pPr>
              <w:ind w:left="480" w:leftChars="200" w:firstLine="0" w:firstLineChars="0"/>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rPr>
              <w:t>运营期噪声</w:t>
            </w:r>
          </w:p>
          <w:p w14:paraId="7A66DDED">
            <w:pPr>
              <w:ind w:left="480" w:leftChars="200" w:firstLine="0" w:firstLineChars="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 1 \* GB2 \* MERGEFORMAT </w:instrText>
            </w:r>
            <w:r>
              <w:rPr>
                <w:rFonts w:hint="default" w:ascii="Times New Roman" w:hAnsi="Times New Roman" w:eastAsia="宋体" w:cs="Times New Roman"/>
                <w:b/>
                <w:bCs/>
                <w:sz w:val="24"/>
                <w:szCs w:val="24"/>
              </w:rPr>
              <w:fldChar w:fldCharType="separate"/>
            </w:r>
            <w:r>
              <w:rPr>
                <w:b/>
                <w:bCs/>
              </w:rPr>
              <w:t>⑴</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sz w:val="24"/>
                <w:szCs w:val="24"/>
              </w:rPr>
              <w:t>采矿区噪声</w:t>
            </w:r>
          </w:p>
          <w:p w14:paraId="7E5D4AFD">
            <w:pPr>
              <w:ind w:firstLine="42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噪声源</w:t>
            </w:r>
            <w:r>
              <w:rPr>
                <w:rFonts w:hint="default" w:ascii="Times New Roman" w:hAnsi="Times New Roman" w:eastAsia="宋体" w:cs="Times New Roman"/>
                <w:color w:val="auto"/>
                <w:sz w:val="24"/>
                <w:szCs w:val="24"/>
                <w:lang w:val="en-US" w:eastAsia="zh-CN"/>
              </w:rPr>
              <w:t>主要为采矿区钻机、爆破、挖掘机、空压机、运矿汽车等，</w:t>
            </w:r>
            <w:r>
              <w:rPr>
                <w:rFonts w:hint="default" w:ascii="Times New Roman" w:hAnsi="Times New Roman" w:eastAsia="宋体" w:cs="Times New Roman"/>
                <w:bCs/>
                <w:color w:val="auto"/>
                <w:sz w:val="24"/>
                <w:szCs w:val="24"/>
              </w:rPr>
              <w:t>其中凿岩机和车辆噪声源强约80~85dB（A），爆破瞬时噪声值约120dB（A）。</w:t>
            </w:r>
            <w:r>
              <w:rPr>
                <w:rFonts w:hint="default" w:ascii="Times New Roman" w:hAnsi="Times New Roman" w:eastAsia="宋体" w:cs="Times New Roman"/>
                <w:color w:val="auto"/>
                <w:sz w:val="24"/>
                <w:szCs w:val="24"/>
                <w:lang w:val="en-US" w:eastAsia="zh-CN"/>
              </w:rPr>
              <w:t>采矿区主要噪声源见表4-</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w:t>
            </w:r>
          </w:p>
          <w:p w14:paraId="3B325A65">
            <w:pPr>
              <w:autoSpaceDE w:val="0"/>
              <w:autoSpaceDN w:val="0"/>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4"/>
                <w:szCs w:val="24"/>
              </w:rPr>
              <w:t>表4-</w:t>
            </w:r>
            <w:r>
              <w:rPr>
                <w:rFonts w:hint="eastAsia" w:cs="Times New Roman"/>
                <w:b/>
                <w:bCs w:val="0"/>
                <w:color w:val="auto"/>
                <w:sz w:val="24"/>
                <w:szCs w:val="24"/>
                <w:lang w:val="en-US" w:eastAsia="zh-CN"/>
              </w:rPr>
              <w:t>7</w:t>
            </w:r>
            <w:r>
              <w:rPr>
                <w:rFonts w:hint="default" w:ascii="Times New Roman" w:hAnsi="Times New Roman" w:eastAsia="宋体" w:cs="Times New Roman"/>
                <w:b/>
                <w:bCs w:val="0"/>
                <w:color w:val="auto"/>
                <w:sz w:val="24"/>
                <w:szCs w:val="24"/>
              </w:rPr>
              <w:t>主要噪声源源强一览表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649"/>
              <w:gridCol w:w="865"/>
              <w:gridCol w:w="1720"/>
              <w:gridCol w:w="1637"/>
              <w:gridCol w:w="1399"/>
              <w:gridCol w:w="1108"/>
            </w:tblGrid>
            <w:tr w14:paraId="64E9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289" w:hRule="atLeast"/>
                <w:tblHeader/>
                <w:jc w:val="center"/>
              </w:trPr>
              <w:tc>
                <w:tcPr>
                  <w:tcW w:w="439" w:type="pct"/>
                  <w:tcBorders>
                    <w:tl2br w:val="nil"/>
                    <w:tr2bl w:val="nil"/>
                  </w:tcBorders>
                  <w:shd w:val="clear" w:color="auto" w:fill="FFFFFF" w:themeFill="background1"/>
                  <w:vAlign w:val="center"/>
                </w:tcPr>
                <w:p w14:paraId="23462102">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586" w:type="pct"/>
                  <w:tcBorders>
                    <w:tl2br w:val="nil"/>
                    <w:tr2bl w:val="nil"/>
                  </w:tcBorders>
                  <w:shd w:val="clear" w:color="auto" w:fill="FFFFFF" w:themeFill="background1"/>
                  <w:vAlign w:val="center"/>
                </w:tcPr>
                <w:p w14:paraId="0FB7F196">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w:t>
                  </w:r>
                </w:p>
              </w:tc>
              <w:tc>
                <w:tcPr>
                  <w:tcW w:w="1165" w:type="pct"/>
                  <w:tcBorders>
                    <w:tl2br w:val="nil"/>
                    <w:tr2bl w:val="nil"/>
                  </w:tcBorders>
                  <w:shd w:val="clear" w:color="auto" w:fill="FFFFFF" w:themeFill="background1"/>
                  <w:vAlign w:val="center"/>
                </w:tcPr>
                <w:p w14:paraId="4FEEA84C">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噪声源</w:t>
                  </w:r>
                </w:p>
              </w:tc>
              <w:tc>
                <w:tcPr>
                  <w:tcW w:w="1109" w:type="pct"/>
                  <w:tcBorders>
                    <w:tl2br w:val="nil"/>
                    <w:tr2bl w:val="nil"/>
                  </w:tcBorders>
                  <w:shd w:val="clear" w:color="auto" w:fill="FFFFFF" w:themeFill="background1"/>
                  <w:vAlign w:val="center"/>
                </w:tcPr>
                <w:p w14:paraId="2EDEC4FC">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距声源距离（m）</w:t>
                  </w:r>
                </w:p>
              </w:tc>
              <w:tc>
                <w:tcPr>
                  <w:tcW w:w="948" w:type="pct"/>
                  <w:tcBorders>
                    <w:tl2br w:val="nil"/>
                    <w:tr2bl w:val="nil"/>
                  </w:tcBorders>
                  <w:shd w:val="clear" w:color="auto" w:fill="FFFFFF" w:themeFill="background1"/>
                  <w:vAlign w:val="center"/>
                </w:tcPr>
                <w:p w14:paraId="6D1067A7">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声压级dB（A）</w:t>
                  </w:r>
                </w:p>
              </w:tc>
              <w:tc>
                <w:tcPr>
                  <w:tcW w:w="750" w:type="pct"/>
                  <w:tcBorders>
                    <w:tl2br w:val="nil"/>
                    <w:tr2bl w:val="nil"/>
                  </w:tcBorders>
                  <w:shd w:val="clear" w:color="auto" w:fill="FFFFFF" w:themeFill="background1"/>
                  <w:vAlign w:val="center"/>
                </w:tcPr>
                <w:p w14:paraId="68705FBF">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台数</w:t>
                  </w:r>
                </w:p>
              </w:tc>
            </w:tr>
            <w:tr w14:paraId="7F88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39" w:type="pct"/>
                  <w:tcBorders>
                    <w:tl2br w:val="nil"/>
                    <w:tr2bl w:val="nil"/>
                  </w:tcBorders>
                  <w:shd w:val="clear" w:color="auto" w:fill="FFFFFF" w:themeFill="background1"/>
                  <w:vAlign w:val="center"/>
                </w:tcPr>
                <w:p w14:paraId="6364FF63">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w:t>
                  </w:r>
                </w:p>
              </w:tc>
              <w:tc>
                <w:tcPr>
                  <w:tcW w:w="586" w:type="pct"/>
                  <w:vMerge w:val="restart"/>
                  <w:tcBorders>
                    <w:tl2br w:val="nil"/>
                    <w:tr2bl w:val="nil"/>
                  </w:tcBorders>
                  <w:shd w:val="clear" w:color="auto" w:fill="FFFFFF" w:themeFill="background1"/>
                  <w:vAlign w:val="center"/>
                </w:tcPr>
                <w:p w14:paraId="27F6C8C8">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采矿区</w:t>
                  </w:r>
                </w:p>
              </w:tc>
              <w:tc>
                <w:tcPr>
                  <w:tcW w:w="1165" w:type="pct"/>
                  <w:tcBorders>
                    <w:tl2br w:val="nil"/>
                    <w:tr2bl w:val="nil"/>
                  </w:tcBorders>
                  <w:shd w:val="clear" w:color="auto" w:fill="FFFFFF" w:themeFill="background1"/>
                  <w:vAlign w:val="center"/>
                </w:tcPr>
                <w:p w14:paraId="0B6BB675">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潜孔钻</w:t>
                  </w:r>
                  <w:r>
                    <w:rPr>
                      <w:rFonts w:hint="default" w:ascii="Times New Roman" w:hAnsi="Times New Roman" w:eastAsia="宋体" w:cs="Times New Roman"/>
                      <w:b w:val="0"/>
                      <w:bCs w:val="0"/>
                      <w:color w:val="auto"/>
                      <w:sz w:val="21"/>
                      <w:szCs w:val="21"/>
                      <w:lang w:val="en-US" w:eastAsia="zh-CN"/>
                    </w:rPr>
                    <w:t>机</w:t>
                  </w:r>
                </w:p>
              </w:tc>
              <w:tc>
                <w:tcPr>
                  <w:tcW w:w="1109" w:type="pct"/>
                  <w:tcBorders>
                    <w:tl2br w:val="nil"/>
                    <w:tr2bl w:val="nil"/>
                  </w:tcBorders>
                  <w:shd w:val="clear" w:color="auto" w:fill="FFFFFF" w:themeFill="background1"/>
                  <w:vAlign w:val="center"/>
                </w:tcPr>
                <w:p w14:paraId="7844AC9E">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p>
              </w:tc>
              <w:tc>
                <w:tcPr>
                  <w:tcW w:w="948" w:type="pct"/>
                  <w:tcBorders>
                    <w:tl2br w:val="nil"/>
                    <w:tr2bl w:val="nil"/>
                  </w:tcBorders>
                  <w:shd w:val="clear" w:color="auto" w:fill="FFFFFF" w:themeFill="background1"/>
                  <w:vAlign w:val="center"/>
                </w:tcPr>
                <w:p w14:paraId="720522F6">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85</w:t>
                  </w:r>
                </w:p>
              </w:tc>
              <w:tc>
                <w:tcPr>
                  <w:tcW w:w="750" w:type="pct"/>
                  <w:tcBorders>
                    <w:tl2br w:val="nil"/>
                    <w:tr2bl w:val="nil"/>
                  </w:tcBorders>
                  <w:shd w:val="clear" w:color="auto" w:fill="FFFFFF" w:themeFill="background1"/>
                  <w:vAlign w:val="center"/>
                </w:tcPr>
                <w:p w14:paraId="01C63E84">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1台</w:t>
                  </w:r>
                </w:p>
              </w:tc>
            </w:tr>
            <w:tr w14:paraId="42F9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39" w:type="pct"/>
                  <w:tcBorders>
                    <w:tl2br w:val="nil"/>
                    <w:tr2bl w:val="nil"/>
                  </w:tcBorders>
                  <w:shd w:val="clear" w:color="auto" w:fill="FFFFFF" w:themeFill="background1"/>
                  <w:vAlign w:val="center"/>
                </w:tcPr>
                <w:p w14:paraId="1D9BB997">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2</w:t>
                  </w:r>
                </w:p>
              </w:tc>
              <w:tc>
                <w:tcPr>
                  <w:tcW w:w="586" w:type="pct"/>
                  <w:vMerge w:val="continue"/>
                  <w:tcBorders>
                    <w:tl2br w:val="nil"/>
                    <w:tr2bl w:val="nil"/>
                  </w:tcBorders>
                  <w:shd w:val="clear" w:color="auto" w:fill="FFFFFF" w:themeFill="background1"/>
                  <w:vAlign w:val="center"/>
                </w:tcPr>
                <w:p w14:paraId="4481F7AA">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p>
              </w:tc>
              <w:tc>
                <w:tcPr>
                  <w:tcW w:w="1165" w:type="pct"/>
                  <w:tcBorders>
                    <w:tl2br w:val="nil"/>
                    <w:tr2bl w:val="nil"/>
                  </w:tcBorders>
                  <w:shd w:val="clear" w:color="auto" w:fill="FFFFFF" w:themeFill="background1"/>
                  <w:vAlign w:val="center"/>
                </w:tcPr>
                <w:p w14:paraId="3FEE3E90">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凿岩机</w:t>
                  </w:r>
                </w:p>
              </w:tc>
              <w:tc>
                <w:tcPr>
                  <w:tcW w:w="1109" w:type="pct"/>
                  <w:tcBorders>
                    <w:tl2br w:val="nil"/>
                    <w:tr2bl w:val="nil"/>
                  </w:tcBorders>
                  <w:shd w:val="clear" w:color="auto" w:fill="FFFFFF" w:themeFill="background1"/>
                  <w:vAlign w:val="center"/>
                </w:tcPr>
                <w:p w14:paraId="008AB6C4">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5</w:t>
                  </w:r>
                </w:p>
              </w:tc>
              <w:tc>
                <w:tcPr>
                  <w:tcW w:w="948" w:type="pct"/>
                  <w:tcBorders>
                    <w:tl2br w:val="nil"/>
                    <w:tr2bl w:val="nil"/>
                  </w:tcBorders>
                  <w:shd w:val="clear" w:color="auto" w:fill="FFFFFF" w:themeFill="background1"/>
                  <w:vAlign w:val="center"/>
                </w:tcPr>
                <w:p w14:paraId="373710D3">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85</w:t>
                  </w:r>
                </w:p>
              </w:tc>
              <w:tc>
                <w:tcPr>
                  <w:tcW w:w="750" w:type="pct"/>
                  <w:tcBorders>
                    <w:tl2br w:val="nil"/>
                    <w:tr2bl w:val="nil"/>
                  </w:tcBorders>
                  <w:shd w:val="clear" w:color="auto" w:fill="FFFFFF" w:themeFill="background1"/>
                  <w:vAlign w:val="center"/>
                </w:tcPr>
                <w:p w14:paraId="4AF2D859">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2台</w:t>
                  </w:r>
                </w:p>
              </w:tc>
            </w:tr>
            <w:tr w14:paraId="3769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39" w:type="pct"/>
                  <w:tcBorders>
                    <w:tl2br w:val="nil"/>
                    <w:tr2bl w:val="nil"/>
                  </w:tcBorders>
                  <w:shd w:val="clear" w:color="auto" w:fill="FFFFFF" w:themeFill="background1"/>
                  <w:vAlign w:val="center"/>
                </w:tcPr>
                <w:p w14:paraId="0BC5228E">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3</w:t>
                  </w:r>
                </w:p>
              </w:tc>
              <w:tc>
                <w:tcPr>
                  <w:tcW w:w="586" w:type="pct"/>
                  <w:vMerge w:val="continue"/>
                  <w:tcBorders>
                    <w:tl2br w:val="nil"/>
                    <w:tr2bl w:val="nil"/>
                  </w:tcBorders>
                  <w:shd w:val="clear" w:color="auto" w:fill="FFFFFF" w:themeFill="background1"/>
                  <w:vAlign w:val="center"/>
                </w:tcPr>
                <w:p w14:paraId="5E56CC00">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p>
              </w:tc>
              <w:tc>
                <w:tcPr>
                  <w:tcW w:w="1165" w:type="pct"/>
                  <w:tcBorders>
                    <w:tl2br w:val="nil"/>
                    <w:tr2bl w:val="nil"/>
                  </w:tcBorders>
                  <w:shd w:val="clear" w:color="auto" w:fill="FFFFFF" w:themeFill="background1"/>
                  <w:vAlign w:val="center"/>
                </w:tcPr>
                <w:p w14:paraId="079AF60E">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挖掘机</w:t>
                  </w:r>
                </w:p>
              </w:tc>
              <w:tc>
                <w:tcPr>
                  <w:tcW w:w="1109" w:type="pct"/>
                  <w:tcBorders>
                    <w:tl2br w:val="nil"/>
                    <w:tr2bl w:val="nil"/>
                  </w:tcBorders>
                  <w:shd w:val="clear" w:color="auto" w:fill="FFFFFF" w:themeFill="background1"/>
                  <w:vAlign w:val="center"/>
                </w:tcPr>
                <w:p w14:paraId="5719FA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5</w:t>
                  </w:r>
                </w:p>
              </w:tc>
              <w:tc>
                <w:tcPr>
                  <w:tcW w:w="948" w:type="pct"/>
                  <w:tcBorders>
                    <w:tl2br w:val="nil"/>
                    <w:tr2bl w:val="nil"/>
                  </w:tcBorders>
                  <w:shd w:val="clear" w:color="auto" w:fill="FFFFFF" w:themeFill="background1"/>
                  <w:vAlign w:val="center"/>
                </w:tcPr>
                <w:p w14:paraId="5839D2D2">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85</w:t>
                  </w:r>
                </w:p>
              </w:tc>
              <w:tc>
                <w:tcPr>
                  <w:tcW w:w="750" w:type="pct"/>
                  <w:tcBorders>
                    <w:tl2br w:val="nil"/>
                    <w:tr2bl w:val="nil"/>
                  </w:tcBorders>
                  <w:shd w:val="clear" w:color="auto" w:fill="FFFFFF" w:themeFill="background1"/>
                  <w:vAlign w:val="center"/>
                </w:tcPr>
                <w:p w14:paraId="28D8A41E">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lang w:val="en-US" w:eastAsia="zh-CN"/>
                    </w:rPr>
                    <w:t>辆</w:t>
                  </w:r>
                </w:p>
              </w:tc>
            </w:tr>
            <w:tr w14:paraId="7A9A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39" w:type="pct"/>
                  <w:tcBorders>
                    <w:tl2br w:val="nil"/>
                    <w:tr2bl w:val="nil"/>
                  </w:tcBorders>
                  <w:shd w:val="clear" w:color="auto" w:fill="FFFFFF" w:themeFill="background1"/>
                  <w:vAlign w:val="center"/>
                </w:tcPr>
                <w:p w14:paraId="67018766">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4</w:t>
                  </w:r>
                </w:p>
              </w:tc>
              <w:tc>
                <w:tcPr>
                  <w:tcW w:w="586" w:type="pct"/>
                  <w:vMerge w:val="continue"/>
                  <w:tcBorders>
                    <w:tl2br w:val="nil"/>
                    <w:tr2bl w:val="nil"/>
                  </w:tcBorders>
                  <w:shd w:val="clear" w:color="auto" w:fill="FFFFFF" w:themeFill="background1"/>
                  <w:vAlign w:val="center"/>
                </w:tcPr>
                <w:p w14:paraId="5543D484">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p>
              </w:tc>
              <w:tc>
                <w:tcPr>
                  <w:tcW w:w="1165" w:type="pct"/>
                  <w:tcBorders>
                    <w:tl2br w:val="nil"/>
                    <w:tr2bl w:val="nil"/>
                  </w:tcBorders>
                  <w:shd w:val="clear" w:color="auto" w:fill="FFFFFF" w:themeFill="background1"/>
                  <w:vAlign w:val="center"/>
                </w:tcPr>
                <w:p w14:paraId="100A836B">
                  <w:pPr>
                    <w:pStyle w:val="54"/>
                    <w:spacing w:line="240" w:lineRule="auto"/>
                    <w:ind w:firstLine="0" w:firstLineChars="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lang w:val="en-US" w:eastAsia="zh-CN"/>
                    </w:rPr>
                    <w:t>自卸汽车</w:t>
                  </w:r>
                </w:p>
              </w:tc>
              <w:tc>
                <w:tcPr>
                  <w:tcW w:w="1109" w:type="pct"/>
                  <w:tcBorders>
                    <w:tl2br w:val="nil"/>
                    <w:tr2bl w:val="nil"/>
                  </w:tcBorders>
                  <w:shd w:val="clear" w:color="auto" w:fill="FFFFFF" w:themeFill="background1"/>
                  <w:vAlign w:val="center"/>
                </w:tcPr>
                <w:p w14:paraId="12F96D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5</w:t>
                  </w:r>
                </w:p>
              </w:tc>
              <w:tc>
                <w:tcPr>
                  <w:tcW w:w="948" w:type="pct"/>
                  <w:tcBorders>
                    <w:tl2br w:val="nil"/>
                    <w:tr2bl w:val="nil"/>
                  </w:tcBorders>
                  <w:shd w:val="clear" w:color="auto" w:fill="FFFFFF" w:themeFill="background1"/>
                  <w:vAlign w:val="center"/>
                </w:tcPr>
                <w:p w14:paraId="3A143794">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85</w:t>
                  </w:r>
                </w:p>
              </w:tc>
              <w:tc>
                <w:tcPr>
                  <w:tcW w:w="750" w:type="pct"/>
                  <w:tcBorders>
                    <w:tl2br w:val="nil"/>
                    <w:tr2bl w:val="nil"/>
                  </w:tcBorders>
                  <w:shd w:val="clear" w:color="auto" w:fill="FFFFFF" w:themeFill="background1"/>
                  <w:vAlign w:val="center"/>
                </w:tcPr>
                <w:p w14:paraId="3D0167E5">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11</w:t>
                  </w:r>
                  <w:r>
                    <w:rPr>
                      <w:rFonts w:hint="default" w:ascii="Times New Roman" w:hAnsi="Times New Roman" w:eastAsia="宋体" w:cs="Times New Roman"/>
                      <w:b w:val="0"/>
                      <w:bCs w:val="0"/>
                      <w:color w:val="auto"/>
                      <w:sz w:val="21"/>
                      <w:szCs w:val="21"/>
                      <w:lang w:val="en-US" w:eastAsia="zh-CN"/>
                    </w:rPr>
                    <w:t>辆</w:t>
                  </w:r>
                </w:p>
              </w:tc>
            </w:tr>
            <w:tr w14:paraId="6DCC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39" w:type="pct"/>
                  <w:tcBorders>
                    <w:tl2br w:val="nil"/>
                    <w:tr2bl w:val="nil"/>
                  </w:tcBorders>
                  <w:shd w:val="clear" w:color="auto" w:fill="FFFFFF" w:themeFill="background1"/>
                  <w:vAlign w:val="center"/>
                </w:tcPr>
                <w:p w14:paraId="4375964C">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5</w:t>
                  </w:r>
                </w:p>
              </w:tc>
              <w:tc>
                <w:tcPr>
                  <w:tcW w:w="586" w:type="pct"/>
                  <w:vMerge w:val="continue"/>
                  <w:tcBorders>
                    <w:tl2br w:val="nil"/>
                    <w:tr2bl w:val="nil"/>
                  </w:tcBorders>
                  <w:shd w:val="clear" w:color="auto" w:fill="FFFFFF" w:themeFill="background1"/>
                  <w:vAlign w:val="center"/>
                </w:tcPr>
                <w:p w14:paraId="76A7D45E">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p>
              </w:tc>
              <w:tc>
                <w:tcPr>
                  <w:tcW w:w="1165" w:type="pct"/>
                  <w:tcBorders>
                    <w:tl2br w:val="nil"/>
                    <w:tr2bl w:val="nil"/>
                  </w:tcBorders>
                  <w:shd w:val="clear" w:color="auto" w:fill="FFFFFF" w:themeFill="background1"/>
                  <w:vAlign w:val="center"/>
                </w:tcPr>
                <w:p w14:paraId="75CC3094">
                  <w:pPr>
                    <w:pStyle w:val="54"/>
                    <w:spacing w:line="240" w:lineRule="auto"/>
                    <w:ind w:firstLine="0" w:firstLineChars="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lang w:val="en-US" w:eastAsia="zh-CN"/>
                    </w:rPr>
                    <w:t>空压机</w:t>
                  </w:r>
                </w:p>
              </w:tc>
              <w:tc>
                <w:tcPr>
                  <w:tcW w:w="1109" w:type="pct"/>
                  <w:tcBorders>
                    <w:tl2br w:val="nil"/>
                    <w:tr2bl w:val="nil"/>
                  </w:tcBorders>
                  <w:shd w:val="clear" w:color="auto" w:fill="FFFFFF" w:themeFill="background1"/>
                  <w:vAlign w:val="center"/>
                </w:tcPr>
                <w:p w14:paraId="7CDA01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5</w:t>
                  </w:r>
                </w:p>
              </w:tc>
              <w:tc>
                <w:tcPr>
                  <w:tcW w:w="948" w:type="pct"/>
                  <w:tcBorders>
                    <w:tl2br w:val="nil"/>
                    <w:tr2bl w:val="nil"/>
                  </w:tcBorders>
                  <w:shd w:val="clear" w:color="auto" w:fill="FFFFFF" w:themeFill="background1"/>
                  <w:vAlign w:val="center"/>
                </w:tcPr>
                <w:p w14:paraId="47050323">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80</w:t>
                  </w:r>
                </w:p>
              </w:tc>
              <w:tc>
                <w:tcPr>
                  <w:tcW w:w="750" w:type="pct"/>
                  <w:tcBorders>
                    <w:tl2br w:val="nil"/>
                    <w:tr2bl w:val="nil"/>
                  </w:tcBorders>
                  <w:shd w:val="clear" w:color="auto" w:fill="FFFFFF" w:themeFill="background1"/>
                  <w:vAlign w:val="center"/>
                </w:tcPr>
                <w:p w14:paraId="20F650A3">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val="en-US" w:eastAsia="zh-CN"/>
                    </w:rPr>
                    <w:t>台</w:t>
                  </w:r>
                </w:p>
              </w:tc>
            </w:tr>
          </w:tbl>
          <w:p w14:paraId="1FDFD3CA">
            <w:pPr>
              <w:adjustRightInd w:val="0"/>
              <w:snapToGrid w:val="0"/>
              <w:ind w:firstLine="420"/>
              <w:rPr>
                <w:rFonts w:hint="default" w:ascii="Times New Roman" w:hAnsi="Times New Roman" w:eastAsia="宋体" w:cs="Times New Roman"/>
                <w:bCs/>
                <w:sz w:val="24"/>
                <w:szCs w:val="24"/>
              </w:rPr>
            </w:pPr>
            <w:r>
              <w:rPr>
                <w:rFonts w:hint="default" w:ascii="Times New Roman" w:hAnsi="Times New Roman" w:eastAsia="宋体" w:cs="Times New Roman"/>
                <w:bCs/>
                <w:color w:val="auto"/>
                <w:sz w:val="24"/>
                <w:szCs w:val="24"/>
              </w:rPr>
              <w:t>主要设备噪声随距离的衰减情况如下表。</w:t>
            </w:r>
          </w:p>
          <w:p w14:paraId="350F5370">
            <w:pPr>
              <w:autoSpaceDE w:val="0"/>
              <w:autoSpaceDN w:val="0"/>
              <w:adjustRightInd w:val="0"/>
              <w:snapToGrid w:val="0"/>
              <w:spacing w:line="240" w:lineRule="auto"/>
              <w:ind w:firstLine="0" w:firstLineChars="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w:t>
            </w:r>
            <w:r>
              <w:rPr>
                <w:rFonts w:hint="eastAsia" w:cs="Times New Roman"/>
                <w:b/>
                <w:sz w:val="24"/>
                <w:szCs w:val="24"/>
                <w:lang w:val="en-US" w:eastAsia="zh-CN"/>
              </w:rPr>
              <w:t>8</w:t>
            </w:r>
            <w:r>
              <w:rPr>
                <w:rFonts w:hint="default" w:ascii="Times New Roman" w:hAnsi="Times New Roman" w:eastAsia="宋体" w:cs="Times New Roman"/>
                <w:b/>
                <w:sz w:val="24"/>
                <w:szCs w:val="24"/>
              </w:rPr>
              <w:t>主要设备噪声至不同距离的预测值单位：dB（A）</w:t>
            </w:r>
          </w:p>
          <w:tbl>
            <w:tblPr>
              <w:tblStyle w:val="24"/>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fixed"/>
              <w:tblCellMar>
                <w:top w:w="0" w:type="dxa"/>
                <w:left w:w="108" w:type="dxa"/>
                <w:bottom w:w="0" w:type="dxa"/>
                <w:right w:w="108" w:type="dxa"/>
              </w:tblCellMar>
            </w:tblPr>
            <w:tblGrid>
              <w:gridCol w:w="1120"/>
              <w:gridCol w:w="1036"/>
              <w:gridCol w:w="1040"/>
              <w:gridCol w:w="1040"/>
              <w:gridCol w:w="1040"/>
              <w:gridCol w:w="1040"/>
              <w:gridCol w:w="1056"/>
            </w:tblGrid>
            <w:tr w14:paraId="15324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84" w:hRule="atLeast"/>
                <w:jc w:val="center"/>
              </w:trPr>
              <w:tc>
                <w:tcPr>
                  <w:tcW w:w="760" w:type="pct"/>
                  <w:vMerge w:val="restart"/>
                  <w:shd w:val="clear" w:color="auto" w:fill="FFFFFF" w:themeFill="background1"/>
                  <w:vAlign w:val="center"/>
                </w:tcPr>
                <w:p w14:paraId="27917397">
                  <w:pPr>
                    <w:pStyle w:val="46"/>
                    <w:spacing w:before="24" w:after="24" w:line="240" w:lineRule="auto"/>
                    <w:ind w:firstLine="0" w:firstLineChars="0"/>
                    <w:rPr>
                      <w:rFonts w:hint="default" w:ascii="Times New Roman" w:hAnsi="Times New Roman" w:eastAsia="宋体" w:cs="Times New Roman"/>
                      <w:b/>
                      <w:bCs/>
                      <w:sz w:val="21"/>
                    </w:rPr>
                  </w:pPr>
                  <w:r>
                    <w:rPr>
                      <w:rFonts w:hint="default" w:ascii="Times New Roman" w:hAnsi="Times New Roman" w:eastAsia="宋体" w:cs="Times New Roman"/>
                      <w:b/>
                      <w:bCs/>
                      <w:sz w:val="21"/>
                    </w:rPr>
                    <w:t>噪声源</w:t>
                  </w:r>
                </w:p>
              </w:tc>
              <w:tc>
                <w:tcPr>
                  <w:tcW w:w="4239" w:type="pct"/>
                  <w:gridSpan w:val="6"/>
                  <w:shd w:val="clear" w:color="auto" w:fill="FFFFFF" w:themeFill="background1"/>
                  <w:vAlign w:val="center"/>
                </w:tcPr>
                <w:p w14:paraId="4CA1D2FD">
                  <w:pPr>
                    <w:pStyle w:val="46"/>
                    <w:spacing w:before="24" w:after="24" w:line="240" w:lineRule="auto"/>
                    <w:ind w:firstLine="0" w:firstLineChars="0"/>
                    <w:rPr>
                      <w:rFonts w:hint="default" w:ascii="Times New Roman" w:hAnsi="Times New Roman" w:eastAsia="宋体" w:cs="Times New Roman"/>
                      <w:b/>
                      <w:bCs/>
                      <w:sz w:val="21"/>
                    </w:rPr>
                  </w:pPr>
                  <w:r>
                    <w:rPr>
                      <w:rFonts w:hint="default" w:ascii="Times New Roman" w:hAnsi="Times New Roman" w:eastAsia="宋体" w:cs="Times New Roman"/>
                      <w:b/>
                      <w:bCs/>
                      <w:sz w:val="21"/>
                    </w:rPr>
                    <w:t>不同距离的预测值</w:t>
                  </w:r>
                </w:p>
              </w:tc>
            </w:tr>
            <w:tr w14:paraId="14B9F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0" w:type="pct"/>
                  <w:vMerge w:val="continue"/>
                  <w:shd w:val="clear" w:color="auto" w:fill="FFFFFF" w:themeFill="background1"/>
                  <w:vAlign w:val="center"/>
                </w:tcPr>
                <w:p w14:paraId="40B8E744">
                  <w:pPr>
                    <w:pStyle w:val="46"/>
                    <w:spacing w:before="24" w:after="24" w:line="240" w:lineRule="auto"/>
                    <w:ind w:firstLine="0" w:firstLineChars="0"/>
                    <w:rPr>
                      <w:rFonts w:hint="default" w:ascii="Times New Roman" w:hAnsi="Times New Roman" w:eastAsia="宋体" w:cs="Times New Roman"/>
                      <w:b/>
                      <w:bCs/>
                      <w:sz w:val="21"/>
                    </w:rPr>
                  </w:pPr>
                </w:p>
              </w:tc>
              <w:tc>
                <w:tcPr>
                  <w:tcW w:w="703" w:type="pct"/>
                  <w:shd w:val="clear" w:color="auto" w:fill="FFFFFF" w:themeFill="background1"/>
                  <w:vAlign w:val="center"/>
                </w:tcPr>
                <w:p w14:paraId="6146F299">
                  <w:pPr>
                    <w:pStyle w:val="46"/>
                    <w:spacing w:before="24" w:after="24" w:line="240" w:lineRule="auto"/>
                    <w:ind w:firstLine="0" w:firstLineChars="0"/>
                    <w:rPr>
                      <w:rFonts w:hint="default" w:ascii="Times New Roman" w:hAnsi="Times New Roman" w:eastAsia="宋体" w:cs="Times New Roman"/>
                      <w:b/>
                      <w:bCs/>
                      <w:sz w:val="21"/>
                    </w:rPr>
                  </w:pPr>
                  <w:r>
                    <w:rPr>
                      <w:rFonts w:hint="default" w:ascii="Times New Roman" w:hAnsi="Times New Roman" w:eastAsia="宋体" w:cs="Times New Roman"/>
                      <w:b/>
                      <w:bCs/>
                      <w:sz w:val="21"/>
                    </w:rPr>
                    <w:t>30m</w:t>
                  </w:r>
                </w:p>
              </w:tc>
              <w:tc>
                <w:tcPr>
                  <w:tcW w:w="705" w:type="pct"/>
                  <w:shd w:val="clear" w:color="auto" w:fill="FFFFFF" w:themeFill="background1"/>
                  <w:vAlign w:val="center"/>
                </w:tcPr>
                <w:p w14:paraId="580FB7D6">
                  <w:pPr>
                    <w:pStyle w:val="46"/>
                    <w:spacing w:before="24" w:after="24" w:line="240" w:lineRule="auto"/>
                    <w:ind w:firstLine="0" w:firstLineChars="0"/>
                    <w:rPr>
                      <w:rFonts w:hint="default" w:ascii="Times New Roman" w:hAnsi="Times New Roman" w:eastAsia="宋体" w:cs="Times New Roman"/>
                      <w:b/>
                      <w:bCs/>
                      <w:sz w:val="21"/>
                    </w:rPr>
                  </w:pPr>
                  <w:r>
                    <w:rPr>
                      <w:rFonts w:hint="default" w:ascii="Times New Roman" w:hAnsi="Times New Roman" w:eastAsia="宋体" w:cs="Times New Roman"/>
                      <w:b/>
                      <w:bCs/>
                      <w:sz w:val="21"/>
                    </w:rPr>
                    <w:t>50m</w:t>
                  </w:r>
                </w:p>
              </w:tc>
              <w:tc>
                <w:tcPr>
                  <w:tcW w:w="705" w:type="pct"/>
                  <w:shd w:val="clear" w:color="auto" w:fill="FFFFFF" w:themeFill="background1"/>
                  <w:vAlign w:val="center"/>
                </w:tcPr>
                <w:p w14:paraId="5C61269D">
                  <w:pPr>
                    <w:pStyle w:val="46"/>
                    <w:spacing w:before="24" w:after="24" w:line="240" w:lineRule="auto"/>
                    <w:ind w:firstLine="0" w:firstLineChars="0"/>
                    <w:rPr>
                      <w:rFonts w:hint="default" w:ascii="Times New Roman" w:hAnsi="Times New Roman" w:eastAsia="宋体" w:cs="Times New Roman"/>
                      <w:b/>
                      <w:bCs/>
                      <w:sz w:val="21"/>
                    </w:rPr>
                  </w:pPr>
                  <w:r>
                    <w:rPr>
                      <w:rFonts w:hint="default" w:ascii="Times New Roman" w:hAnsi="Times New Roman" w:eastAsia="宋体" w:cs="Times New Roman"/>
                      <w:b/>
                      <w:bCs/>
                      <w:sz w:val="21"/>
                    </w:rPr>
                    <w:t>80m</w:t>
                  </w:r>
                </w:p>
              </w:tc>
              <w:tc>
                <w:tcPr>
                  <w:tcW w:w="705" w:type="pct"/>
                  <w:shd w:val="clear" w:color="auto" w:fill="FFFFFF" w:themeFill="background1"/>
                  <w:vAlign w:val="center"/>
                </w:tcPr>
                <w:p w14:paraId="22A7E4CC">
                  <w:pPr>
                    <w:pStyle w:val="46"/>
                    <w:spacing w:before="24" w:after="24" w:line="240" w:lineRule="auto"/>
                    <w:ind w:firstLine="0" w:firstLineChars="0"/>
                    <w:rPr>
                      <w:rFonts w:hint="default" w:ascii="Times New Roman" w:hAnsi="Times New Roman" w:eastAsia="宋体" w:cs="Times New Roman"/>
                      <w:b/>
                      <w:bCs/>
                      <w:sz w:val="21"/>
                    </w:rPr>
                  </w:pPr>
                  <w:r>
                    <w:rPr>
                      <w:rFonts w:hint="default" w:ascii="Times New Roman" w:hAnsi="Times New Roman" w:eastAsia="宋体" w:cs="Times New Roman"/>
                      <w:b/>
                      <w:bCs/>
                      <w:sz w:val="21"/>
                    </w:rPr>
                    <w:t>100m</w:t>
                  </w:r>
                </w:p>
              </w:tc>
              <w:tc>
                <w:tcPr>
                  <w:tcW w:w="705" w:type="pct"/>
                  <w:shd w:val="clear" w:color="auto" w:fill="FFFFFF" w:themeFill="background1"/>
                  <w:vAlign w:val="center"/>
                </w:tcPr>
                <w:p w14:paraId="29A539ED">
                  <w:pPr>
                    <w:pStyle w:val="46"/>
                    <w:spacing w:before="24" w:after="24" w:line="240" w:lineRule="auto"/>
                    <w:ind w:firstLine="0" w:firstLineChars="0"/>
                    <w:rPr>
                      <w:rFonts w:hint="default" w:ascii="Times New Roman" w:hAnsi="Times New Roman" w:eastAsia="宋体" w:cs="Times New Roman"/>
                      <w:b/>
                      <w:bCs/>
                      <w:sz w:val="21"/>
                    </w:rPr>
                  </w:pPr>
                  <w:r>
                    <w:rPr>
                      <w:rFonts w:hint="default" w:ascii="Times New Roman" w:hAnsi="Times New Roman" w:eastAsia="宋体" w:cs="Times New Roman"/>
                      <w:b/>
                      <w:bCs/>
                      <w:sz w:val="21"/>
                    </w:rPr>
                    <w:t>150m</w:t>
                  </w:r>
                </w:p>
              </w:tc>
              <w:tc>
                <w:tcPr>
                  <w:tcW w:w="714" w:type="pct"/>
                  <w:shd w:val="clear" w:color="auto" w:fill="FFFFFF" w:themeFill="background1"/>
                  <w:vAlign w:val="center"/>
                </w:tcPr>
                <w:p w14:paraId="5CF9B85F">
                  <w:pPr>
                    <w:pStyle w:val="46"/>
                    <w:spacing w:before="24" w:after="24" w:line="240" w:lineRule="auto"/>
                    <w:ind w:firstLine="0" w:firstLineChars="0"/>
                    <w:rPr>
                      <w:rFonts w:hint="default" w:ascii="Times New Roman" w:hAnsi="Times New Roman" w:eastAsia="宋体" w:cs="Times New Roman"/>
                      <w:b/>
                      <w:bCs/>
                      <w:sz w:val="21"/>
                    </w:rPr>
                  </w:pPr>
                  <w:r>
                    <w:rPr>
                      <w:rFonts w:hint="default" w:ascii="Times New Roman" w:hAnsi="Times New Roman" w:eastAsia="宋体" w:cs="Times New Roman"/>
                      <w:b/>
                      <w:bCs/>
                      <w:sz w:val="21"/>
                    </w:rPr>
                    <w:t>200m</w:t>
                  </w:r>
                </w:p>
              </w:tc>
            </w:tr>
            <w:tr w14:paraId="78BBE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0" w:type="pct"/>
                  <w:shd w:val="clear" w:color="auto" w:fill="FFFFFF" w:themeFill="background1"/>
                  <w:vAlign w:val="center"/>
                </w:tcPr>
                <w:p w14:paraId="059E1723">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潜孔钻</w:t>
                  </w:r>
                  <w:r>
                    <w:rPr>
                      <w:rFonts w:hint="default" w:ascii="Times New Roman" w:hAnsi="Times New Roman" w:eastAsia="宋体" w:cs="Times New Roman"/>
                      <w:b w:val="0"/>
                      <w:bCs w:val="0"/>
                      <w:color w:val="auto"/>
                      <w:sz w:val="21"/>
                      <w:szCs w:val="21"/>
                      <w:lang w:val="en-US" w:eastAsia="zh-CN"/>
                    </w:rPr>
                    <w:t>机</w:t>
                  </w:r>
                </w:p>
              </w:tc>
              <w:tc>
                <w:tcPr>
                  <w:tcW w:w="703" w:type="pct"/>
                  <w:shd w:val="clear" w:color="auto" w:fill="FFFFFF" w:themeFill="background1"/>
                  <w:vAlign w:val="center"/>
                </w:tcPr>
                <w:p w14:paraId="6FB75502">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69.4</w:t>
                  </w:r>
                </w:p>
              </w:tc>
              <w:tc>
                <w:tcPr>
                  <w:tcW w:w="705" w:type="pct"/>
                  <w:shd w:val="clear" w:color="auto" w:fill="FFFFFF" w:themeFill="background1"/>
                  <w:vAlign w:val="center"/>
                </w:tcPr>
                <w:p w14:paraId="09C240E7">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65.0</w:t>
                  </w:r>
                </w:p>
              </w:tc>
              <w:tc>
                <w:tcPr>
                  <w:tcW w:w="705" w:type="pct"/>
                  <w:shd w:val="clear" w:color="auto" w:fill="FFFFFF" w:themeFill="background1"/>
                  <w:vAlign w:val="center"/>
                </w:tcPr>
                <w:p w14:paraId="3CBA73BB">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60.9</w:t>
                  </w:r>
                </w:p>
              </w:tc>
              <w:tc>
                <w:tcPr>
                  <w:tcW w:w="705" w:type="pct"/>
                  <w:shd w:val="clear" w:color="auto" w:fill="FFFFFF" w:themeFill="background1"/>
                  <w:vAlign w:val="center"/>
                </w:tcPr>
                <w:p w14:paraId="23045EE4">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59.0</w:t>
                  </w:r>
                </w:p>
              </w:tc>
              <w:tc>
                <w:tcPr>
                  <w:tcW w:w="705" w:type="pct"/>
                  <w:shd w:val="clear" w:color="auto" w:fill="FFFFFF" w:themeFill="background1"/>
                  <w:vAlign w:val="center"/>
                </w:tcPr>
                <w:p w14:paraId="71D962F8">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55.5</w:t>
                  </w:r>
                </w:p>
              </w:tc>
              <w:tc>
                <w:tcPr>
                  <w:tcW w:w="714" w:type="pct"/>
                  <w:shd w:val="clear" w:color="auto" w:fill="FFFFFF" w:themeFill="background1"/>
                  <w:vAlign w:val="center"/>
                </w:tcPr>
                <w:p w14:paraId="18872A8F">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53.0</w:t>
                  </w:r>
                </w:p>
              </w:tc>
            </w:tr>
            <w:tr w14:paraId="3762E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0" w:type="pct"/>
                  <w:shd w:val="clear" w:color="auto" w:fill="FFFFFF" w:themeFill="background1"/>
                  <w:vAlign w:val="center"/>
                </w:tcPr>
                <w:p w14:paraId="520B59A5">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凿岩机</w:t>
                  </w:r>
                </w:p>
              </w:tc>
              <w:tc>
                <w:tcPr>
                  <w:tcW w:w="703" w:type="pct"/>
                  <w:shd w:val="clear" w:color="auto" w:fill="FFFFFF" w:themeFill="background1"/>
                  <w:vAlign w:val="center"/>
                </w:tcPr>
                <w:p w14:paraId="51EB5F6D">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69.4</w:t>
                  </w:r>
                </w:p>
              </w:tc>
              <w:tc>
                <w:tcPr>
                  <w:tcW w:w="705" w:type="pct"/>
                  <w:shd w:val="clear" w:color="auto" w:fill="FFFFFF" w:themeFill="background1"/>
                  <w:vAlign w:val="center"/>
                </w:tcPr>
                <w:p w14:paraId="5EAAC653">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65.0</w:t>
                  </w:r>
                </w:p>
              </w:tc>
              <w:tc>
                <w:tcPr>
                  <w:tcW w:w="705" w:type="pct"/>
                  <w:shd w:val="clear" w:color="auto" w:fill="FFFFFF" w:themeFill="background1"/>
                  <w:vAlign w:val="center"/>
                </w:tcPr>
                <w:p w14:paraId="06B27F19">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60.9</w:t>
                  </w:r>
                </w:p>
              </w:tc>
              <w:tc>
                <w:tcPr>
                  <w:tcW w:w="705" w:type="pct"/>
                  <w:shd w:val="clear" w:color="auto" w:fill="FFFFFF" w:themeFill="background1"/>
                  <w:vAlign w:val="center"/>
                </w:tcPr>
                <w:p w14:paraId="021E387A">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59.0</w:t>
                  </w:r>
                </w:p>
              </w:tc>
              <w:tc>
                <w:tcPr>
                  <w:tcW w:w="705" w:type="pct"/>
                  <w:shd w:val="clear" w:color="auto" w:fill="FFFFFF" w:themeFill="background1"/>
                  <w:vAlign w:val="center"/>
                </w:tcPr>
                <w:p w14:paraId="678AF8AB">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55.5</w:t>
                  </w:r>
                </w:p>
              </w:tc>
              <w:tc>
                <w:tcPr>
                  <w:tcW w:w="714" w:type="pct"/>
                  <w:shd w:val="clear" w:color="auto" w:fill="FFFFFF" w:themeFill="background1"/>
                  <w:vAlign w:val="center"/>
                </w:tcPr>
                <w:p w14:paraId="746623C2">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53.0</w:t>
                  </w:r>
                </w:p>
              </w:tc>
            </w:tr>
            <w:tr w14:paraId="4B1F6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0" w:type="pct"/>
                  <w:shd w:val="clear" w:color="auto" w:fill="FFFFFF" w:themeFill="background1"/>
                  <w:vAlign w:val="center"/>
                </w:tcPr>
                <w:p w14:paraId="2D5F2532">
                  <w:pPr>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挖掘机</w:t>
                  </w:r>
                </w:p>
              </w:tc>
              <w:tc>
                <w:tcPr>
                  <w:tcW w:w="703" w:type="pct"/>
                  <w:shd w:val="clear" w:color="auto" w:fill="FFFFFF" w:themeFill="background1"/>
                  <w:vAlign w:val="center"/>
                </w:tcPr>
                <w:p w14:paraId="614E3C16">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69.4</w:t>
                  </w:r>
                </w:p>
              </w:tc>
              <w:tc>
                <w:tcPr>
                  <w:tcW w:w="705" w:type="pct"/>
                  <w:shd w:val="clear" w:color="auto" w:fill="FFFFFF" w:themeFill="background1"/>
                  <w:vAlign w:val="center"/>
                </w:tcPr>
                <w:p w14:paraId="1A114E46">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65.0</w:t>
                  </w:r>
                </w:p>
              </w:tc>
              <w:tc>
                <w:tcPr>
                  <w:tcW w:w="705" w:type="pct"/>
                  <w:shd w:val="clear" w:color="auto" w:fill="FFFFFF" w:themeFill="background1"/>
                  <w:vAlign w:val="center"/>
                </w:tcPr>
                <w:p w14:paraId="71C1377A">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60.9</w:t>
                  </w:r>
                </w:p>
              </w:tc>
              <w:tc>
                <w:tcPr>
                  <w:tcW w:w="705" w:type="pct"/>
                  <w:shd w:val="clear" w:color="auto" w:fill="FFFFFF" w:themeFill="background1"/>
                  <w:vAlign w:val="center"/>
                </w:tcPr>
                <w:p w14:paraId="1DC23ABC">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59.0</w:t>
                  </w:r>
                </w:p>
              </w:tc>
              <w:tc>
                <w:tcPr>
                  <w:tcW w:w="705" w:type="pct"/>
                  <w:shd w:val="clear" w:color="auto" w:fill="FFFFFF" w:themeFill="background1"/>
                  <w:vAlign w:val="center"/>
                </w:tcPr>
                <w:p w14:paraId="444C61B4">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55.5</w:t>
                  </w:r>
                </w:p>
              </w:tc>
              <w:tc>
                <w:tcPr>
                  <w:tcW w:w="714" w:type="pct"/>
                  <w:shd w:val="clear" w:color="auto" w:fill="FFFFFF" w:themeFill="background1"/>
                  <w:vAlign w:val="center"/>
                </w:tcPr>
                <w:p w14:paraId="7E50ADA1">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53.0</w:t>
                  </w:r>
                </w:p>
              </w:tc>
            </w:tr>
            <w:tr w14:paraId="3B1E2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0" w:type="pct"/>
                  <w:shd w:val="clear" w:color="auto" w:fill="FFFFFF" w:themeFill="background1"/>
                  <w:vAlign w:val="center"/>
                </w:tcPr>
                <w:p w14:paraId="32AEE0BF">
                  <w:pPr>
                    <w:pStyle w:val="54"/>
                    <w:spacing w:line="240" w:lineRule="auto"/>
                    <w:ind w:firstLine="0" w:firstLineChars="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lang w:val="en-US" w:eastAsia="zh-CN"/>
                    </w:rPr>
                    <w:t>自卸汽车</w:t>
                  </w:r>
                </w:p>
              </w:tc>
              <w:tc>
                <w:tcPr>
                  <w:tcW w:w="703" w:type="pct"/>
                  <w:shd w:val="clear" w:color="auto" w:fill="FFFFFF" w:themeFill="background1"/>
                  <w:vAlign w:val="center"/>
                </w:tcPr>
                <w:p w14:paraId="0BEEECBC">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6</w:t>
                  </w:r>
                  <w:r>
                    <w:rPr>
                      <w:rFonts w:hint="default" w:ascii="Times New Roman" w:hAnsi="Times New Roman" w:eastAsia="宋体" w:cs="Times New Roman"/>
                      <w:b w:val="0"/>
                      <w:bCs w:val="0"/>
                      <w:sz w:val="21"/>
                      <w:lang w:val="en-US" w:eastAsia="zh-CN"/>
                    </w:rPr>
                    <w:t>9</w:t>
                  </w:r>
                  <w:r>
                    <w:rPr>
                      <w:rFonts w:hint="default" w:ascii="Times New Roman" w:hAnsi="Times New Roman" w:eastAsia="宋体" w:cs="Times New Roman"/>
                      <w:b w:val="0"/>
                      <w:bCs w:val="0"/>
                      <w:sz w:val="21"/>
                    </w:rPr>
                    <w:t>.4</w:t>
                  </w:r>
                </w:p>
              </w:tc>
              <w:tc>
                <w:tcPr>
                  <w:tcW w:w="705" w:type="pct"/>
                  <w:shd w:val="clear" w:color="auto" w:fill="FFFFFF" w:themeFill="background1"/>
                  <w:vAlign w:val="center"/>
                </w:tcPr>
                <w:p w14:paraId="7CECF307">
                  <w:pPr>
                    <w:pStyle w:val="46"/>
                    <w:spacing w:before="24" w:after="24" w:line="240" w:lineRule="auto"/>
                    <w:ind w:firstLine="0" w:firstLineChars="0"/>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rPr>
                    <w:t>65.0</w:t>
                  </w:r>
                </w:p>
              </w:tc>
              <w:tc>
                <w:tcPr>
                  <w:tcW w:w="705" w:type="pct"/>
                  <w:shd w:val="clear" w:color="auto" w:fill="FFFFFF" w:themeFill="background1"/>
                  <w:vAlign w:val="center"/>
                </w:tcPr>
                <w:p w14:paraId="120DC4E7">
                  <w:pPr>
                    <w:pStyle w:val="46"/>
                    <w:spacing w:before="24" w:after="24" w:line="240" w:lineRule="auto"/>
                    <w:ind w:firstLine="0" w:firstLineChars="0"/>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rPr>
                    <w:t>60.9</w:t>
                  </w:r>
                </w:p>
              </w:tc>
              <w:tc>
                <w:tcPr>
                  <w:tcW w:w="705" w:type="pct"/>
                  <w:shd w:val="clear" w:color="auto" w:fill="FFFFFF" w:themeFill="background1"/>
                  <w:vAlign w:val="center"/>
                </w:tcPr>
                <w:p w14:paraId="60F28236">
                  <w:pPr>
                    <w:pStyle w:val="46"/>
                    <w:spacing w:before="24" w:after="24" w:line="240" w:lineRule="auto"/>
                    <w:ind w:firstLine="0" w:firstLineChars="0"/>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rPr>
                    <w:t>59.0</w:t>
                  </w:r>
                </w:p>
              </w:tc>
              <w:tc>
                <w:tcPr>
                  <w:tcW w:w="705" w:type="pct"/>
                  <w:shd w:val="clear" w:color="auto" w:fill="FFFFFF" w:themeFill="background1"/>
                  <w:vAlign w:val="center"/>
                </w:tcPr>
                <w:p w14:paraId="1A8ACC59">
                  <w:pPr>
                    <w:pStyle w:val="46"/>
                    <w:spacing w:before="24" w:after="24" w:line="240" w:lineRule="auto"/>
                    <w:ind w:firstLine="0" w:firstLineChars="0"/>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rPr>
                    <w:t>55.5</w:t>
                  </w:r>
                </w:p>
              </w:tc>
              <w:tc>
                <w:tcPr>
                  <w:tcW w:w="714" w:type="pct"/>
                  <w:shd w:val="clear" w:color="auto" w:fill="FFFFFF" w:themeFill="background1"/>
                  <w:vAlign w:val="center"/>
                </w:tcPr>
                <w:p w14:paraId="36792F62">
                  <w:pPr>
                    <w:pStyle w:val="46"/>
                    <w:spacing w:before="24" w:after="24" w:line="240" w:lineRule="auto"/>
                    <w:ind w:firstLine="0" w:firstLineChars="0"/>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rPr>
                    <w:t>53.0</w:t>
                  </w:r>
                </w:p>
              </w:tc>
            </w:tr>
            <w:tr w14:paraId="13C97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0" w:type="pct"/>
                  <w:shd w:val="clear" w:color="auto" w:fill="FFFFFF" w:themeFill="background1"/>
                  <w:vAlign w:val="center"/>
                </w:tcPr>
                <w:p w14:paraId="60E7EE74">
                  <w:pPr>
                    <w:pStyle w:val="54"/>
                    <w:spacing w:line="240" w:lineRule="auto"/>
                    <w:ind w:firstLine="0" w:firstLineChars="0"/>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lang w:val="en-US" w:eastAsia="zh-CN"/>
                    </w:rPr>
                    <w:t>空压机</w:t>
                  </w:r>
                </w:p>
              </w:tc>
              <w:tc>
                <w:tcPr>
                  <w:tcW w:w="703" w:type="pct"/>
                  <w:shd w:val="clear" w:color="auto" w:fill="FFFFFF" w:themeFill="background1"/>
                  <w:vAlign w:val="center"/>
                </w:tcPr>
                <w:p w14:paraId="507B71F2">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64.4</w:t>
                  </w:r>
                </w:p>
              </w:tc>
              <w:tc>
                <w:tcPr>
                  <w:tcW w:w="705" w:type="pct"/>
                  <w:shd w:val="clear" w:color="auto" w:fill="FFFFFF" w:themeFill="background1"/>
                  <w:vAlign w:val="center"/>
                </w:tcPr>
                <w:p w14:paraId="5F0668CC">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60.0</w:t>
                  </w:r>
                </w:p>
              </w:tc>
              <w:tc>
                <w:tcPr>
                  <w:tcW w:w="705" w:type="pct"/>
                  <w:shd w:val="clear" w:color="auto" w:fill="FFFFFF" w:themeFill="background1"/>
                  <w:vAlign w:val="center"/>
                </w:tcPr>
                <w:p w14:paraId="3110F6C6">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55.9</w:t>
                  </w:r>
                </w:p>
              </w:tc>
              <w:tc>
                <w:tcPr>
                  <w:tcW w:w="705" w:type="pct"/>
                  <w:shd w:val="clear" w:color="auto" w:fill="FFFFFF" w:themeFill="background1"/>
                  <w:vAlign w:val="center"/>
                </w:tcPr>
                <w:p w14:paraId="34BE9C5E">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54.0</w:t>
                  </w:r>
                </w:p>
              </w:tc>
              <w:tc>
                <w:tcPr>
                  <w:tcW w:w="705" w:type="pct"/>
                  <w:shd w:val="clear" w:color="auto" w:fill="FFFFFF" w:themeFill="background1"/>
                  <w:vAlign w:val="center"/>
                </w:tcPr>
                <w:p w14:paraId="09BDCC5A">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50.5</w:t>
                  </w:r>
                </w:p>
              </w:tc>
              <w:tc>
                <w:tcPr>
                  <w:tcW w:w="714" w:type="pct"/>
                  <w:shd w:val="clear" w:color="auto" w:fill="FFFFFF" w:themeFill="background1"/>
                  <w:vAlign w:val="center"/>
                </w:tcPr>
                <w:p w14:paraId="1E35F613">
                  <w:pPr>
                    <w:pStyle w:val="46"/>
                    <w:spacing w:before="24" w:after="24" w:line="240" w:lineRule="auto"/>
                    <w:ind w:firstLine="0" w:firstLineChars="0"/>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48.0</w:t>
                  </w:r>
                </w:p>
              </w:tc>
            </w:tr>
          </w:tbl>
          <w:p w14:paraId="56C3DEF0">
            <w:pPr>
              <w:keepNext w:val="0"/>
              <w:keepLines w:val="0"/>
              <w:pageBreakBefore w:val="0"/>
              <w:widowControl w:val="0"/>
              <w:kinsoku/>
              <w:wordWrap/>
              <w:overflowPunct/>
              <w:topLinePunct w:val="0"/>
              <w:autoSpaceDE/>
              <w:autoSpaceDN/>
              <w:bidi w:val="0"/>
              <w:adjustRightInd/>
              <w:snapToGrid/>
              <w:spacing w:before="157" w:beforeLines="50"/>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述预测，噪声经过距离衰减，在距离施工机械200m处昼间噪声值可以达到《工业企业厂界环境噪声排放标准》（GB21906-2008）中2类标准（昼间60dB（A））要求，根据现场调查，矿区周边200m范围内无噪声敏感点。同时，环评要求尽量采用低噪声设备，降低高噪声设备的作业时间，运输车辆加强维修保养，限速行驶。此外，矿山爆破采用多排微差爆破，每5天爆破一次，爆破作业次数少，且均在白天进行，影响时间短。同时，采矿作业爆破方式选择多排孔微差爆破，可有效降低爆破地震效应。因此，采矿区噪声基本不会对周边声环境产生影响。</w:t>
            </w:r>
          </w:p>
          <w:p w14:paraId="4C25C96F">
            <w:pPr>
              <w:ind w:firstLine="420"/>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4"/>
                <w:szCs w:val="24"/>
              </w:rPr>
              <w:t>综上所述，采取各项有效措施后，本项目对周围声环境影响较小。</w:t>
            </w:r>
          </w:p>
          <w:p w14:paraId="4AD40BE8">
            <w:pPr>
              <w:pStyle w:val="23"/>
              <w:spacing w:after="0" w:line="240" w:lineRule="auto"/>
              <w:ind w:left="0" w:leftChars="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cs="Times New Roman"/>
                <w:b/>
                <w:bCs/>
                <w:color w:val="auto"/>
                <w:sz w:val="24"/>
                <w:szCs w:val="24"/>
                <w:lang w:val="en-US" w:eastAsia="zh-CN"/>
              </w:rPr>
              <w:t>9</w:t>
            </w:r>
            <w:r>
              <w:rPr>
                <w:rFonts w:hint="default" w:ascii="Times New Roman" w:hAnsi="Times New Roman" w:eastAsia="宋体" w:cs="Times New Roman"/>
                <w:b/>
                <w:bCs/>
                <w:color w:val="auto"/>
                <w:sz w:val="24"/>
                <w:szCs w:val="24"/>
              </w:rPr>
              <w:t>监测计划一览表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52"/>
              <w:gridCol w:w="1102"/>
              <w:gridCol w:w="1183"/>
              <w:gridCol w:w="1090"/>
              <w:gridCol w:w="3047"/>
            </w:tblGrid>
            <w:tr w14:paraId="0EEB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5" w:hRule="atLeast"/>
                <w:jc w:val="center"/>
              </w:trPr>
              <w:tc>
                <w:tcPr>
                  <w:tcW w:w="645" w:type="pct"/>
                  <w:tcBorders>
                    <w:tl2br w:val="nil"/>
                    <w:tr2bl w:val="nil"/>
                  </w:tcBorders>
                  <w:shd w:val="clear" w:color="auto" w:fill="FFFFFF" w:themeFill="background1"/>
                  <w:vAlign w:val="center"/>
                </w:tcPr>
                <w:p w14:paraId="6E1BB567">
                  <w:pPr>
                    <w:pStyle w:val="60"/>
                    <w:adjustRightInd w:val="0"/>
                    <w:snapToGrid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污染源</w:t>
                  </w:r>
                </w:p>
              </w:tc>
              <w:tc>
                <w:tcPr>
                  <w:tcW w:w="747" w:type="pct"/>
                  <w:tcBorders>
                    <w:tl2br w:val="nil"/>
                    <w:tr2bl w:val="nil"/>
                  </w:tcBorders>
                  <w:shd w:val="clear" w:color="auto" w:fill="FFFFFF" w:themeFill="background1"/>
                  <w:vAlign w:val="center"/>
                </w:tcPr>
                <w:p w14:paraId="1994BDE6">
                  <w:pPr>
                    <w:pStyle w:val="60"/>
                    <w:adjustRightInd w:val="0"/>
                    <w:snapToGrid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监测点位</w:t>
                  </w:r>
                </w:p>
              </w:tc>
              <w:tc>
                <w:tcPr>
                  <w:tcW w:w="802" w:type="pct"/>
                  <w:tcBorders>
                    <w:tl2br w:val="nil"/>
                    <w:tr2bl w:val="nil"/>
                  </w:tcBorders>
                  <w:shd w:val="clear" w:color="auto" w:fill="FFFFFF" w:themeFill="background1"/>
                  <w:vAlign w:val="center"/>
                </w:tcPr>
                <w:p w14:paraId="3171A35C">
                  <w:pPr>
                    <w:pStyle w:val="60"/>
                    <w:adjustRightInd w:val="0"/>
                    <w:snapToGrid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监测项目</w:t>
                  </w:r>
                </w:p>
              </w:tc>
              <w:tc>
                <w:tcPr>
                  <w:tcW w:w="739" w:type="pct"/>
                  <w:tcBorders>
                    <w:tl2br w:val="nil"/>
                    <w:tr2bl w:val="nil"/>
                  </w:tcBorders>
                  <w:shd w:val="clear" w:color="auto" w:fill="FFFFFF" w:themeFill="background1"/>
                  <w:vAlign w:val="center"/>
                </w:tcPr>
                <w:p w14:paraId="28C2914E">
                  <w:pPr>
                    <w:pStyle w:val="60"/>
                    <w:adjustRightInd w:val="0"/>
                    <w:snapToGrid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监测频率</w:t>
                  </w:r>
                </w:p>
              </w:tc>
              <w:tc>
                <w:tcPr>
                  <w:tcW w:w="2065" w:type="pct"/>
                  <w:tcBorders>
                    <w:tl2br w:val="nil"/>
                    <w:tr2bl w:val="nil"/>
                  </w:tcBorders>
                  <w:shd w:val="clear" w:color="auto" w:fill="FFFFFF" w:themeFill="background1"/>
                  <w:vAlign w:val="center"/>
                </w:tcPr>
                <w:p w14:paraId="4F87C591">
                  <w:pPr>
                    <w:pStyle w:val="60"/>
                    <w:wordWrap w:val="0"/>
                    <w:adjustRightInd w:val="0"/>
                    <w:snapToGrid w:val="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控制标准</w:t>
                  </w:r>
                </w:p>
              </w:tc>
            </w:tr>
            <w:tr w14:paraId="647C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45" w:type="pct"/>
                  <w:tcBorders>
                    <w:tl2br w:val="nil"/>
                    <w:tr2bl w:val="nil"/>
                  </w:tcBorders>
                  <w:shd w:val="clear" w:color="auto" w:fill="FFFFFF" w:themeFill="background1"/>
                  <w:vAlign w:val="center"/>
                </w:tcPr>
                <w:p w14:paraId="2C87A190">
                  <w:pPr>
                    <w:pStyle w:val="60"/>
                    <w:adjustRightInd w:val="0"/>
                    <w:snapToGrid w:val="0"/>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噪声</w:t>
                  </w:r>
                </w:p>
              </w:tc>
              <w:tc>
                <w:tcPr>
                  <w:tcW w:w="747" w:type="pct"/>
                  <w:tcBorders>
                    <w:tl2br w:val="nil"/>
                    <w:tr2bl w:val="nil"/>
                  </w:tcBorders>
                  <w:shd w:val="clear" w:color="auto" w:fill="FFFFFF" w:themeFill="background1"/>
                  <w:vAlign w:val="center"/>
                </w:tcPr>
                <w:p w14:paraId="56734A45">
                  <w:pPr>
                    <w:pStyle w:val="60"/>
                    <w:adjustRightInd w:val="0"/>
                    <w:snapToGrid w:val="0"/>
                    <w:rPr>
                      <w:rFonts w:hint="default" w:ascii="Times New Roman" w:hAnsi="Times New Roman" w:eastAsia="宋体" w:cs="Times New Roman"/>
                      <w:b w:val="0"/>
                      <w:bCs w:val="0"/>
                      <w:color w:val="auto"/>
                      <w:szCs w:val="21"/>
                    </w:rPr>
                  </w:pPr>
                  <w:r>
                    <w:rPr>
                      <w:rFonts w:hint="eastAsia" w:cs="Times New Roman"/>
                      <w:b w:val="0"/>
                      <w:bCs w:val="0"/>
                      <w:color w:val="auto"/>
                      <w:szCs w:val="21"/>
                      <w:lang w:eastAsia="zh-CN"/>
                    </w:rPr>
                    <w:t>露天采场</w:t>
                  </w:r>
                  <w:r>
                    <w:rPr>
                      <w:rFonts w:hint="default" w:ascii="Times New Roman" w:hAnsi="Times New Roman" w:eastAsia="宋体" w:cs="Times New Roman"/>
                      <w:b w:val="0"/>
                      <w:bCs w:val="0"/>
                      <w:color w:val="auto"/>
                      <w:szCs w:val="21"/>
                    </w:rPr>
                    <w:t>厂界四周</w:t>
                  </w:r>
                </w:p>
              </w:tc>
              <w:tc>
                <w:tcPr>
                  <w:tcW w:w="802" w:type="pct"/>
                  <w:tcBorders>
                    <w:tl2br w:val="nil"/>
                    <w:tr2bl w:val="nil"/>
                  </w:tcBorders>
                  <w:shd w:val="clear" w:color="auto" w:fill="FFFFFF" w:themeFill="background1"/>
                  <w:vAlign w:val="center"/>
                </w:tcPr>
                <w:p w14:paraId="154F2077">
                  <w:pPr>
                    <w:pStyle w:val="60"/>
                    <w:adjustRightInd w:val="0"/>
                    <w:snapToGrid w:val="0"/>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Leq(A)</w:t>
                  </w:r>
                </w:p>
              </w:tc>
              <w:tc>
                <w:tcPr>
                  <w:tcW w:w="739" w:type="pct"/>
                  <w:tcBorders>
                    <w:tl2br w:val="nil"/>
                    <w:tr2bl w:val="nil"/>
                  </w:tcBorders>
                  <w:shd w:val="clear" w:color="auto" w:fill="FFFFFF" w:themeFill="background1"/>
                  <w:vAlign w:val="center"/>
                </w:tcPr>
                <w:p w14:paraId="471E314A">
                  <w:pPr>
                    <w:pStyle w:val="60"/>
                    <w:adjustRightInd w:val="0"/>
                    <w:snapToGrid w:val="0"/>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1次/季度</w:t>
                  </w:r>
                </w:p>
              </w:tc>
              <w:tc>
                <w:tcPr>
                  <w:tcW w:w="2065" w:type="pct"/>
                  <w:tcBorders>
                    <w:tl2br w:val="nil"/>
                    <w:tr2bl w:val="nil"/>
                  </w:tcBorders>
                  <w:shd w:val="clear" w:color="auto" w:fill="FFFFFF" w:themeFill="background1"/>
                  <w:vAlign w:val="center"/>
                </w:tcPr>
                <w:p w14:paraId="635BEAF1">
                  <w:pPr>
                    <w:pStyle w:val="60"/>
                    <w:wordWrap w:val="0"/>
                    <w:adjustRightInd w:val="0"/>
                    <w:snapToGrid w:val="0"/>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《工业企业厂界环境噪声排放标准》（GB12348-2008）中的2类标准</w:t>
                  </w:r>
                </w:p>
              </w:tc>
            </w:tr>
          </w:tbl>
          <w:p w14:paraId="6D54E3A0">
            <w:pPr>
              <w:ind w:firstLine="422"/>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运营期固体废弃物</w:t>
            </w:r>
          </w:p>
          <w:p w14:paraId="136E4E65">
            <w:pPr>
              <w:ind w:firstLine="420"/>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项目产生的固体废物主要有生活垃圾、废机油、废润滑油等。</w:t>
            </w:r>
          </w:p>
          <w:p w14:paraId="79A8C1E9">
            <w:pPr>
              <w:ind w:firstLine="422"/>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 1 \* GB2 \* MERGEFORMAT </w:instrText>
            </w:r>
            <w:r>
              <w:rPr>
                <w:rFonts w:hint="default" w:ascii="Times New Roman" w:hAnsi="Times New Roman" w:eastAsia="宋体" w:cs="Times New Roman"/>
                <w:b/>
                <w:bCs/>
                <w:color w:val="auto"/>
                <w:sz w:val="24"/>
                <w:szCs w:val="24"/>
              </w:rPr>
              <w:fldChar w:fldCharType="separate"/>
            </w:r>
            <w:r>
              <w:t>⑴</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固体废物的产生及处理</w:t>
            </w:r>
          </w:p>
          <w:p w14:paraId="1F095951">
            <w:pPr>
              <w:ind w:firstLine="42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①</w:t>
            </w:r>
            <w:r>
              <w:rPr>
                <w:rFonts w:hint="eastAsia" w:cs="Times New Roman"/>
                <w:color w:val="auto"/>
                <w:sz w:val="24"/>
                <w:szCs w:val="24"/>
                <w:lang w:eastAsia="zh-CN"/>
              </w:rPr>
              <w:t>生活垃圾</w:t>
            </w:r>
          </w:p>
          <w:p w14:paraId="402E85B2">
            <w:pPr>
              <w:ind w:firstLine="42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本项目劳动定员</w:t>
            </w:r>
            <w:r>
              <w:rPr>
                <w:rFonts w:hint="eastAsia" w:cs="Times New Roman"/>
                <w:color w:val="auto"/>
                <w:sz w:val="24"/>
                <w:szCs w:val="24"/>
                <w:lang w:val="en-US" w:eastAsia="zh-CN"/>
              </w:rPr>
              <w:t>34</w:t>
            </w:r>
            <w:r>
              <w:rPr>
                <w:rFonts w:hint="default" w:ascii="Times New Roman" w:hAnsi="Times New Roman" w:eastAsia="宋体" w:cs="Times New Roman"/>
                <w:color w:val="auto"/>
                <w:sz w:val="24"/>
                <w:szCs w:val="24"/>
                <w:lang w:val="en-US" w:eastAsia="zh-CN"/>
              </w:rPr>
              <w:t>人，职工生活垃圾按照1.0kg/人•d计，则生活垃圾产生量为0.0</w:t>
            </w:r>
            <w:r>
              <w:rPr>
                <w:rFonts w:hint="eastAsia" w:cs="Times New Roman"/>
                <w:color w:val="auto"/>
                <w:sz w:val="24"/>
                <w:szCs w:val="24"/>
                <w:lang w:val="en-US" w:eastAsia="zh-CN"/>
              </w:rPr>
              <w:t>34</w:t>
            </w:r>
            <w:r>
              <w:rPr>
                <w:rFonts w:hint="default" w:ascii="Times New Roman" w:hAnsi="Times New Roman" w:eastAsia="宋体" w:cs="Times New Roman"/>
                <w:color w:val="auto"/>
                <w:sz w:val="24"/>
                <w:szCs w:val="24"/>
                <w:lang w:val="en-US" w:eastAsia="zh-CN"/>
              </w:rPr>
              <w:t>t/d（</w:t>
            </w:r>
            <w:r>
              <w:rPr>
                <w:rFonts w:hint="eastAsia" w:cs="Times New Roman"/>
                <w:color w:val="auto"/>
                <w:sz w:val="24"/>
                <w:szCs w:val="24"/>
                <w:lang w:val="en-US" w:eastAsia="zh-CN"/>
              </w:rPr>
              <w:t>10.2</w:t>
            </w:r>
            <w:r>
              <w:rPr>
                <w:rFonts w:hint="default" w:ascii="Times New Roman" w:hAnsi="Times New Roman" w:eastAsia="宋体" w:cs="Times New Roman"/>
                <w:color w:val="auto"/>
                <w:sz w:val="24"/>
                <w:szCs w:val="24"/>
                <w:lang w:val="en-US" w:eastAsia="zh-CN"/>
              </w:rPr>
              <w:t>t/a）。生活区内设置垃圾桶，</w:t>
            </w:r>
            <w:r>
              <w:rPr>
                <w:rFonts w:hint="eastAsia" w:cs="Times New Roman"/>
                <w:color w:val="auto"/>
                <w:sz w:val="24"/>
                <w:szCs w:val="24"/>
                <w:lang w:val="en-US" w:eastAsia="zh-CN"/>
              </w:rPr>
              <w:t>由香泉镇附近村民</w:t>
            </w:r>
            <w:r>
              <w:rPr>
                <w:rFonts w:hint="default" w:ascii="Times New Roman" w:hAnsi="Times New Roman" w:eastAsia="宋体" w:cs="Times New Roman"/>
                <w:color w:val="auto"/>
                <w:sz w:val="24"/>
                <w:szCs w:val="24"/>
                <w:lang w:val="en-US" w:eastAsia="zh-CN"/>
              </w:rPr>
              <w:t>处理</w:t>
            </w:r>
            <w:r>
              <w:rPr>
                <w:rFonts w:hint="eastAsia" w:cs="Times New Roman"/>
                <w:color w:val="auto"/>
                <w:sz w:val="24"/>
                <w:szCs w:val="24"/>
                <w:lang w:val="en-US" w:eastAsia="zh-CN"/>
              </w:rPr>
              <w:t>。</w:t>
            </w:r>
          </w:p>
          <w:p w14:paraId="0EDD9678">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②废机油</w:t>
            </w:r>
          </w:p>
          <w:p w14:paraId="7CC7951B">
            <w:pPr>
              <w:keepNext w:val="0"/>
              <w:keepLines w:val="0"/>
              <w:widowControl/>
              <w:suppressLineNumbers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w:t>
            </w:r>
            <w:r>
              <w:rPr>
                <w:rFonts w:hint="eastAsia" w:cs="Times New Roman"/>
                <w:color w:val="auto"/>
                <w:sz w:val="24"/>
                <w:szCs w:val="24"/>
                <w:lang w:val="en-US" w:eastAsia="zh-CN"/>
              </w:rPr>
              <w:t>建设单位提供资料</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项目实施后</w:t>
            </w:r>
            <w:r>
              <w:rPr>
                <w:rFonts w:hint="default" w:ascii="Times New Roman" w:hAnsi="Times New Roman" w:eastAsia="宋体" w:cs="Times New Roman"/>
                <w:color w:val="auto"/>
                <w:sz w:val="24"/>
                <w:szCs w:val="24"/>
              </w:rPr>
              <w:t>设备维修过程中产生的废机油为</w:t>
            </w:r>
            <w:r>
              <w:rPr>
                <w:rFonts w:hint="eastAsia" w:cs="Times New Roman"/>
                <w:color w:val="auto"/>
                <w:sz w:val="24"/>
                <w:szCs w:val="24"/>
                <w:lang w:val="en-US" w:eastAsia="zh-CN"/>
              </w:rPr>
              <w:t>0.3</w:t>
            </w:r>
            <w:r>
              <w:rPr>
                <w:rFonts w:hint="default" w:ascii="Times New Roman" w:hAnsi="Times New Roman" w:eastAsia="宋体" w:cs="Times New Roman"/>
                <w:color w:val="auto"/>
                <w:sz w:val="24"/>
                <w:szCs w:val="24"/>
              </w:rPr>
              <w:t>t/a，经收集后</w:t>
            </w:r>
            <w:r>
              <w:rPr>
                <w:rFonts w:hint="eastAsia" w:cs="Times New Roman"/>
                <w:color w:val="auto"/>
                <w:sz w:val="24"/>
                <w:szCs w:val="24"/>
                <w:lang w:val="en-US" w:eastAsia="zh-CN"/>
              </w:rPr>
              <w:t>暂存于危险废物暂存设施中，</w:t>
            </w:r>
            <w:r>
              <w:rPr>
                <w:rFonts w:hint="default" w:ascii="Times New Roman" w:hAnsi="Times New Roman" w:eastAsia="宋体" w:cs="Times New Roman"/>
                <w:color w:val="auto"/>
                <w:sz w:val="24"/>
                <w:szCs w:val="24"/>
              </w:rPr>
              <w:t>定期交由</w:t>
            </w:r>
            <w:r>
              <w:rPr>
                <w:rFonts w:hint="eastAsia" w:cs="Times New Roman"/>
                <w:color w:val="auto"/>
                <w:sz w:val="24"/>
                <w:szCs w:val="24"/>
                <w:lang w:val="en-US" w:eastAsia="zh-CN"/>
              </w:rPr>
              <w:t>有资质单位</w:t>
            </w:r>
            <w:r>
              <w:rPr>
                <w:rFonts w:hint="default" w:ascii="Times New Roman" w:hAnsi="Times New Roman" w:eastAsia="宋体" w:cs="Times New Roman"/>
                <w:color w:val="auto"/>
                <w:sz w:val="24"/>
                <w:szCs w:val="24"/>
              </w:rPr>
              <w:t>进行处置。</w:t>
            </w:r>
          </w:p>
          <w:p w14:paraId="655182F9">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rPr>
              <w:t>③</w:t>
            </w:r>
            <w:r>
              <w:rPr>
                <w:rFonts w:hint="default" w:ascii="Times New Roman" w:hAnsi="Times New Roman" w:eastAsia="宋体" w:cs="Times New Roman"/>
                <w:color w:val="auto"/>
                <w:sz w:val="24"/>
                <w:szCs w:val="24"/>
              </w:rPr>
              <w:t>废润滑油</w:t>
            </w:r>
          </w:p>
          <w:p w14:paraId="3A1E566B">
            <w:pPr>
              <w:keepNext w:val="0"/>
              <w:keepLines w:val="0"/>
              <w:widowControl/>
              <w:suppressLineNumbers w:val="0"/>
              <w:jc w:val="left"/>
              <w:rPr>
                <w:rFonts w:hint="default" w:ascii="Times New Roman" w:hAnsi="Times New Roman" w:eastAsia="宋体" w:cs="Times New Roman"/>
                <w:color w:val="auto"/>
                <w:sz w:val="24"/>
                <w:szCs w:val="24"/>
                <w:lang w:val="en-GB"/>
              </w:rPr>
            </w:pPr>
            <w:r>
              <w:rPr>
                <w:rFonts w:hint="default" w:ascii="Times New Roman" w:hAnsi="Times New Roman" w:eastAsia="宋体" w:cs="Times New Roman"/>
                <w:color w:val="auto"/>
                <w:sz w:val="24"/>
                <w:szCs w:val="24"/>
                <w:lang w:val="en-US" w:eastAsia="zh-CN"/>
              </w:rPr>
              <w:t>根据</w:t>
            </w:r>
            <w:r>
              <w:rPr>
                <w:rFonts w:hint="eastAsia" w:cs="Times New Roman"/>
                <w:color w:val="auto"/>
                <w:sz w:val="24"/>
                <w:szCs w:val="24"/>
                <w:lang w:val="en-US" w:eastAsia="zh-CN"/>
              </w:rPr>
              <w:t>建设单位提供资料</w:t>
            </w:r>
            <w:r>
              <w:rPr>
                <w:rFonts w:hint="default" w:ascii="Times New Roman" w:hAnsi="Times New Roman" w:eastAsia="宋体" w:cs="Times New Roman"/>
                <w:color w:val="auto"/>
                <w:sz w:val="24"/>
                <w:szCs w:val="24"/>
              </w:rPr>
              <w:t>，设备维修过程中产生的废润滑油为</w:t>
            </w:r>
            <w:r>
              <w:rPr>
                <w:rFonts w:hint="eastAsia" w:cs="Times New Roman"/>
                <w:color w:val="auto"/>
                <w:sz w:val="24"/>
                <w:szCs w:val="24"/>
                <w:lang w:val="en-US" w:eastAsia="zh-CN"/>
              </w:rPr>
              <w:t>0.5</w:t>
            </w:r>
            <w:r>
              <w:rPr>
                <w:rFonts w:hint="default" w:ascii="Times New Roman" w:hAnsi="Times New Roman" w:eastAsia="宋体" w:cs="Times New Roman"/>
                <w:color w:val="auto"/>
                <w:sz w:val="24"/>
                <w:szCs w:val="24"/>
              </w:rPr>
              <w:t>t/a，经收集后</w:t>
            </w:r>
            <w:r>
              <w:rPr>
                <w:rFonts w:hint="eastAsia" w:cs="Times New Roman"/>
                <w:color w:val="auto"/>
                <w:sz w:val="24"/>
                <w:szCs w:val="24"/>
                <w:lang w:val="en-US" w:eastAsia="zh-CN"/>
              </w:rPr>
              <w:t>暂存于危险废物暂存设施中，</w:t>
            </w:r>
            <w:r>
              <w:rPr>
                <w:rFonts w:hint="default" w:ascii="Times New Roman" w:hAnsi="Times New Roman" w:eastAsia="宋体" w:cs="Times New Roman"/>
                <w:color w:val="auto"/>
                <w:sz w:val="24"/>
                <w:szCs w:val="24"/>
              </w:rPr>
              <w:t>定期交由</w:t>
            </w:r>
            <w:r>
              <w:rPr>
                <w:rFonts w:hint="eastAsia" w:cs="Times New Roman"/>
                <w:color w:val="auto"/>
                <w:sz w:val="24"/>
                <w:szCs w:val="24"/>
                <w:lang w:val="en-US" w:eastAsia="zh-CN"/>
              </w:rPr>
              <w:t>有资质单位</w:t>
            </w:r>
            <w:r>
              <w:rPr>
                <w:rFonts w:hint="default" w:ascii="Times New Roman" w:hAnsi="Times New Roman" w:eastAsia="宋体" w:cs="Times New Roman"/>
                <w:color w:val="auto"/>
                <w:sz w:val="24"/>
                <w:szCs w:val="24"/>
              </w:rPr>
              <w:t>进行处置。</w:t>
            </w:r>
          </w:p>
          <w:p w14:paraId="740D6D2D">
            <w:pPr>
              <w:ind w:firstLine="420"/>
              <w:rPr>
                <w:rFonts w:hint="default" w:ascii="Times New Roman" w:hAnsi="Times New Roman" w:eastAsia="宋体" w:cs="Times New Roman"/>
                <w:color w:val="auto"/>
                <w:sz w:val="24"/>
                <w:szCs w:val="24"/>
                <w:lang w:val="en-GB"/>
              </w:rPr>
            </w:pPr>
            <w:r>
              <w:rPr>
                <w:rFonts w:hint="default" w:ascii="Times New Roman" w:hAnsi="Times New Roman" w:eastAsia="宋体" w:cs="Times New Roman"/>
                <w:color w:val="auto"/>
                <w:kern w:val="0"/>
                <w:sz w:val="24"/>
                <w:szCs w:val="24"/>
                <w:lang w:val="en-GB"/>
              </w:rPr>
              <w:t>综上所述，</w:t>
            </w:r>
            <w:r>
              <w:rPr>
                <w:rFonts w:hint="default" w:ascii="Times New Roman" w:hAnsi="Times New Roman" w:eastAsia="宋体" w:cs="Times New Roman"/>
                <w:color w:val="auto"/>
                <w:sz w:val="24"/>
                <w:szCs w:val="24"/>
                <w:lang w:val="en-GB"/>
              </w:rPr>
              <w:t>本项目固体废物产生及处置情况见表</w:t>
            </w:r>
            <w:r>
              <w:rPr>
                <w:rFonts w:hint="default" w:ascii="Times New Roman" w:hAnsi="Times New Roman" w:eastAsia="宋体" w:cs="Times New Roman"/>
                <w:color w:val="auto"/>
                <w:sz w:val="24"/>
                <w:szCs w:val="24"/>
              </w:rPr>
              <w:t>4-1</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lang w:val="en-GB"/>
              </w:rPr>
              <w:t>所示。</w:t>
            </w:r>
          </w:p>
          <w:p w14:paraId="4C8282FF">
            <w:pPr>
              <w:autoSpaceDE w:val="0"/>
              <w:autoSpaceDN w:val="0"/>
              <w:spacing w:line="240" w:lineRule="auto"/>
              <w:ind w:firstLine="422"/>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表4-1</w:t>
            </w:r>
            <w:r>
              <w:rPr>
                <w:rFonts w:hint="eastAsia" w:cs="Times New Roman"/>
                <w:b/>
                <w:color w:val="auto"/>
                <w:sz w:val="24"/>
                <w:szCs w:val="24"/>
                <w:lang w:val="en-US" w:eastAsia="zh-CN"/>
              </w:rPr>
              <w:t>0</w:t>
            </w:r>
            <w:r>
              <w:rPr>
                <w:rFonts w:hint="default" w:ascii="Times New Roman" w:hAnsi="Times New Roman" w:eastAsia="宋体" w:cs="Times New Roman"/>
                <w:b/>
                <w:color w:val="auto"/>
                <w:sz w:val="24"/>
                <w:szCs w:val="24"/>
              </w:rPr>
              <w:t>固体废物产生量及处置措施分析</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590"/>
              <w:gridCol w:w="774"/>
              <w:gridCol w:w="1561"/>
              <w:gridCol w:w="1184"/>
              <w:gridCol w:w="982"/>
              <w:gridCol w:w="2280"/>
            </w:tblGrid>
            <w:tr w14:paraId="7274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8" w:hRule="atLeast"/>
                <w:jc w:val="center"/>
              </w:trPr>
              <w:tc>
                <w:tcPr>
                  <w:tcW w:w="400" w:type="pct"/>
                  <w:tcBorders>
                    <w:tl2br w:val="nil"/>
                    <w:tr2bl w:val="nil"/>
                  </w:tcBorders>
                  <w:shd w:val="clear" w:color="auto" w:fill="FFFFFF" w:themeFill="background1"/>
                  <w:vAlign w:val="center"/>
                </w:tcPr>
                <w:p w14:paraId="001DED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525" w:type="pct"/>
                  <w:tcBorders>
                    <w:tl2br w:val="nil"/>
                    <w:tr2bl w:val="nil"/>
                  </w:tcBorders>
                  <w:shd w:val="clear" w:color="auto" w:fill="FFFFFF" w:themeFill="background1"/>
                  <w:vAlign w:val="center"/>
                </w:tcPr>
                <w:p w14:paraId="104549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分类</w:t>
                  </w:r>
                </w:p>
              </w:tc>
              <w:tc>
                <w:tcPr>
                  <w:tcW w:w="1058" w:type="pct"/>
                  <w:tcBorders>
                    <w:tl2br w:val="nil"/>
                    <w:tr2bl w:val="nil"/>
                  </w:tcBorders>
                  <w:shd w:val="clear" w:color="auto" w:fill="FFFFFF" w:themeFill="background1"/>
                  <w:vAlign w:val="center"/>
                </w:tcPr>
                <w:p w14:paraId="0F3B3F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固体废物名称</w:t>
                  </w:r>
                </w:p>
              </w:tc>
              <w:tc>
                <w:tcPr>
                  <w:tcW w:w="803" w:type="pct"/>
                  <w:tcBorders>
                    <w:tl2br w:val="nil"/>
                    <w:tr2bl w:val="nil"/>
                  </w:tcBorders>
                  <w:shd w:val="clear" w:color="auto" w:fill="FFFFFF" w:themeFill="background1"/>
                  <w:vAlign w:val="center"/>
                </w:tcPr>
                <w:p w14:paraId="353F45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产生部位</w:t>
                  </w:r>
                </w:p>
              </w:tc>
              <w:tc>
                <w:tcPr>
                  <w:tcW w:w="666" w:type="pct"/>
                  <w:tcBorders>
                    <w:tl2br w:val="nil"/>
                    <w:tr2bl w:val="nil"/>
                  </w:tcBorders>
                  <w:shd w:val="clear" w:color="auto" w:fill="FFFFFF" w:themeFill="background1"/>
                  <w:vAlign w:val="center"/>
                </w:tcPr>
                <w:p w14:paraId="3252BA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tc>
              <w:tc>
                <w:tcPr>
                  <w:tcW w:w="1546" w:type="pct"/>
                  <w:tcBorders>
                    <w:tl2br w:val="nil"/>
                    <w:tr2bl w:val="nil"/>
                  </w:tcBorders>
                  <w:shd w:val="clear" w:color="auto" w:fill="FFFFFF" w:themeFill="background1"/>
                  <w:vAlign w:val="center"/>
                </w:tcPr>
                <w:p w14:paraId="421B9A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处置措施</w:t>
                  </w:r>
                </w:p>
              </w:tc>
            </w:tr>
            <w:tr w14:paraId="5665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00" w:type="pct"/>
                  <w:tcBorders>
                    <w:tl2br w:val="nil"/>
                    <w:tr2bl w:val="nil"/>
                  </w:tcBorders>
                  <w:shd w:val="clear" w:color="auto" w:fill="FFFFFF" w:themeFill="background1"/>
                  <w:vAlign w:val="center"/>
                </w:tcPr>
                <w:p w14:paraId="695047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525" w:type="pct"/>
                  <w:vMerge w:val="restart"/>
                  <w:tcBorders>
                    <w:tl2br w:val="nil"/>
                    <w:tr2bl w:val="nil"/>
                  </w:tcBorders>
                  <w:shd w:val="clear" w:color="auto" w:fill="FFFFFF" w:themeFill="background1"/>
                  <w:vAlign w:val="center"/>
                </w:tcPr>
                <w:p w14:paraId="1C032B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危险废物</w:t>
                  </w:r>
                </w:p>
              </w:tc>
              <w:tc>
                <w:tcPr>
                  <w:tcW w:w="1058" w:type="pct"/>
                  <w:tcBorders>
                    <w:tl2br w:val="nil"/>
                    <w:tr2bl w:val="nil"/>
                  </w:tcBorders>
                  <w:shd w:val="clear" w:color="auto" w:fill="FFFFFF" w:themeFill="background1"/>
                  <w:vAlign w:val="center"/>
                </w:tcPr>
                <w:p w14:paraId="4B6893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废机油</w:t>
                  </w:r>
                </w:p>
                <w:p w14:paraId="334A26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900-249-08</w:t>
                  </w:r>
                </w:p>
              </w:tc>
              <w:tc>
                <w:tcPr>
                  <w:tcW w:w="803" w:type="pct"/>
                  <w:vMerge w:val="restart"/>
                  <w:tcBorders>
                    <w:tl2br w:val="nil"/>
                    <w:tr2bl w:val="nil"/>
                  </w:tcBorders>
                  <w:shd w:val="clear" w:color="auto" w:fill="FFFFFF" w:themeFill="background1"/>
                  <w:vAlign w:val="center"/>
                </w:tcPr>
                <w:p w14:paraId="021623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设备维修</w:t>
                  </w:r>
                </w:p>
              </w:tc>
              <w:tc>
                <w:tcPr>
                  <w:tcW w:w="666" w:type="pct"/>
                  <w:tcBorders>
                    <w:tl2br w:val="nil"/>
                    <w:tr2bl w:val="nil"/>
                  </w:tcBorders>
                  <w:shd w:val="clear" w:color="auto" w:fill="FFFFFF" w:themeFill="background1"/>
                  <w:vAlign w:val="center"/>
                </w:tcPr>
                <w:p w14:paraId="1155F3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0.3</w:t>
                  </w:r>
                  <w:r>
                    <w:rPr>
                      <w:rFonts w:hint="default" w:ascii="Times New Roman" w:hAnsi="Times New Roman" w:eastAsia="宋体" w:cs="Times New Roman"/>
                      <w:b w:val="0"/>
                      <w:bCs w:val="0"/>
                      <w:color w:val="auto"/>
                      <w:sz w:val="21"/>
                      <w:szCs w:val="21"/>
                    </w:rPr>
                    <w:t>t/a</w:t>
                  </w:r>
                </w:p>
              </w:tc>
              <w:tc>
                <w:tcPr>
                  <w:tcW w:w="1546" w:type="pct"/>
                  <w:vMerge w:val="restart"/>
                  <w:tcBorders>
                    <w:tl2br w:val="nil"/>
                    <w:tr2bl w:val="nil"/>
                  </w:tcBorders>
                  <w:shd w:val="clear" w:color="auto" w:fill="FFFFFF" w:themeFill="background1"/>
                  <w:vAlign w:val="center"/>
                </w:tcPr>
                <w:p w14:paraId="1D35CC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经收集后定期交由</w:t>
                  </w:r>
                  <w:r>
                    <w:rPr>
                      <w:rFonts w:hint="eastAsia" w:cs="Times New Roman"/>
                      <w:b w:val="0"/>
                      <w:bCs w:val="0"/>
                      <w:color w:val="auto"/>
                      <w:sz w:val="21"/>
                      <w:szCs w:val="21"/>
                      <w:lang w:val="en-US" w:eastAsia="zh-CN"/>
                    </w:rPr>
                    <w:t>有资质单位</w:t>
                  </w:r>
                  <w:r>
                    <w:rPr>
                      <w:rFonts w:hint="default" w:ascii="Times New Roman" w:hAnsi="Times New Roman" w:eastAsia="宋体" w:cs="Times New Roman"/>
                      <w:b w:val="0"/>
                      <w:bCs w:val="0"/>
                      <w:color w:val="auto"/>
                      <w:sz w:val="21"/>
                      <w:szCs w:val="21"/>
                    </w:rPr>
                    <w:t>进行处置</w:t>
                  </w:r>
                </w:p>
              </w:tc>
            </w:tr>
            <w:tr w14:paraId="4616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00" w:type="pct"/>
                  <w:tcBorders>
                    <w:tl2br w:val="nil"/>
                    <w:tr2bl w:val="nil"/>
                  </w:tcBorders>
                  <w:shd w:val="clear" w:color="auto" w:fill="FFFFFF" w:themeFill="background1"/>
                  <w:vAlign w:val="center"/>
                </w:tcPr>
                <w:p w14:paraId="432DB7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2</w:t>
                  </w:r>
                </w:p>
              </w:tc>
              <w:tc>
                <w:tcPr>
                  <w:tcW w:w="525" w:type="pct"/>
                  <w:vMerge w:val="continue"/>
                  <w:tcBorders>
                    <w:tl2br w:val="nil"/>
                    <w:tr2bl w:val="nil"/>
                  </w:tcBorders>
                  <w:shd w:val="clear" w:color="auto" w:fill="FFFFFF" w:themeFill="background1"/>
                  <w:vAlign w:val="center"/>
                </w:tcPr>
                <w:p w14:paraId="0DE9CD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1058" w:type="pct"/>
                  <w:tcBorders>
                    <w:tl2br w:val="nil"/>
                    <w:tr2bl w:val="nil"/>
                  </w:tcBorders>
                  <w:shd w:val="clear" w:color="auto" w:fill="FFFFFF" w:themeFill="background1"/>
                  <w:vAlign w:val="center"/>
                </w:tcPr>
                <w:p w14:paraId="65AA4F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废润滑油</w:t>
                  </w:r>
                </w:p>
                <w:p w14:paraId="7A7DB4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900-214-08</w:t>
                  </w:r>
                </w:p>
              </w:tc>
              <w:tc>
                <w:tcPr>
                  <w:tcW w:w="803" w:type="pct"/>
                  <w:vMerge w:val="continue"/>
                  <w:tcBorders>
                    <w:tl2br w:val="nil"/>
                    <w:tr2bl w:val="nil"/>
                  </w:tcBorders>
                  <w:shd w:val="clear" w:color="auto" w:fill="FFFFFF" w:themeFill="background1"/>
                  <w:vAlign w:val="center"/>
                </w:tcPr>
                <w:p w14:paraId="5E0F96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666" w:type="pct"/>
                  <w:tcBorders>
                    <w:tl2br w:val="nil"/>
                    <w:tr2bl w:val="nil"/>
                  </w:tcBorders>
                  <w:shd w:val="clear" w:color="auto" w:fill="FFFFFF" w:themeFill="background1"/>
                  <w:vAlign w:val="center"/>
                </w:tcPr>
                <w:p w14:paraId="0F760A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0.5</w:t>
                  </w:r>
                  <w:r>
                    <w:rPr>
                      <w:rFonts w:hint="default" w:ascii="Times New Roman" w:hAnsi="Times New Roman" w:eastAsia="宋体" w:cs="Times New Roman"/>
                      <w:b w:val="0"/>
                      <w:bCs w:val="0"/>
                      <w:color w:val="auto"/>
                      <w:sz w:val="21"/>
                      <w:szCs w:val="21"/>
                    </w:rPr>
                    <w:t>t/a</w:t>
                  </w:r>
                </w:p>
              </w:tc>
              <w:tc>
                <w:tcPr>
                  <w:tcW w:w="1546" w:type="pct"/>
                  <w:vMerge w:val="continue"/>
                  <w:tcBorders>
                    <w:tl2br w:val="nil"/>
                    <w:tr2bl w:val="nil"/>
                  </w:tcBorders>
                  <w:shd w:val="clear" w:color="auto" w:fill="FFFFFF" w:themeFill="background1"/>
                  <w:vAlign w:val="center"/>
                </w:tcPr>
                <w:p w14:paraId="5FFAF5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rPr>
                  </w:pPr>
                </w:p>
              </w:tc>
            </w:tr>
          </w:tbl>
          <w:p w14:paraId="5A024D2B">
            <w:pPr>
              <w:ind w:firstLine="422"/>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 2 \* GB2 \* MERGEFORMAT </w:instrText>
            </w:r>
            <w:r>
              <w:rPr>
                <w:rFonts w:hint="default" w:ascii="Times New Roman" w:hAnsi="Times New Roman" w:eastAsia="宋体" w:cs="Times New Roman"/>
                <w:b/>
                <w:bCs/>
                <w:color w:val="auto"/>
                <w:sz w:val="24"/>
                <w:szCs w:val="24"/>
              </w:rPr>
              <w:fldChar w:fldCharType="separate"/>
            </w:r>
            <w:r>
              <w:rPr>
                <w:b/>
                <w:bCs/>
              </w:rPr>
              <w:t>⑵</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固体废物管理要求</w:t>
            </w:r>
          </w:p>
          <w:p w14:paraId="5C16F6F0">
            <w:pPr>
              <w:pStyle w:val="23"/>
              <w:keepNext w:val="0"/>
              <w:keepLines w:val="0"/>
              <w:pageBreakBefore w:val="0"/>
              <w:widowControl w:val="0"/>
              <w:kinsoku/>
              <w:wordWrap/>
              <w:overflowPunct/>
              <w:topLinePunct w:val="0"/>
              <w:autoSpaceDE/>
              <w:autoSpaceDN/>
              <w:bidi w:val="0"/>
              <w:adjustRightInd/>
              <w:snapToGrid/>
              <w:spacing w:after="0"/>
              <w:ind w:left="0" w:leftChars="0" w:firstLine="482" w:firstLineChars="0"/>
              <w:textAlignment w:val="auto"/>
              <w:rPr>
                <w:rFonts w:hint="eastAsia" w:cs="Times New Roman"/>
                <w:color w:val="auto"/>
                <w:sz w:val="24"/>
                <w:szCs w:val="24"/>
                <w:lang w:val="en-US" w:eastAsia="zh-CN"/>
              </w:rPr>
            </w:pPr>
            <w:r>
              <w:rPr>
                <w:rFonts w:hint="eastAsia" w:cs="Times New Roman"/>
                <w:color w:val="auto"/>
                <w:sz w:val="24"/>
                <w:szCs w:val="24"/>
                <w:lang w:val="en-US" w:eastAsia="zh-CN"/>
              </w:rPr>
              <w:t>危险废物：</w:t>
            </w:r>
          </w:p>
          <w:p w14:paraId="2AE9DC2B">
            <w:pPr>
              <w:pStyle w:val="23"/>
              <w:keepNext w:val="0"/>
              <w:keepLines w:val="0"/>
              <w:pageBreakBefore w:val="0"/>
              <w:widowControl w:val="0"/>
              <w:kinsoku/>
              <w:wordWrap/>
              <w:overflowPunct/>
              <w:topLinePunct w:val="0"/>
              <w:autoSpaceDE/>
              <w:autoSpaceDN/>
              <w:bidi w:val="0"/>
              <w:adjustRightInd/>
              <w:snapToGrid/>
              <w:spacing w:after="0"/>
              <w:ind w:left="0" w:leftChars="0" w:firstLine="482" w:firstLineChars="0"/>
              <w:textAlignment w:val="auto"/>
              <w:rPr>
                <w:rFonts w:hint="default" w:ascii="Times New Roman" w:hAnsi="Times New Roman" w:eastAsia="宋体" w:cs="Times New Roman"/>
                <w:color w:val="auto"/>
                <w:sz w:val="24"/>
                <w:szCs w:val="24"/>
                <w:lang w:eastAsia="zh-TW"/>
              </w:rPr>
            </w:pPr>
            <w:r>
              <w:rPr>
                <w:rFonts w:hint="default" w:ascii="Times New Roman" w:hAnsi="Times New Roman" w:eastAsia="宋体" w:cs="Times New Roman"/>
                <w:color w:val="auto"/>
                <w:sz w:val="24"/>
                <w:szCs w:val="24"/>
                <w:lang w:eastAsia="zh-TW"/>
              </w:rPr>
              <w:t>项目产生的危险废物</w:t>
            </w:r>
            <w:r>
              <w:rPr>
                <w:rFonts w:hint="eastAsia" w:cs="Times New Roman"/>
                <w:color w:val="auto"/>
                <w:sz w:val="24"/>
                <w:szCs w:val="24"/>
                <w:lang w:val="en-US" w:eastAsia="zh-CN"/>
              </w:rPr>
              <w:t>建设危险废物暂存设施</w:t>
            </w:r>
            <w:r>
              <w:rPr>
                <w:rFonts w:hint="default" w:ascii="Times New Roman" w:hAnsi="Times New Roman" w:eastAsia="宋体" w:cs="Times New Roman"/>
                <w:color w:val="auto"/>
                <w:sz w:val="24"/>
                <w:szCs w:val="24"/>
                <w:lang w:eastAsia="zh-TW"/>
              </w:rPr>
              <w:t>，本次环评要求严格按照《危险废物贮存污染控制标准》（GB18597-20</w:t>
            </w:r>
            <w:r>
              <w:rPr>
                <w:rFonts w:hint="eastAsia" w:cs="Times New Roman"/>
                <w:color w:val="auto"/>
                <w:sz w:val="24"/>
                <w:szCs w:val="24"/>
                <w:lang w:val="en-US" w:eastAsia="zh-CN"/>
              </w:rPr>
              <w:t>23</w:t>
            </w:r>
            <w:r>
              <w:rPr>
                <w:rFonts w:hint="default" w:ascii="Times New Roman" w:hAnsi="Times New Roman" w:eastAsia="宋体" w:cs="Times New Roman"/>
                <w:color w:val="auto"/>
                <w:sz w:val="24"/>
                <w:szCs w:val="24"/>
                <w:lang w:eastAsia="zh-TW"/>
              </w:rPr>
              <w:t>）相关要求对其进行收集、贮存、转移及运输。</w:t>
            </w:r>
          </w:p>
          <w:p w14:paraId="1C465F9B">
            <w:pPr>
              <w:adjustRightInd w:val="0"/>
              <w:snapToGrid w:val="0"/>
              <w:ind w:firstLine="42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TW"/>
              </w:rPr>
              <w:t>经采取以上处理处置措施后，</w:t>
            </w:r>
            <w:r>
              <w:rPr>
                <w:rFonts w:hint="eastAsia" w:cs="Times New Roman"/>
                <w:bCs/>
                <w:color w:val="auto"/>
                <w:sz w:val="24"/>
                <w:szCs w:val="24"/>
                <w:lang w:val="en-US" w:eastAsia="zh-CN"/>
              </w:rPr>
              <w:t>项目产生的</w:t>
            </w:r>
            <w:r>
              <w:rPr>
                <w:rFonts w:hint="default" w:ascii="Times New Roman" w:hAnsi="Times New Roman" w:eastAsia="宋体" w:cs="Times New Roman"/>
                <w:bCs/>
                <w:color w:val="auto"/>
                <w:sz w:val="24"/>
                <w:szCs w:val="24"/>
                <w:lang w:eastAsia="zh-TW"/>
              </w:rPr>
              <w:t>固体废物不会对周边环境造成污染</w:t>
            </w:r>
            <w:r>
              <w:rPr>
                <w:rFonts w:hint="default" w:ascii="Times New Roman" w:hAnsi="Times New Roman" w:eastAsia="宋体" w:cs="Times New Roman"/>
                <w:bCs/>
                <w:color w:val="auto"/>
                <w:sz w:val="24"/>
                <w:szCs w:val="24"/>
              </w:rPr>
              <w:t>。</w:t>
            </w:r>
          </w:p>
          <w:p w14:paraId="0CE39B38">
            <w:pPr>
              <w:numPr>
                <w:ilvl w:val="0"/>
                <w:numId w:val="0"/>
              </w:numPr>
              <w:adjustRightInd w:val="0"/>
              <w:snapToGrid w:val="0"/>
              <w:ind w:firstLine="482" w:firstLineChars="200"/>
              <w:rPr>
                <w:rFonts w:hint="eastAsia" w:cs="Times New Roman"/>
                <w:b/>
                <w:color w:val="auto"/>
                <w:sz w:val="24"/>
                <w:szCs w:val="24"/>
                <w:lang w:val="en-US" w:eastAsia="zh-CN"/>
              </w:rPr>
            </w:pPr>
            <w:r>
              <w:rPr>
                <w:rFonts w:hint="eastAsia" w:cs="Times New Roman"/>
                <w:b/>
                <w:color w:val="auto"/>
                <w:sz w:val="24"/>
                <w:szCs w:val="24"/>
                <w:lang w:val="en-US" w:eastAsia="zh-CN"/>
              </w:rPr>
              <w:t>5.地下水和土壤环境影响分析</w:t>
            </w:r>
          </w:p>
          <w:p w14:paraId="129E0465">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运营期对土壤环境的影响主要是水污染、大气污染以及固体废物堆存与淋溶入渗对项目区地下水和土壤环境的影响。</w:t>
            </w:r>
          </w:p>
          <w:p w14:paraId="731E440E">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本项目投产后，露天采场、矿区运输道路产生的粉尘将会对周围地区土壤产生一定影响。但由于评价对各工段的粉尘排放都采取严格的污染防治措施，不会对地下水和土壤造成影响。</w:t>
            </w:r>
          </w:p>
          <w:p w14:paraId="7BBF4AD3">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color w:val="auto"/>
                <w:sz w:val="24"/>
                <w:szCs w:val="24"/>
                <w:lang w:val="en-US" w:eastAsia="zh-CN"/>
              </w:rPr>
              <w:t>根据环境影响评价技术导则土壤环境（试行）》（HJ964-2018）中表2生态影响性评价工作等级划分表，本项目土壤评价等级为“-”，可不开展土壤环境影响评价工作</w:t>
            </w:r>
            <w:r>
              <w:rPr>
                <w:rFonts w:hint="eastAsia" w:cs="Times New Roman"/>
                <w:b w:val="0"/>
                <w:bCs/>
                <w:color w:val="auto"/>
                <w:sz w:val="24"/>
                <w:szCs w:val="24"/>
                <w:lang w:val="en-US" w:eastAsia="zh-CN"/>
              </w:rPr>
              <w:t>。本项目为矿山开采，开采砂石不含重金属、有机物，且矿石成分稳定，不易发生化学反应，本项目生产工艺和排放污染物不会造成土壤盐化、碱化和酸化，因此本项目对土壤环境的影响较小。</w:t>
            </w:r>
          </w:p>
          <w:p w14:paraId="42F9BFC9">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本项目对土壤环境的影响主要体现在矿山开采期间形成露天采坑区、矿山工业场地等建筑物的建设将破坏地表植被以及表土层。主要为表土的剥离，矿石的开采使土壤的结构和层次受到破坏，造成土壤生态系统的功能恶化，当遇到雨水时，会产生水土流失，严重时引发泥石流，从而使地表的表层土壤受到扰动，促使土壤结构发生改变，使土壤变得贫瘠，不利于植被的生产和恢复。相对整个评价区域，这种影响较小，待服务期满后对其进行全面的生态恢复后，会得到恢复。</w:t>
            </w:r>
          </w:p>
          <w:p w14:paraId="2A5B646F">
            <w:pPr>
              <w:numPr>
                <w:ilvl w:val="0"/>
                <w:numId w:val="0"/>
              </w:numPr>
              <w:adjustRightInd w:val="0"/>
              <w:snapToGrid w:val="0"/>
              <w:ind w:firstLine="482" w:firstLineChars="200"/>
              <w:rPr>
                <w:rFonts w:hint="default" w:cs="Times New Roman"/>
                <w:b/>
                <w:color w:val="auto"/>
                <w:sz w:val="24"/>
                <w:szCs w:val="24"/>
                <w:lang w:val="en-US" w:eastAsia="zh-CN"/>
              </w:rPr>
            </w:pPr>
            <w:r>
              <w:rPr>
                <w:rFonts w:hint="eastAsia" w:cs="Times New Roman"/>
                <w:b/>
                <w:color w:val="auto"/>
                <w:sz w:val="24"/>
                <w:szCs w:val="24"/>
                <w:lang w:val="en-US" w:eastAsia="zh-CN"/>
              </w:rPr>
              <w:t>6、生态环境影响分析</w:t>
            </w:r>
          </w:p>
          <w:p w14:paraId="7EA000E4">
            <w:pPr>
              <w:numPr>
                <w:ilvl w:val="0"/>
                <w:numId w:val="0"/>
              </w:numPr>
              <w:adjustRightInd w:val="0"/>
              <w:snapToGrid w:val="0"/>
              <w:ind w:firstLine="482" w:firstLineChars="200"/>
              <w:rPr>
                <w:rFonts w:hint="eastAsia" w:cs="Times New Roman"/>
                <w:b/>
                <w:color w:val="auto"/>
                <w:sz w:val="24"/>
                <w:szCs w:val="24"/>
                <w:lang w:val="en-US" w:eastAsia="zh-CN"/>
              </w:rPr>
            </w:pPr>
            <w:r>
              <w:rPr>
                <w:rFonts w:hint="eastAsia" w:cs="Times New Roman"/>
                <w:b/>
                <w:color w:val="auto"/>
                <w:sz w:val="24"/>
                <w:szCs w:val="24"/>
                <w:lang w:val="en-US" w:eastAsia="zh-CN"/>
              </w:rPr>
              <w:t>（1）对植物的影响</w:t>
            </w:r>
          </w:p>
          <w:p w14:paraId="220308FC">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本项目矿区在开采过程中剥离表土对土壤扰动、地表植被造成破坏，改变原有土地类型，降低土壤的抗侵蚀能力，加剧水土流失。剥离物的堆放占用土地，改变土地使用功能和景观。如生态破坏程度过大或得不到及时修复，可能导致区域生态环境进一步衰退。建设单位需要在开采过程中要注意保护植被，将露天采场、表土堆放场和矿山运输道路的占地范围控制在设计范围之内，严禁外扩范围，减少植被破坏面积。开采运行过程中区域的植被均被破坏，损失一定的生物量、破坏和影响矿区周围环境的植被覆盖率和数量、增加土壤侵蚀，加剧水土流失等。</w:t>
            </w:r>
          </w:p>
          <w:p w14:paraId="40CD5A0E">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本项目挖损和压占的植被在项目区域周边分布广泛和常见，因此，本项目的建设对区域的植物和植被影响较小，待项目闭矿后完成生态恢复和复垦后，植被的影响将恢复。</w:t>
            </w:r>
          </w:p>
          <w:p w14:paraId="6FC2B57C">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本项目在开采过程中，建设单位需要严格落实边开采边复垦的生态恢复要求。同时，服务期满后立即对采场边坡和台阶等进行复垦绿化，在植被逐渐恢复后其对植被的影响将减缓；进行植被重建及矿区的绿化和生态建设工作，届时矿区将成为自然和人工复合的生态系统，对区域生态环境的影响减缓，区域内植被开始恢复。</w:t>
            </w:r>
          </w:p>
          <w:p w14:paraId="1990102F">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本项目采矿工程结束后，及时复垦，利用原表层土回填，种植原生植被，控制水土流失，修复破碎的生态系统，恢复土地斑块完整性，恢复植被分离度、层次，恢复景观多样性、增加优势度、连通性，尽量恢复原有斑块空间布局、形状和丰度，增加空间异质性，恢复植被覆盖度。</w:t>
            </w:r>
          </w:p>
          <w:p w14:paraId="5B2188A8">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项目采矿期会对生态完整性产生一定影响，闭坑恢复后，对生态完整性影响小，区域生态系统可以接受。</w:t>
            </w:r>
          </w:p>
          <w:p w14:paraId="50BEE3FE">
            <w:pPr>
              <w:numPr>
                <w:ilvl w:val="0"/>
                <w:numId w:val="0"/>
              </w:numPr>
              <w:adjustRightInd w:val="0"/>
              <w:snapToGrid w:val="0"/>
              <w:ind w:firstLine="480" w:firstLineChars="200"/>
              <w:rPr>
                <w:rFonts w:hint="eastAsia" w:cs="Times New Roman"/>
                <w:b/>
                <w:color w:val="auto"/>
                <w:sz w:val="24"/>
                <w:szCs w:val="24"/>
                <w:lang w:val="en-US" w:eastAsia="zh-CN"/>
              </w:rPr>
            </w:pPr>
            <w:r>
              <w:rPr>
                <w:rFonts w:hint="eastAsia" w:cs="Times New Roman"/>
                <w:b w:val="0"/>
                <w:bCs/>
                <w:color w:val="auto"/>
                <w:sz w:val="24"/>
                <w:szCs w:val="24"/>
                <w:lang w:val="en-US" w:eastAsia="zh-CN"/>
              </w:rPr>
              <w:t>由于植物生境的破坏，使得植被覆盖度降低，植物生产能力下降，生物多样性降低，从而导致环境功能的下降，再加上动物的迁移，使矿区范围内的总生物量减少，对局部区域的生物量有一定影响。但矿区所在地现存的植物物种是周边地区常见的物种，调查期间未发现区域范围内有受保护的珍稀植物。只要项目注意及时利用当地植被物种进行复垦绿化，不会对当地及邻近地区植物种类的生存和繁衍造成严重影响。</w:t>
            </w:r>
          </w:p>
          <w:p w14:paraId="3E06EE76">
            <w:pPr>
              <w:numPr>
                <w:ilvl w:val="0"/>
                <w:numId w:val="0"/>
              </w:numPr>
              <w:adjustRightInd w:val="0"/>
              <w:snapToGrid w:val="0"/>
              <w:ind w:firstLine="482" w:firstLineChars="200"/>
              <w:rPr>
                <w:rFonts w:hint="default" w:cs="Times New Roman"/>
                <w:b/>
                <w:color w:val="auto"/>
                <w:sz w:val="24"/>
                <w:szCs w:val="24"/>
                <w:lang w:val="en-US" w:eastAsia="zh-CN"/>
              </w:rPr>
            </w:pPr>
            <w:r>
              <w:rPr>
                <w:rFonts w:hint="eastAsia" w:cs="Times New Roman"/>
                <w:b/>
                <w:color w:val="auto"/>
                <w:sz w:val="24"/>
                <w:szCs w:val="24"/>
                <w:lang w:val="en-US" w:eastAsia="zh-CN"/>
              </w:rPr>
              <w:t>（2）对野生动物的影响</w:t>
            </w:r>
          </w:p>
          <w:p w14:paraId="013E6888">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矿山项目对动物资源的影响主要为开采过程中掘进等作业会产生噪声，交通运输和施工人员的活动及使用机械也会产生噪声，</w:t>
            </w:r>
            <w:r>
              <w:rPr>
                <w:rFonts w:hint="default" w:ascii="Times New Roman" w:hAnsi="Times New Roman" w:eastAsia="宋体" w:cs="Times New Roman"/>
                <w:sz w:val="24"/>
                <w:szCs w:val="24"/>
              </w:rPr>
              <w:t>项目区地处浅山地带，野生动物种类比较稀少</w:t>
            </w:r>
            <w:r>
              <w:rPr>
                <w:rFonts w:hint="eastAsia" w:cs="Times New Roman"/>
                <w:sz w:val="24"/>
                <w:szCs w:val="24"/>
                <w:lang w:eastAsia="zh-CN"/>
              </w:rPr>
              <w:t>，也会</w:t>
            </w:r>
            <w:r>
              <w:rPr>
                <w:rFonts w:hint="eastAsia" w:cs="Times New Roman"/>
                <w:b w:val="0"/>
                <w:bCs/>
                <w:color w:val="auto"/>
                <w:sz w:val="24"/>
                <w:szCs w:val="24"/>
                <w:lang w:val="en-US" w:eastAsia="zh-CN"/>
              </w:rPr>
              <w:t>产生一定影响，对其正常生活产生干扰，造成其大部分迁离其原栖息地。</w:t>
            </w:r>
          </w:p>
          <w:p w14:paraId="763E6A95">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由于机械、运输车辆等工作噪声均产生于项目边界内，经距离衰减后矿区边界的噪声排放值将低于60dB(A)（昼间）。</w:t>
            </w:r>
          </w:p>
          <w:p w14:paraId="0CAEE0C9">
            <w:pPr>
              <w:numPr>
                <w:ilvl w:val="0"/>
                <w:numId w:val="0"/>
              </w:numPr>
              <w:adjustRightInd w:val="0"/>
              <w:snapToGrid w:val="0"/>
              <w:ind w:firstLine="480" w:firstLineChars="200"/>
              <w:rPr>
                <w:rFonts w:hint="eastAsia"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同时，本项目在一定程度上对占地范围内的自然植被进行剥离，对动物生活的栖息地造成了一定的破坏，且矿区道路和矿区人工建筑将对原有的动物栖息地起到分割和阻隔作用，使生境破碎化，动物活动范围受到限制。由于项目矿区周边地区环境条件与开采区域相同，野生动物可就近迁入周边地区继续生存繁衍，项目矿山开采对其造成的影响较小，在项目服务期满后将逐步得到恢复。综上，产生的噪声以及工程占地，对区域内动物资源有一定影响，但影响范围是局部的，不会威胁到该区域野生动物的物种生存，动物资源在项目服务期满后将逐步得到恢复。而项目矿区周边地区环境条件与开采区域相同，野生动物可就近迁入周边地区继续生存繁衍，对整个地区生态系统的功能和稳定性不会产生大的影响，基本不会引起物种的损失。</w:t>
            </w:r>
          </w:p>
          <w:p w14:paraId="6CF24F23">
            <w:pPr>
              <w:numPr>
                <w:ilvl w:val="0"/>
                <w:numId w:val="0"/>
              </w:numPr>
              <w:adjustRightInd w:val="0"/>
              <w:snapToGrid w:val="0"/>
              <w:ind w:firstLine="482" w:firstLineChars="200"/>
              <w:rPr>
                <w:rFonts w:hint="default" w:cs="Times New Roman"/>
                <w:b/>
                <w:color w:val="auto"/>
                <w:sz w:val="24"/>
                <w:szCs w:val="24"/>
                <w:lang w:val="en-US" w:eastAsia="zh-CN"/>
              </w:rPr>
            </w:pPr>
            <w:r>
              <w:rPr>
                <w:rFonts w:hint="eastAsia" w:cs="Times New Roman"/>
                <w:b/>
                <w:color w:val="auto"/>
                <w:sz w:val="24"/>
                <w:szCs w:val="24"/>
                <w:lang w:val="en-US" w:eastAsia="zh-CN"/>
              </w:rPr>
              <w:t>（3）景观影响</w:t>
            </w:r>
          </w:p>
          <w:p w14:paraId="3A2E1E40">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露天采场的采矿活动等建筑物将彻底改变矿区原有的地形地貌和生态系统的结构功能。原有的景观格局不复存在，尤其是露天采场的建设，景观将由自然景观转变露天采场景观，使矿区景观的总体异质性有所提高。</w:t>
            </w:r>
          </w:p>
          <w:p w14:paraId="19E939E9">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本项目占用林地，取而代之的是裸露矿石的露天采场，虽然部分被毁植被可分期进行植被恢复，但在全面生态修复后的3~5年内生态功能难以恢复到原有的水平。因此，本项目开采活动将使自然生态系统的稳定性受到一定的影响。但从整个评价区域内来分析，这种影响相对较小，待服务期满后进行全面的生态恢复及植被恢复后，将会得到一定程度地恢复和改善。</w:t>
            </w:r>
          </w:p>
          <w:p w14:paraId="1605D5DA">
            <w:pPr>
              <w:numPr>
                <w:ilvl w:val="0"/>
                <w:numId w:val="0"/>
              </w:numPr>
              <w:adjustRightInd w:val="0"/>
              <w:snapToGrid w:val="0"/>
              <w:ind w:firstLine="482" w:firstLineChars="200"/>
              <w:rPr>
                <w:rFonts w:hint="default" w:cs="Times New Roman"/>
                <w:b/>
                <w:color w:val="auto"/>
                <w:sz w:val="24"/>
                <w:szCs w:val="24"/>
                <w:lang w:val="en-US" w:eastAsia="zh-CN"/>
              </w:rPr>
            </w:pPr>
            <w:r>
              <w:rPr>
                <w:rFonts w:hint="eastAsia" w:cs="Times New Roman"/>
                <w:b/>
                <w:color w:val="auto"/>
                <w:sz w:val="24"/>
                <w:szCs w:val="24"/>
                <w:lang w:val="en-US" w:eastAsia="zh-CN"/>
              </w:rPr>
              <w:t>（4）水土流失影响</w:t>
            </w:r>
          </w:p>
          <w:p w14:paraId="733EF160">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影响本项目的水土流失的因素主要有两个方面：一是自然因素，如：地形、地貌、水文气象、土壤、植被等因素。降雨是本项目区造成水土流失的最主要原动力，地表径流则搬运和冲刷地面泥沙，特别是高强度暴雨，会形成集中的径流，其冲刷泥沙的能力大大加强，地形地貌作为承载泥沙的主题直接影响水土流失的程度和污染范围。二是人为活动方面，主要表现在工程扰动和损坏植被，矿区内受人为活动影响强烈，表土堆放场也形成高陡人工边坡，植被被毁灭性的破坏，以至于无法恢复；这些边坡在水力的进一步作用下，可能诱发边坡位移、失稳轻者破坏下游植被，重者演变成泥石流。</w:t>
            </w:r>
          </w:p>
          <w:p w14:paraId="7244EEB4">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运行期在项目建设区合理布设好水土保持措施，才能有效地防治和减少本工程建设带来的新增水土流失，并减少生产运行期间的水土流失危害。露天采场区是水土保持的重点区域，建设期是水土流失的重点时段，同时也是水土保持监测的重点。</w:t>
            </w:r>
          </w:p>
          <w:p w14:paraId="4A45D5E5">
            <w:pPr>
              <w:numPr>
                <w:ilvl w:val="0"/>
                <w:numId w:val="0"/>
              </w:numPr>
              <w:adjustRightInd w:val="0"/>
              <w:snapToGrid w:val="0"/>
              <w:ind w:firstLine="482" w:firstLineChars="200"/>
              <w:rPr>
                <w:rFonts w:hint="default" w:cs="Times New Roman"/>
                <w:b/>
                <w:color w:val="auto"/>
                <w:sz w:val="24"/>
                <w:szCs w:val="24"/>
                <w:lang w:val="en-US" w:eastAsia="zh-CN"/>
              </w:rPr>
            </w:pPr>
            <w:r>
              <w:rPr>
                <w:rFonts w:hint="eastAsia" w:cs="Times New Roman"/>
                <w:b/>
                <w:color w:val="auto"/>
                <w:sz w:val="24"/>
                <w:szCs w:val="24"/>
                <w:lang w:val="en-US" w:eastAsia="zh-CN"/>
              </w:rPr>
              <w:t>7、闭矿期生态环境影响分析</w:t>
            </w:r>
          </w:p>
          <w:p w14:paraId="2B453226">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本矿山设计服务年限为18.1年，其后将退役，不再产生废水、废气、固体废物和噪声，也不会再对环境产生不利影响。但若矿山闭矿期不落实水土保持方案、复垦计划以及生态恢复，则对矿山开发区域带来严重的环境影响。主要的环境问题为破坏植被造成的水土流失、改变土地利用方式对地形地貌景观的破坏等问题。因此闭矿期的环境保护措施和生态恢复是矿山环境保护的重要环节。</w:t>
            </w:r>
          </w:p>
          <w:p w14:paraId="6F97CB4F">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根据《矿山生态环境保护与污染防治技术政策》（国家环境保护部、国土资源部、科技部环发〔2005〕09号文）中规定，矿山企业必须依法履行环境保护、土地复垦等义务，大力加强矿山生态环境恢复治理。加快对矿山损毁土地进行复垦，对矿山“三废进行综合治理、综合利用”。矿山服务期满后，应当按照国家有关环境保护规定进行封场，并对矿山进行生态恢复，防止造成环境污染和生态破坏。矿山服务期满的主要生态问题为区域生态环境的恢复治理工作，经过水土保持、土地修复植被恢复等措施的逐步实施，矿区生态环境会得到逐步改善，只是原来的景观格局和土地利用情况发生了变化。</w:t>
            </w:r>
          </w:p>
          <w:p w14:paraId="06C179E6">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矿山在开采后期至闭矿期的时段内，与初采期和盛采期相比对自然环境的影响趋于减缓，主要体现在以下几个方面：</w:t>
            </w:r>
          </w:p>
          <w:p w14:paraId="54EBAE53">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（1）随着矿石资源不断开采，与矿山开发有关的矿产开采的各产污设备也将完成其服务功能，因此这些产污环节也将减弱或消失，如设备噪声、扬尘等，区域环境质量有所好转。</w:t>
            </w:r>
          </w:p>
          <w:p w14:paraId="6FA25354">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（2）在矿山退役后，矿山开发景观与自然景观不相协调，应对其进行平整，恢复植被以减轻对自然景观的影响。</w:t>
            </w:r>
          </w:p>
          <w:p w14:paraId="2B6AC0F0">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矿山闭矿期主要对露天采场、废石堆放场和矿山运输道路等占地区域采取土地复垦和生态恢复措施。随着地表植被的恢复，水土流失得到有效控制，同时对矿区自然景观和环境生态朝着有利的方向发展。</w:t>
            </w:r>
          </w:p>
          <w:p w14:paraId="29A687D7">
            <w:pPr>
              <w:numPr>
                <w:ilvl w:val="0"/>
                <w:numId w:val="0"/>
              </w:numPr>
              <w:adjustRightInd w:val="0"/>
              <w:snapToGrid w:val="0"/>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综上所述，本项目在闭矿后将对影响区域等全部进行复垦或绿化，对环境的不利影响将逐步消失，生态环境得到恢复。矿开采破坏了开采境界内的地形、地貌。服务期满后通过对矿区进行复垦治理，及时进行生态恢复，对土地利用结构的影响不断减小。</w:t>
            </w:r>
          </w:p>
          <w:p w14:paraId="1461463B">
            <w:pPr>
              <w:numPr>
                <w:ilvl w:val="0"/>
                <w:numId w:val="0"/>
              </w:numPr>
              <w:adjustRightInd w:val="0"/>
              <w:snapToGrid w:val="0"/>
              <w:ind w:firstLine="480" w:firstLineChars="200"/>
              <w:rPr>
                <w:rFonts w:hint="eastAsia" w:cs="Times New Roman"/>
                <w:b/>
                <w:color w:val="auto"/>
                <w:sz w:val="24"/>
                <w:szCs w:val="24"/>
                <w:lang w:val="en-US" w:eastAsia="zh-CN"/>
              </w:rPr>
            </w:pPr>
            <w:r>
              <w:rPr>
                <w:rFonts w:hint="eastAsia" w:cs="Times New Roman"/>
                <w:b w:val="0"/>
                <w:bCs/>
                <w:color w:val="auto"/>
                <w:sz w:val="24"/>
                <w:szCs w:val="24"/>
                <w:lang w:val="en-US" w:eastAsia="zh-CN"/>
              </w:rPr>
              <w:t>同时，在矿山开采过程中建设单位应树立绿色发展理念，规范矿山管理，推进科技创新，落实节约资源、节能减排、保护环境、促进矿区和谐等社会责任，加强企业文化建设，积极建设绿色矿山，做到应建必建。严格按照绿色矿山建设标准要求，重点做好矿区降尘降噪、环境绿化工作，优化矿区生态环境；提高矿山数字化自动化水平；加大矿山资源综合利用，节能减排；加强矿区的环境保护与生态环境建设，实现“边生产，边建设，边复垦，边治理”，有效推进绿色矿山的建设工作。</w:t>
            </w:r>
          </w:p>
          <w:p w14:paraId="2F8965A2">
            <w:pPr>
              <w:numPr>
                <w:ilvl w:val="0"/>
                <w:numId w:val="0"/>
              </w:numPr>
              <w:adjustRightInd w:val="0"/>
              <w:snapToGrid w:val="0"/>
              <w:ind w:firstLine="482" w:firstLineChars="200"/>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7、</w:t>
            </w:r>
            <w:r>
              <w:rPr>
                <w:rFonts w:hint="default" w:ascii="Times New Roman" w:hAnsi="Times New Roman" w:eastAsia="宋体" w:cs="Times New Roman"/>
                <w:b/>
                <w:color w:val="auto"/>
                <w:sz w:val="24"/>
                <w:szCs w:val="24"/>
              </w:rPr>
              <w:t>环境风险影响分析</w:t>
            </w:r>
          </w:p>
          <w:p w14:paraId="3A79BAFA">
            <w:pPr>
              <w:ind w:firstLine="42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根据《建设项目环境风险评价技术导则》（HJ169-2018）附录B所列风险物质，本项目爆破器材由当地民爆公司统一配送，不设炸药库；</w:t>
            </w:r>
            <w:r>
              <w:rPr>
                <w:rFonts w:hint="default" w:ascii="Times New Roman" w:hAnsi="Times New Roman" w:eastAsia="宋体" w:cs="Times New Roman"/>
                <w:color w:val="auto"/>
                <w:kern w:val="0"/>
                <w:sz w:val="24"/>
                <w:szCs w:val="24"/>
                <w:lang w:val="en-US" w:eastAsia="zh-CN"/>
              </w:rPr>
              <w:t>运项目主要原辅材料及产品涉及的风险物质为柴油、机油、润滑油，项目使用的开采设备和运输车辆等机械设备加油均由矿区外的加油站供给，项目区内不储存柴油。因此本项目涉及的风险物质为柴油、机油、润滑油。</w:t>
            </w:r>
          </w:p>
          <w:p w14:paraId="56114598">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GB2 \* MERGEFORMAT </w:instrText>
            </w:r>
            <w:r>
              <w:rPr>
                <w:rFonts w:hint="default" w:ascii="Times New Roman" w:hAnsi="Times New Roman" w:eastAsia="宋体" w:cs="Times New Roman"/>
                <w:color w:val="auto"/>
                <w:sz w:val="24"/>
                <w:szCs w:val="24"/>
              </w:rPr>
              <w:fldChar w:fldCharType="separate"/>
            </w:r>
            <w:r>
              <w:t>⑴</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环境风险源调查</w:t>
            </w:r>
          </w:p>
          <w:p w14:paraId="41099E6F">
            <w:pPr>
              <w:adjustRightInd w:val="0"/>
              <w:snapToGrid w:val="0"/>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根据《建设项目环境风险评价技术导则》（HJ169-2018）附录C，当存在多种危险物质时，则按式（C.1）计算物质总量与其临界量比值（Q），并按下判断是否属于重大危险源。</w:t>
            </w:r>
          </w:p>
          <w:p w14:paraId="103BD65A">
            <w:pPr>
              <w:bidi w:val="0"/>
              <w:ind w:left="0" w:leftChars="0" w:firstLine="0" w:firstLineChars="0"/>
              <w:jc w:val="center"/>
              <w:rPr>
                <w:rFonts w:hint="default" w:ascii="Times New Roman" w:hAnsi="Times New Roman" w:eastAsia="宋体" w:cs="Times New Roman"/>
                <w:color w:val="auto"/>
                <w:lang w:val="en-US" w:eastAsia="zh-CN"/>
              </w:rPr>
            </w:pPr>
            <w:r>
              <w:rPr>
                <w:color w:val="auto"/>
              </w:rPr>
              <w:drawing>
                <wp:inline distT="0" distB="0" distL="114300" distR="114300">
                  <wp:extent cx="1173480" cy="367030"/>
                  <wp:effectExtent l="0" t="0" r="762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1173480" cy="367030"/>
                          </a:xfrm>
                          <a:prstGeom prst="rect">
                            <a:avLst/>
                          </a:prstGeom>
                          <a:noFill/>
                          <a:ln>
                            <a:noFill/>
                          </a:ln>
                        </pic:spPr>
                      </pic:pic>
                    </a:graphicData>
                  </a:graphic>
                </wp:inline>
              </w:drawing>
            </w:r>
          </w:p>
          <w:p w14:paraId="74766EF0">
            <w:pPr>
              <w:adjustRightInd w:val="0"/>
              <w:snapToGrid w:val="0"/>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式中：</w:t>
            </w:r>
          </w:p>
          <w:p w14:paraId="382AF268">
            <w:pPr>
              <w:adjustRightInd w:val="0"/>
              <w:snapToGrid w:val="0"/>
              <w:spacing w:line="360" w:lineRule="auto"/>
              <w:ind w:firstLine="960" w:firstLineChars="4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q1，q2，…，qn—每种危险物质的最大存在总量，t；</w:t>
            </w:r>
          </w:p>
          <w:p w14:paraId="5EE83EAA">
            <w:pPr>
              <w:adjustRightInd w:val="0"/>
              <w:snapToGrid w:val="0"/>
              <w:spacing w:line="360" w:lineRule="auto"/>
              <w:ind w:firstLine="960" w:firstLineChars="4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Q1，Q2，…，Qn—每种危险物质的临界量，t。</w:t>
            </w:r>
          </w:p>
          <w:p w14:paraId="4087ABAE">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2 \* GB2 \* MERGEFORMAT </w:instrText>
            </w:r>
            <w:r>
              <w:rPr>
                <w:rFonts w:hint="default" w:ascii="Times New Roman" w:hAnsi="Times New Roman" w:eastAsia="宋体" w:cs="Times New Roman"/>
                <w:color w:val="auto"/>
                <w:sz w:val="24"/>
                <w:szCs w:val="24"/>
              </w:rPr>
              <w:fldChar w:fldCharType="separate"/>
            </w:r>
            <w:r>
              <w:t>⑵</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风险物质分布及储存情况</w:t>
            </w:r>
          </w:p>
          <w:p w14:paraId="1710E1B6">
            <w:pPr>
              <w:spacing w:line="240" w:lineRule="auto"/>
              <w:ind w:firstLine="42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4"/>
                <w:szCs w:val="24"/>
              </w:rPr>
              <w:t>表4-</w:t>
            </w:r>
            <w:r>
              <w:rPr>
                <w:rFonts w:hint="default" w:ascii="Times New Roman" w:hAnsi="Times New Roman" w:eastAsia="宋体" w:cs="Times New Roman"/>
                <w:b/>
                <w:color w:val="auto"/>
                <w:sz w:val="24"/>
                <w:szCs w:val="24"/>
                <w:lang w:val="en-US" w:eastAsia="zh-CN"/>
              </w:rPr>
              <w:t>1</w:t>
            </w:r>
            <w:r>
              <w:rPr>
                <w:rFonts w:hint="eastAsia" w:cs="Times New Roman"/>
                <w:b/>
                <w:color w:val="auto"/>
                <w:sz w:val="24"/>
                <w:szCs w:val="24"/>
                <w:lang w:val="en-US" w:eastAsia="zh-CN"/>
              </w:rPr>
              <w:t>1</w:t>
            </w:r>
            <w:r>
              <w:rPr>
                <w:rFonts w:hint="default" w:ascii="Times New Roman" w:hAnsi="Times New Roman" w:eastAsia="宋体" w:cs="Times New Roman"/>
                <w:b/>
                <w:color w:val="auto"/>
                <w:sz w:val="24"/>
                <w:szCs w:val="24"/>
              </w:rPr>
              <w:t>本项目风险物质分布及储存情况表</w:t>
            </w:r>
          </w:p>
          <w:tbl>
            <w:tblPr>
              <w:tblStyle w:val="24"/>
              <w:tblW w:w="498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683"/>
              <w:gridCol w:w="1080"/>
              <w:gridCol w:w="982"/>
              <w:gridCol w:w="1351"/>
              <w:gridCol w:w="1119"/>
              <w:gridCol w:w="927"/>
              <w:gridCol w:w="1206"/>
            </w:tblGrid>
            <w:tr w14:paraId="4CEA1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jc w:val="center"/>
              </w:trPr>
              <w:tc>
                <w:tcPr>
                  <w:tcW w:w="465" w:type="pct"/>
                  <w:shd w:val="clear" w:color="auto" w:fill="FFFFFF" w:themeFill="background1"/>
                  <w:vAlign w:val="center"/>
                </w:tcPr>
                <w:p w14:paraId="767D4BAA">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735" w:type="pct"/>
                  <w:shd w:val="clear" w:color="auto" w:fill="FFFFFF" w:themeFill="background1"/>
                  <w:vAlign w:val="center"/>
                </w:tcPr>
                <w:p w14:paraId="5FB5BB93">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位置</w:t>
                  </w:r>
                </w:p>
              </w:tc>
              <w:tc>
                <w:tcPr>
                  <w:tcW w:w="668" w:type="pct"/>
                  <w:shd w:val="clear" w:color="auto" w:fill="FFFFFF" w:themeFill="background1"/>
                  <w:vAlign w:val="center"/>
                </w:tcPr>
                <w:p w14:paraId="0E9BA4F7">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名称</w:t>
                  </w:r>
                </w:p>
              </w:tc>
              <w:tc>
                <w:tcPr>
                  <w:tcW w:w="919" w:type="pct"/>
                  <w:shd w:val="clear" w:color="auto" w:fill="FFFFFF" w:themeFill="background1"/>
                  <w:vAlign w:val="center"/>
                </w:tcPr>
                <w:p w14:paraId="3D667BB9">
                  <w:pPr>
                    <w:widowControl/>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最大贮存量（t）</w:t>
                  </w:r>
                </w:p>
              </w:tc>
              <w:tc>
                <w:tcPr>
                  <w:tcW w:w="761" w:type="pct"/>
                  <w:shd w:val="clear" w:color="auto" w:fill="FFFFFF" w:themeFill="background1"/>
                  <w:vAlign w:val="center"/>
                </w:tcPr>
                <w:p w14:paraId="130A3317">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临界量</w:t>
                  </w:r>
                </w:p>
                <w:p w14:paraId="21196307">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（t）</w:t>
                  </w:r>
                </w:p>
              </w:tc>
              <w:tc>
                <w:tcPr>
                  <w:tcW w:w="628" w:type="pct"/>
                  <w:shd w:val="clear" w:color="auto" w:fill="FFFFFF" w:themeFill="background1"/>
                  <w:vAlign w:val="center"/>
                </w:tcPr>
                <w:p w14:paraId="058247C6">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影响</w:t>
                  </w:r>
                </w:p>
                <w:p w14:paraId="4828A7AA">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途径</w:t>
                  </w:r>
                </w:p>
              </w:tc>
              <w:tc>
                <w:tcPr>
                  <w:tcW w:w="820" w:type="pct"/>
                  <w:shd w:val="clear" w:color="auto" w:fill="FFFFFF" w:themeFill="background1"/>
                  <w:vAlign w:val="center"/>
                </w:tcPr>
                <w:p w14:paraId="11A3FC85">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qi/Qi</w:t>
                  </w:r>
                </w:p>
              </w:tc>
            </w:tr>
            <w:tr w14:paraId="6B51D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5" w:type="pct"/>
                  <w:shd w:val="clear" w:color="auto" w:fill="FFFFFF" w:themeFill="background1"/>
                  <w:vAlign w:val="center"/>
                </w:tcPr>
                <w:p w14:paraId="677821B0">
                  <w:pPr>
                    <w:widowControl/>
                    <w:adjustRightInd w:val="0"/>
                    <w:snapToGrid w:val="0"/>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1</w:t>
                  </w:r>
                </w:p>
              </w:tc>
              <w:tc>
                <w:tcPr>
                  <w:tcW w:w="735" w:type="pct"/>
                  <w:shd w:val="clear" w:color="auto" w:fill="FFFFFF" w:themeFill="background1"/>
                  <w:vAlign w:val="center"/>
                </w:tcPr>
                <w:p w14:paraId="52C5308B">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加油装置</w:t>
                  </w:r>
                </w:p>
              </w:tc>
              <w:tc>
                <w:tcPr>
                  <w:tcW w:w="668" w:type="pct"/>
                  <w:shd w:val="clear" w:color="auto" w:fill="FFFFFF" w:themeFill="background1"/>
                  <w:vAlign w:val="center"/>
                </w:tcPr>
                <w:p w14:paraId="7B4FBD45">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柴油</w:t>
                  </w:r>
                </w:p>
              </w:tc>
              <w:tc>
                <w:tcPr>
                  <w:tcW w:w="919" w:type="pct"/>
                  <w:shd w:val="clear" w:color="auto" w:fill="FFFFFF" w:themeFill="background1"/>
                  <w:vAlign w:val="center"/>
                </w:tcPr>
                <w:p w14:paraId="1FB9BE6D">
                  <w:pPr>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w:t>
                  </w:r>
                </w:p>
              </w:tc>
              <w:tc>
                <w:tcPr>
                  <w:tcW w:w="761" w:type="pct"/>
                  <w:shd w:val="clear" w:color="auto" w:fill="FFFFFF" w:themeFill="background1"/>
                  <w:vAlign w:val="center"/>
                </w:tcPr>
                <w:p w14:paraId="638C599D">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2500</w:t>
                  </w:r>
                </w:p>
              </w:tc>
              <w:tc>
                <w:tcPr>
                  <w:tcW w:w="628" w:type="pct"/>
                  <w:shd w:val="clear" w:color="auto" w:fill="FFFFFF" w:themeFill="background1"/>
                  <w:vAlign w:val="center"/>
                </w:tcPr>
                <w:p w14:paraId="459E2B97">
                  <w:pPr>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泄漏</w:t>
                  </w:r>
                </w:p>
              </w:tc>
              <w:tc>
                <w:tcPr>
                  <w:tcW w:w="820" w:type="pct"/>
                  <w:shd w:val="clear" w:color="auto" w:fill="FFFFFF" w:themeFill="background1"/>
                  <w:vAlign w:val="center"/>
                </w:tcPr>
                <w:p w14:paraId="4D381EDC">
                  <w:pPr>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0.00</w:t>
                  </w:r>
                  <w:r>
                    <w:rPr>
                      <w:rFonts w:hint="default" w:ascii="Times New Roman" w:hAnsi="Times New Roman" w:eastAsia="宋体" w:cs="Times New Roman"/>
                      <w:b w:val="0"/>
                      <w:bCs w:val="0"/>
                      <w:color w:val="auto"/>
                      <w:sz w:val="21"/>
                      <w:szCs w:val="21"/>
                      <w:lang w:val="en-US" w:eastAsia="zh-CN"/>
                    </w:rPr>
                    <w:t>48</w:t>
                  </w:r>
                </w:p>
              </w:tc>
            </w:tr>
            <w:tr w14:paraId="042B2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5" w:type="pct"/>
                  <w:shd w:val="clear" w:color="auto" w:fill="FFFFFF" w:themeFill="background1"/>
                  <w:vAlign w:val="center"/>
                </w:tcPr>
                <w:p w14:paraId="34FC02B8">
                  <w:pPr>
                    <w:widowControl/>
                    <w:adjustRightInd w:val="0"/>
                    <w:snapToGrid w:val="0"/>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2</w:t>
                  </w:r>
                </w:p>
              </w:tc>
              <w:tc>
                <w:tcPr>
                  <w:tcW w:w="735" w:type="pct"/>
                  <w:shd w:val="clear" w:color="auto" w:fill="FFFFFF" w:themeFill="background1"/>
                  <w:vAlign w:val="center"/>
                </w:tcPr>
                <w:p w14:paraId="4DC22BBF">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库房</w:t>
                  </w:r>
                </w:p>
              </w:tc>
              <w:tc>
                <w:tcPr>
                  <w:tcW w:w="668" w:type="pct"/>
                  <w:shd w:val="clear" w:color="auto" w:fill="FFFFFF" w:themeFill="background1"/>
                  <w:vAlign w:val="center"/>
                </w:tcPr>
                <w:p w14:paraId="6EF9B854">
                  <w:pPr>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机油</w:t>
                  </w:r>
                </w:p>
              </w:tc>
              <w:tc>
                <w:tcPr>
                  <w:tcW w:w="919" w:type="pct"/>
                  <w:shd w:val="clear" w:color="auto" w:fill="FFFFFF" w:themeFill="background1"/>
                  <w:vAlign w:val="center"/>
                </w:tcPr>
                <w:p w14:paraId="145E4B64">
                  <w:pPr>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0.26</w:t>
                  </w:r>
                </w:p>
              </w:tc>
              <w:tc>
                <w:tcPr>
                  <w:tcW w:w="761" w:type="pct"/>
                  <w:shd w:val="clear" w:color="auto" w:fill="FFFFFF" w:themeFill="background1"/>
                  <w:vAlign w:val="center"/>
                </w:tcPr>
                <w:p w14:paraId="0A9704A3">
                  <w:pPr>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2500</w:t>
                  </w:r>
                </w:p>
              </w:tc>
              <w:tc>
                <w:tcPr>
                  <w:tcW w:w="628" w:type="pct"/>
                  <w:shd w:val="clear" w:color="auto" w:fill="FFFFFF" w:themeFill="background1"/>
                  <w:vAlign w:val="center"/>
                </w:tcPr>
                <w:p w14:paraId="3899016D">
                  <w:pPr>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泄漏</w:t>
                  </w:r>
                </w:p>
              </w:tc>
              <w:tc>
                <w:tcPr>
                  <w:tcW w:w="820" w:type="pct"/>
                  <w:shd w:val="clear" w:color="auto" w:fill="FFFFFF" w:themeFill="background1"/>
                  <w:vAlign w:val="center"/>
                </w:tcPr>
                <w:p w14:paraId="23B97D75">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0.000</w:t>
                  </w:r>
                  <w:r>
                    <w:rPr>
                      <w:rFonts w:hint="default" w:ascii="Times New Roman" w:hAnsi="Times New Roman" w:eastAsia="宋体" w:cs="Times New Roman"/>
                      <w:b w:val="0"/>
                      <w:bCs w:val="0"/>
                      <w:color w:val="auto"/>
                      <w:sz w:val="21"/>
                      <w:szCs w:val="21"/>
                      <w:lang w:val="en-US" w:eastAsia="zh-CN"/>
                    </w:rPr>
                    <w:t>104</w:t>
                  </w:r>
                </w:p>
              </w:tc>
            </w:tr>
            <w:tr w14:paraId="30F8A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5" w:type="pct"/>
                  <w:shd w:val="clear" w:color="auto" w:fill="FFFFFF" w:themeFill="background1"/>
                  <w:vAlign w:val="center"/>
                </w:tcPr>
                <w:p w14:paraId="6DAC13C7">
                  <w:pPr>
                    <w:widowControl/>
                    <w:adjustRightInd w:val="0"/>
                    <w:snapToGrid w:val="0"/>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3</w:t>
                  </w:r>
                </w:p>
              </w:tc>
              <w:tc>
                <w:tcPr>
                  <w:tcW w:w="735" w:type="pct"/>
                  <w:shd w:val="clear" w:color="auto" w:fill="FFFFFF" w:themeFill="background1"/>
                  <w:vAlign w:val="center"/>
                </w:tcPr>
                <w:p w14:paraId="264A9948">
                  <w:pPr>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库房</w:t>
                  </w:r>
                </w:p>
              </w:tc>
              <w:tc>
                <w:tcPr>
                  <w:tcW w:w="668" w:type="pct"/>
                  <w:shd w:val="clear" w:color="auto" w:fill="FFFFFF" w:themeFill="background1"/>
                  <w:vAlign w:val="center"/>
                </w:tcPr>
                <w:p w14:paraId="6BB5EF9B">
                  <w:pPr>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润滑油</w:t>
                  </w:r>
                </w:p>
              </w:tc>
              <w:tc>
                <w:tcPr>
                  <w:tcW w:w="919" w:type="pct"/>
                  <w:shd w:val="clear" w:color="auto" w:fill="FFFFFF" w:themeFill="background1"/>
                  <w:vAlign w:val="center"/>
                </w:tcPr>
                <w:p w14:paraId="77ED3FA0">
                  <w:pPr>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0.2</w:t>
                  </w:r>
                  <w:r>
                    <w:rPr>
                      <w:rFonts w:hint="default" w:ascii="Times New Roman" w:hAnsi="Times New Roman" w:eastAsia="宋体" w:cs="Times New Roman"/>
                      <w:b w:val="0"/>
                      <w:bCs w:val="0"/>
                      <w:color w:val="auto"/>
                      <w:sz w:val="21"/>
                      <w:szCs w:val="21"/>
                      <w:lang w:val="en-US" w:eastAsia="zh-CN"/>
                    </w:rPr>
                    <w:t>6</w:t>
                  </w:r>
                </w:p>
              </w:tc>
              <w:tc>
                <w:tcPr>
                  <w:tcW w:w="761" w:type="pct"/>
                  <w:shd w:val="clear" w:color="auto" w:fill="FFFFFF" w:themeFill="background1"/>
                  <w:vAlign w:val="center"/>
                </w:tcPr>
                <w:p w14:paraId="4BD48EAA">
                  <w:pPr>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2500</w:t>
                  </w:r>
                </w:p>
              </w:tc>
              <w:tc>
                <w:tcPr>
                  <w:tcW w:w="628" w:type="pct"/>
                  <w:shd w:val="clear" w:color="auto" w:fill="FFFFFF" w:themeFill="background1"/>
                  <w:vAlign w:val="center"/>
                </w:tcPr>
                <w:p w14:paraId="03798FB9">
                  <w:pPr>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泄漏</w:t>
                  </w:r>
                </w:p>
              </w:tc>
              <w:tc>
                <w:tcPr>
                  <w:tcW w:w="820" w:type="pct"/>
                  <w:shd w:val="clear" w:color="auto" w:fill="FFFFFF" w:themeFill="background1"/>
                  <w:vAlign w:val="center"/>
                </w:tcPr>
                <w:p w14:paraId="439F9A90">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0.000</w:t>
                  </w:r>
                  <w:r>
                    <w:rPr>
                      <w:rFonts w:hint="default" w:ascii="Times New Roman" w:hAnsi="Times New Roman" w:eastAsia="宋体" w:cs="Times New Roman"/>
                      <w:b w:val="0"/>
                      <w:bCs w:val="0"/>
                      <w:color w:val="auto"/>
                      <w:sz w:val="21"/>
                      <w:szCs w:val="21"/>
                      <w:lang w:val="en-US" w:eastAsia="zh-CN"/>
                    </w:rPr>
                    <w:t>104</w:t>
                  </w:r>
                </w:p>
              </w:tc>
            </w:tr>
            <w:tr w14:paraId="433AB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179" w:type="pct"/>
                  <w:gridSpan w:val="6"/>
                  <w:shd w:val="clear" w:color="auto" w:fill="FFFFFF" w:themeFill="background1"/>
                  <w:vAlign w:val="center"/>
                </w:tcPr>
                <w:p w14:paraId="20DE8C4E">
                  <w:pPr>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合计</w:t>
                  </w:r>
                </w:p>
              </w:tc>
              <w:tc>
                <w:tcPr>
                  <w:tcW w:w="820" w:type="pct"/>
                  <w:shd w:val="clear" w:color="auto" w:fill="FFFFFF" w:themeFill="background1"/>
                </w:tcPr>
                <w:p w14:paraId="283CE337">
                  <w:pPr>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0.00</w:t>
                  </w:r>
                  <w:r>
                    <w:rPr>
                      <w:rFonts w:hint="default" w:ascii="Times New Roman" w:hAnsi="Times New Roman" w:eastAsia="宋体" w:cs="Times New Roman"/>
                      <w:b w:val="0"/>
                      <w:bCs w:val="0"/>
                      <w:color w:val="auto"/>
                      <w:sz w:val="21"/>
                      <w:szCs w:val="21"/>
                      <w:lang w:val="en-US" w:eastAsia="zh-CN"/>
                    </w:rPr>
                    <w:t>5008</w:t>
                  </w:r>
                </w:p>
              </w:tc>
            </w:tr>
          </w:tbl>
          <w:p w14:paraId="17200E8A">
            <w:pPr>
              <w:ind w:firstLine="42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项目危险物质储存量小于临界量，因此，本项目不开展环境风险专项评价。</w:t>
            </w:r>
            <w:r>
              <w:rPr>
                <w:rFonts w:hint="default" w:ascii="Times New Roman" w:hAnsi="Times New Roman" w:eastAsia="宋体" w:cs="Times New Roman"/>
                <w:color w:val="auto"/>
                <w:kern w:val="0"/>
                <w:sz w:val="24"/>
                <w:szCs w:val="24"/>
              </w:rPr>
              <w:t>经计算，建设项目涉及的危险物质与临界量的比值（Q）Q=0.00</w:t>
            </w:r>
            <w:r>
              <w:rPr>
                <w:rFonts w:hint="default" w:ascii="Times New Roman" w:hAnsi="Times New Roman" w:eastAsia="宋体" w:cs="Times New Roman"/>
                <w:color w:val="auto"/>
                <w:kern w:val="0"/>
                <w:sz w:val="24"/>
                <w:szCs w:val="24"/>
                <w:lang w:val="en-US" w:eastAsia="zh-CN"/>
              </w:rPr>
              <w:t>5008</w:t>
            </w:r>
            <w:r>
              <w:rPr>
                <w:rFonts w:hint="default" w:ascii="Times New Roman" w:hAnsi="Times New Roman" w:eastAsia="宋体" w:cs="Times New Roman"/>
                <w:color w:val="auto"/>
                <w:kern w:val="0"/>
                <w:sz w:val="24"/>
                <w:szCs w:val="24"/>
              </w:rPr>
              <w:t>，Q＜1，则本项目环境风险潜势为Ⅰ。</w:t>
            </w:r>
          </w:p>
          <w:p w14:paraId="78B93F22">
            <w:pPr>
              <w:pStyle w:val="61"/>
              <w:tabs>
                <w:tab w:val="left" w:pos="0"/>
                <w:tab w:val="right" w:leader="dot" w:pos="8302"/>
              </w:tabs>
              <w:adjustRightInd w:val="0"/>
              <w:snapToGrid w:val="0"/>
              <w:ind w:firstLine="42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 3 \* GB2 \* MERGEFORMAT </w:instrText>
            </w:r>
            <w:r>
              <w:rPr>
                <w:rFonts w:hint="default" w:ascii="Times New Roman" w:hAnsi="Times New Roman" w:eastAsia="宋体" w:cs="Times New Roman"/>
                <w:bCs/>
                <w:color w:val="auto"/>
                <w:sz w:val="24"/>
                <w:szCs w:val="24"/>
              </w:rPr>
              <w:fldChar w:fldCharType="separate"/>
            </w:r>
            <w:r>
              <w:t>⑶</w:t>
            </w:r>
            <w:r>
              <w:rPr>
                <w:rFonts w:hint="default" w:ascii="Times New Roman" w:hAnsi="Times New Roman" w:eastAsia="宋体" w:cs="Times New Roman"/>
                <w:bCs/>
                <w:color w:val="auto"/>
                <w:sz w:val="24"/>
                <w:szCs w:val="24"/>
              </w:rPr>
              <w:fldChar w:fldCharType="end"/>
            </w:r>
            <w:r>
              <w:rPr>
                <w:rFonts w:hint="default" w:ascii="Times New Roman" w:hAnsi="Times New Roman" w:eastAsia="宋体" w:cs="Times New Roman"/>
                <w:bCs/>
                <w:color w:val="auto"/>
                <w:sz w:val="24"/>
                <w:szCs w:val="24"/>
              </w:rPr>
              <w:t>环境风险影响分析</w:t>
            </w:r>
          </w:p>
          <w:p w14:paraId="0ED50AB2">
            <w:pPr>
              <w:pStyle w:val="61"/>
              <w:tabs>
                <w:tab w:val="left" w:pos="0"/>
                <w:tab w:val="right" w:leader="dot" w:pos="8302"/>
              </w:tabs>
              <w:adjustRightInd w:val="0"/>
              <w:snapToGrid w:val="0"/>
              <w:ind w:firstLine="42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本项目环境风险事件为挖掘机柴油泄漏、机油桶泄漏、润滑油桶泄漏，露天采场和表土堆放场边坡失稳事故</w:t>
            </w:r>
            <w:r>
              <w:rPr>
                <w:rFonts w:hint="default" w:ascii="Times New Roman" w:hAnsi="Times New Roman" w:eastAsia="宋体" w:cs="Times New Roman"/>
                <w:color w:val="auto"/>
                <w:kern w:val="0"/>
                <w:sz w:val="24"/>
                <w:szCs w:val="24"/>
              </w:rPr>
              <w:t>。</w:t>
            </w:r>
          </w:p>
          <w:p w14:paraId="399A5E7D">
            <w:pPr>
              <w:pStyle w:val="61"/>
              <w:tabs>
                <w:tab w:val="left" w:pos="0"/>
                <w:tab w:val="right" w:leader="dot" w:pos="8302"/>
              </w:tabs>
              <w:adjustRightInd w:val="0"/>
              <w:snapToGrid w:val="0"/>
              <w:ind w:firstLine="42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fldChar w:fldCharType="begin"/>
            </w:r>
            <w:r>
              <w:rPr>
                <w:rFonts w:hint="default" w:ascii="Times New Roman" w:hAnsi="Times New Roman" w:eastAsia="宋体" w:cs="Times New Roman"/>
                <w:color w:val="auto"/>
                <w:kern w:val="0"/>
                <w:sz w:val="24"/>
                <w:szCs w:val="24"/>
              </w:rPr>
              <w:instrText xml:space="preserve"> = 4 \* GB2 \* MERGEFORMAT </w:instrText>
            </w:r>
            <w:r>
              <w:rPr>
                <w:rFonts w:hint="default" w:ascii="Times New Roman" w:hAnsi="Times New Roman" w:eastAsia="宋体" w:cs="Times New Roman"/>
                <w:color w:val="auto"/>
                <w:kern w:val="0"/>
                <w:sz w:val="24"/>
                <w:szCs w:val="24"/>
              </w:rPr>
              <w:fldChar w:fldCharType="separate"/>
            </w:r>
            <w:r>
              <w:t>⑷</w:t>
            </w:r>
            <w:r>
              <w:rPr>
                <w:rFonts w:hint="default" w:ascii="Times New Roman" w:hAnsi="Times New Roman" w:eastAsia="宋体" w:cs="Times New Roman"/>
                <w:color w:val="auto"/>
                <w:kern w:val="0"/>
                <w:sz w:val="24"/>
                <w:szCs w:val="24"/>
              </w:rPr>
              <w:fldChar w:fldCharType="end"/>
            </w:r>
            <w:r>
              <w:rPr>
                <w:rFonts w:hint="default" w:ascii="Times New Roman" w:hAnsi="Times New Roman" w:eastAsia="宋体" w:cs="Times New Roman"/>
                <w:color w:val="auto"/>
                <w:kern w:val="0"/>
                <w:sz w:val="24"/>
                <w:szCs w:val="24"/>
              </w:rPr>
              <w:t>环境风险防范措施</w:t>
            </w:r>
          </w:p>
          <w:p w14:paraId="64A386A0">
            <w:pPr>
              <w:pStyle w:val="61"/>
              <w:tabs>
                <w:tab w:val="left" w:pos="0"/>
                <w:tab w:val="right" w:leader="dot" w:pos="8302"/>
              </w:tabs>
              <w:adjustRightInd w:val="0"/>
              <w:snapToGrid w:val="0"/>
              <w:ind w:firstLine="42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①强化岗位责任制，严格各项操作规程和奖惩制度，除设置专门环保机构外，各生产部门都要设专人负责本部门的安全和环保问题，对容易发生事故的环节，必须经常检查，杜绝隐患，发现问题及时通知有关部门</w:t>
            </w:r>
            <w:r>
              <w:rPr>
                <w:rFonts w:hint="eastAsia" w:hAnsi="Times New Roman" w:cs="Times New Roman"/>
                <w:color w:val="auto"/>
                <w:kern w:val="0"/>
                <w:sz w:val="24"/>
                <w:szCs w:val="24"/>
                <w:lang w:val="en-US" w:eastAsia="zh-CN"/>
              </w:rPr>
              <w:t>。</w:t>
            </w:r>
          </w:p>
          <w:p w14:paraId="4FF27B48">
            <w:pPr>
              <w:pStyle w:val="61"/>
              <w:tabs>
                <w:tab w:val="left" w:pos="0"/>
                <w:tab w:val="right" w:leader="dot" w:pos="8302"/>
              </w:tabs>
              <w:adjustRightInd w:val="0"/>
              <w:snapToGrid w:val="0"/>
              <w:ind w:firstLine="42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②开采平台要有一定的安全宽度，按规范设立合理的宽度，保证边坡的强度在雨季也不会出现失稳、裂缝、变形等状况出现，开采平台宽度按照项目开发方案设置，做好边坡的截排水沟工作。表土堆放场设置拦渣坝。</w:t>
            </w:r>
          </w:p>
          <w:p w14:paraId="7951B2E2">
            <w:pPr>
              <w:pStyle w:val="61"/>
              <w:tabs>
                <w:tab w:val="left" w:pos="0"/>
                <w:tab w:val="right" w:leader="dot" w:pos="8302"/>
              </w:tabs>
              <w:adjustRightInd w:val="0"/>
              <w:snapToGrid w:val="0"/>
              <w:ind w:firstLine="42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③坚持从上至下逐层开采的原则。严格禁止一面坡的开采方式，按要求设置台阶高度和台阶坡面角。</w:t>
            </w:r>
          </w:p>
          <w:p w14:paraId="40EA6723">
            <w:pPr>
              <w:pStyle w:val="61"/>
              <w:tabs>
                <w:tab w:val="left" w:pos="0"/>
                <w:tab w:val="right" w:leader="dot" w:pos="8302"/>
              </w:tabs>
              <w:adjustRightInd w:val="0"/>
              <w:snapToGrid w:val="0"/>
              <w:ind w:firstLine="42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④加强对采矿边坡和台阶的检查，及时清除松石，加固不稳定的边坡。边坡高处作业要使用安全防护用具，并且要安全可靠，定期对表土堆放场拦渣坝进行安全检查。</w:t>
            </w:r>
          </w:p>
          <w:p w14:paraId="3AAEF387">
            <w:pPr>
              <w:pStyle w:val="61"/>
              <w:tabs>
                <w:tab w:val="left" w:pos="0"/>
                <w:tab w:val="right" w:leader="dot" w:pos="8302"/>
              </w:tabs>
              <w:adjustRightInd w:val="0"/>
              <w:snapToGrid w:val="0"/>
              <w:ind w:firstLine="42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⑤设备在高处作业时，要停在地基平稳和坡度不大的台阶上，操作要符合规程要求。</w:t>
            </w:r>
          </w:p>
          <w:p w14:paraId="03F3E7E9">
            <w:pPr>
              <w:pStyle w:val="61"/>
              <w:tabs>
                <w:tab w:val="left" w:pos="0"/>
                <w:tab w:val="right" w:leader="dot" w:pos="8302"/>
              </w:tabs>
              <w:adjustRightInd w:val="0"/>
              <w:snapToGrid w:val="0"/>
              <w:ind w:firstLine="42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⑥应严格按照开采设计，由上而下按顺序开采，避免无序开采。</w:t>
            </w:r>
          </w:p>
          <w:p w14:paraId="50CF0492">
            <w:pPr>
              <w:pStyle w:val="61"/>
              <w:tabs>
                <w:tab w:val="left" w:pos="0"/>
                <w:tab w:val="right" w:leader="dot" w:pos="8302"/>
              </w:tabs>
              <w:adjustRightInd w:val="0"/>
              <w:snapToGrid w:val="0"/>
              <w:ind w:firstLine="42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⑦本项目现场不储存柴油，为防止供油车辆发生柴油泄漏及润滑油桶、机油桶发生破损泄漏事故，采取以下防范措施。</w:t>
            </w:r>
          </w:p>
          <w:p w14:paraId="2A949B3E">
            <w:pPr>
              <w:pStyle w:val="61"/>
              <w:tabs>
                <w:tab w:val="left" w:pos="0"/>
                <w:tab w:val="right" w:leader="dot" w:pos="8302"/>
              </w:tabs>
              <w:adjustRightInd w:val="0"/>
              <w:snapToGrid w:val="0"/>
              <w:ind w:firstLine="42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在项目现场准备好泄漏物清理工具和盛装容器，以便在泄漏事故发生后能及时清理泄漏物，防止污染物渗入地下水；在泄漏物清理后及时用水冲洗地面；准备好土壤挖掘工具和盛装容器，以便能及时处理受泄漏物影响的土壤，防止土壤中污染物进一步下渗影响地下水。</w:t>
            </w:r>
          </w:p>
          <w:p w14:paraId="2541B775">
            <w:pPr>
              <w:pStyle w:val="61"/>
              <w:tabs>
                <w:tab w:val="left" w:pos="0"/>
                <w:tab w:val="right" w:leader="dot" w:pos="8302"/>
              </w:tabs>
              <w:adjustRightInd w:val="0"/>
              <w:snapToGrid w:val="0"/>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rPr>
              <w:t>⑧火灾事故风险防范措施：消除和控制明火源，配备灭火器、消防沙等消防物资，以便及时扑灭初期火灾；如发生事故，产生的消防废水需收集到沉淀池，确保消防废水不会直接排入水体</w:t>
            </w:r>
            <w:r>
              <w:rPr>
                <w:rFonts w:hint="default" w:ascii="Times New Roman" w:hAnsi="Times New Roman" w:eastAsia="宋体" w:cs="Times New Roman"/>
                <w:color w:val="auto"/>
                <w:sz w:val="24"/>
                <w:szCs w:val="24"/>
              </w:rPr>
              <w:t>。</w:t>
            </w:r>
          </w:p>
          <w:p w14:paraId="73DA372D">
            <w:pPr>
              <w:autoSpaceDE w:val="0"/>
              <w:autoSpaceDN w:val="0"/>
              <w:adjustRightInd w:val="0"/>
              <w:ind w:firstLine="42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fldChar w:fldCharType="begin"/>
            </w:r>
            <w:r>
              <w:rPr>
                <w:rFonts w:hint="default" w:ascii="Times New Roman" w:hAnsi="Times New Roman" w:eastAsia="宋体" w:cs="Times New Roman"/>
                <w:color w:val="auto"/>
                <w:kern w:val="0"/>
                <w:sz w:val="24"/>
                <w:szCs w:val="24"/>
              </w:rPr>
              <w:instrText xml:space="preserve"> = 5 \* GB2 \* MERGEFORMAT </w:instrText>
            </w:r>
            <w:r>
              <w:rPr>
                <w:rFonts w:hint="default" w:ascii="Times New Roman" w:hAnsi="Times New Roman" w:eastAsia="宋体" w:cs="Times New Roman"/>
                <w:color w:val="auto"/>
                <w:kern w:val="0"/>
                <w:sz w:val="24"/>
                <w:szCs w:val="24"/>
              </w:rPr>
              <w:fldChar w:fldCharType="separate"/>
            </w:r>
            <w:r>
              <w:t>⑸</w:t>
            </w:r>
            <w:r>
              <w:rPr>
                <w:rFonts w:hint="default" w:ascii="Times New Roman" w:hAnsi="Times New Roman" w:eastAsia="宋体" w:cs="Times New Roman"/>
                <w:color w:val="auto"/>
                <w:kern w:val="0"/>
                <w:sz w:val="24"/>
                <w:szCs w:val="24"/>
              </w:rPr>
              <w:fldChar w:fldCharType="end"/>
            </w:r>
            <w:r>
              <w:rPr>
                <w:rFonts w:hint="default" w:ascii="Times New Roman" w:hAnsi="Times New Roman" w:eastAsia="宋体" w:cs="Times New Roman"/>
                <w:color w:val="auto"/>
                <w:kern w:val="0"/>
                <w:sz w:val="24"/>
                <w:szCs w:val="24"/>
              </w:rPr>
              <w:t>环境风险结论</w:t>
            </w:r>
          </w:p>
          <w:p w14:paraId="1BD0C14F">
            <w:pPr>
              <w:adjustRightInd w:val="0"/>
              <w:snapToGrid w:val="0"/>
              <w:ind w:firstLine="420"/>
              <w:rPr>
                <w:rFonts w:hint="default" w:ascii="Times New Roman" w:hAnsi="Times New Roman" w:eastAsia="宋体" w:cs="Times New Roman"/>
                <w:snapToGrid w:val="0"/>
                <w:color w:val="FF0000"/>
                <w:sz w:val="30"/>
                <w:szCs w:val="30"/>
              </w:rPr>
            </w:pPr>
            <w:r>
              <w:rPr>
                <w:rFonts w:hint="default" w:ascii="Times New Roman" w:hAnsi="Times New Roman" w:eastAsia="宋体" w:cs="Times New Roman"/>
                <w:color w:val="auto"/>
                <w:kern w:val="0"/>
                <w:sz w:val="24"/>
                <w:szCs w:val="24"/>
              </w:rPr>
              <w:t>本项目不属于重大危险源，虽然存在事故风险的可能性，但建设单位只要按照设计要求严格施工，认真执行评价所提出的各项综合风险防范措施后，可把事故发生的概率降至最低。采取有效的风险应急措施，对项目风险事故的环境影响控制在可接受范围内。</w:t>
            </w:r>
          </w:p>
        </w:tc>
      </w:tr>
      <w:tr w14:paraId="7CFA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9" w:hRule="atLeast"/>
          <w:jc w:val="center"/>
        </w:trPr>
        <w:tc>
          <w:tcPr>
            <w:tcW w:w="925" w:type="dxa"/>
            <w:vAlign w:val="center"/>
          </w:tcPr>
          <w:p w14:paraId="6A60D743">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bCs/>
                <w:color w:val="auto"/>
                <w:kern w:val="2"/>
                <w:sz w:val="24"/>
                <w:szCs w:val="24"/>
              </w:rPr>
              <w:t>选址选线环境合理性分析</w:t>
            </w:r>
          </w:p>
        </w:tc>
        <w:tc>
          <w:tcPr>
            <w:tcW w:w="7604" w:type="dxa"/>
          </w:tcPr>
          <w:p w14:paraId="1EF85ACE">
            <w:pPr>
              <w:adjustRightInd w:val="0"/>
              <w:snapToGrid w:val="0"/>
              <w:ind w:firstLine="420"/>
              <w:rPr>
                <w:rFonts w:hint="default" w:ascii="Times New Roman" w:hAnsi="Times New Roman" w:eastAsia="宋体" w:cs="Times New Roman"/>
                <w:color w:val="auto"/>
                <w:sz w:val="24"/>
                <w:szCs w:val="24"/>
              </w:rPr>
            </w:pPr>
            <w:r>
              <w:rPr>
                <w:rFonts w:hint="eastAsia" w:cs="Times New Roman"/>
                <w:color w:val="auto"/>
                <w:highlight w:val="none"/>
                <w:lang w:val="en-US" w:eastAsia="zh-CN"/>
              </w:rPr>
              <w:t>本项目位于</w:t>
            </w:r>
            <w:r>
              <w:rPr>
                <w:rFonts w:hint="default" w:ascii="Times New Roman" w:hAnsi="Times New Roman" w:eastAsia="宋体" w:cs="Times New Roman"/>
                <w:color w:val="auto"/>
                <w:sz w:val="24"/>
                <w:szCs w:val="24"/>
                <w:highlight w:val="none"/>
              </w:rPr>
              <w:t>陕西省</w:t>
            </w:r>
            <w:r>
              <w:rPr>
                <w:rFonts w:hint="default" w:ascii="Times New Roman" w:hAnsi="Times New Roman" w:eastAsia="宋体" w:cs="Times New Roman"/>
                <w:color w:val="auto"/>
                <w:sz w:val="24"/>
                <w:szCs w:val="24"/>
                <w:highlight w:val="none"/>
                <w:lang w:val="en-US" w:eastAsia="zh-CN"/>
              </w:rPr>
              <w:t>宝鸡市陈仓区</w:t>
            </w:r>
            <w:r>
              <w:rPr>
                <w:rFonts w:hint="eastAsia" w:cs="Times New Roman"/>
                <w:color w:val="auto"/>
                <w:sz w:val="24"/>
                <w:szCs w:val="24"/>
                <w:highlight w:val="none"/>
                <w:lang w:val="en-US" w:eastAsia="zh-CN"/>
              </w:rPr>
              <w:t>香泉镇梨树沟，矿区范围涉及宝鸡市陈仓区，建设单位</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宝鸡昌锦瑞石英科技有限公司</w:t>
            </w:r>
            <w:r>
              <w:rPr>
                <w:rFonts w:hint="eastAsia" w:cs="Times New Roman"/>
                <w:color w:val="auto"/>
                <w:sz w:val="24"/>
                <w:szCs w:val="24"/>
                <w:highlight w:val="none"/>
                <w:lang w:val="en-US" w:eastAsia="zh-CN"/>
              </w:rPr>
              <w:t>）</w:t>
            </w:r>
            <w:r>
              <w:rPr>
                <w:rFonts w:hint="eastAsia" w:cs="Times New Roman"/>
                <w:color w:val="auto"/>
                <w:highlight w:val="none"/>
                <w:lang w:val="en-US" w:eastAsia="zh-CN"/>
              </w:rPr>
              <w:t>已取得</w:t>
            </w:r>
            <w:r>
              <w:rPr>
                <w:rFonts w:hint="eastAsia" w:ascii="Times New Roman" w:hAnsi="Times New Roman" w:eastAsia="宋体" w:cs="Times New Roman"/>
                <w:color w:val="auto"/>
                <w:sz w:val="24"/>
                <w:szCs w:val="24"/>
                <w:highlight w:val="none"/>
                <w:lang w:eastAsia="zh-CN"/>
              </w:rPr>
              <w:t>宝鸡昌锦瑞石英科技有限公司</w:t>
            </w:r>
            <w:r>
              <w:rPr>
                <w:rFonts w:hint="eastAsia" w:cs="Times New Roman"/>
                <w:color w:val="auto"/>
                <w:sz w:val="24"/>
                <w:szCs w:val="24"/>
                <w:highlight w:val="none"/>
                <w:lang w:eastAsia="zh-CN"/>
              </w:rPr>
              <w:t>梨树沟冶金用脉石英矿</w:t>
            </w:r>
            <w:r>
              <w:rPr>
                <w:rFonts w:hint="eastAsia" w:cs="Times New Roman"/>
                <w:color w:val="auto"/>
                <w:highlight w:val="none"/>
                <w:lang w:val="en-US" w:eastAsia="zh-CN"/>
              </w:rPr>
              <w:t>采矿权（见附件3），开采区用地勘测定界已由宝鸡市自然资源和规划局确认。根据《宝</w:t>
            </w:r>
            <w:r>
              <w:rPr>
                <w:rFonts w:hint="eastAsia" w:ascii="Times New Roman" w:hAnsi="Times New Roman" w:eastAsia="宋体" w:cs="Times New Roman"/>
                <w:color w:val="auto"/>
                <w:sz w:val="24"/>
                <w:szCs w:val="24"/>
                <w:highlight w:val="none"/>
                <w:lang w:eastAsia="zh-CN"/>
              </w:rPr>
              <w:t>鸡昌锦瑞石英科技有限公司</w:t>
            </w:r>
            <w:r>
              <w:rPr>
                <w:rFonts w:hint="eastAsia" w:cs="Times New Roman"/>
                <w:color w:val="auto"/>
                <w:sz w:val="24"/>
                <w:szCs w:val="24"/>
                <w:highlight w:val="none"/>
                <w:lang w:eastAsia="zh-CN"/>
              </w:rPr>
              <w:t>梨树沟冶金用脉石英矿</w:t>
            </w:r>
            <w:r>
              <w:rPr>
                <w:rFonts w:hint="eastAsia" w:cs="Times New Roman"/>
                <w:color w:val="auto"/>
                <w:sz w:val="24"/>
                <w:szCs w:val="24"/>
                <w:highlight w:val="none"/>
                <w:lang w:val="en-US" w:eastAsia="zh-CN"/>
              </w:rPr>
              <w:t>项目永久占用林地的报告审查意见</w:t>
            </w:r>
            <w:r>
              <w:rPr>
                <w:rFonts w:hint="eastAsia" w:cs="Times New Roman"/>
                <w:color w:val="auto"/>
                <w:highlight w:val="none"/>
                <w:lang w:val="en-US" w:eastAsia="zh-CN"/>
              </w:rPr>
              <w:t>》（见附件7），项目占用林地21公顷，均为国家二级公益林。根据宝鸡市陈仓区人民政府出具《关于陕西省宝鸡市陈仓区-陇县梨树沟-中南沟脉石英矿探矿权（陈仓区部分）出让意见的复函》（见附件6）用地范围不涉及基本农田保护区、生态红线等，符合“三区三线”管控要求</w:t>
            </w:r>
            <w:r>
              <w:rPr>
                <w:rFonts w:hint="eastAsia" w:ascii="Times New Roman" w:hAnsi="Times New Roman" w:eastAsia="宋体" w:cs="Times New Roman"/>
                <w:color w:val="auto"/>
                <w:highlight w:val="none"/>
                <w:lang w:val="en-US" w:eastAsia="zh-CN"/>
              </w:rPr>
              <w:t>。在落实工业场地各项环保措施及生态恢复后，从满足环境质量标准要求角度分析，选址基本合理。</w:t>
            </w:r>
          </w:p>
          <w:p w14:paraId="3BCB7938">
            <w:pPr>
              <w:ind w:left="0" w:leftChars="0" w:firstLine="0" w:firstLineChars="0"/>
              <w:rPr>
                <w:rFonts w:hint="default"/>
              </w:rPr>
            </w:pPr>
          </w:p>
        </w:tc>
      </w:tr>
    </w:tbl>
    <w:p w14:paraId="061EB3FD">
      <w:pPr>
        <w:pStyle w:val="20"/>
        <w:ind w:firstLine="600"/>
        <w:jc w:val="center"/>
        <w:outlineLvl w:val="0"/>
        <w:rPr>
          <w:rFonts w:hint="default" w:ascii="Times New Roman" w:hAnsi="Times New Roman" w:eastAsia="宋体" w:cs="Times New Roman"/>
          <w:snapToGrid w:val="0"/>
          <w:color w:val="FF0000"/>
          <w:sz w:val="30"/>
          <w:szCs w:val="30"/>
        </w:r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14:paraId="0C2F219D">
      <w:pPr>
        <w:pStyle w:val="20"/>
        <w:keepNext w:val="0"/>
        <w:keepLines w:val="0"/>
        <w:pageBreakBefore w:val="0"/>
        <w:widowControl/>
        <w:kinsoku/>
        <w:wordWrap/>
        <w:overflowPunct/>
        <w:topLinePunct w:val="0"/>
        <w:autoSpaceDE/>
        <w:autoSpaceDN/>
        <w:bidi w:val="0"/>
        <w:adjustRightInd/>
        <w:snapToGrid/>
        <w:spacing w:after="157" w:afterLines="50" w:afterAutospacing="0"/>
        <w:ind w:firstLine="482"/>
        <w:jc w:val="center"/>
        <w:textAlignment w:val="auto"/>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五、主要生态环境保护措施</w:t>
      </w: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7758"/>
      </w:tblGrid>
      <w:tr w14:paraId="4FB04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408" w:type="pct"/>
            <w:tcMar>
              <w:left w:w="28" w:type="dxa"/>
              <w:right w:w="28" w:type="dxa"/>
            </w:tcMar>
            <w:vAlign w:val="center"/>
          </w:tcPr>
          <w:p w14:paraId="7FA3A04B">
            <w:pPr>
              <w:adjustRightInd w:val="0"/>
              <w:snapToGrid w:val="0"/>
              <w:ind w:firstLine="0" w:firstLineChars="0"/>
              <w:jc w:val="center"/>
              <w:rPr>
                <w:rFonts w:hint="default" w:ascii="Times New Roman" w:hAnsi="Times New Roman" w:eastAsia="宋体" w:cs="Times New Roman"/>
                <w:bCs/>
                <w:color w:val="FF0000"/>
                <w:sz w:val="24"/>
                <w:szCs w:val="24"/>
              </w:rPr>
            </w:pPr>
            <w:r>
              <w:rPr>
                <w:rFonts w:hint="default" w:ascii="Times New Roman" w:hAnsi="Times New Roman" w:eastAsia="宋体" w:cs="Times New Roman"/>
                <w:bCs/>
                <w:color w:val="auto"/>
                <w:spacing w:val="10"/>
                <w:sz w:val="24"/>
                <w:szCs w:val="24"/>
              </w:rPr>
              <w:t>施工期生态环境保护措施</w:t>
            </w:r>
          </w:p>
        </w:tc>
        <w:tc>
          <w:tcPr>
            <w:tcW w:w="4591" w:type="pct"/>
          </w:tcPr>
          <w:p w14:paraId="00BACBCE">
            <w:pPr>
              <w:pStyle w:val="3"/>
              <w:ind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1、施工期生态影响防治措施</w:t>
            </w:r>
          </w:p>
          <w:p w14:paraId="6C183E44">
            <w:pPr>
              <w:pStyle w:val="51"/>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GB2 \* MERGEFORMAT </w:instrText>
            </w:r>
            <w:r>
              <w:rPr>
                <w:rFonts w:hint="default" w:ascii="Times New Roman" w:hAnsi="Times New Roman" w:eastAsia="宋体" w:cs="Times New Roman"/>
                <w:color w:val="auto"/>
                <w:sz w:val="24"/>
                <w:szCs w:val="24"/>
              </w:rPr>
              <w:fldChar w:fldCharType="separate"/>
            </w:r>
            <w:r>
              <w:t>⑴</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植被保护措施</w:t>
            </w:r>
          </w:p>
          <w:p w14:paraId="5CEDE4B6">
            <w:pPr>
              <w:widowControl/>
              <w:ind w:firstLine="42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开拓道路修筑过程中严格控制施工作业带范围；在施工区设置警示牌，进行土壤、植被的保护宣传，严格划定施工活动区，严禁超采。</w:t>
            </w:r>
          </w:p>
          <w:p w14:paraId="7BBA4021">
            <w:pPr>
              <w:pStyle w:val="51"/>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2 \* GB2 \* MERGEFORMAT </w:instrText>
            </w:r>
            <w:r>
              <w:rPr>
                <w:rFonts w:hint="default" w:ascii="Times New Roman" w:hAnsi="Times New Roman" w:eastAsia="宋体" w:cs="Times New Roman"/>
                <w:color w:val="auto"/>
                <w:sz w:val="24"/>
                <w:szCs w:val="24"/>
              </w:rPr>
              <w:fldChar w:fldCharType="separate"/>
            </w:r>
            <w:r>
              <w:t>⑵</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水土流失保护措施</w:t>
            </w:r>
          </w:p>
          <w:p w14:paraId="1ACBA011">
            <w:pPr>
              <w:pStyle w:val="51"/>
              <w:ind w:firstLine="42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t>①</w:t>
            </w:r>
            <w:r>
              <w:rPr>
                <w:rFonts w:hint="eastAsia" w:cs="Times New Roman"/>
                <w:color w:val="auto"/>
                <w:sz w:val="24"/>
                <w:szCs w:val="24"/>
                <w:lang w:val="en-US" w:eastAsia="zh-CN"/>
              </w:rPr>
              <w:t>避让</w:t>
            </w:r>
            <w:r>
              <w:rPr>
                <w:rFonts w:hint="default" w:ascii="Times New Roman" w:hAnsi="Times New Roman" w:eastAsia="宋体" w:cs="Times New Roman"/>
                <w:color w:val="auto"/>
                <w:sz w:val="24"/>
                <w:szCs w:val="24"/>
                <w:lang w:val="en-US" w:eastAsia="zh-CN"/>
              </w:rPr>
              <w:t>渭河流域黄土台塬水土保持生态保护红线</w:t>
            </w:r>
            <w:r>
              <w:rPr>
                <w:rFonts w:hint="eastAsia" w:ascii="Times New Roman" w:hAnsi="Times New Roman" w:eastAsia="宋体" w:cs="Times New Roman"/>
                <w:color w:val="auto"/>
                <w:sz w:val="24"/>
                <w:szCs w:val="24"/>
                <w:lang w:val="en-US" w:eastAsia="zh-CN"/>
              </w:rPr>
              <w:t>区域，不得进行施工及扰动。</w:t>
            </w:r>
          </w:p>
          <w:p w14:paraId="1B1089EC">
            <w:pPr>
              <w:pStyle w:val="51"/>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②运输道路靠山坡一侧设置排洪沟、截水沟，路堑边坡失稳处修建挡墙或喷浆等</w:t>
            </w:r>
            <w:r>
              <w:rPr>
                <w:rFonts w:hint="eastAsia" w:cs="Times New Roman"/>
                <w:color w:val="auto"/>
                <w:sz w:val="24"/>
                <w:szCs w:val="24"/>
                <w:lang w:eastAsia="zh-CN"/>
              </w:rPr>
              <w:t>其他</w:t>
            </w:r>
            <w:r>
              <w:rPr>
                <w:rFonts w:hint="default" w:ascii="Times New Roman" w:hAnsi="Times New Roman" w:eastAsia="宋体" w:cs="Times New Roman"/>
                <w:color w:val="auto"/>
                <w:sz w:val="24"/>
                <w:szCs w:val="24"/>
              </w:rPr>
              <w:t>工程措施，岩石裸露面进行植被护坡。</w:t>
            </w:r>
          </w:p>
          <w:p w14:paraId="7DC857FD">
            <w:pPr>
              <w:pStyle w:val="51"/>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③在露天最终边坡外及主要平台上设置截排水沟；防止雨水沿山坡进入露天采场，冲刷边坡，影响边坡稳定性；及时对露天境界内外的截、排水沟进行清理、疏通，保证境界内外排水设施安全可靠。</w:t>
            </w:r>
          </w:p>
          <w:p w14:paraId="50C6821D">
            <w:pPr>
              <w:pStyle w:val="3"/>
              <w:ind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2、施工期污染影响防治措施</w:t>
            </w:r>
          </w:p>
          <w:p w14:paraId="3E73C0DB">
            <w:pPr>
              <w:pStyle w:val="51"/>
              <w:ind w:firstLine="42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 1 \* GB2 \* MERGEFORMAT </w:instrText>
            </w:r>
            <w:r>
              <w:rPr>
                <w:rFonts w:hint="default" w:ascii="Times New Roman" w:hAnsi="Times New Roman" w:eastAsia="宋体" w:cs="Times New Roman"/>
                <w:b/>
                <w:bCs/>
                <w:color w:val="auto"/>
                <w:sz w:val="24"/>
                <w:szCs w:val="24"/>
              </w:rPr>
              <w:fldChar w:fldCharType="separate"/>
            </w:r>
            <w:r>
              <w:t>⑴</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废气污染防治措施</w:t>
            </w:r>
          </w:p>
          <w:p w14:paraId="30B8BD75">
            <w:pPr>
              <w:pStyle w:val="55"/>
              <w:ind w:firstLine="42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）施工扬尘</w:t>
            </w:r>
          </w:p>
          <w:p w14:paraId="5F241CE1">
            <w:pPr>
              <w:pStyle w:val="55"/>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eastAsia" w:cs="Times New Roman"/>
                <w:color w:val="auto"/>
                <w:sz w:val="24"/>
                <w:szCs w:val="24"/>
                <w:lang w:val="en-US" w:eastAsia="zh-CN"/>
              </w:rPr>
              <w:t>宝鸡市</w:t>
            </w:r>
            <w:r>
              <w:rPr>
                <w:rFonts w:hint="default" w:ascii="Times New Roman" w:hAnsi="Times New Roman" w:eastAsia="宋体" w:cs="Times New Roman"/>
                <w:color w:val="auto"/>
                <w:sz w:val="24"/>
                <w:szCs w:val="24"/>
              </w:rPr>
              <w:t>大气污染防治条例》等有关规定，施工期合理安排工期，尽可能加快施工进度，减少施工时间；强化施工扬尘监管。严格落实建设项目“洒水、覆盖、硬化、冲洗、绿化、围挡”六个100%措施。</w:t>
            </w:r>
          </w:p>
          <w:p w14:paraId="43BD0D0F">
            <w:pPr>
              <w:pStyle w:val="55"/>
              <w:ind w:firstLine="42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）运输车辆扬尘</w:t>
            </w:r>
          </w:p>
          <w:p w14:paraId="38C567A0">
            <w:pPr>
              <w:pStyle w:val="55"/>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施工期扬尘主要来自场地平整、路基开挖、路基开挖及路基填筑等。施工扬尘的产生及影响程度与施工季节、施工管理和风力等气候因素密切相关，如遇干旱大风扬尘影响则较为严重。根据类比资料，在一般气象条件下，平均风速2.6m/s的施工扬尘污染有如下特点：建筑工地内TSP浓度为上风向对照点的1.5-2.3倍；在</w:t>
            </w:r>
          </w:p>
          <w:p w14:paraId="773B473B">
            <w:pPr>
              <w:pStyle w:val="55"/>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建筑工地扬尘点下风向150m处，TSP平均浓度可达0.49mg/Nm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左右，相当大气质量标准1.6倍。根据有关研究，车辆行驶产生的扬尘占总扬尘的60%以上。扬尘的产生量及扬尘污染程度与车辆运输方式、路面状况、天气条件等因素息息相关，影响可达150-300m。如果在施工期间对车辆行驶的路面实施洒水抑尘，每天洒水4-5次，可减少扬尘量70%左右，扬尘造成的TSP污染距离可缩小到20-50m范围。</w:t>
            </w:r>
          </w:p>
          <w:p w14:paraId="7EE1CA9B">
            <w:pPr>
              <w:pStyle w:val="55"/>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施工扬尘的另一种情况是开挖土方的露天堆放，这类扬尘与受作业时风速的大小有关，因此，避免在大风天气进行土地开挖和回填作业，减少开挖土方的露天堆放时间尽量随挖随填是抑制这类扬尘的有效手段。</w:t>
            </w:r>
          </w:p>
          <w:p w14:paraId="7B9367EE">
            <w:pPr>
              <w:pStyle w:val="55"/>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另外，由于道路的扬尘量与车辆行驶对路面扰动有关与车辆的速度有关，速度愈快对路面的扰动越大，其扬尘量势必愈大。为避免施工扬尘，采取的防治措施如下：</w:t>
            </w:r>
          </w:p>
          <w:p w14:paraId="0635B618">
            <w:pPr>
              <w:pStyle w:val="55"/>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（1）施工场地每天适时洒水降尘，大风天气下禁止进行土方开挖作业。</w:t>
            </w:r>
          </w:p>
          <w:p w14:paraId="4A6EB74B">
            <w:pPr>
              <w:pStyle w:val="55"/>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（2）施工场地内运输道路及时清扫、以减少汽车行驶扬尘。</w:t>
            </w:r>
          </w:p>
          <w:p w14:paraId="1521662E">
            <w:pPr>
              <w:pStyle w:val="55"/>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（3）运输车辆进入施工场地应低速行驶，减少产尘量。</w:t>
            </w:r>
          </w:p>
          <w:p w14:paraId="7C2546F5">
            <w:pPr>
              <w:pStyle w:val="55"/>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（4）施工中使用水泥、石灰等易产生扬尘的建筑材料时，应采取密闭存储、设置围档或围墙、采用防尘布盖等防尘措施；</w:t>
            </w:r>
          </w:p>
          <w:p w14:paraId="04F31D3C">
            <w:pPr>
              <w:pStyle w:val="55"/>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（5）进出工地的物料运输车辆应采用密闭车斗，并确保物料不遗撒外漏。</w:t>
            </w:r>
          </w:p>
          <w:p w14:paraId="5735C943">
            <w:pPr>
              <w:pStyle w:val="55"/>
              <w:ind w:firstLine="42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）施工机械及车辆尾气</w:t>
            </w:r>
          </w:p>
          <w:p w14:paraId="7C0F398F">
            <w:pPr>
              <w:pStyle w:val="55"/>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本项目施工机械主要为各种燃油机械的废气排放，运输车辆产生的尾气等。燃油机械和汽车尾气中的污染物为CO、NOx及HC等。施工机械所排放的废气较集中，在局部的范围内污染物的浓度较高。</w:t>
            </w:r>
          </w:p>
          <w:p w14:paraId="15D0C1C7">
            <w:pPr>
              <w:pStyle w:val="55"/>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根据交通</w:t>
            </w:r>
            <w:r>
              <w:rPr>
                <w:rFonts w:hint="eastAsia" w:cs="Times New Roman"/>
                <w:color w:val="auto"/>
                <w:sz w:val="24"/>
                <w:szCs w:val="24"/>
                <w:lang w:eastAsia="zh-CN"/>
              </w:rPr>
              <w:t>运输</w:t>
            </w:r>
            <w:r>
              <w:rPr>
                <w:rFonts w:hint="default" w:ascii="Times New Roman" w:hAnsi="Times New Roman" w:eastAsia="宋体" w:cs="Times New Roman"/>
                <w:color w:val="auto"/>
                <w:sz w:val="24"/>
                <w:szCs w:val="24"/>
              </w:rPr>
              <w:t>部公路研究所的测算，以载重卡车为例，测得每辆卡车的尾气中含CO37.23g/km·辆，CnHm15.98g/km·辆，NO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16.83g/km·辆。这些施工机械所排放的废气以无组织面源的形式排放，会对施工区大气环境造成不利影响。据有关单位在市政施工现场的测试结果表明：氮氧化物（NOx）的浓度可达150μg/m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，其影响范围在下风向200m以内的范围。但施工结束后，废气影响也随之消失，不会造成长期的影响。</w:t>
            </w:r>
          </w:p>
          <w:p w14:paraId="665BF67E">
            <w:pPr>
              <w:pStyle w:val="55"/>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本项目周边施工期产生的扬尘、燃油机械的废气排放以及运输车辆产生的尾气排放量较小，时间短，对周边环境影响很小。</w:t>
            </w:r>
          </w:p>
          <w:p w14:paraId="55A34B09">
            <w:pPr>
              <w:numPr>
                <w:ilvl w:val="0"/>
                <w:numId w:val="0"/>
              </w:numPr>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 2 \* GB2 \* MERGEFORMAT </w:instrText>
            </w:r>
            <w:r>
              <w:rPr>
                <w:rFonts w:hint="default" w:ascii="Times New Roman" w:hAnsi="Times New Roman" w:eastAsia="宋体" w:cs="Times New Roman"/>
                <w:b/>
                <w:bCs/>
                <w:color w:val="auto"/>
                <w:sz w:val="24"/>
                <w:szCs w:val="24"/>
              </w:rPr>
              <w:fldChar w:fldCharType="separate"/>
            </w:r>
            <w:r>
              <w:t>⑵</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废水污染防治措施</w:t>
            </w:r>
          </w:p>
          <w:p w14:paraId="6A6490FC">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①施工废水：</w:t>
            </w:r>
          </w:p>
          <w:p w14:paraId="7FC41054">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生产废水主要来自机械设备的洗</w:t>
            </w:r>
            <w:r>
              <w:rPr>
                <w:rFonts w:hint="eastAsia" w:cs="Times New Roman"/>
                <w:color w:val="auto"/>
                <w:sz w:val="24"/>
                <w:szCs w:val="24"/>
                <w:lang w:eastAsia="zh-CN"/>
              </w:rPr>
              <w:t>车</w:t>
            </w:r>
            <w:r>
              <w:rPr>
                <w:rFonts w:hint="default" w:ascii="Times New Roman" w:hAnsi="Times New Roman" w:eastAsia="宋体" w:cs="Times New Roman"/>
                <w:color w:val="auto"/>
                <w:sz w:val="24"/>
                <w:szCs w:val="24"/>
              </w:rPr>
              <w:t>废水，施工现场设置临时沉淀池，沉淀后的施工废水</w:t>
            </w:r>
            <w:r>
              <w:rPr>
                <w:rFonts w:hint="eastAsia" w:cs="Times New Roman"/>
                <w:color w:val="auto"/>
                <w:sz w:val="24"/>
                <w:szCs w:val="24"/>
                <w:lang w:eastAsia="zh-CN"/>
              </w:rPr>
              <w:t>回用</w:t>
            </w:r>
            <w:r>
              <w:rPr>
                <w:rFonts w:hint="default" w:ascii="Times New Roman" w:hAnsi="Times New Roman" w:eastAsia="宋体" w:cs="Times New Roman"/>
                <w:color w:val="auto"/>
                <w:sz w:val="24"/>
                <w:szCs w:val="24"/>
              </w:rPr>
              <w:t>。</w:t>
            </w:r>
          </w:p>
          <w:p w14:paraId="56492474">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②生活污水：</w:t>
            </w:r>
          </w:p>
          <w:p w14:paraId="6C41B78E">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生活污水</w:t>
            </w:r>
            <w:r>
              <w:rPr>
                <w:rFonts w:hint="default" w:ascii="Times New Roman" w:hAnsi="Times New Roman" w:eastAsia="宋体" w:cs="Times New Roman"/>
                <w:color w:val="auto"/>
                <w:kern w:val="2"/>
                <w:sz w:val="24"/>
                <w:szCs w:val="24"/>
                <w:highlight w:val="none"/>
                <w:shd w:val="clear" w:color="auto" w:fill="auto"/>
                <w:lang w:val="en-US" w:eastAsia="zh-CN"/>
              </w:rPr>
              <w:t>经</w:t>
            </w:r>
            <w:r>
              <w:rPr>
                <w:rFonts w:hint="default" w:ascii="Times New Roman" w:hAnsi="Times New Roman" w:eastAsia="宋体" w:cs="Times New Roman"/>
                <w:color w:val="auto"/>
                <w:kern w:val="2"/>
                <w:sz w:val="24"/>
                <w:szCs w:val="24"/>
                <w:highlight w:val="none"/>
                <w:shd w:val="clear" w:color="auto" w:fill="auto"/>
              </w:rPr>
              <w:t>化粪池处理</w:t>
            </w:r>
            <w:r>
              <w:rPr>
                <w:rFonts w:hint="default" w:ascii="Times New Roman" w:hAnsi="Times New Roman" w:eastAsia="宋体" w:cs="Times New Roman"/>
                <w:color w:val="auto"/>
                <w:kern w:val="2"/>
                <w:sz w:val="24"/>
                <w:szCs w:val="24"/>
                <w:highlight w:val="none"/>
                <w:shd w:val="clear" w:color="auto" w:fill="auto"/>
                <w:lang w:val="en-US" w:eastAsia="zh-CN"/>
              </w:rPr>
              <w:t>后</w:t>
            </w:r>
            <w:r>
              <w:rPr>
                <w:rFonts w:hint="default" w:ascii="Times New Roman" w:hAnsi="Times New Roman" w:eastAsia="宋体" w:cs="Times New Roman"/>
                <w:color w:val="auto"/>
                <w:kern w:val="2"/>
                <w:sz w:val="24"/>
                <w:szCs w:val="24"/>
                <w:highlight w:val="none"/>
                <w:shd w:val="clear" w:color="auto" w:fill="auto"/>
              </w:rPr>
              <w:t>，用于</w:t>
            </w:r>
            <w:r>
              <w:rPr>
                <w:rFonts w:hint="eastAsia" w:cs="Times New Roman"/>
                <w:color w:val="auto"/>
                <w:kern w:val="2"/>
                <w:sz w:val="24"/>
                <w:szCs w:val="24"/>
                <w:highlight w:val="none"/>
                <w:shd w:val="clear" w:color="auto" w:fill="auto"/>
                <w:lang w:eastAsia="zh-CN"/>
              </w:rPr>
              <w:t>周边施肥</w:t>
            </w:r>
            <w:r>
              <w:rPr>
                <w:rFonts w:hint="default" w:ascii="Times New Roman" w:hAnsi="Times New Roman" w:eastAsia="宋体" w:cs="Times New Roman"/>
                <w:color w:val="auto"/>
                <w:kern w:val="2"/>
                <w:sz w:val="24"/>
                <w:szCs w:val="24"/>
                <w:highlight w:val="none"/>
                <w:shd w:val="clear" w:color="auto" w:fill="auto"/>
              </w:rPr>
              <w:t>等。</w:t>
            </w:r>
          </w:p>
          <w:p w14:paraId="193942E8">
            <w:pPr>
              <w:numPr>
                <w:ilvl w:val="0"/>
                <w:numId w:val="0"/>
              </w:numPr>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 3 \* GB2 \* MERGEFORMAT </w:instrText>
            </w:r>
            <w:r>
              <w:rPr>
                <w:rFonts w:hint="default" w:ascii="Times New Roman" w:hAnsi="Times New Roman" w:eastAsia="宋体" w:cs="Times New Roman"/>
                <w:b/>
                <w:bCs/>
                <w:color w:val="auto"/>
                <w:sz w:val="24"/>
                <w:szCs w:val="24"/>
              </w:rPr>
              <w:fldChar w:fldCharType="separate"/>
            </w:r>
            <w:r>
              <w:t>⑶</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噪声污染防治措施</w:t>
            </w:r>
          </w:p>
          <w:p w14:paraId="1721DD9E">
            <w:pPr>
              <w:pStyle w:val="55"/>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①制订科学的施工计划，应尽可能避免大量高噪声设备同时使用。合理布局施工现场，避免在同一地点安排大量动力机械设备，以避免局部声压级过高。</w:t>
            </w:r>
          </w:p>
          <w:p w14:paraId="42D3ABA4">
            <w:pPr>
              <w:pStyle w:val="55"/>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②禁止夜间22：00至次日6：00进行施工作业，施工单位文明施工，加强有效管理；</w:t>
            </w:r>
          </w:p>
          <w:p w14:paraId="790B2321">
            <w:pPr>
              <w:pStyle w:val="55"/>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③尽量采用低噪声机械，选用符合国家噪声标准的设备，施工过程中应经常对设备进行维修保养，避免由于设备性能差而增大机械噪声；</w:t>
            </w:r>
          </w:p>
          <w:p w14:paraId="405A41BF">
            <w:pPr>
              <w:pStyle w:val="55"/>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④应注意合理安排施工物料的运输时间，在途经附近有居民点的路段时，应减速慢行，禁止鸣笛。</w:t>
            </w:r>
          </w:p>
          <w:p w14:paraId="352F852E">
            <w:pPr>
              <w:numPr>
                <w:ilvl w:val="0"/>
                <w:numId w:val="0"/>
              </w:numPr>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 4 \* GB2 \* MERGEFORMAT </w:instrText>
            </w:r>
            <w:r>
              <w:rPr>
                <w:rFonts w:hint="default" w:ascii="Times New Roman" w:hAnsi="Times New Roman" w:eastAsia="宋体" w:cs="Times New Roman"/>
                <w:b/>
                <w:bCs/>
                <w:color w:val="auto"/>
                <w:sz w:val="24"/>
                <w:szCs w:val="24"/>
              </w:rPr>
              <w:fldChar w:fldCharType="separate"/>
            </w:r>
            <w:r>
              <w:t>⑷</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固体废物污染防治措施</w:t>
            </w:r>
          </w:p>
          <w:p w14:paraId="616636F2">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为控制施工建筑废弃物对环境的污染，减少堆放和运输过程中对环境的影响，建议采取以下措施：</w:t>
            </w:r>
          </w:p>
          <w:p w14:paraId="075C6B80">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（1）废弃建材、建筑垃圾由施工单位回收利用，无法回收利用的由施工单位运往指定地点处置。</w:t>
            </w:r>
          </w:p>
          <w:p w14:paraId="3BBD65C3">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（2）施工单位应当及时清理运走、处置建筑施工过程中产生的垃圾，并采取措施，防止污染环境。</w:t>
            </w:r>
          </w:p>
          <w:p w14:paraId="68DE9B94">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（3）运输车辆运输散体材料和废弃物时，必须采取苫盖，防止沿途漏撒；运载土方的车辆必须在规定的时间内，按指定路段行驶。</w:t>
            </w:r>
          </w:p>
          <w:p w14:paraId="3D9E6819">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（4）收集、贮存、运输、处置固体废物的单位和个人，必须采取防扬散、防流失、防渗漏或者其它防止污染环境的措施。</w:t>
            </w:r>
          </w:p>
          <w:p w14:paraId="27FD6CE1">
            <w:pPr>
              <w:ind w:firstLine="420"/>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综上所述，施工期在积极落实固废处置措施基础上，不会对周边环境造成太大的影响，措施可行</w:t>
            </w:r>
            <w:r>
              <w:rPr>
                <w:rFonts w:hint="default" w:ascii="Times New Roman" w:hAnsi="Times New Roman" w:eastAsia="宋体" w:cs="Times New Roman"/>
                <w:b w:val="0"/>
                <w:bCs/>
                <w:color w:val="auto"/>
                <w:sz w:val="24"/>
                <w:szCs w:val="24"/>
                <w:highlight w:val="none"/>
                <w:shd w:val="clear" w:color="auto" w:fill="auto"/>
                <w:lang w:val="en-US" w:eastAsia="zh-CN"/>
              </w:rPr>
              <w:t>。</w:t>
            </w:r>
          </w:p>
        </w:tc>
      </w:tr>
      <w:tr w14:paraId="4A325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408" w:type="pct"/>
            <w:tcMar>
              <w:left w:w="28" w:type="dxa"/>
              <w:right w:w="28" w:type="dxa"/>
            </w:tcMar>
            <w:vAlign w:val="center"/>
          </w:tcPr>
          <w:p w14:paraId="23D1311D">
            <w:pPr>
              <w:adjustRightInd w:val="0"/>
              <w:snapToGrid w:val="0"/>
              <w:ind w:firstLine="0" w:firstLineChars="0"/>
              <w:jc w:val="center"/>
              <w:rPr>
                <w:rFonts w:hint="default" w:ascii="Times New Roman" w:hAnsi="Times New Roman" w:eastAsia="宋体" w:cs="Times New Roman"/>
                <w:bCs/>
                <w:color w:val="FF0000"/>
                <w:spacing w:val="10"/>
                <w:sz w:val="24"/>
                <w:szCs w:val="24"/>
              </w:rPr>
            </w:pPr>
            <w:r>
              <w:rPr>
                <w:rFonts w:hint="default" w:ascii="Times New Roman" w:hAnsi="Times New Roman" w:eastAsia="宋体" w:cs="Times New Roman"/>
                <w:bCs/>
                <w:color w:val="auto"/>
                <w:spacing w:val="10"/>
                <w:sz w:val="24"/>
                <w:szCs w:val="24"/>
              </w:rPr>
              <w:t>运营期生态环境保护措施</w:t>
            </w:r>
          </w:p>
        </w:tc>
        <w:tc>
          <w:tcPr>
            <w:tcW w:w="4591" w:type="pct"/>
          </w:tcPr>
          <w:p w14:paraId="6B7C377B">
            <w:pPr>
              <w:keepNext w:val="0"/>
              <w:keepLines w:val="0"/>
              <w:pageBreakBefore w:val="0"/>
              <w:widowControl w:val="0"/>
              <w:kinsoku/>
              <w:wordWrap/>
              <w:overflowPunct/>
              <w:topLinePunct w:val="0"/>
              <w:autoSpaceDE/>
              <w:autoSpaceDN/>
              <w:bidi w:val="0"/>
              <w:adjustRightInd/>
              <w:snapToGrid/>
              <w:spacing w:before="157" w:beforeLines="50"/>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1、生态影响保护措施</w:t>
            </w:r>
          </w:p>
          <w:p w14:paraId="0B2BFBBC">
            <w:pPr>
              <w:adjustRightInd w:val="0"/>
              <w:snapToGrid w:val="0"/>
              <w:ind w:firstLine="422"/>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 1 \* GB2 \* MERGEFORMAT </w:instrText>
            </w:r>
            <w:r>
              <w:rPr>
                <w:rFonts w:hint="default" w:ascii="Times New Roman" w:hAnsi="Times New Roman" w:eastAsia="宋体" w:cs="Times New Roman"/>
                <w:b/>
                <w:bCs/>
                <w:color w:val="auto"/>
                <w:sz w:val="24"/>
                <w:szCs w:val="24"/>
              </w:rPr>
              <w:fldChar w:fldCharType="separate"/>
            </w:r>
            <w:r>
              <w:t>⑴</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生态保护措施</w:t>
            </w:r>
          </w:p>
          <w:p w14:paraId="2E42724E">
            <w:pPr>
              <w:adjustRightInd w:val="0"/>
              <w:snapToGrid w:val="0"/>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根据本项目工程特点，严格按照绿色矿山的相关要求对矿山实行生态保护措施：</w:t>
            </w:r>
          </w:p>
          <w:p w14:paraId="74C708F6">
            <w:pPr>
              <w:pStyle w:val="23"/>
              <w:spacing w:after="0"/>
              <w:ind w:left="0" w:left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（1）将施工活动严格控制在征地范围内、施工区域四周设置彩条带、控制施工范围，减少扰动面积，减少对牧草地的破坏。</w:t>
            </w:r>
          </w:p>
          <w:p w14:paraId="2BD782F8">
            <w:pPr>
              <w:pStyle w:val="23"/>
              <w:spacing w:after="0"/>
              <w:ind w:left="0" w:left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加强对施工人员的环境保护宣传、教育和管理，增强施工人员的环境保护意识，减少人为因素对植被的破坏。做好施工组织规划工作，严禁将建设施工材料乱堆乱放，划定适宜的堆料场等临时性场所，以防止植被破坏的范围增大。</w:t>
            </w:r>
          </w:p>
          <w:p w14:paraId="02895520">
            <w:pPr>
              <w:pStyle w:val="23"/>
              <w:spacing w:after="0"/>
              <w:ind w:left="0" w:left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（3）加强宣传教育，严禁施工人员随意踩踏植被和土壤，避免人为活动对植被和土壤造成的不利影响；禁止捕杀野生动物或随意捣毁动物巢穴。</w:t>
            </w:r>
          </w:p>
          <w:p w14:paraId="05AF08B7">
            <w:pPr>
              <w:pStyle w:val="23"/>
              <w:spacing w:after="0"/>
              <w:ind w:left="0" w:left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（4）施工机械和运输工具应在规划的道路上行驶，严禁随意行驶碾压植被，严禁破坏占地外的植被，将植被损失降至最低。</w:t>
            </w:r>
          </w:p>
          <w:p w14:paraId="44C3DBD6">
            <w:pPr>
              <w:pStyle w:val="23"/>
              <w:spacing w:after="0"/>
              <w:ind w:left="0" w:left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尽量减少对区域内植被的破坏，对在植被盖度相对较高的区域进行的相关作业时，应预先剥离表层植被层和将草皮集中移植到条件较好的地方，以备矿区进行场地恢复时重新覆盖和移植在表面，尽快恢复其生态原貌。</w:t>
            </w:r>
          </w:p>
          <w:p w14:paraId="743D1131">
            <w:pPr>
              <w:pStyle w:val="23"/>
              <w:spacing w:after="0"/>
              <w:ind w:left="0" w:left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（6）施工结束后及时恢复施工迹地，对施工迹地和弃方进行合理平整、利用、清运，减少水土流失。</w:t>
            </w:r>
          </w:p>
          <w:p w14:paraId="6880D8E9">
            <w:pPr>
              <w:ind w:firstLine="422"/>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 2 \* GB2 \* MERGEFORMAT </w:instrText>
            </w:r>
            <w:r>
              <w:rPr>
                <w:rFonts w:hint="default" w:ascii="Times New Roman" w:hAnsi="Times New Roman" w:eastAsia="宋体" w:cs="Times New Roman"/>
                <w:b/>
                <w:bCs/>
                <w:color w:val="auto"/>
                <w:sz w:val="24"/>
                <w:szCs w:val="24"/>
              </w:rPr>
              <w:fldChar w:fldCharType="separate"/>
            </w:r>
            <w:r>
              <w:t>⑵</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矿山复垦及绿化</w:t>
            </w:r>
          </w:p>
          <w:p w14:paraId="560F8114">
            <w:pPr>
              <w:ind w:firstLine="42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企业已完成《矿山地质环境保护与恢复治理方案</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生态环境治理方案</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水土保持方案》等相关工作，生产过程中按照批准的方案指导工作，并将其落实在实际生产活动中，及时完成矿山生态恢复治理。</w:t>
            </w:r>
          </w:p>
          <w:p w14:paraId="7B8A2657">
            <w:pPr>
              <w:pStyle w:val="23"/>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lang w:val="en-US"/>
              </w:rPr>
            </w:pPr>
            <w:r>
              <w:rPr>
                <w:rFonts w:hint="default"/>
                <w:lang w:val="en-US"/>
              </w:rPr>
              <w:t>植被恢复措施：通过种植植物，</w:t>
            </w:r>
            <w:r>
              <w:rPr>
                <w:rFonts w:hint="eastAsia"/>
                <w:lang w:val="en-US" w:eastAsia="zh-CN"/>
              </w:rPr>
              <w:t>及时</w:t>
            </w:r>
            <w:r>
              <w:rPr>
                <w:rFonts w:hint="default"/>
                <w:lang w:val="en-US"/>
              </w:rPr>
              <w:t>恢复植被，减少水土流失，改善土壤质量，改善土地利用，改善环境质量。</w:t>
            </w:r>
          </w:p>
          <w:p w14:paraId="03C08D51">
            <w:pPr>
              <w:pStyle w:val="23"/>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lang w:val="en-US"/>
              </w:rPr>
            </w:pPr>
            <w:r>
              <w:rPr>
                <w:rFonts w:hint="default"/>
                <w:lang w:val="en-US"/>
              </w:rPr>
              <w:t>工程措施：通过建设护坡、挡土墙、排水沟等工程，减少水土流失，改善土壤质量，改善土地利用，保护水资源，改善环境质量。</w:t>
            </w:r>
          </w:p>
          <w:p w14:paraId="0F13C072">
            <w:pPr>
              <w:keepNext w:val="0"/>
              <w:keepLines w:val="0"/>
              <w:pageBreakBefore w:val="0"/>
              <w:widowControl w:val="0"/>
              <w:kinsoku/>
              <w:wordWrap/>
              <w:overflowPunct/>
              <w:topLinePunct w:val="0"/>
              <w:autoSpaceDE/>
              <w:autoSpaceDN/>
              <w:bidi w:val="0"/>
              <w:adjustRightInd/>
              <w:snapToGrid/>
              <w:ind w:firstLine="420"/>
              <w:textAlignment w:val="auto"/>
              <w:rPr>
                <w:rFonts w:hint="eastAsia"/>
                <w:lang w:val="en-US" w:eastAsia="zh-CN"/>
              </w:rPr>
            </w:pPr>
            <w:r>
              <w:rPr>
                <w:rFonts w:hint="default"/>
                <w:lang w:val="en-US"/>
              </w:rPr>
              <w:t>管理措施：通过实施水土保持规划，实施水土保持技术，实施水土保持管理，减少水土流失，改善环境质量</w:t>
            </w:r>
            <w:r>
              <w:rPr>
                <w:rFonts w:hint="eastAsia"/>
                <w:lang w:val="en-US" w:eastAsia="zh-CN"/>
              </w:rPr>
              <w:t>。</w:t>
            </w:r>
          </w:p>
          <w:p w14:paraId="3E8EEAAD">
            <w:pPr>
              <w:ind w:firstLine="420"/>
              <w:rPr>
                <w:rFonts w:hint="default" w:ascii="Times New Roman" w:hAnsi="Times New Roman" w:eastAsia="宋体" w:cs="Times New Roman"/>
                <w:b/>
                <w:bCs/>
                <w:color w:val="auto"/>
                <w:sz w:val="24"/>
                <w:szCs w:val="24"/>
              </w:rPr>
            </w:pPr>
            <w:r>
              <w:rPr>
                <w:rFonts w:hint="eastAsia" w:cs="Times New Roman"/>
                <w:b/>
                <w:bCs/>
                <w:color w:val="auto"/>
                <w:sz w:val="24"/>
                <w:szCs w:val="24"/>
                <w:lang w:eastAsia="zh-CN"/>
              </w:rPr>
              <w:t>（</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rPr>
              <w:t>土壤环境保护措施</w:t>
            </w:r>
          </w:p>
          <w:p w14:paraId="244B46C9">
            <w:pPr>
              <w:ind w:firstLine="42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本项目拟采用以下土壤质量控制和修复措施：</w:t>
            </w:r>
          </w:p>
          <w:p w14:paraId="1F01EB23">
            <w:pPr>
              <w:ind w:firstLine="42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（1）表土再利用：开采前剥离的表土集中堆放在表土堆放场，在开采结束后，利用表土作为复垦的基质。</w:t>
            </w:r>
          </w:p>
          <w:p w14:paraId="5F73FA81">
            <w:pPr>
              <w:ind w:firstLine="42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（2）及时复垦。复垦是矿山开采后重要的一环。利用表土作为植土，及时复绿，减少水土流失和雨水淋溶。</w:t>
            </w:r>
          </w:p>
          <w:p w14:paraId="02D08FD6">
            <w:pPr>
              <w:ind w:firstLine="42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（3）控制本矿区的采矿表土、沉淀池沉渣等合理处置，不进入外环境，保持土壤成分稳定。</w:t>
            </w:r>
          </w:p>
          <w:p w14:paraId="19C23D56">
            <w:pPr>
              <w:ind w:firstLine="420"/>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采用上述土壤质量控制和修复措施后，项目开采前后土壤成分无较大变动，土壤酸碱度基本不变；复垦期，乡土植物可以顺利生长并繁衍；开采后对区域土壤环境影响很小。采用植物和工程措施后，土壤结构和性质可以短时间内恢复，不会造成土壤贫瘠化问题，对土壤结构和性质的影响较小，是可以接受的</w:t>
            </w:r>
            <w:r>
              <w:rPr>
                <w:rFonts w:hint="eastAsia" w:cs="Times New Roman"/>
                <w:b w:val="0"/>
                <w:bCs w:val="0"/>
                <w:color w:val="auto"/>
                <w:sz w:val="24"/>
                <w:szCs w:val="24"/>
                <w:lang w:eastAsia="zh-CN"/>
              </w:rPr>
              <w:t>。</w:t>
            </w:r>
          </w:p>
          <w:p w14:paraId="779AFE4E">
            <w:pPr>
              <w:ind w:firstLine="42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2、污染影响保护措施</w:t>
            </w:r>
          </w:p>
          <w:p w14:paraId="15A259C6">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GB2 \* MERGEFORMAT </w:instrText>
            </w:r>
            <w:r>
              <w:rPr>
                <w:rFonts w:hint="default" w:ascii="Times New Roman" w:hAnsi="Times New Roman" w:eastAsia="宋体" w:cs="Times New Roman"/>
                <w:color w:val="auto"/>
                <w:sz w:val="24"/>
                <w:szCs w:val="24"/>
              </w:rPr>
              <w:fldChar w:fldCharType="separate"/>
            </w:r>
            <w:r>
              <w:t>⑴</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废气环保措施</w:t>
            </w:r>
          </w:p>
          <w:p w14:paraId="6C721637">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①采矿区钻孔</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爆破及铲装粉尘采用洒水抑尘；</w:t>
            </w:r>
          </w:p>
          <w:p w14:paraId="6C8F238E">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lang w:val="en-US" w:eastAsia="zh-CN"/>
              </w:rPr>
              <w:t>场区</w:t>
            </w:r>
            <w:r>
              <w:rPr>
                <w:rFonts w:hint="default" w:ascii="Times New Roman" w:hAnsi="Times New Roman" w:eastAsia="宋体" w:cs="Times New Roman"/>
                <w:color w:val="auto"/>
                <w:sz w:val="24"/>
                <w:szCs w:val="24"/>
              </w:rPr>
              <w:t>采用洒水车定期抑尘洒水；</w:t>
            </w:r>
          </w:p>
          <w:p w14:paraId="110BC6FE">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④运输道路加强道路养护，确保路面平整，防止坑凹处裸露的土壤，引起扬尘；同时定期抑尘洒水，限速行驶；</w:t>
            </w:r>
          </w:p>
          <w:p w14:paraId="57A9530C">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⑤采取质量合格的机械设备，采用优质柴油，加强设备的维护等，</w:t>
            </w:r>
            <w:r>
              <w:rPr>
                <w:rFonts w:hint="eastAsia" w:cs="Times New Roman"/>
                <w:color w:val="auto"/>
                <w:sz w:val="24"/>
                <w:szCs w:val="24"/>
                <w:lang w:eastAsia="zh-CN"/>
              </w:rPr>
              <w:t>减少</w:t>
            </w:r>
            <w:r>
              <w:rPr>
                <w:rFonts w:hint="default" w:ascii="Times New Roman" w:hAnsi="Times New Roman" w:eastAsia="宋体" w:cs="Times New Roman"/>
                <w:color w:val="auto"/>
                <w:sz w:val="24"/>
                <w:szCs w:val="24"/>
              </w:rPr>
              <w:t>车辆尾气排放；</w:t>
            </w:r>
          </w:p>
          <w:p w14:paraId="367F3AD0">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w:t>
            </w:r>
            <w:r>
              <w:rPr>
                <w:rFonts w:hint="default" w:ascii="Times New Roman" w:hAnsi="Times New Roman" w:eastAsia="宋体" w:cs="Times New Roman"/>
                <w:color w:val="auto"/>
                <w:sz w:val="24"/>
                <w:szCs w:val="24"/>
                <w:lang w:val="en-US" w:eastAsia="zh-CN"/>
              </w:rPr>
              <w:t>在厂区设置洗车台，</w:t>
            </w:r>
            <w:r>
              <w:rPr>
                <w:rFonts w:hint="default" w:ascii="Times New Roman" w:hAnsi="Times New Roman" w:eastAsia="宋体" w:cs="Times New Roman"/>
                <w:color w:val="auto"/>
                <w:sz w:val="24"/>
                <w:szCs w:val="24"/>
              </w:rPr>
              <w:t>进出</w:t>
            </w:r>
            <w:r>
              <w:rPr>
                <w:rFonts w:hint="eastAsia" w:cs="Times New Roman"/>
                <w:color w:val="auto"/>
                <w:sz w:val="24"/>
                <w:szCs w:val="24"/>
                <w:lang w:eastAsia="zh-CN"/>
              </w:rPr>
              <w:t>厂</w:t>
            </w:r>
            <w:r>
              <w:rPr>
                <w:rFonts w:hint="default" w:ascii="Times New Roman" w:hAnsi="Times New Roman" w:eastAsia="宋体" w:cs="Times New Roman"/>
                <w:color w:val="auto"/>
                <w:sz w:val="24"/>
                <w:szCs w:val="24"/>
              </w:rPr>
              <w:t>车辆进行清洗。</w:t>
            </w:r>
          </w:p>
          <w:p w14:paraId="1B428D47">
            <w:pPr>
              <w:pStyle w:val="23"/>
              <w:numPr>
                <w:ilvl w:val="0"/>
                <w:numId w:val="0"/>
              </w:numPr>
              <w:spacing w:after="0"/>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2 \* GB2 \* MERGEFORMAT </w:instrText>
            </w:r>
            <w:r>
              <w:rPr>
                <w:rFonts w:hint="default" w:ascii="Times New Roman" w:hAnsi="Times New Roman" w:eastAsia="宋体" w:cs="Times New Roman"/>
                <w:color w:val="auto"/>
                <w:sz w:val="24"/>
                <w:szCs w:val="24"/>
              </w:rPr>
              <w:fldChar w:fldCharType="separate"/>
            </w:r>
            <w:r>
              <w:t>⑵</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废水环保措施</w:t>
            </w:r>
          </w:p>
          <w:p w14:paraId="3992D0EF">
            <w:pPr>
              <w:ind w:firstLine="42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①抑尘洒水：该部分用水全部蒸发损耗或渗入地面</w:t>
            </w:r>
            <w:r>
              <w:rPr>
                <w:rFonts w:hint="default" w:ascii="Times New Roman" w:hAnsi="Times New Roman" w:eastAsia="宋体" w:cs="Times New Roman"/>
                <w:color w:val="auto"/>
                <w:sz w:val="24"/>
                <w:szCs w:val="24"/>
                <w:lang w:eastAsia="zh-CN"/>
              </w:rPr>
              <w:t>。</w:t>
            </w:r>
          </w:p>
          <w:p w14:paraId="2751227E">
            <w:pPr>
              <w:adjustRightInd w:val="0"/>
              <w:snapToGrid w:val="0"/>
              <w:ind w:firstLine="42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②</w:t>
            </w:r>
            <w:r>
              <w:rPr>
                <w:rFonts w:hint="eastAsia" w:cs="Times New Roman"/>
                <w:color w:val="auto"/>
                <w:sz w:val="24"/>
                <w:szCs w:val="24"/>
                <w:lang w:eastAsia="zh-CN"/>
              </w:rPr>
              <w:t>车</w:t>
            </w:r>
            <w:r>
              <w:rPr>
                <w:rFonts w:hint="default" w:ascii="Times New Roman" w:hAnsi="Times New Roman" w:eastAsia="宋体" w:cs="Times New Roman"/>
                <w:color w:val="auto"/>
                <w:sz w:val="24"/>
                <w:szCs w:val="24"/>
              </w:rPr>
              <w:t>辆清洗废水：经排水沟汇入沉淀池沉淀后循环使用</w:t>
            </w:r>
            <w:r>
              <w:rPr>
                <w:rFonts w:hint="default" w:ascii="Times New Roman" w:hAnsi="Times New Roman" w:eastAsia="宋体" w:cs="Times New Roman"/>
                <w:color w:val="auto"/>
                <w:sz w:val="24"/>
                <w:szCs w:val="24"/>
                <w:lang w:eastAsia="zh-CN"/>
              </w:rPr>
              <w:t>。</w:t>
            </w:r>
          </w:p>
          <w:p w14:paraId="608747FE">
            <w:pPr>
              <w:pStyle w:val="23"/>
              <w:numPr>
                <w:ilvl w:val="0"/>
                <w:numId w:val="0"/>
              </w:numPr>
              <w:spacing w:after="0"/>
              <w:ind w:left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3 \* GB2 \* MERGEFORMAT </w:instrText>
            </w:r>
            <w:r>
              <w:rPr>
                <w:rFonts w:hint="default" w:ascii="Times New Roman" w:hAnsi="Times New Roman" w:eastAsia="宋体" w:cs="Times New Roman"/>
                <w:color w:val="auto"/>
                <w:sz w:val="24"/>
                <w:szCs w:val="24"/>
              </w:rPr>
              <w:fldChar w:fldCharType="separate"/>
            </w:r>
            <w:r>
              <w:t>⑶</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噪声环保措施</w:t>
            </w:r>
          </w:p>
          <w:p w14:paraId="7D62EF58">
            <w:pPr>
              <w:adjustRightInd w:val="0"/>
              <w:snapToGrid w:val="0"/>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①应加强设备管理、确保设备正常运行；</w:t>
            </w:r>
          </w:p>
          <w:p w14:paraId="68050769">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②运输车辆加强保养维护，限速行驶，降低由于汽车运行状况差而产生的高噪声；</w:t>
            </w:r>
          </w:p>
          <w:p w14:paraId="7A9EED94">
            <w:pPr>
              <w:adjustRightInd w:val="0"/>
              <w:snapToGrid w:val="0"/>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④选用低噪声设备，并采取基础减振措施，减小设备噪声源强。</w:t>
            </w:r>
          </w:p>
          <w:p w14:paraId="5697286E">
            <w:pPr>
              <w:pStyle w:val="23"/>
              <w:spacing w:after="0"/>
              <w:ind w:left="0" w:left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4 \* GB2 \* MERGEFORMAT </w:instrText>
            </w:r>
            <w:r>
              <w:rPr>
                <w:rFonts w:hint="default" w:ascii="Times New Roman" w:hAnsi="Times New Roman" w:eastAsia="宋体" w:cs="Times New Roman"/>
                <w:color w:val="auto"/>
                <w:sz w:val="24"/>
                <w:szCs w:val="24"/>
              </w:rPr>
              <w:fldChar w:fldCharType="separate"/>
            </w:r>
            <w:r>
              <w:t>⑷</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固体废弃物环保措施</w:t>
            </w:r>
          </w:p>
          <w:p w14:paraId="066E342D">
            <w:pPr>
              <w:ind w:firstLine="48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①矿山剥离表土暂存于</w:t>
            </w:r>
            <w:r>
              <w:rPr>
                <w:rFonts w:hint="eastAsia" w:cs="Times New Roman"/>
                <w:color w:val="auto"/>
                <w:sz w:val="24"/>
                <w:szCs w:val="24"/>
                <w:lang w:val="en-US" w:eastAsia="zh-CN"/>
              </w:rPr>
              <w:t>西南侧</w:t>
            </w:r>
            <w:r>
              <w:rPr>
                <w:rFonts w:hint="default" w:ascii="Times New Roman" w:hAnsi="Times New Roman" w:eastAsia="宋体" w:cs="Times New Roman"/>
                <w:color w:val="auto"/>
                <w:sz w:val="24"/>
                <w:szCs w:val="24"/>
              </w:rPr>
              <w:t>，后期用于矿山恢复治理；</w:t>
            </w:r>
          </w:p>
          <w:p w14:paraId="0FD292A1">
            <w:pPr>
              <w:keepNext w:val="0"/>
              <w:keepLines w:val="0"/>
              <w:widowControl/>
              <w:suppressLineNumbers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②废机油</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废润滑油</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经收集后暂存在危废暂存间，定期交由</w:t>
            </w:r>
            <w:r>
              <w:rPr>
                <w:rFonts w:hint="eastAsia" w:cs="Times New Roman"/>
                <w:color w:val="auto"/>
                <w:sz w:val="24"/>
                <w:szCs w:val="24"/>
                <w:lang w:val="en-US" w:eastAsia="zh-CN"/>
              </w:rPr>
              <w:t>有资质单位</w:t>
            </w:r>
            <w:r>
              <w:rPr>
                <w:rFonts w:hint="default" w:ascii="Times New Roman" w:hAnsi="Times New Roman" w:eastAsia="宋体" w:cs="Times New Roman"/>
                <w:color w:val="auto"/>
                <w:sz w:val="24"/>
                <w:szCs w:val="24"/>
              </w:rPr>
              <w:t>进行处置。</w:t>
            </w:r>
          </w:p>
          <w:p w14:paraId="3142CA4A">
            <w:pPr>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3、环境风险保护措施</w:t>
            </w:r>
          </w:p>
          <w:p w14:paraId="3B7D9481">
            <w:pPr>
              <w:pStyle w:val="61"/>
              <w:tabs>
                <w:tab w:val="left" w:pos="0"/>
                <w:tab w:val="right" w:leader="dot" w:pos="8302"/>
              </w:tabs>
              <w:adjustRightInd w:val="0"/>
              <w:snapToGrid w:val="0"/>
              <w:ind w:firstLine="42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建设单位对</w:t>
            </w:r>
            <w:r>
              <w:rPr>
                <w:rFonts w:hint="default" w:ascii="Times New Roman" w:hAnsi="Times New Roman" w:eastAsia="宋体" w:cs="Times New Roman"/>
                <w:color w:val="auto"/>
                <w:kern w:val="0"/>
                <w:sz w:val="24"/>
                <w:szCs w:val="24"/>
                <w:lang w:val="en-US" w:eastAsia="zh-CN"/>
              </w:rPr>
              <w:t>加油装置、油品存放处、</w:t>
            </w:r>
            <w:r>
              <w:rPr>
                <w:rFonts w:hint="default" w:ascii="Times New Roman" w:hAnsi="Times New Roman" w:eastAsia="宋体" w:cs="Times New Roman"/>
                <w:color w:val="auto"/>
                <w:sz w:val="24"/>
                <w:szCs w:val="24"/>
              </w:rPr>
              <w:t>危废暂存间</w:t>
            </w:r>
            <w:r>
              <w:rPr>
                <w:rFonts w:hint="default" w:ascii="Times New Roman" w:hAnsi="Times New Roman" w:eastAsia="宋体" w:cs="Times New Roman"/>
                <w:color w:val="auto"/>
                <w:kern w:val="0"/>
                <w:sz w:val="24"/>
                <w:szCs w:val="24"/>
              </w:rPr>
              <w:t>实行定期的巡检制度，密切注意易发生泄漏的</w:t>
            </w:r>
            <w:r>
              <w:rPr>
                <w:rFonts w:hint="default" w:ascii="Times New Roman" w:hAnsi="Times New Roman" w:eastAsia="宋体" w:cs="Times New Roman"/>
                <w:color w:val="auto"/>
                <w:kern w:val="0"/>
                <w:sz w:val="24"/>
                <w:szCs w:val="24"/>
                <w:lang w:val="en-US" w:eastAsia="zh-CN"/>
              </w:rPr>
              <w:t>柴油、</w:t>
            </w:r>
            <w:r>
              <w:rPr>
                <w:rFonts w:hint="default" w:ascii="Times New Roman" w:hAnsi="Times New Roman" w:eastAsia="宋体" w:cs="Times New Roman"/>
                <w:color w:val="auto"/>
                <w:kern w:val="0"/>
                <w:sz w:val="24"/>
                <w:szCs w:val="24"/>
              </w:rPr>
              <w:t>机油和润滑油储存设施；</w:t>
            </w:r>
          </w:p>
          <w:p w14:paraId="1AFF3BBA">
            <w:pPr>
              <w:pStyle w:val="61"/>
              <w:tabs>
                <w:tab w:val="left" w:pos="0"/>
                <w:tab w:val="right" w:leader="dot" w:pos="8302"/>
              </w:tabs>
              <w:adjustRightInd w:val="0"/>
              <w:snapToGrid w:val="0"/>
              <w:ind w:firstLine="42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及时发现问题，及时解决；严格执行防火、防爆、防雷击、防毒害等各项要求；</w:t>
            </w:r>
          </w:p>
          <w:p w14:paraId="1CFF8C9C">
            <w:pPr>
              <w:pStyle w:val="61"/>
              <w:tabs>
                <w:tab w:val="left" w:pos="0"/>
                <w:tab w:val="right" w:leader="dot" w:pos="8302"/>
              </w:tabs>
              <w:adjustRightInd w:val="0"/>
              <w:snapToGrid w:val="0"/>
              <w:ind w:firstLine="42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建立健全安全、环境管理体系，制定严格的环境管理制度。</w:t>
            </w:r>
          </w:p>
          <w:p w14:paraId="66A9CADE">
            <w:pPr>
              <w:pStyle w:val="61"/>
              <w:tabs>
                <w:tab w:val="left" w:pos="0"/>
                <w:tab w:val="right" w:leader="dot" w:pos="8302"/>
              </w:tabs>
              <w:adjustRightInd w:val="0"/>
              <w:snapToGrid w:val="0"/>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企业应按照要求</w:t>
            </w:r>
            <w:r>
              <w:rPr>
                <w:rFonts w:hint="default" w:ascii="Times New Roman" w:hAnsi="Times New Roman" w:eastAsia="宋体" w:cs="Times New Roman"/>
                <w:color w:val="auto"/>
                <w:sz w:val="24"/>
                <w:szCs w:val="24"/>
                <w:lang w:val="en-US" w:eastAsia="zh-CN"/>
              </w:rPr>
              <w:t>修订</w:t>
            </w:r>
            <w:r>
              <w:rPr>
                <w:rFonts w:hint="default" w:ascii="Times New Roman" w:hAnsi="Times New Roman" w:eastAsia="宋体" w:cs="Times New Roman"/>
                <w:color w:val="auto"/>
                <w:sz w:val="24"/>
                <w:szCs w:val="24"/>
              </w:rPr>
              <w:t>突发环境事件应急预案，并定期组织演练。</w:t>
            </w:r>
          </w:p>
          <w:p w14:paraId="6E7BB1F4">
            <w:pPr>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综上所述，本项目在加强管理，建立健全的防范应急措施，以及认真落实安全、环保措施，风险事故隐患可降至最低。</w:t>
            </w:r>
          </w:p>
          <w:p w14:paraId="31B7CFD5">
            <w:pPr>
              <w:pStyle w:val="2"/>
              <w:ind w:left="0" w:leftChars="0" w:firstLine="482" w:firstLineChars="200"/>
              <w:rPr>
                <w:rFonts w:hint="default"/>
                <w:b/>
                <w:bCs/>
              </w:rPr>
            </w:pPr>
            <w:r>
              <w:rPr>
                <w:rFonts w:hint="eastAsia"/>
                <w:b/>
                <w:bCs/>
                <w:lang w:val="en-US" w:eastAsia="zh-CN"/>
              </w:rPr>
              <w:t>4、</w:t>
            </w:r>
            <w:r>
              <w:rPr>
                <w:rFonts w:hint="default"/>
                <w:b/>
                <w:bCs/>
              </w:rPr>
              <w:t>水土流失防治措施</w:t>
            </w:r>
          </w:p>
          <w:p w14:paraId="463A5E55">
            <w:pPr>
              <w:pStyle w:val="2"/>
              <w:keepNext w:val="0"/>
              <w:keepLines w:val="0"/>
              <w:pageBreakBefore w:val="0"/>
              <w:widowControl w:val="0"/>
              <w:kinsoku/>
              <w:wordWrap/>
              <w:overflowPunct/>
              <w:topLinePunct w:val="0"/>
              <w:autoSpaceDE/>
              <w:autoSpaceDN/>
              <w:bidi w:val="0"/>
              <w:adjustRightInd/>
              <w:snapToGrid/>
              <w:ind w:left="0" w:leftChars="0"/>
              <w:textAlignment w:val="auto"/>
              <w:rPr>
                <w:rFonts w:hint="default"/>
              </w:rPr>
            </w:pPr>
            <w:r>
              <w:rPr>
                <w:rFonts w:hint="default"/>
              </w:rPr>
              <w:t>矿山开采过程中，由于扰动地貌、平整场地等所造成的地表植被破坏和土壤裸露，遇到降雨天气，极易引起水土流失。裸露面被雨水冲刷流失的泥土随着径流的雨水流向低洼处。为了有效防止水土流失，采取以下措施：</w:t>
            </w:r>
          </w:p>
          <w:p w14:paraId="29EC6CF8">
            <w:pPr>
              <w:pStyle w:val="2"/>
              <w:keepNext w:val="0"/>
              <w:keepLines w:val="0"/>
              <w:pageBreakBefore w:val="0"/>
              <w:widowControl w:val="0"/>
              <w:kinsoku/>
              <w:wordWrap/>
              <w:overflowPunct/>
              <w:topLinePunct w:val="0"/>
              <w:autoSpaceDE/>
              <w:autoSpaceDN/>
              <w:bidi w:val="0"/>
              <w:adjustRightInd/>
              <w:snapToGrid/>
              <w:ind w:left="0" w:leftChars="0"/>
              <w:textAlignment w:val="auto"/>
              <w:rPr>
                <w:rFonts w:hint="default"/>
              </w:rPr>
            </w:pPr>
            <w:r>
              <w:rPr>
                <w:rFonts w:hint="default"/>
              </w:rPr>
              <w:t>（1）矿山开采前剥离表土，集中堆放于表土堆放场；表土堆放场设置排水沟、铺彩条布等临时措施；采矿结束后对露天采场进行场地平整复绿。</w:t>
            </w:r>
          </w:p>
          <w:p w14:paraId="42EAB928">
            <w:pPr>
              <w:pStyle w:val="2"/>
              <w:keepNext w:val="0"/>
              <w:keepLines w:val="0"/>
              <w:pageBreakBefore w:val="0"/>
              <w:widowControl w:val="0"/>
              <w:kinsoku/>
              <w:wordWrap/>
              <w:overflowPunct/>
              <w:topLinePunct w:val="0"/>
              <w:autoSpaceDE/>
              <w:autoSpaceDN/>
              <w:bidi w:val="0"/>
              <w:adjustRightInd/>
              <w:snapToGrid/>
              <w:ind w:left="0" w:leftChars="0"/>
              <w:textAlignment w:val="auto"/>
              <w:rPr>
                <w:rFonts w:hint="default"/>
              </w:rPr>
            </w:pPr>
            <w:r>
              <w:rPr>
                <w:rFonts w:hint="default"/>
              </w:rPr>
              <w:t>（2）新开挖边坡要采取工程防护与绿化相结合的方法，最大程度减轻工程构筑物占地对生态环境的影响。合理布置道路、设备等基础设施，尽可能减少土地的占用，控制导致土地退化的用地方式，使土地利用更趋合理。</w:t>
            </w:r>
          </w:p>
          <w:p w14:paraId="56FF9D8B">
            <w:pPr>
              <w:pStyle w:val="2"/>
              <w:keepNext w:val="0"/>
              <w:keepLines w:val="0"/>
              <w:pageBreakBefore w:val="0"/>
              <w:widowControl w:val="0"/>
              <w:kinsoku/>
              <w:wordWrap/>
              <w:overflowPunct/>
              <w:topLinePunct w:val="0"/>
              <w:autoSpaceDE/>
              <w:autoSpaceDN/>
              <w:bidi w:val="0"/>
              <w:adjustRightInd/>
              <w:snapToGrid/>
              <w:ind w:left="0" w:leftChars="0"/>
              <w:textAlignment w:val="auto"/>
              <w:rPr>
                <w:rFonts w:hint="default"/>
              </w:rPr>
            </w:pPr>
            <w:r>
              <w:rPr>
                <w:rFonts w:hint="default"/>
              </w:rPr>
              <w:t>（3）在废石堆放场设置挡土墙、排水沟、播撒草籽、临时覆盖等措施，采矿结束后，将表土运走后进行场地翻耕、平整及复绿。切实遵循“三同时”制度，做到水土保持防护工程与主体工程施工同步进行；</w:t>
            </w:r>
          </w:p>
          <w:p w14:paraId="78CF6007">
            <w:pPr>
              <w:pStyle w:val="2"/>
              <w:keepNext w:val="0"/>
              <w:keepLines w:val="0"/>
              <w:pageBreakBefore w:val="0"/>
              <w:widowControl w:val="0"/>
              <w:kinsoku/>
              <w:wordWrap/>
              <w:overflowPunct/>
              <w:topLinePunct w:val="0"/>
              <w:autoSpaceDE/>
              <w:autoSpaceDN/>
              <w:bidi w:val="0"/>
              <w:adjustRightInd/>
              <w:snapToGrid/>
              <w:ind w:left="0" w:leftChars="0"/>
              <w:textAlignment w:val="auto"/>
              <w:rPr>
                <w:rFonts w:hint="default"/>
              </w:rPr>
            </w:pPr>
            <w:r>
              <w:rPr>
                <w:rFonts w:hint="default"/>
              </w:rPr>
              <w:t>采场区开采过程中，需对矿区地表进行清基，剥离的废石、表土堆置在堆放场，后期用于复垦用土；采场区开采过程中，定期观测各点的空间位置及其相对位置的变化，从而尽快地掌握地表移动变形的大小及规律，确保工程运行安全。</w:t>
            </w:r>
          </w:p>
        </w:tc>
      </w:tr>
      <w:tr w14:paraId="662627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408" w:type="pct"/>
            <w:vAlign w:val="center"/>
          </w:tcPr>
          <w:p w14:paraId="2572CD8F">
            <w:pPr>
              <w:adjustRightInd w:val="0"/>
              <w:snapToGrid w:val="0"/>
              <w:spacing w:line="240" w:lineRule="auto"/>
              <w:ind w:firstLine="0" w:firstLineChars="0"/>
              <w:jc w:val="center"/>
              <w:rPr>
                <w:rFonts w:hint="default" w:ascii="Times New Roman" w:hAnsi="Times New Roman" w:eastAsia="宋体" w:cs="Times New Roman"/>
                <w:bCs/>
                <w:color w:val="auto"/>
                <w:spacing w:val="10"/>
                <w:sz w:val="24"/>
                <w:szCs w:val="24"/>
              </w:rPr>
            </w:pPr>
            <w:r>
              <w:rPr>
                <w:rFonts w:hint="default" w:ascii="Times New Roman" w:hAnsi="Times New Roman" w:eastAsia="宋体" w:cs="Times New Roman"/>
                <w:bCs/>
                <w:color w:val="auto"/>
                <w:sz w:val="24"/>
                <w:szCs w:val="24"/>
              </w:rPr>
              <w:t>其他</w:t>
            </w:r>
          </w:p>
        </w:tc>
        <w:tc>
          <w:tcPr>
            <w:tcW w:w="4591" w:type="pct"/>
            <w:vAlign w:val="center"/>
          </w:tcPr>
          <w:p w14:paraId="1D5C5171">
            <w:pPr>
              <w:adjustRightInd w:val="0"/>
              <w:snapToGrid w:val="0"/>
              <w:ind w:firstLine="460"/>
              <w:jc w:val="center"/>
              <w:rPr>
                <w:rFonts w:hint="default" w:ascii="Times New Roman" w:hAnsi="Times New Roman" w:eastAsia="宋体" w:cs="Times New Roman"/>
                <w:bCs/>
                <w:color w:val="auto"/>
                <w:spacing w:val="10"/>
                <w:sz w:val="24"/>
                <w:szCs w:val="24"/>
              </w:rPr>
            </w:pPr>
            <w:r>
              <w:rPr>
                <w:rFonts w:hint="default" w:ascii="Times New Roman" w:hAnsi="Times New Roman" w:eastAsia="宋体" w:cs="Times New Roman"/>
                <w:bCs/>
                <w:color w:val="auto"/>
                <w:spacing w:val="10"/>
                <w:sz w:val="24"/>
                <w:szCs w:val="24"/>
              </w:rPr>
              <w:t>/</w:t>
            </w:r>
          </w:p>
        </w:tc>
      </w:tr>
      <w:tr w14:paraId="352B6F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408" w:type="pct"/>
            <w:vAlign w:val="center"/>
          </w:tcPr>
          <w:p w14:paraId="21A11F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4"/>
                <w:szCs w:val="24"/>
              </w:rPr>
            </w:pPr>
            <w:r>
              <w:rPr>
                <w:rFonts w:hint="default" w:ascii="Times New Roman" w:hAnsi="Times New Roman" w:eastAsia="宋体" w:cs="Times New Roman"/>
                <w:bCs/>
                <w:color w:val="auto"/>
                <w:sz w:val="24"/>
                <w:szCs w:val="24"/>
              </w:rPr>
              <w:t>环保投资</w:t>
            </w:r>
          </w:p>
        </w:tc>
        <w:tc>
          <w:tcPr>
            <w:tcW w:w="4591" w:type="pct"/>
          </w:tcPr>
          <w:p w14:paraId="23745550">
            <w:pPr>
              <w:adjustRightInd w:val="0"/>
              <w:snapToGrid w:val="0"/>
              <w:ind w:firstLine="42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项目总投资</w:t>
            </w:r>
            <w:r>
              <w:rPr>
                <w:rFonts w:hint="eastAsia" w:cs="Times New Roman"/>
                <w:color w:val="auto"/>
                <w:kern w:val="0"/>
                <w:sz w:val="24"/>
                <w:szCs w:val="24"/>
                <w:lang w:val="en-US" w:eastAsia="zh-CN"/>
              </w:rPr>
              <w:t>10000</w:t>
            </w:r>
            <w:r>
              <w:rPr>
                <w:rFonts w:hint="default" w:ascii="Times New Roman" w:hAnsi="Times New Roman" w:eastAsia="宋体" w:cs="Times New Roman"/>
                <w:color w:val="auto"/>
                <w:kern w:val="0"/>
                <w:sz w:val="24"/>
                <w:szCs w:val="24"/>
              </w:rPr>
              <w:t>万元，其中环保投资</w:t>
            </w:r>
            <w:r>
              <w:rPr>
                <w:rFonts w:hint="eastAsia" w:cs="Times New Roman"/>
                <w:color w:val="auto"/>
                <w:kern w:val="0"/>
                <w:sz w:val="24"/>
                <w:szCs w:val="24"/>
                <w:lang w:val="en-US" w:eastAsia="zh-CN"/>
              </w:rPr>
              <w:t>100</w:t>
            </w:r>
            <w:r>
              <w:rPr>
                <w:rFonts w:hint="default" w:ascii="Times New Roman" w:hAnsi="Times New Roman" w:eastAsia="宋体" w:cs="Times New Roman"/>
                <w:color w:val="auto"/>
                <w:kern w:val="0"/>
                <w:sz w:val="24"/>
                <w:szCs w:val="24"/>
              </w:rPr>
              <w:t>万元，环保投资占</w:t>
            </w:r>
            <w:r>
              <w:rPr>
                <w:rFonts w:hint="eastAsia"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%。环保投资情况见表5-</w:t>
            </w:r>
            <w:r>
              <w:rPr>
                <w:rFonts w:hint="default"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w:t>
            </w:r>
          </w:p>
          <w:p w14:paraId="24DAE8D2">
            <w:pPr>
              <w:pStyle w:val="23"/>
              <w:adjustRightInd w:val="0"/>
              <w:snapToGrid w:val="0"/>
              <w:spacing w:after="0" w:line="240" w:lineRule="auto"/>
              <w:ind w:left="0" w:leftChars="0" w:firstLine="422"/>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4"/>
                <w:szCs w:val="24"/>
              </w:rPr>
              <w:t>表5-</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环保投资明细单位：万元</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948"/>
              <w:gridCol w:w="2263"/>
              <w:gridCol w:w="2028"/>
              <w:gridCol w:w="732"/>
              <w:gridCol w:w="1561"/>
            </w:tblGrid>
            <w:tr w14:paraId="0C04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98" w:hRule="atLeast"/>
                <w:jc w:val="center"/>
              </w:trPr>
              <w:tc>
                <w:tcPr>
                  <w:tcW w:w="2131" w:type="pct"/>
                  <w:gridSpan w:val="2"/>
                  <w:tcBorders>
                    <w:tl2br w:val="nil"/>
                    <w:tr2bl w:val="nil"/>
                  </w:tcBorders>
                  <w:shd w:val="clear" w:color="auto" w:fill="FFFFFF" w:themeFill="background1"/>
                  <w:vAlign w:val="center"/>
                </w:tcPr>
                <w:p w14:paraId="499A26E7">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主要污染源</w:t>
                  </w:r>
                </w:p>
              </w:tc>
              <w:tc>
                <w:tcPr>
                  <w:tcW w:w="1346" w:type="pct"/>
                  <w:tcBorders>
                    <w:tl2br w:val="nil"/>
                    <w:tr2bl w:val="nil"/>
                  </w:tcBorders>
                  <w:shd w:val="clear" w:color="auto" w:fill="FFFFFF" w:themeFill="background1"/>
                  <w:vAlign w:val="center"/>
                </w:tcPr>
                <w:p w14:paraId="3A03CD18">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处理措施与设施</w:t>
                  </w:r>
                </w:p>
              </w:tc>
              <w:tc>
                <w:tcPr>
                  <w:tcW w:w="485" w:type="pct"/>
                  <w:tcBorders>
                    <w:tl2br w:val="nil"/>
                    <w:tr2bl w:val="nil"/>
                  </w:tcBorders>
                  <w:shd w:val="clear" w:color="auto" w:fill="FFFFFF" w:themeFill="background1"/>
                  <w:vAlign w:val="center"/>
                </w:tcPr>
                <w:p w14:paraId="0A1CEBD2">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1036" w:type="pct"/>
                  <w:tcBorders>
                    <w:tl2br w:val="nil"/>
                    <w:tr2bl w:val="nil"/>
                  </w:tcBorders>
                  <w:shd w:val="clear" w:color="auto" w:fill="FFFFFF" w:themeFill="background1"/>
                  <w:vAlign w:val="center"/>
                </w:tcPr>
                <w:p w14:paraId="5BA66CCB">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投资额（万元）</w:t>
                  </w:r>
                </w:p>
              </w:tc>
            </w:tr>
            <w:tr w14:paraId="61F8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629" w:type="pct"/>
                  <w:tcBorders>
                    <w:tl2br w:val="nil"/>
                    <w:tr2bl w:val="nil"/>
                  </w:tcBorders>
                  <w:shd w:val="clear" w:color="auto" w:fill="FFFFFF" w:themeFill="background1"/>
                  <w:vAlign w:val="center"/>
                </w:tcPr>
                <w:p w14:paraId="225B804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502" w:type="pct"/>
                  <w:tcBorders>
                    <w:tl2br w:val="nil"/>
                    <w:tr2bl w:val="nil"/>
                  </w:tcBorders>
                  <w:shd w:val="clear" w:color="auto" w:fill="FFFFFF" w:themeFill="background1"/>
                  <w:vAlign w:val="center"/>
                </w:tcPr>
                <w:p w14:paraId="6235047A">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采场粉尘</w:t>
                  </w:r>
                </w:p>
              </w:tc>
              <w:tc>
                <w:tcPr>
                  <w:tcW w:w="1346" w:type="pct"/>
                  <w:tcBorders>
                    <w:tl2br w:val="nil"/>
                    <w:tr2bl w:val="nil"/>
                  </w:tcBorders>
                  <w:shd w:val="clear" w:color="auto" w:fill="FFFFFF" w:themeFill="background1"/>
                  <w:vAlign w:val="center"/>
                </w:tcPr>
                <w:p w14:paraId="393DFB45">
                  <w:pPr>
                    <w:adjustRightInd w:val="0"/>
                    <w:snapToGrid w:val="0"/>
                    <w:spacing w:line="240" w:lineRule="auto"/>
                    <w:ind w:firstLine="0" w:firstLineChars="0"/>
                    <w:jc w:val="center"/>
                    <w:rPr>
                      <w:rFonts w:hint="eastAsia" w:ascii="Times New Roman" w:hAnsi="Times New Roman" w:eastAsia="宋体" w:cs="Times New Roman"/>
                      <w:color w:val="auto"/>
                      <w:spacing w:val="-2"/>
                      <w:sz w:val="21"/>
                      <w:szCs w:val="21"/>
                      <w:lang w:eastAsia="zh-CN"/>
                    </w:rPr>
                  </w:pPr>
                  <w:r>
                    <w:rPr>
                      <w:rFonts w:hint="default" w:ascii="Times New Roman" w:hAnsi="Times New Roman" w:eastAsia="宋体" w:cs="Times New Roman"/>
                      <w:color w:val="auto"/>
                      <w:spacing w:val="-2"/>
                      <w:sz w:val="21"/>
                      <w:szCs w:val="21"/>
                    </w:rPr>
                    <w:t>多功能抑尘车</w:t>
                  </w:r>
                  <w:r>
                    <w:rPr>
                      <w:rFonts w:hint="eastAsia" w:cs="Times New Roman"/>
                      <w:color w:val="auto"/>
                      <w:spacing w:val="-2"/>
                      <w:sz w:val="21"/>
                      <w:szCs w:val="21"/>
                      <w:lang w:eastAsia="zh-CN"/>
                    </w:rPr>
                    <w:t>、喷雾设施</w:t>
                  </w:r>
                </w:p>
              </w:tc>
              <w:tc>
                <w:tcPr>
                  <w:tcW w:w="485" w:type="pct"/>
                  <w:tcBorders>
                    <w:tl2br w:val="nil"/>
                    <w:tr2bl w:val="nil"/>
                  </w:tcBorders>
                  <w:shd w:val="clear" w:color="auto" w:fill="FFFFFF" w:themeFill="background1"/>
                  <w:vAlign w:val="center"/>
                </w:tcPr>
                <w:p w14:paraId="1EDA735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台</w:t>
                  </w:r>
                </w:p>
              </w:tc>
              <w:tc>
                <w:tcPr>
                  <w:tcW w:w="1036" w:type="pct"/>
                  <w:tcBorders>
                    <w:tl2br w:val="nil"/>
                    <w:tr2bl w:val="nil"/>
                  </w:tcBorders>
                  <w:shd w:val="clear" w:color="auto" w:fill="FFFFFF" w:themeFill="background1"/>
                  <w:vAlign w:val="center"/>
                </w:tcPr>
                <w:p w14:paraId="72AE98B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6</w:t>
                  </w:r>
                </w:p>
              </w:tc>
            </w:tr>
            <w:tr w14:paraId="6129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9" w:type="pct"/>
                  <w:tcBorders>
                    <w:tl2br w:val="nil"/>
                    <w:tr2bl w:val="nil"/>
                  </w:tcBorders>
                  <w:shd w:val="clear" w:color="auto" w:fill="FFFFFF" w:themeFill="background1"/>
                  <w:vAlign w:val="center"/>
                </w:tcPr>
                <w:p w14:paraId="36EFD1AD">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废水</w:t>
                  </w:r>
                </w:p>
              </w:tc>
              <w:tc>
                <w:tcPr>
                  <w:tcW w:w="1502" w:type="pct"/>
                  <w:tcBorders>
                    <w:tl2br w:val="nil"/>
                    <w:tr2bl w:val="nil"/>
                  </w:tcBorders>
                  <w:shd w:val="clear" w:color="auto" w:fill="FFFFFF" w:themeFill="background1"/>
                  <w:vAlign w:val="center"/>
                </w:tcPr>
                <w:p w14:paraId="0050F5C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车辆清洗废水</w:t>
                  </w:r>
                </w:p>
              </w:tc>
              <w:tc>
                <w:tcPr>
                  <w:tcW w:w="1346" w:type="pct"/>
                  <w:tcBorders>
                    <w:tl2br w:val="nil"/>
                    <w:tr2bl w:val="nil"/>
                  </w:tcBorders>
                  <w:shd w:val="clear" w:color="auto" w:fill="FFFFFF" w:themeFill="background1"/>
                  <w:vAlign w:val="center"/>
                </w:tcPr>
                <w:p w14:paraId="76F67A2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沉淀池</w:t>
                  </w:r>
                </w:p>
              </w:tc>
              <w:tc>
                <w:tcPr>
                  <w:tcW w:w="485" w:type="pct"/>
                  <w:tcBorders>
                    <w:tl2br w:val="nil"/>
                    <w:tr2bl w:val="nil"/>
                  </w:tcBorders>
                  <w:shd w:val="clear" w:color="auto" w:fill="FFFFFF" w:themeFill="background1"/>
                  <w:vAlign w:val="center"/>
                </w:tcPr>
                <w:p w14:paraId="6F314EE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1座</w:t>
                  </w:r>
                </w:p>
              </w:tc>
              <w:tc>
                <w:tcPr>
                  <w:tcW w:w="1036" w:type="pct"/>
                  <w:tcBorders>
                    <w:tl2br w:val="nil"/>
                    <w:tr2bl w:val="nil"/>
                  </w:tcBorders>
                  <w:shd w:val="clear" w:color="auto" w:fill="FFFFFF" w:themeFill="background1"/>
                  <w:vAlign w:val="center"/>
                </w:tcPr>
                <w:p w14:paraId="09485B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3</w:t>
                  </w:r>
                </w:p>
              </w:tc>
            </w:tr>
            <w:tr w14:paraId="1BEF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29" w:type="pct"/>
                  <w:tcBorders>
                    <w:tl2br w:val="nil"/>
                    <w:tr2bl w:val="nil"/>
                  </w:tcBorders>
                  <w:shd w:val="clear" w:color="auto" w:fill="FFFFFF" w:themeFill="background1"/>
                  <w:vAlign w:val="center"/>
                </w:tcPr>
                <w:p w14:paraId="5F22519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502" w:type="pct"/>
                  <w:tcBorders>
                    <w:tl2br w:val="nil"/>
                    <w:tr2bl w:val="nil"/>
                  </w:tcBorders>
                  <w:shd w:val="clear" w:color="auto" w:fill="FFFFFF" w:themeFill="background1"/>
                  <w:vAlign w:val="center"/>
                </w:tcPr>
                <w:p w14:paraId="0D3C64A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机械噪声</w:t>
                  </w:r>
                </w:p>
              </w:tc>
              <w:tc>
                <w:tcPr>
                  <w:tcW w:w="1346" w:type="pct"/>
                  <w:tcBorders>
                    <w:tl2br w:val="nil"/>
                    <w:tr2bl w:val="nil"/>
                  </w:tcBorders>
                  <w:shd w:val="clear" w:color="auto" w:fill="FFFFFF" w:themeFill="background1"/>
                  <w:vAlign w:val="center"/>
                </w:tcPr>
                <w:p w14:paraId="7B67E5E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低噪设备、基础减振</w:t>
                  </w:r>
                </w:p>
              </w:tc>
              <w:tc>
                <w:tcPr>
                  <w:tcW w:w="485" w:type="pct"/>
                  <w:tcBorders>
                    <w:tl2br w:val="nil"/>
                    <w:tr2bl w:val="nil"/>
                  </w:tcBorders>
                  <w:shd w:val="clear" w:color="auto" w:fill="FFFFFF" w:themeFill="background1"/>
                  <w:vAlign w:val="center"/>
                </w:tcPr>
                <w:p w14:paraId="61898C1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36" w:type="pct"/>
                  <w:tcBorders>
                    <w:tl2br w:val="nil"/>
                    <w:tr2bl w:val="nil"/>
                  </w:tcBorders>
                  <w:shd w:val="clear" w:color="auto" w:fill="FFFFFF" w:themeFill="background1"/>
                  <w:vAlign w:val="center"/>
                </w:tcPr>
                <w:p w14:paraId="33411AC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5</w:t>
                  </w:r>
                </w:p>
              </w:tc>
            </w:tr>
            <w:tr w14:paraId="5E70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29" w:type="pct"/>
                  <w:vMerge w:val="restart"/>
                  <w:tcBorders>
                    <w:tl2br w:val="nil"/>
                    <w:tr2bl w:val="nil"/>
                  </w:tcBorders>
                  <w:shd w:val="clear" w:color="auto" w:fill="FFFFFF" w:themeFill="background1"/>
                  <w:vAlign w:val="center"/>
                </w:tcPr>
                <w:p w14:paraId="67B5FA9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1502" w:type="pct"/>
                  <w:tcBorders>
                    <w:tl2br w:val="nil"/>
                    <w:tr2bl w:val="nil"/>
                  </w:tcBorders>
                  <w:shd w:val="clear" w:color="auto" w:fill="FFFFFF" w:themeFill="background1"/>
                  <w:vAlign w:val="center"/>
                </w:tcPr>
                <w:p w14:paraId="416259A7">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一般固废</w:t>
                  </w:r>
                </w:p>
              </w:tc>
              <w:tc>
                <w:tcPr>
                  <w:tcW w:w="1346" w:type="pct"/>
                  <w:tcBorders>
                    <w:tl2br w:val="nil"/>
                    <w:tr2bl w:val="nil"/>
                  </w:tcBorders>
                  <w:shd w:val="clear" w:color="auto" w:fill="FFFFFF" w:themeFill="background1"/>
                  <w:vAlign w:val="center"/>
                </w:tcPr>
                <w:p w14:paraId="12D2AC15">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暂存区域</w:t>
                  </w:r>
                </w:p>
              </w:tc>
              <w:tc>
                <w:tcPr>
                  <w:tcW w:w="485" w:type="pct"/>
                  <w:tcBorders>
                    <w:tl2br w:val="nil"/>
                    <w:tr2bl w:val="nil"/>
                  </w:tcBorders>
                  <w:shd w:val="clear" w:color="auto" w:fill="FFFFFF" w:themeFill="background1"/>
                  <w:vAlign w:val="center"/>
                </w:tcPr>
                <w:p w14:paraId="5F770B14">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1间</w:t>
                  </w:r>
                </w:p>
              </w:tc>
              <w:tc>
                <w:tcPr>
                  <w:tcW w:w="1036" w:type="pct"/>
                  <w:tcBorders>
                    <w:tl2br w:val="nil"/>
                    <w:tr2bl w:val="nil"/>
                  </w:tcBorders>
                  <w:shd w:val="clear" w:color="auto" w:fill="FFFFFF" w:themeFill="background1"/>
                  <w:vAlign w:val="center"/>
                </w:tcPr>
                <w:p w14:paraId="24F548B1">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r>
            <w:tr w14:paraId="461B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29" w:type="pct"/>
                  <w:vMerge w:val="continue"/>
                  <w:tcBorders>
                    <w:tl2br w:val="nil"/>
                    <w:tr2bl w:val="nil"/>
                  </w:tcBorders>
                  <w:shd w:val="clear" w:color="auto" w:fill="FFFFFF" w:themeFill="background1"/>
                  <w:vAlign w:val="center"/>
                </w:tcPr>
                <w:p w14:paraId="3E2FB11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502" w:type="pct"/>
                  <w:tcBorders>
                    <w:tl2br w:val="nil"/>
                    <w:tr2bl w:val="nil"/>
                  </w:tcBorders>
                  <w:shd w:val="clear" w:color="auto" w:fill="FFFFFF" w:themeFill="background1"/>
                  <w:vAlign w:val="center"/>
                </w:tcPr>
                <w:p w14:paraId="3661F0A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1346" w:type="pct"/>
                  <w:tcBorders>
                    <w:tl2br w:val="nil"/>
                    <w:tr2bl w:val="nil"/>
                  </w:tcBorders>
                  <w:shd w:val="clear" w:color="auto" w:fill="FFFFFF" w:themeFill="background1"/>
                  <w:vAlign w:val="center"/>
                </w:tcPr>
                <w:p w14:paraId="4FE84DA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危废暂存间</w:t>
                  </w:r>
                </w:p>
              </w:tc>
              <w:tc>
                <w:tcPr>
                  <w:tcW w:w="485" w:type="pct"/>
                  <w:tcBorders>
                    <w:tl2br w:val="nil"/>
                    <w:tr2bl w:val="nil"/>
                  </w:tcBorders>
                  <w:shd w:val="clear" w:color="auto" w:fill="FFFFFF" w:themeFill="background1"/>
                  <w:vAlign w:val="center"/>
                </w:tcPr>
                <w:p w14:paraId="7432808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1间</w:t>
                  </w:r>
                </w:p>
              </w:tc>
              <w:tc>
                <w:tcPr>
                  <w:tcW w:w="1036" w:type="pct"/>
                  <w:tcBorders>
                    <w:tl2br w:val="nil"/>
                    <w:tr2bl w:val="nil"/>
                  </w:tcBorders>
                  <w:shd w:val="clear" w:color="auto" w:fill="FFFFFF" w:themeFill="background1"/>
                  <w:vAlign w:val="center"/>
                </w:tcPr>
                <w:p w14:paraId="318E6B9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5</w:t>
                  </w:r>
                </w:p>
              </w:tc>
            </w:tr>
            <w:tr w14:paraId="125D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29" w:type="pct"/>
                  <w:tcBorders>
                    <w:tl2br w:val="nil"/>
                    <w:tr2bl w:val="nil"/>
                  </w:tcBorders>
                  <w:shd w:val="clear" w:color="auto" w:fill="FFFFFF" w:themeFill="background1"/>
                  <w:vAlign w:val="center"/>
                </w:tcPr>
                <w:p w14:paraId="6E07E54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3334" w:type="pct"/>
                  <w:gridSpan w:val="3"/>
                  <w:tcBorders>
                    <w:tl2br w:val="nil"/>
                    <w:tr2bl w:val="nil"/>
                  </w:tcBorders>
                  <w:shd w:val="clear" w:color="auto" w:fill="FFFFFF" w:themeFill="background1"/>
                  <w:vAlign w:val="center"/>
                </w:tcPr>
                <w:p w14:paraId="0E055FE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生态恢复</w:t>
                  </w:r>
                </w:p>
              </w:tc>
              <w:tc>
                <w:tcPr>
                  <w:tcW w:w="1036" w:type="pct"/>
                  <w:tcBorders>
                    <w:tl2br w:val="nil"/>
                    <w:tr2bl w:val="nil"/>
                  </w:tcBorders>
                  <w:shd w:val="clear" w:color="auto" w:fill="FFFFFF" w:themeFill="background1"/>
                  <w:vAlign w:val="center"/>
                </w:tcPr>
                <w:p w14:paraId="633F411E">
                  <w:pPr>
                    <w:tabs>
                      <w:tab w:val="left" w:pos="241"/>
                      <w:tab w:val="center" w:pos="732"/>
                    </w:tabs>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w:t>
                  </w:r>
                </w:p>
              </w:tc>
            </w:tr>
            <w:tr w14:paraId="0667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963" w:type="pct"/>
                  <w:gridSpan w:val="4"/>
                  <w:tcBorders>
                    <w:tl2br w:val="nil"/>
                    <w:tr2bl w:val="nil"/>
                  </w:tcBorders>
                  <w:shd w:val="clear" w:color="auto" w:fill="FFFFFF" w:themeFill="background1"/>
                  <w:vAlign w:val="center"/>
                </w:tcPr>
                <w:p w14:paraId="7450CAC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036" w:type="pct"/>
                  <w:tcBorders>
                    <w:tl2br w:val="nil"/>
                    <w:tr2bl w:val="nil"/>
                  </w:tcBorders>
                  <w:shd w:val="clear" w:color="auto" w:fill="FFFFFF" w:themeFill="background1"/>
                  <w:vAlign w:val="center"/>
                </w:tcPr>
                <w:p w14:paraId="6561C742">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100</w:t>
                  </w:r>
                </w:p>
              </w:tc>
            </w:tr>
          </w:tbl>
          <w:p w14:paraId="7AB90314">
            <w:pPr>
              <w:adjustRightInd w:val="0"/>
              <w:snapToGrid w:val="0"/>
              <w:ind w:firstLine="0" w:firstLineChars="0"/>
              <w:rPr>
                <w:rFonts w:hint="default" w:ascii="Times New Roman" w:hAnsi="Times New Roman" w:eastAsia="宋体" w:cs="Times New Roman"/>
                <w:bCs/>
                <w:color w:val="auto"/>
                <w:spacing w:val="10"/>
                <w:sz w:val="24"/>
                <w:szCs w:val="24"/>
              </w:rPr>
            </w:pPr>
          </w:p>
        </w:tc>
      </w:tr>
    </w:tbl>
    <w:p w14:paraId="5D81DACC">
      <w:pPr>
        <w:ind w:firstLine="480"/>
        <w:rPr>
          <w:rFonts w:hint="default" w:ascii="Times New Roman" w:hAnsi="Times New Roman" w:eastAsia="宋体" w:cs="Times New Roman"/>
          <w:color w:val="FF0000"/>
        </w:r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14:paraId="6947CD74">
      <w:pPr>
        <w:pStyle w:val="20"/>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六、生态环境保护措施监督检查清单</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545"/>
        <w:gridCol w:w="1395"/>
        <w:gridCol w:w="3008"/>
        <w:gridCol w:w="1365"/>
      </w:tblGrid>
      <w:tr w14:paraId="5CE4A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Merge w:val="restart"/>
            <w:tcBorders>
              <w:tl2br w:val="single" w:color="auto" w:sz="4" w:space="0"/>
            </w:tcBorders>
            <w:vAlign w:val="center"/>
          </w:tcPr>
          <w:p w14:paraId="516E645C">
            <w:pPr>
              <w:pStyle w:val="20"/>
              <w:wordWrap w:val="0"/>
              <w:adjustRightInd w:val="0"/>
              <w:snapToGrid w:val="0"/>
              <w:spacing w:before="0" w:beforeAutospacing="0" w:after="0" w:afterAutospacing="0" w:line="240" w:lineRule="auto"/>
              <w:ind w:firstLine="0" w:firstLineChars="0"/>
              <w:jc w:val="center"/>
              <w:outlineLvl w:val="0"/>
              <w:rPr>
                <w:rFonts w:hint="default" w:ascii="Times New Roman" w:hAnsi="Times New Roman" w:eastAsia="宋体" w:cs="Times New Roman"/>
                <w:b/>
                <w:bCs/>
                <w:color w:val="auto"/>
                <w:kern w:val="2"/>
                <w:sz w:val="21"/>
                <w:szCs w:val="21"/>
              </w:rPr>
            </w:pPr>
          </w:p>
          <w:p w14:paraId="54938CEF">
            <w:pPr>
              <w:pStyle w:val="20"/>
              <w:wordWrap w:val="0"/>
              <w:adjustRightInd w:val="0"/>
              <w:snapToGrid w:val="0"/>
              <w:spacing w:before="0" w:beforeAutospacing="0" w:after="0" w:afterAutospacing="0" w:line="240" w:lineRule="auto"/>
              <w:ind w:firstLine="0" w:firstLineChars="0"/>
              <w:jc w:val="center"/>
              <w:outlineLvl w:val="0"/>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内容</w:t>
            </w:r>
          </w:p>
          <w:p w14:paraId="17FD970D">
            <w:pPr>
              <w:pStyle w:val="20"/>
              <w:wordWrap w:val="0"/>
              <w:adjustRightInd w:val="0"/>
              <w:snapToGrid w:val="0"/>
              <w:spacing w:before="0" w:beforeAutospacing="0" w:after="0" w:afterAutospacing="0" w:line="240" w:lineRule="auto"/>
              <w:ind w:firstLine="0" w:firstLineChars="0"/>
              <w:jc w:val="center"/>
              <w:outlineLvl w:val="0"/>
              <w:rPr>
                <w:rFonts w:hint="default" w:ascii="Times New Roman" w:hAnsi="Times New Roman" w:eastAsia="宋体" w:cs="Times New Roman"/>
                <w:b/>
                <w:bCs/>
                <w:color w:val="auto"/>
                <w:kern w:val="2"/>
                <w:sz w:val="21"/>
                <w:szCs w:val="21"/>
              </w:rPr>
            </w:pPr>
          </w:p>
          <w:p w14:paraId="74A1C78C">
            <w:pPr>
              <w:pStyle w:val="20"/>
              <w:wordWrap w:val="0"/>
              <w:adjustRightInd w:val="0"/>
              <w:snapToGrid w:val="0"/>
              <w:spacing w:before="0" w:beforeAutospacing="0" w:after="0" w:afterAutospacing="0" w:line="240" w:lineRule="auto"/>
              <w:ind w:firstLine="0" w:firstLineChars="0"/>
              <w:jc w:val="both"/>
              <w:outlineLvl w:val="0"/>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要素</w:t>
            </w:r>
          </w:p>
        </w:tc>
        <w:tc>
          <w:tcPr>
            <w:tcW w:w="1724" w:type="pct"/>
            <w:gridSpan w:val="2"/>
            <w:vAlign w:val="center"/>
          </w:tcPr>
          <w:p w14:paraId="6B5EAAB6">
            <w:pPr>
              <w:pStyle w:val="20"/>
              <w:wordWrap w:val="0"/>
              <w:adjustRightInd w:val="0"/>
              <w:snapToGrid w:val="0"/>
              <w:spacing w:before="0" w:beforeAutospacing="0" w:after="0" w:afterAutospacing="0" w:line="240" w:lineRule="auto"/>
              <w:ind w:firstLine="0" w:firstLineChars="0"/>
              <w:jc w:val="center"/>
              <w:outlineLvl w:val="0"/>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施工期</w:t>
            </w:r>
          </w:p>
        </w:tc>
        <w:tc>
          <w:tcPr>
            <w:tcW w:w="2565" w:type="pct"/>
            <w:gridSpan w:val="2"/>
            <w:vAlign w:val="center"/>
          </w:tcPr>
          <w:p w14:paraId="7887E2B1">
            <w:pPr>
              <w:pStyle w:val="20"/>
              <w:wordWrap w:val="0"/>
              <w:spacing w:before="0" w:beforeAutospacing="0" w:after="0" w:afterAutospacing="0" w:line="240" w:lineRule="auto"/>
              <w:ind w:firstLine="0" w:firstLineChars="0"/>
              <w:jc w:val="center"/>
              <w:outlineLvl w:val="0"/>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运营期</w:t>
            </w:r>
          </w:p>
        </w:tc>
      </w:tr>
      <w:tr w14:paraId="31AF6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Merge w:val="continue"/>
            <w:vAlign w:val="center"/>
          </w:tcPr>
          <w:p w14:paraId="6D209BDD">
            <w:pPr>
              <w:pStyle w:val="20"/>
              <w:wordWrap w:val="0"/>
              <w:adjustRightInd w:val="0"/>
              <w:snapToGrid w:val="0"/>
              <w:spacing w:before="0" w:beforeAutospacing="0" w:after="0" w:afterAutospacing="0" w:line="240" w:lineRule="auto"/>
              <w:ind w:firstLine="0" w:firstLineChars="0"/>
              <w:jc w:val="center"/>
              <w:outlineLvl w:val="0"/>
              <w:rPr>
                <w:rFonts w:hint="default" w:ascii="Times New Roman" w:hAnsi="Times New Roman" w:eastAsia="宋体" w:cs="Times New Roman"/>
                <w:b/>
                <w:bCs/>
                <w:color w:val="auto"/>
                <w:kern w:val="2"/>
                <w:sz w:val="21"/>
                <w:szCs w:val="21"/>
              </w:rPr>
            </w:pPr>
          </w:p>
        </w:tc>
        <w:tc>
          <w:tcPr>
            <w:tcW w:w="906" w:type="pct"/>
            <w:vAlign w:val="center"/>
          </w:tcPr>
          <w:p w14:paraId="06867881">
            <w:pPr>
              <w:pStyle w:val="20"/>
              <w:wordWrap w:val="0"/>
              <w:adjustRightInd w:val="0"/>
              <w:snapToGrid w:val="0"/>
              <w:spacing w:before="0" w:beforeAutospacing="0" w:after="0" w:afterAutospacing="0" w:line="240" w:lineRule="auto"/>
              <w:ind w:firstLine="0" w:firstLineChars="0"/>
              <w:jc w:val="center"/>
              <w:outlineLvl w:val="0"/>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环境保护措施</w:t>
            </w:r>
          </w:p>
        </w:tc>
        <w:tc>
          <w:tcPr>
            <w:tcW w:w="818" w:type="pct"/>
            <w:vAlign w:val="center"/>
          </w:tcPr>
          <w:p w14:paraId="2EDF167F">
            <w:pPr>
              <w:pStyle w:val="20"/>
              <w:wordWrap w:val="0"/>
              <w:adjustRightInd w:val="0"/>
              <w:snapToGrid w:val="0"/>
              <w:spacing w:before="0" w:beforeAutospacing="0" w:after="0" w:afterAutospacing="0" w:line="240" w:lineRule="auto"/>
              <w:ind w:firstLine="0" w:firstLineChars="0"/>
              <w:jc w:val="center"/>
              <w:outlineLvl w:val="0"/>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验收要求</w:t>
            </w:r>
          </w:p>
        </w:tc>
        <w:tc>
          <w:tcPr>
            <w:tcW w:w="1764" w:type="pct"/>
            <w:vAlign w:val="center"/>
          </w:tcPr>
          <w:p w14:paraId="00B6B0AA">
            <w:pPr>
              <w:pStyle w:val="20"/>
              <w:wordWrap w:val="0"/>
              <w:spacing w:before="0" w:beforeAutospacing="0" w:after="0" w:afterAutospacing="0" w:line="240" w:lineRule="auto"/>
              <w:ind w:firstLine="0" w:firstLineChars="0"/>
              <w:jc w:val="center"/>
              <w:outlineLvl w:val="0"/>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环境保护措施</w:t>
            </w:r>
          </w:p>
        </w:tc>
        <w:tc>
          <w:tcPr>
            <w:tcW w:w="800" w:type="pct"/>
            <w:vAlign w:val="center"/>
          </w:tcPr>
          <w:p w14:paraId="653CDEFD">
            <w:pPr>
              <w:pStyle w:val="20"/>
              <w:wordWrap w:val="0"/>
              <w:spacing w:before="0" w:beforeAutospacing="0" w:after="0" w:afterAutospacing="0" w:line="240" w:lineRule="auto"/>
              <w:ind w:firstLine="0" w:firstLineChars="0"/>
              <w:jc w:val="center"/>
              <w:outlineLvl w:val="0"/>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验收要求</w:t>
            </w:r>
          </w:p>
        </w:tc>
      </w:tr>
      <w:tr w14:paraId="11C9A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11583B4F">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陆生生态</w:t>
            </w:r>
          </w:p>
        </w:tc>
        <w:tc>
          <w:tcPr>
            <w:tcW w:w="906" w:type="pct"/>
            <w:vAlign w:val="center"/>
          </w:tcPr>
          <w:p w14:paraId="098CEE54">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严格控制施工作业带范围，尽量保留现状植被</w:t>
            </w:r>
          </w:p>
        </w:tc>
        <w:tc>
          <w:tcPr>
            <w:tcW w:w="818" w:type="pct"/>
            <w:vAlign w:val="center"/>
          </w:tcPr>
          <w:p w14:paraId="475CC53C">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相关生态保护措施得到落实</w:t>
            </w:r>
          </w:p>
        </w:tc>
        <w:tc>
          <w:tcPr>
            <w:tcW w:w="1764" w:type="pct"/>
            <w:vAlign w:val="center"/>
          </w:tcPr>
          <w:p w14:paraId="6F22F79E">
            <w:pPr>
              <w:pStyle w:val="23"/>
              <w:wordWrap w:val="0"/>
              <w:spacing w:after="0" w:line="240" w:lineRule="auto"/>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严格按照开采范围进行开采，不得越界开采；</w:t>
            </w:r>
            <w:r>
              <w:rPr>
                <w:rFonts w:hint="eastAsia" w:ascii="Times New Roman" w:hAnsi="Times New Roman" w:eastAsia="宋体" w:cs="Times New Roman"/>
                <w:color w:val="auto"/>
                <w:sz w:val="21"/>
                <w:szCs w:val="21"/>
                <w:lang w:val="en-US" w:eastAsia="zh-CN"/>
              </w:rPr>
              <w:t>在现场划定界线，</w:t>
            </w:r>
            <w:r>
              <w:rPr>
                <w:rFonts w:hint="default" w:ascii="Times New Roman" w:hAnsi="Times New Roman" w:eastAsia="宋体" w:cs="Times New Roman"/>
                <w:color w:val="auto"/>
                <w:sz w:val="21"/>
                <w:szCs w:val="21"/>
                <w:lang w:val="en-US" w:eastAsia="zh-CN"/>
              </w:rPr>
              <w:t>生态保护红线</w:t>
            </w:r>
            <w:r>
              <w:rPr>
                <w:rFonts w:hint="eastAsia" w:ascii="Times New Roman" w:hAnsi="Times New Roman" w:eastAsia="宋体" w:cs="Times New Roman"/>
                <w:color w:val="auto"/>
                <w:sz w:val="21"/>
                <w:szCs w:val="21"/>
                <w:lang w:val="en-US" w:eastAsia="zh-CN"/>
              </w:rPr>
              <w:t>区域，不得进行施工及扰动。</w:t>
            </w:r>
            <w:r>
              <w:rPr>
                <w:rFonts w:hint="default" w:ascii="Times New Roman" w:hAnsi="Times New Roman" w:eastAsia="宋体" w:cs="Times New Roman"/>
                <w:color w:val="auto"/>
                <w:sz w:val="21"/>
                <w:szCs w:val="21"/>
              </w:rPr>
              <w:t>严格按照开发利用方案进行开采；同时根据土地复垦方案，进行边开采边复垦及绿化。必须做好运营期间排洪截流措施，减少雨季雨水对开采矿区的冲刷，开采后建设单位必须将整个矿区以及受影响破坏地带全部进行生态复绿</w:t>
            </w:r>
          </w:p>
        </w:tc>
        <w:tc>
          <w:tcPr>
            <w:tcW w:w="800" w:type="pct"/>
            <w:vAlign w:val="center"/>
          </w:tcPr>
          <w:p w14:paraId="1C129FF1">
            <w:pPr>
              <w:wordWrap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相关生态保护措施得到落实</w:t>
            </w:r>
          </w:p>
        </w:tc>
      </w:tr>
      <w:tr w14:paraId="30EAF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02E79A2B">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水生生态</w:t>
            </w:r>
          </w:p>
        </w:tc>
        <w:tc>
          <w:tcPr>
            <w:tcW w:w="906" w:type="pct"/>
            <w:vAlign w:val="center"/>
          </w:tcPr>
          <w:p w14:paraId="31C297AF">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818" w:type="pct"/>
            <w:vAlign w:val="center"/>
          </w:tcPr>
          <w:p w14:paraId="1698477F">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1764" w:type="pct"/>
            <w:vAlign w:val="center"/>
          </w:tcPr>
          <w:p w14:paraId="2CEEEE72">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800" w:type="pct"/>
            <w:vAlign w:val="center"/>
          </w:tcPr>
          <w:p w14:paraId="609288A0">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r>
      <w:tr w14:paraId="2EAE2C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26138841">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906" w:type="pct"/>
            <w:vAlign w:val="center"/>
          </w:tcPr>
          <w:p w14:paraId="44D3637B">
            <w:pPr>
              <w:wordWrap w:val="0"/>
              <w:adjustRightInd w:val="0"/>
              <w:snapToGrid w:val="0"/>
              <w:spacing w:line="240" w:lineRule="auto"/>
              <w:ind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①施工现场设置临时沉淀池，沉淀后的施工废水用于场地泼洒抑尘</w:t>
            </w:r>
          </w:p>
        </w:tc>
        <w:tc>
          <w:tcPr>
            <w:tcW w:w="818" w:type="pct"/>
            <w:vAlign w:val="center"/>
          </w:tcPr>
          <w:p w14:paraId="095E2ABF">
            <w:pPr>
              <w:wordWrap w:val="0"/>
              <w:adjustRightInd w:val="0"/>
              <w:snapToGri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施工废水及生活污水不外排，施工期废水不对地表水环境产生明显影响</w:t>
            </w:r>
          </w:p>
        </w:tc>
        <w:tc>
          <w:tcPr>
            <w:tcW w:w="1764" w:type="pct"/>
            <w:vAlign w:val="center"/>
          </w:tcPr>
          <w:p w14:paraId="39765BE8">
            <w:pPr>
              <w:pStyle w:val="51"/>
              <w:wordWrap w:val="0"/>
              <w:spacing w:line="240" w:lineRule="auto"/>
              <w:ind w:firstLine="0" w:firstLineChars="0"/>
              <w:jc w:val="left"/>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①采场雨水经沉淀净化处理后用于道路除尘、绿化等；</w:t>
            </w:r>
          </w:p>
          <w:p w14:paraId="63619AB7">
            <w:pPr>
              <w:wordWrap w:val="0"/>
              <w:spacing w:line="240" w:lineRule="auto"/>
              <w:ind w:firstLine="0" w:firstLineChars="0"/>
              <w:jc w:val="left"/>
              <w:rPr>
                <w:rFonts w:hint="eastAsia"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szCs w:val="21"/>
              </w:rPr>
              <w:t>②车辆清洗废水：经排水沟汇入沉淀池沉淀后循环使用</w:t>
            </w:r>
            <w:r>
              <w:rPr>
                <w:rFonts w:hint="eastAsia" w:cs="Times New Roman"/>
                <w:color w:val="auto"/>
                <w:sz w:val="21"/>
                <w:szCs w:val="21"/>
                <w:lang w:eastAsia="zh-CN"/>
              </w:rPr>
              <w:t>。</w:t>
            </w:r>
          </w:p>
        </w:tc>
        <w:tc>
          <w:tcPr>
            <w:tcW w:w="800" w:type="pct"/>
            <w:vAlign w:val="center"/>
          </w:tcPr>
          <w:p w14:paraId="50C95C67">
            <w:pPr>
              <w:wordWrap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项目废水</w:t>
            </w:r>
            <w:r>
              <w:rPr>
                <w:rFonts w:hint="default" w:ascii="Times New Roman" w:hAnsi="Times New Roman" w:eastAsia="宋体" w:cs="Times New Roman"/>
                <w:color w:val="auto"/>
                <w:sz w:val="21"/>
                <w:szCs w:val="21"/>
                <w:lang w:val="en-US" w:eastAsia="zh-CN"/>
              </w:rPr>
              <w:t>全部回用，不外排</w:t>
            </w:r>
          </w:p>
        </w:tc>
      </w:tr>
      <w:tr w14:paraId="6ED509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7CEF0CD7">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地下水及土壤环境</w:t>
            </w:r>
          </w:p>
        </w:tc>
        <w:tc>
          <w:tcPr>
            <w:tcW w:w="906" w:type="pct"/>
            <w:vAlign w:val="center"/>
          </w:tcPr>
          <w:p w14:paraId="38451235">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818" w:type="pct"/>
            <w:vAlign w:val="center"/>
          </w:tcPr>
          <w:p w14:paraId="326D6AE5">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1764" w:type="pct"/>
            <w:vAlign w:val="center"/>
          </w:tcPr>
          <w:p w14:paraId="49A00B22">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800" w:type="pct"/>
            <w:vAlign w:val="center"/>
          </w:tcPr>
          <w:p w14:paraId="0EDFA5E8">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r>
      <w:tr w14:paraId="243D73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1D80FC3C">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906" w:type="pct"/>
            <w:vAlign w:val="center"/>
          </w:tcPr>
          <w:p w14:paraId="2ECCE291">
            <w:pPr>
              <w:wordWrap w:val="0"/>
              <w:adjustRightInd w:val="0"/>
              <w:snapToGrid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合理布置高噪声设备位置和合理安排施工时间；加强设备的维护保养；施工期运输车辆采取限速、禁鸣等措施</w:t>
            </w:r>
          </w:p>
        </w:tc>
        <w:tc>
          <w:tcPr>
            <w:tcW w:w="818" w:type="pct"/>
            <w:vAlign w:val="center"/>
          </w:tcPr>
          <w:p w14:paraId="7B94CC9B">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达《建筑施工场界环境噪声排放标准》（GB12523-2011），</w:t>
            </w:r>
          </w:p>
          <w:p w14:paraId="0D9B5FDB">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昼间70dB，夜间55dB</w:t>
            </w:r>
          </w:p>
        </w:tc>
        <w:tc>
          <w:tcPr>
            <w:tcW w:w="1764" w:type="pct"/>
            <w:vAlign w:val="center"/>
          </w:tcPr>
          <w:p w14:paraId="713CE79D">
            <w:pPr>
              <w:wordWrap w:val="0"/>
              <w:adjustRightInd w:val="0"/>
              <w:snapToGrid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①应加强设备管理、确保设备正常运行；</w:t>
            </w:r>
          </w:p>
          <w:p w14:paraId="406A934F">
            <w:pPr>
              <w:wordWrap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②运输车辆加强保养维护，限速行驶，降低由于汽车运行状况差而产生的高噪声；</w:t>
            </w:r>
          </w:p>
          <w:p w14:paraId="6B4E241E">
            <w:pPr>
              <w:wordWrap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③选用低噪声设备，并采取基础减振措施，进一步减小设备噪声源强</w:t>
            </w:r>
          </w:p>
        </w:tc>
        <w:tc>
          <w:tcPr>
            <w:tcW w:w="800" w:type="pct"/>
            <w:vAlign w:val="center"/>
          </w:tcPr>
          <w:p w14:paraId="4A8F1EA2">
            <w:pPr>
              <w:wordWrap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采矿场厂界噪声满足《工业企业厂界环境噪声排放标准》（GB12348-2008）中标准要求；</w:t>
            </w:r>
          </w:p>
        </w:tc>
      </w:tr>
      <w:tr w14:paraId="5C51CD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59804675">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w:t>
            </w:r>
          </w:p>
        </w:tc>
        <w:tc>
          <w:tcPr>
            <w:tcW w:w="906" w:type="pct"/>
            <w:vAlign w:val="center"/>
          </w:tcPr>
          <w:p w14:paraId="576C40A5">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818" w:type="pct"/>
            <w:vAlign w:val="center"/>
          </w:tcPr>
          <w:p w14:paraId="181A4307">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2565" w:type="pct"/>
            <w:gridSpan w:val="2"/>
            <w:vAlign w:val="center"/>
          </w:tcPr>
          <w:p w14:paraId="68656B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
              </w:rPr>
              <w:t>不涉及</w:t>
            </w:r>
          </w:p>
        </w:tc>
      </w:tr>
      <w:tr w14:paraId="7910F4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0F970335">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906" w:type="pct"/>
            <w:vAlign w:val="center"/>
          </w:tcPr>
          <w:p w14:paraId="70A951EF">
            <w:pPr>
              <w:wordWrap w:val="0"/>
              <w:adjustRightInd w:val="0"/>
              <w:snapToGrid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①施工烟尘采用洒水抑尘；</w:t>
            </w:r>
          </w:p>
          <w:p w14:paraId="29C4D359">
            <w:pPr>
              <w:pStyle w:val="23"/>
              <w:wordWrap w:val="0"/>
              <w:spacing w:after="0" w:line="240" w:lineRule="auto"/>
              <w:ind w:left="0" w:leftChars="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②运输车辆密闭运输；</w:t>
            </w:r>
          </w:p>
          <w:p w14:paraId="05261C8C">
            <w:pPr>
              <w:wordWrap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③运输车辆在施工场地设置洗车台进行清洗</w:t>
            </w:r>
          </w:p>
        </w:tc>
        <w:tc>
          <w:tcPr>
            <w:tcW w:w="818" w:type="pct"/>
            <w:vAlign w:val="center"/>
          </w:tcPr>
          <w:p w14:paraId="1ADA667B">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满足《施工场界扬尘排放值》（DB61/1078-2017）标准要求</w:t>
            </w:r>
          </w:p>
        </w:tc>
        <w:tc>
          <w:tcPr>
            <w:tcW w:w="1764" w:type="pct"/>
            <w:vAlign w:val="center"/>
          </w:tcPr>
          <w:p w14:paraId="62D1F14F">
            <w:pPr>
              <w:wordWrap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①采矿区钻孔粉尘，爆破及铲装粉尘采用洒水抑尘；</w:t>
            </w:r>
          </w:p>
          <w:p w14:paraId="425F7EE0">
            <w:pPr>
              <w:wordWrap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②运输道路加强道路养护，确保路面平整，防止坑凹处裸露的土壤，引起扬尘；同时定期抑尘洒水，限速行驶；</w:t>
            </w:r>
          </w:p>
          <w:p w14:paraId="3554F2AA">
            <w:pPr>
              <w:wordWrap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④采取质量合格的机械设备，采用优质柴油，加强设备的维护等，</w:t>
            </w:r>
            <w:r>
              <w:rPr>
                <w:rFonts w:hint="eastAsia" w:cs="Times New Roman"/>
                <w:color w:val="auto"/>
                <w:sz w:val="21"/>
                <w:szCs w:val="21"/>
                <w:lang w:eastAsia="zh-CN"/>
              </w:rPr>
              <w:t>减少</w:t>
            </w:r>
            <w:r>
              <w:rPr>
                <w:rFonts w:hint="default" w:ascii="Times New Roman" w:hAnsi="Times New Roman" w:eastAsia="宋体" w:cs="Times New Roman"/>
                <w:color w:val="auto"/>
                <w:sz w:val="21"/>
                <w:szCs w:val="21"/>
              </w:rPr>
              <w:t>车辆尾气排放；</w:t>
            </w:r>
          </w:p>
          <w:p w14:paraId="14F77E7F">
            <w:pPr>
              <w:wordWrap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⑤进出车辆进行清洗；</w:t>
            </w:r>
          </w:p>
        </w:tc>
        <w:tc>
          <w:tcPr>
            <w:tcW w:w="800" w:type="pct"/>
            <w:vAlign w:val="center"/>
          </w:tcPr>
          <w:p w14:paraId="1C2EB313">
            <w:pPr>
              <w:wordWrap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①大气污染物排放执行《大气污染物综合排放标准》（GB16297-1996）无组织排放浓度限值</w:t>
            </w:r>
          </w:p>
          <w:p w14:paraId="75D18662">
            <w:pPr>
              <w:wordWrap w:val="0"/>
              <w:spacing w:line="240" w:lineRule="auto"/>
              <w:ind w:firstLine="0" w:firstLineChars="0"/>
              <w:jc w:val="left"/>
              <w:rPr>
                <w:rFonts w:hint="default" w:ascii="Times New Roman" w:hAnsi="Times New Roman" w:eastAsia="宋体" w:cs="Times New Roman"/>
                <w:color w:val="auto"/>
                <w:sz w:val="21"/>
                <w:szCs w:val="21"/>
              </w:rPr>
            </w:pPr>
          </w:p>
        </w:tc>
      </w:tr>
      <w:tr w14:paraId="7D87B9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01984B66">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906" w:type="pct"/>
            <w:vAlign w:val="center"/>
          </w:tcPr>
          <w:p w14:paraId="74B7DE56">
            <w:pPr>
              <w:wordWrap w:val="0"/>
              <w:adjustRightInd w:val="0"/>
              <w:snapToGrid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开挖产生的土石方用于矿区及排土场复垦；</w:t>
            </w:r>
          </w:p>
        </w:tc>
        <w:tc>
          <w:tcPr>
            <w:tcW w:w="818" w:type="pct"/>
            <w:vAlign w:val="center"/>
          </w:tcPr>
          <w:p w14:paraId="68710618">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固体废物均得到合理有效处置</w:t>
            </w:r>
          </w:p>
        </w:tc>
        <w:tc>
          <w:tcPr>
            <w:tcW w:w="1764" w:type="pct"/>
            <w:vAlign w:val="center"/>
          </w:tcPr>
          <w:p w14:paraId="355FCA2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①矿山剥离表土暂存于</w:t>
            </w:r>
            <w:r>
              <w:rPr>
                <w:rFonts w:hint="eastAsia" w:cs="Times New Roman"/>
                <w:color w:val="auto"/>
                <w:sz w:val="21"/>
                <w:szCs w:val="21"/>
                <w:lang w:val="en-US" w:eastAsia="zh-CN"/>
              </w:rPr>
              <w:t>西南侧</w:t>
            </w:r>
            <w:r>
              <w:rPr>
                <w:rFonts w:hint="default" w:ascii="Times New Roman" w:hAnsi="Times New Roman" w:eastAsia="宋体" w:cs="Times New Roman"/>
                <w:color w:val="auto"/>
                <w:sz w:val="21"/>
                <w:szCs w:val="21"/>
                <w:lang w:val="en-US" w:eastAsia="zh-CN"/>
              </w:rPr>
              <w:t>区</w:t>
            </w:r>
            <w:r>
              <w:rPr>
                <w:rFonts w:hint="default" w:ascii="Times New Roman" w:hAnsi="Times New Roman" w:eastAsia="宋体" w:cs="Times New Roman"/>
                <w:color w:val="auto"/>
                <w:sz w:val="21"/>
                <w:szCs w:val="21"/>
              </w:rPr>
              <w:t>，后期用于矿山恢复治理；</w:t>
            </w:r>
          </w:p>
          <w:p w14:paraId="391FD2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②废机油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废润滑油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经收集后暂存在危废暂存</w:t>
            </w:r>
            <w:r>
              <w:rPr>
                <w:rFonts w:hint="default" w:ascii="Times New Roman" w:hAnsi="Times New Roman" w:eastAsia="宋体" w:cs="Times New Roman"/>
                <w:color w:val="auto"/>
                <w:sz w:val="21"/>
                <w:szCs w:val="21"/>
                <w:lang w:val="en-US" w:eastAsia="zh-CN"/>
              </w:rPr>
              <w:t>间</w:t>
            </w:r>
            <w:r>
              <w:rPr>
                <w:rFonts w:hint="default" w:ascii="Times New Roman" w:hAnsi="Times New Roman" w:eastAsia="宋体" w:cs="Times New Roman"/>
                <w:color w:val="auto"/>
                <w:sz w:val="21"/>
                <w:szCs w:val="21"/>
              </w:rPr>
              <w:t>，定期交由</w:t>
            </w:r>
            <w:r>
              <w:rPr>
                <w:rFonts w:hint="eastAsia" w:cs="Times New Roman"/>
                <w:color w:val="auto"/>
                <w:sz w:val="21"/>
                <w:szCs w:val="21"/>
                <w:lang w:val="en-US" w:eastAsia="zh-CN"/>
              </w:rPr>
              <w:t>有资质单位</w:t>
            </w:r>
            <w:r>
              <w:rPr>
                <w:rFonts w:hint="default" w:ascii="Times New Roman" w:hAnsi="Times New Roman" w:eastAsia="宋体" w:cs="Times New Roman"/>
                <w:color w:val="auto"/>
                <w:sz w:val="21"/>
                <w:szCs w:val="21"/>
              </w:rPr>
              <w:t>进行处置</w:t>
            </w:r>
          </w:p>
        </w:tc>
        <w:tc>
          <w:tcPr>
            <w:tcW w:w="800" w:type="pct"/>
            <w:vAlign w:val="center"/>
          </w:tcPr>
          <w:p w14:paraId="0E53A6E8">
            <w:pPr>
              <w:wordWrap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固体废物均得到合理有效处置</w:t>
            </w:r>
          </w:p>
        </w:tc>
      </w:tr>
      <w:tr w14:paraId="553288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4DC07124">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电磁环境</w:t>
            </w:r>
          </w:p>
        </w:tc>
        <w:tc>
          <w:tcPr>
            <w:tcW w:w="906" w:type="pct"/>
            <w:vAlign w:val="center"/>
          </w:tcPr>
          <w:p w14:paraId="402A2B5A">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818" w:type="pct"/>
            <w:vAlign w:val="center"/>
          </w:tcPr>
          <w:p w14:paraId="6B30D2D2">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1764" w:type="pct"/>
            <w:vAlign w:val="center"/>
          </w:tcPr>
          <w:p w14:paraId="1ADA6BA1">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800" w:type="pct"/>
            <w:vAlign w:val="center"/>
          </w:tcPr>
          <w:p w14:paraId="69EE4679">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r>
      <w:tr w14:paraId="1B646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467166EE">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906" w:type="pct"/>
            <w:vAlign w:val="center"/>
          </w:tcPr>
          <w:p w14:paraId="1CC18A20">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818" w:type="pct"/>
            <w:vAlign w:val="center"/>
          </w:tcPr>
          <w:p w14:paraId="11670920">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1764" w:type="pct"/>
            <w:vAlign w:val="center"/>
          </w:tcPr>
          <w:p w14:paraId="1A247280">
            <w:pPr>
              <w:wordWrap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①采场在各开采</w:t>
            </w:r>
            <w:r>
              <w:rPr>
                <w:rFonts w:hint="default" w:ascii="Times New Roman" w:hAnsi="Times New Roman" w:eastAsia="宋体" w:cs="Times New Roman"/>
                <w:color w:val="auto"/>
                <w:sz w:val="21"/>
                <w:szCs w:val="21"/>
                <w:lang w:val="en-US" w:eastAsia="zh-CN"/>
              </w:rPr>
              <w:t>平台</w:t>
            </w:r>
            <w:r>
              <w:rPr>
                <w:rFonts w:hint="default" w:ascii="Times New Roman" w:hAnsi="Times New Roman" w:eastAsia="宋体" w:cs="Times New Roman"/>
                <w:color w:val="auto"/>
                <w:sz w:val="21"/>
                <w:szCs w:val="21"/>
              </w:rPr>
              <w:t>设置排水沟，采场汇水经排水沟自流排至采场外；</w:t>
            </w:r>
          </w:p>
          <w:p w14:paraId="7544F302">
            <w:pPr>
              <w:pStyle w:val="23"/>
              <w:wordWrap w:val="0"/>
              <w:spacing w:after="0" w:line="240" w:lineRule="auto"/>
              <w:ind w:left="0" w:lef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sz w:val="21"/>
                <w:szCs w:val="21"/>
                <w:lang w:val="en-US" w:eastAsia="zh-CN"/>
              </w:rPr>
              <w:t>柴油、</w:t>
            </w:r>
            <w:r>
              <w:rPr>
                <w:rFonts w:hint="default" w:ascii="Times New Roman" w:hAnsi="Times New Roman" w:eastAsia="宋体" w:cs="Times New Roman"/>
                <w:color w:val="auto"/>
                <w:sz w:val="21"/>
                <w:szCs w:val="21"/>
              </w:rPr>
              <w:t>机油和润滑油储存设施按要求进行储存；</w:t>
            </w:r>
          </w:p>
          <w:p w14:paraId="2335FBD2">
            <w:pPr>
              <w:wordWrap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w:t>
            </w:r>
            <w:r>
              <w:rPr>
                <w:rFonts w:hint="default" w:ascii="Times New Roman" w:hAnsi="Times New Roman" w:eastAsia="宋体" w:cs="Times New Roman"/>
                <w:color w:val="auto"/>
                <w:kern w:val="0"/>
                <w:sz w:val="21"/>
                <w:szCs w:val="21"/>
              </w:rPr>
              <w:t>建成后企业应按照要求</w:t>
            </w:r>
            <w:r>
              <w:rPr>
                <w:rFonts w:hint="default" w:ascii="Times New Roman" w:hAnsi="Times New Roman" w:eastAsia="宋体" w:cs="Times New Roman"/>
                <w:color w:val="auto"/>
                <w:kern w:val="0"/>
                <w:sz w:val="21"/>
                <w:szCs w:val="21"/>
                <w:lang w:val="en-US" w:eastAsia="zh-CN"/>
              </w:rPr>
              <w:t>修订</w:t>
            </w:r>
            <w:r>
              <w:rPr>
                <w:rFonts w:hint="default" w:ascii="Times New Roman" w:hAnsi="Times New Roman" w:eastAsia="宋体" w:cs="Times New Roman"/>
                <w:color w:val="auto"/>
                <w:kern w:val="0"/>
                <w:sz w:val="21"/>
                <w:szCs w:val="21"/>
              </w:rPr>
              <w:t>突发环境事件应急预案，并定期组织演练</w:t>
            </w:r>
          </w:p>
        </w:tc>
        <w:tc>
          <w:tcPr>
            <w:tcW w:w="800" w:type="pct"/>
            <w:vAlign w:val="center"/>
          </w:tcPr>
          <w:p w14:paraId="63C2F5ED">
            <w:pPr>
              <w:wordWrap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按要求落实环保设施</w:t>
            </w:r>
          </w:p>
        </w:tc>
      </w:tr>
      <w:tr w14:paraId="26B514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099B69AE">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环境监测</w:t>
            </w:r>
          </w:p>
        </w:tc>
        <w:tc>
          <w:tcPr>
            <w:tcW w:w="906" w:type="pct"/>
            <w:vAlign w:val="center"/>
          </w:tcPr>
          <w:p w14:paraId="2081C7CE">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818" w:type="pct"/>
            <w:vAlign w:val="center"/>
          </w:tcPr>
          <w:p w14:paraId="55456837">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1764" w:type="pct"/>
            <w:vAlign w:val="center"/>
          </w:tcPr>
          <w:p w14:paraId="4853F7B2">
            <w:pPr>
              <w:wordWrap w:val="0"/>
              <w:adjustRightInd w:val="0"/>
              <w:snapToGri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主要设置专门的管理人员</w:t>
            </w:r>
            <w:r>
              <w:rPr>
                <w:rFonts w:hint="eastAsia" w:cs="Times New Roman"/>
                <w:color w:val="auto"/>
                <w:sz w:val="21"/>
                <w:szCs w:val="21"/>
                <w:lang w:eastAsia="zh-CN"/>
              </w:rPr>
              <w:t>委托</w:t>
            </w:r>
            <w:r>
              <w:rPr>
                <w:rFonts w:hint="default" w:ascii="Times New Roman" w:hAnsi="Times New Roman" w:eastAsia="宋体" w:cs="Times New Roman"/>
                <w:color w:val="auto"/>
                <w:sz w:val="21"/>
                <w:szCs w:val="21"/>
              </w:rPr>
              <w:t>第三方进行年度监测</w:t>
            </w:r>
          </w:p>
        </w:tc>
        <w:tc>
          <w:tcPr>
            <w:tcW w:w="800" w:type="pct"/>
            <w:vAlign w:val="center"/>
          </w:tcPr>
          <w:p w14:paraId="020B7E7D">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项目监测计划得到落实</w:t>
            </w:r>
          </w:p>
        </w:tc>
      </w:tr>
      <w:tr w14:paraId="2E110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pct"/>
            <w:vAlign w:val="center"/>
          </w:tcPr>
          <w:p w14:paraId="6B04480A">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tc>
        <w:tc>
          <w:tcPr>
            <w:tcW w:w="906" w:type="pct"/>
            <w:vAlign w:val="center"/>
          </w:tcPr>
          <w:p w14:paraId="71FD1E31">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818" w:type="pct"/>
            <w:vAlign w:val="center"/>
          </w:tcPr>
          <w:p w14:paraId="1228CC0E">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1764" w:type="pct"/>
            <w:vAlign w:val="center"/>
          </w:tcPr>
          <w:p w14:paraId="10768712">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800" w:type="pct"/>
            <w:vAlign w:val="center"/>
          </w:tcPr>
          <w:p w14:paraId="2CDEBC3C">
            <w:pPr>
              <w:wordWrap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r>
    </w:tbl>
    <w:p w14:paraId="7025A5A7">
      <w:pPr>
        <w:pStyle w:val="20"/>
        <w:spacing w:before="0" w:beforeAutospacing="0" w:line="14" w:lineRule="auto"/>
        <w:ind w:firstLine="600"/>
        <w:jc w:val="center"/>
        <w:outlineLvl w:val="0"/>
        <w:rPr>
          <w:rFonts w:hint="default" w:ascii="Times New Roman" w:hAnsi="Times New Roman" w:eastAsia="宋体" w:cs="Times New Roman"/>
          <w:snapToGrid w:val="0"/>
          <w:color w:val="FF0000"/>
          <w:sz w:val="30"/>
          <w:szCs w:val="30"/>
        </w:rPr>
      </w:pPr>
      <w:r>
        <w:rPr>
          <w:rFonts w:hint="default" w:ascii="Times New Roman" w:hAnsi="Times New Roman" w:eastAsia="宋体" w:cs="Times New Roman"/>
          <w:snapToGrid w:val="0"/>
          <w:color w:val="FF0000"/>
          <w:sz w:val="30"/>
          <w:szCs w:val="30"/>
        </w:rPr>
        <w:br w:type="page"/>
      </w:r>
    </w:p>
    <w:p w14:paraId="29996924">
      <w:pPr>
        <w:pStyle w:val="20"/>
        <w:ind w:firstLine="482"/>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七、结论</w:t>
      </w:r>
    </w:p>
    <w:tbl>
      <w:tblPr>
        <w:tblStyle w:val="24"/>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5EC7D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14:paraId="536B8221">
            <w:pPr>
              <w:adjustRightInd w:val="0"/>
              <w:snapToGrid w:val="0"/>
              <w:ind w:firstLine="480"/>
              <w:rPr>
                <w:rFonts w:hint="default" w:ascii="Times New Roman" w:hAnsi="Times New Roman" w:eastAsia="宋体" w:cs="Times New Roman"/>
                <w:color w:val="FF0000"/>
              </w:rPr>
            </w:pPr>
          </w:p>
          <w:p w14:paraId="452AE131">
            <w:pPr>
              <w:adjustRightInd w:val="0"/>
              <w:snapToGrid w:val="0"/>
              <w:ind w:firstLine="480"/>
              <w:rPr>
                <w:rFonts w:hint="default" w:ascii="Times New Roman" w:hAnsi="Times New Roman" w:eastAsia="宋体" w:cs="Times New Roman"/>
                <w:color w:val="FF0000"/>
                <w:sz w:val="24"/>
                <w:szCs w:val="24"/>
              </w:rPr>
            </w:pPr>
          </w:p>
          <w:p w14:paraId="0F5B523D">
            <w:pPr>
              <w:adjustRightInd w:val="0"/>
              <w:snapToGrid w:val="0"/>
              <w:ind w:firstLine="4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本项目符合国家产业政策和环保政策的要求，项目在落实环评报告表提出的各项生态环境保护措施和污染防治措施后，生态环境影响可接受、污染物可达标排放，从环境保护角度分析，项目建设可行。</w:t>
            </w:r>
          </w:p>
          <w:p w14:paraId="59B6A1D9">
            <w:pPr>
              <w:ind w:firstLine="480"/>
              <w:rPr>
                <w:rFonts w:hint="default" w:ascii="Times New Roman" w:hAnsi="Times New Roman" w:eastAsia="宋体" w:cs="Times New Roman"/>
                <w:color w:val="FF0000"/>
                <w:sz w:val="24"/>
                <w:szCs w:val="24"/>
              </w:rPr>
            </w:pPr>
          </w:p>
          <w:p w14:paraId="2A2F6985">
            <w:pPr>
              <w:ind w:firstLine="480"/>
              <w:rPr>
                <w:rFonts w:hint="default" w:ascii="Times New Roman" w:hAnsi="Times New Roman" w:eastAsia="宋体" w:cs="Times New Roman"/>
                <w:color w:val="FF0000"/>
              </w:rPr>
            </w:pPr>
          </w:p>
          <w:p w14:paraId="19F674BF">
            <w:pPr>
              <w:ind w:firstLine="480"/>
              <w:rPr>
                <w:rFonts w:hint="default" w:ascii="Times New Roman" w:hAnsi="Times New Roman" w:eastAsia="宋体" w:cs="Times New Roman"/>
                <w:color w:val="FF0000"/>
              </w:rPr>
            </w:pPr>
          </w:p>
          <w:p w14:paraId="752C95FF">
            <w:pPr>
              <w:ind w:firstLine="480"/>
              <w:rPr>
                <w:rFonts w:hint="default" w:ascii="Times New Roman" w:hAnsi="Times New Roman" w:eastAsia="宋体" w:cs="Times New Roman"/>
                <w:color w:val="FF0000"/>
              </w:rPr>
            </w:pPr>
          </w:p>
          <w:p w14:paraId="7CFDAE48">
            <w:pPr>
              <w:ind w:firstLine="480"/>
              <w:rPr>
                <w:rFonts w:hint="default" w:ascii="Times New Roman" w:hAnsi="Times New Roman" w:eastAsia="宋体" w:cs="Times New Roman"/>
                <w:color w:val="FF0000"/>
              </w:rPr>
            </w:pPr>
          </w:p>
          <w:p w14:paraId="60551C20">
            <w:pPr>
              <w:ind w:firstLine="480"/>
              <w:rPr>
                <w:rFonts w:hint="default" w:ascii="Times New Roman" w:hAnsi="Times New Roman" w:eastAsia="宋体" w:cs="Times New Roman"/>
                <w:color w:val="FF0000"/>
              </w:rPr>
            </w:pPr>
          </w:p>
          <w:p w14:paraId="5848D289">
            <w:pPr>
              <w:ind w:firstLine="480"/>
              <w:rPr>
                <w:rFonts w:hint="default" w:ascii="Times New Roman" w:hAnsi="Times New Roman" w:eastAsia="宋体" w:cs="Times New Roman"/>
                <w:color w:val="FF0000"/>
              </w:rPr>
            </w:pPr>
          </w:p>
          <w:p w14:paraId="727CF73D">
            <w:pPr>
              <w:ind w:firstLine="480"/>
              <w:rPr>
                <w:rFonts w:hint="default" w:ascii="Times New Roman" w:hAnsi="Times New Roman" w:eastAsia="宋体" w:cs="Times New Roman"/>
                <w:color w:val="FF0000"/>
              </w:rPr>
            </w:pPr>
          </w:p>
          <w:p w14:paraId="0BA04015">
            <w:pPr>
              <w:ind w:firstLine="480"/>
              <w:rPr>
                <w:rFonts w:hint="default" w:ascii="Times New Roman" w:hAnsi="Times New Roman" w:eastAsia="宋体" w:cs="Times New Roman"/>
                <w:color w:val="FF0000"/>
              </w:rPr>
            </w:pPr>
          </w:p>
          <w:p w14:paraId="4EF8672E">
            <w:pPr>
              <w:ind w:firstLine="480"/>
              <w:rPr>
                <w:rFonts w:hint="default" w:ascii="Times New Roman" w:hAnsi="Times New Roman" w:eastAsia="宋体" w:cs="Times New Roman"/>
                <w:color w:val="FF0000"/>
              </w:rPr>
            </w:pPr>
          </w:p>
          <w:p w14:paraId="7D51A9DA">
            <w:pPr>
              <w:ind w:firstLine="480"/>
              <w:rPr>
                <w:rFonts w:hint="default" w:ascii="Times New Roman" w:hAnsi="Times New Roman" w:eastAsia="宋体" w:cs="Times New Roman"/>
                <w:color w:val="FF0000"/>
              </w:rPr>
            </w:pPr>
          </w:p>
          <w:p w14:paraId="0A4F4279">
            <w:pPr>
              <w:ind w:firstLine="480"/>
              <w:rPr>
                <w:rFonts w:hint="default" w:ascii="Times New Roman" w:hAnsi="Times New Roman" w:eastAsia="宋体" w:cs="Times New Roman"/>
                <w:color w:val="FF0000"/>
              </w:rPr>
            </w:pPr>
          </w:p>
          <w:p w14:paraId="07D56692">
            <w:pPr>
              <w:ind w:firstLine="480"/>
              <w:rPr>
                <w:rFonts w:hint="default" w:ascii="Times New Roman" w:hAnsi="Times New Roman" w:eastAsia="宋体" w:cs="Times New Roman"/>
                <w:color w:val="FF0000"/>
              </w:rPr>
            </w:pPr>
          </w:p>
          <w:p w14:paraId="4033BE3F">
            <w:pPr>
              <w:ind w:firstLine="480"/>
              <w:rPr>
                <w:rFonts w:hint="default" w:ascii="Times New Roman" w:hAnsi="Times New Roman" w:eastAsia="宋体" w:cs="Times New Roman"/>
                <w:color w:val="FF0000"/>
              </w:rPr>
            </w:pPr>
          </w:p>
          <w:p w14:paraId="7503524B">
            <w:pPr>
              <w:ind w:firstLine="480"/>
              <w:rPr>
                <w:rFonts w:hint="default" w:ascii="Times New Roman" w:hAnsi="Times New Roman" w:eastAsia="宋体" w:cs="Times New Roman"/>
                <w:color w:val="FF0000"/>
              </w:rPr>
            </w:pPr>
          </w:p>
          <w:p w14:paraId="0C107BAB">
            <w:pPr>
              <w:ind w:firstLine="480"/>
              <w:rPr>
                <w:rFonts w:hint="default" w:ascii="Times New Roman" w:hAnsi="Times New Roman" w:eastAsia="宋体" w:cs="Times New Roman"/>
                <w:color w:val="FF0000"/>
              </w:rPr>
            </w:pPr>
          </w:p>
          <w:p w14:paraId="22F1A960">
            <w:pPr>
              <w:ind w:firstLine="480"/>
              <w:rPr>
                <w:rFonts w:hint="default" w:ascii="Times New Roman" w:hAnsi="Times New Roman" w:eastAsia="宋体" w:cs="Times New Roman"/>
                <w:color w:val="FF0000"/>
              </w:rPr>
            </w:pPr>
          </w:p>
          <w:p w14:paraId="2C5D1886">
            <w:pPr>
              <w:ind w:firstLine="480"/>
              <w:rPr>
                <w:rFonts w:hint="default" w:ascii="Times New Roman" w:hAnsi="Times New Roman" w:eastAsia="宋体" w:cs="Times New Roman"/>
                <w:color w:val="FF0000"/>
              </w:rPr>
            </w:pPr>
          </w:p>
          <w:p w14:paraId="4D83F25D">
            <w:pPr>
              <w:ind w:firstLine="480"/>
              <w:rPr>
                <w:rFonts w:hint="default" w:ascii="Times New Roman" w:hAnsi="Times New Roman" w:eastAsia="宋体" w:cs="Times New Roman"/>
                <w:color w:val="FF0000"/>
              </w:rPr>
            </w:pPr>
          </w:p>
          <w:p w14:paraId="4FE45112">
            <w:pPr>
              <w:tabs>
                <w:tab w:val="left" w:pos="481"/>
              </w:tabs>
              <w:ind w:firstLine="0" w:firstLineChars="0"/>
              <w:jc w:val="left"/>
              <w:rPr>
                <w:rFonts w:hint="default" w:ascii="Times New Roman" w:hAnsi="Times New Roman" w:eastAsia="宋体" w:cs="Times New Roman"/>
                <w:color w:val="FF0000"/>
              </w:rPr>
            </w:pPr>
          </w:p>
        </w:tc>
      </w:tr>
    </w:tbl>
    <w:p w14:paraId="3A8A32F6">
      <w:pPr>
        <w:widowControl/>
        <w:adjustRightInd w:val="0"/>
        <w:snapToGrid w:val="0"/>
        <w:spacing w:before="192" w:beforeLines="80"/>
        <w:ind w:firstLine="0" w:firstLineChars="0"/>
        <w:jc w:val="left"/>
        <w:rPr>
          <w:rFonts w:hint="default" w:ascii="Times New Roman" w:hAnsi="Times New Roman" w:eastAsia="宋体" w:cs="Times New Roman"/>
          <w:color w:val="FF0000"/>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2A43884B">
      <w:pPr>
        <w:pStyle w:val="20"/>
        <w:adjustRightInd w:val="0"/>
        <w:snapToGrid w:val="0"/>
        <w:spacing w:before="0" w:beforeAutospacing="0" w:after="0" w:afterAutospacing="0"/>
        <w:ind w:firstLine="760"/>
        <w:jc w:val="center"/>
        <w:outlineLvl w:val="0"/>
        <w:rPr>
          <w:rFonts w:hint="default" w:ascii="Times New Roman" w:hAnsi="Times New Roman" w:eastAsia="宋体" w:cs="Times New Roman"/>
          <w:snapToGrid w:val="0"/>
          <w:color w:val="auto"/>
          <w:sz w:val="38"/>
          <w:szCs w:val="38"/>
        </w:rPr>
      </w:pPr>
      <w:r>
        <w:rPr>
          <w:rFonts w:hint="default" w:ascii="Times New Roman" w:hAnsi="Times New Roman" w:eastAsia="宋体" w:cs="Times New Roman"/>
          <w:snapToGrid w:val="0"/>
          <w:color w:val="auto"/>
          <w:sz w:val="38"/>
          <w:szCs w:val="38"/>
        </w:rPr>
        <w:t>建设项目污染物排放量汇总表</w:t>
      </w:r>
    </w:p>
    <w:tbl>
      <w:tblPr>
        <w:tblStyle w:val="24"/>
        <w:tblW w:w="13788" w:type="dxa"/>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868"/>
        <w:gridCol w:w="917"/>
      </w:tblGrid>
      <w:tr w14:paraId="1BAD7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162818CC">
            <w:pPr>
              <w:pStyle w:val="46"/>
              <w:spacing w:beforeLines="0" w:afterLines="0" w:line="240" w:lineRule="auto"/>
              <w:ind w:firstLine="0" w:firstLineChars="0"/>
              <w:jc w:val="right"/>
              <w:rPr>
                <w:rFonts w:hint="default" w:ascii="Times New Roman" w:hAnsi="Times New Roman" w:eastAsia="宋体" w:cs="Times New Roman"/>
                <w:snapToGrid w:val="0"/>
                <w:color w:val="auto"/>
                <w:spacing w:val="-6"/>
                <w:kern w:val="21"/>
                <w:sz w:val="21"/>
              </w:rPr>
            </w:pPr>
            <w:r>
              <w:rPr>
                <w:rFonts w:hint="default" w:ascii="Times New Roman" w:hAnsi="Times New Roman" w:eastAsia="宋体" w:cs="Times New Roman"/>
                <w:snapToGrid w:val="0"/>
                <w:color w:val="auto"/>
                <w:spacing w:val="-6"/>
                <w:kern w:val="21"/>
                <w:sz w:val="21"/>
              </w:rPr>
              <w:t>项目</w:t>
            </w:r>
          </w:p>
          <w:p w14:paraId="26950EB2">
            <w:pPr>
              <w:pStyle w:val="46"/>
              <w:spacing w:beforeLines="0" w:afterLines="0" w:line="240" w:lineRule="auto"/>
              <w:ind w:firstLine="0" w:firstLineChars="0"/>
              <w:jc w:val="left"/>
              <w:rPr>
                <w:rFonts w:hint="default" w:ascii="Times New Roman" w:hAnsi="Times New Roman" w:eastAsia="宋体" w:cs="Times New Roman"/>
                <w:snapToGrid w:val="0"/>
                <w:color w:val="auto"/>
                <w:spacing w:val="-6"/>
                <w:kern w:val="21"/>
                <w:sz w:val="21"/>
              </w:rPr>
            </w:pPr>
            <w:r>
              <w:rPr>
                <w:rFonts w:hint="default" w:ascii="Times New Roman" w:hAnsi="Times New Roman" w:eastAsia="宋体" w:cs="Times New Roman"/>
                <w:snapToGrid w:val="0"/>
                <w:color w:val="auto"/>
                <w:spacing w:val="-6"/>
                <w:kern w:val="21"/>
                <w:sz w:val="21"/>
              </w:rPr>
              <w:t>分类</w:t>
            </w:r>
          </w:p>
        </w:tc>
        <w:tc>
          <w:tcPr>
            <w:tcW w:w="1417" w:type="dxa"/>
            <w:tcMar>
              <w:left w:w="28" w:type="dxa"/>
              <w:right w:w="28" w:type="dxa"/>
            </w:tcMar>
            <w:vAlign w:val="center"/>
          </w:tcPr>
          <w:p w14:paraId="0D3BDA76">
            <w:pPr>
              <w:pStyle w:val="46"/>
              <w:spacing w:beforeLines="0" w:afterLines="0" w:line="240" w:lineRule="auto"/>
              <w:ind w:firstLine="0" w:firstLineChars="0"/>
              <w:rPr>
                <w:rFonts w:hint="default" w:ascii="Times New Roman" w:hAnsi="Times New Roman" w:eastAsia="宋体" w:cs="Times New Roman"/>
                <w:snapToGrid w:val="0"/>
                <w:color w:val="auto"/>
                <w:spacing w:val="-6"/>
                <w:kern w:val="21"/>
                <w:sz w:val="21"/>
              </w:rPr>
            </w:pPr>
            <w:r>
              <w:rPr>
                <w:rFonts w:hint="default" w:ascii="Times New Roman" w:hAnsi="Times New Roman" w:eastAsia="宋体" w:cs="Times New Roman"/>
                <w:snapToGrid w:val="0"/>
                <w:color w:val="auto"/>
                <w:spacing w:val="-6"/>
                <w:kern w:val="21"/>
                <w:sz w:val="21"/>
              </w:rPr>
              <w:t>污染物名称</w:t>
            </w:r>
          </w:p>
        </w:tc>
        <w:tc>
          <w:tcPr>
            <w:tcW w:w="1701" w:type="dxa"/>
            <w:tcMar>
              <w:left w:w="28" w:type="dxa"/>
              <w:right w:w="28" w:type="dxa"/>
            </w:tcMar>
            <w:vAlign w:val="center"/>
          </w:tcPr>
          <w:p w14:paraId="3E06078E">
            <w:pPr>
              <w:pStyle w:val="46"/>
              <w:spacing w:beforeLines="0" w:afterLines="0" w:line="240" w:lineRule="auto"/>
              <w:ind w:firstLine="0" w:firstLineChars="0"/>
              <w:rPr>
                <w:rFonts w:hint="default" w:ascii="Times New Roman" w:hAnsi="Times New Roman" w:eastAsia="宋体" w:cs="Times New Roman"/>
                <w:snapToGrid w:val="0"/>
                <w:color w:val="auto"/>
                <w:spacing w:val="-6"/>
                <w:kern w:val="21"/>
                <w:sz w:val="21"/>
              </w:rPr>
            </w:pPr>
            <w:r>
              <w:rPr>
                <w:rFonts w:hint="default" w:ascii="Times New Roman" w:hAnsi="Times New Roman" w:eastAsia="宋体" w:cs="Times New Roman"/>
                <w:snapToGrid w:val="0"/>
                <w:color w:val="auto"/>
                <w:spacing w:val="-6"/>
                <w:kern w:val="21"/>
                <w:sz w:val="21"/>
              </w:rPr>
              <w:t>现有工程</w:t>
            </w:r>
          </w:p>
          <w:p w14:paraId="09EAA42F">
            <w:pPr>
              <w:pStyle w:val="46"/>
              <w:spacing w:beforeLines="0" w:afterLines="0" w:line="240" w:lineRule="auto"/>
              <w:ind w:firstLine="0" w:firstLineChars="0"/>
              <w:rPr>
                <w:rFonts w:hint="default" w:ascii="Times New Roman" w:hAnsi="Times New Roman" w:eastAsia="宋体" w:cs="Times New Roman"/>
                <w:snapToGrid w:val="0"/>
                <w:color w:val="auto"/>
                <w:spacing w:val="-6"/>
                <w:kern w:val="21"/>
                <w:sz w:val="21"/>
              </w:rPr>
            </w:pPr>
            <w:r>
              <w:rPr>
                <w:rFonts w:hint="default" w:ascii="Times New Roman" w:hAnsi="Times New Roman" w:eastAsia="宋体" w:cs="Times New Roman"/>
                <w:snapToGrid w:val="0"/>
                <w:color w:val="auto"/>
                <w:spacing w:val="-6"/>
                <w:kern w:val="21"/>
                <w:sz w:val="21"/>
              </w:rPr>
              <w:t>排放量（固体废物产生量）</w:t>
            </w:r>
            <w:r>
              <w:rPr>
                <w:rFonts w:hint="default" w:ascii="Times New Roman" w:hAnsi="Times New Roman" w:eastAsia="宋体" w:cs="Times New Roman"/>
                <w:snapToGrid w:val="0"/>
                <w:color w:val="auto"/>
                <w:spacing w:val="-6"/>
                <w:kern w:val="21"/>
                <w:sz w:val="21"/>
              </w:rPr>
              <w:fldChar w:fldCharType="begin"/>
            </w:r>
            <w:r>
              <w:rPr>
                <w:rFonts w:hint="default" w:ascii="Times New Roman" w:hAnsi="Times New Roman" w:eastAsia="宋体" w:cs="Times New Roman"/>
                <w:snapToGrid w:val="0"/>
                <w:color w:val="auto"/>
                <w:spacing w:val="-6"/>
                <w:kern w:val="21"/>
                <w:sz w:val="21"/>
              </w:rPr>
              <w:instrText xml:space="preserve"> = 1 \* GB3 \* MERGEFORMAT </w:instrText>
            </w:r>
            <w:r>
              <w:rPr>
                <w:rFonts w:hint="default" w:ascii="Times New Roman" w:hAnsi="Times New Roman" w:eastAsia="宋体" w:cs="Times New Roman"/>
                <w:snapToGrid w:val="0"/>
                <w:color w:val="auto"/>
                <w:spacing w:val="-6"/>
                <w:kern w:val="21"/>
                <w:sz w:val="21"/>
              </w:rPr>
              <w:fldChar w:fldCharType="separate"/>
            </w:r>
            <w:r>
              <w:rPr>
                <w:rFonts w:hint="default" w:ascii="Times New Roman" w:hAnsi="Times New Roman" w:eastAsia="宋体" w:cs="Times New Roman"/>
                <w:color w:val="auto"/>
                <w:kern w:val="2"/>
                <w:sz w:val="21"/>
              </w:rPr>
              <w:t>①</w:t>
            </w:r>
            <w:r>
              <w:rPr>
                <w:rFonts w:hint="default" w:ascii="Times New Roman" w:hAnsi="Times New Roman" w:eastAsia="宋体" w:cs="Times New Roman"/>
                <w:snapToGrid w:val="0"/>
                <w:color w:val="auto"/>
                <w:spacing w:val="-6"/>
                <w:kern w:val="21"/>
                <w:sz w:val="21"/>
              </w:rPr>
              <w:fldChar w:fldCharType="end"/>
            </w:r>
          </w:p>
        </w:tc>
        <w:tc>
          <w:tcPr>
            <w:tcW w:w="1276" w:type="dxa"/>
            <w:tcMar>
              <w:left w:w="28" w:type="dxa"/>
              <w:right w:w="28" w:type="dxa"/>
            </w:tcMar>
            <w:vAlign w:val="center"/>
          </w:tcPr>
          <w:p w14:paraId="25996FA3">
            <w:pPr>
              <w:pStyle w:val="46"/>
              <w:spacing w:beforeLines="0" w:afterLines="0" w:line="240" w:lineRule="auto"/>
              <w:ind w:firstLine="0" w:firstLineChars="0"/>
              <w:rPr>
                <w:rFonts w:hint="default" w:ascii="Times New Roman" w:hAnsi="Times New Roman" w:eastAsia="宋体" w:cs="Times New Roman"/>
                <w:snapToGrid w:val="0"/>
                <w:color w:val="auto"/>
                <w:spacing w:val="-6"/>
                <w:kern w:val="21"/>
                <w:sz w:val="21"/>
              </w:rPr>
            </w:pPr>
            <w:r>
              <w:rPr>
                <w:rFonts w:hint="default" w:ascii="Times New Roman" w:hAnsi="Times New Roman" w:eastAsia="宋体" w:cs="Times New Roman"/>
                <w:snapToGrid w:val="0"/>
                <w:color w:val="auto"/>
                <w:spacing w:val="-6"/>
                <w:kern w:val="21"/>
                <w:sz w:val="21"/>
              </w:rPr>
              <w:t>现有工程</w:t>
            </w:r>
          </w:p>
          <w:p w14:paraId="2203E9D3">
            <w:pPr>
              <w:pStyle w:val="46"/>
              <w:spacing w:beforeLines="0" w:afterLines="0" w:line="240" w:lineRule="auto"/>
              <w:ind w:firstLine="0" w:firstLineChars="0"/>
              <w:rPr>
                <w:rFonts w:hint="default" w:ascii="Times New Roman" w:hAnsi="Times New Roman" w:eastAsia="宋体" w:cs="Times New Roman"/>
                <w:snapToGrid w:val="0"/>
                <w:color w:val="auto"/>
                <w:spacing w:val="-6"/>
                <w:kern w:val="21"/>
                <w:sz w:val="21"/>
              </w:rPr>
            </w:pPr>
            <w:r>
              <w:rPr>
                <w:rFonts w:hint="default" w:ascii="Times New Roman" w:hAnsi="Times New Roman" w:eastAsia="宋体" w:cs="Times New Roman"/>
                <w:snapToGrid w:val="0"/>
                <w:color w:val="auto"/>
                <w:spacing w:val="-6"/>
                <w:kern w:val="21"/>
                <w:sz w:val="21"/>
              </w:rPr>
              <w:t>许可排放量</w:t>
            </w:r>
          </w:p>
          <w:p w14:paraId="7897ECDA">
            <w:pPr>
              <w:pStyle w:val="46"/>
              <w:spacing w:beforeLines="0" w:afterLines="0" w:line="240" w:lineRule="auto"/>
              <w:ind w:firstLine="0" w:firstLineChars="0"/>
              <w:rPr>
                <w:rFonts w:hint="default" w:ascii="Times New Roman" w:hAnsi="Times New Roman" w:eastAsia="宋体" w:cs="Times New Roman"/>
                <w:snapToGrid w:val="0"/>
                <w:color w:val="auto"/>
                <w:spacing w:val="-6"/>
                <w:kern w:val="21"/>
                <w:sz w:val="21"/>
              </w:rPr>
            </w:pPr>
            <w:r>
              <w:rPr>
                <w:rFonts w:hint="default" w:ascii="Times New Roman" w:hAnsi="Times New Roman" w:eastAsia="宋体" w:cs="Times New Roman"/>
                <w:snapToGrid w:val="0"/>
                <w:color w:val="auto"/>
                <w:spacing w:val="-6"/>
                <w:kern w:val="21"/>
                <w:sz w:val="21"/>
              </w:rPr>
              <w:fldChar w:fldCharType="begin"/>
            </w:r>
            <w:r>
              <w:rPr>
                <w:rFonts w:hint="default" w:ascii="Times New Roman" w:hAnsi="Times New Roman" w:eastAsia="宋体" w:cs="Times New Roman"/>
                <w:snapToGrid w:val="0"/>
                <w:color w:val="auto"/>
                <w:spacing w:val="-6"/>
                <w:kern w:val="21"/>
                <w:sz w:val="21"/>
              </w:rPr>
              <w:instrText xml:space="preserve"> = 2 \* GB3 \* MERGEFORMAT </w:instrText>
            </w:r>
            <w:r>
              <w:rPr>
                <w:rFonts w:hint="default" w:ascii="Times New Roman" w:hAnsi="Times New Roman" w:eastAsia="宋体" w:cs="Times New Roman"/>
                <w:snapToGrid w:val="0"/>
                <w:color w:val="auto"/>
                <w:spacing w:val="-6"/>
                <w:kern w:val="21"/>
                <w:sz w:val="21"/>
              </w:rPr>
              <w:fldChar w:fldCharType="separate"/>
            </w:r>
            <w:r>
              <w:rPr>
                <w:rFonts w:hint="default" w:ascii="Times New Roman" w:hAnsi="Times New Roman" w:eastAsia="宋体" w:cs="Times New Roman"/>
                <w:snapToGrid w:val="0"/>
                <w:color w:val="auto"/>
                <w:spacing w:val="-6"/>
                <w:kern w:val="21"/>
                <w:sz w:val="21"/>
              </w:rPr>
              <w:t>②</w:t>
            </w:r>
            <w:r>
              <w:rPr>
                <w:rFonts w:hint="default" w:ascii="Times New Roman" w:hAnsi="Times New Roman" w:eastAsia="宋体" w:cs="Times New Roman"/>
                <w:snapToGrid w:val="0"/>
                <w:color w:val="auto"/>
                <w:spacing w:val="-6"/>
                <w:kern w:val="21"/>
                <w:sz w:val="21"/>
              </w:rPr>
              <w:fldChar w:fldCharType="end"/>
            </w:r>
          </w:p>
        </w:tc>
        <w:tc>
          <w:tcPr>
            <w:tcW w:w="1701" w:type="dxa"/>
            <w:tcMar>
              <w:left w:w="28" w:type="dxa"/>
              <w:right w:w="28" w:type="dxa"/>
            </w:tcMar>
            <w:vAlign w:val="center"/>
          </w:tcPr>
          <w:p w14:paraId="0BAC1846">
            <w:pPr>
              <w:pStyle w:val="46"/>
              <w:spacing w:beforeLines="0" w:afterLines="0" w:line="240" w:lineRule="auto"/>
              <w:ind w:firstLine="0" w:firstLineChars="0"/>
              <w:rPr>
                <w:rFonts w:hint="default" w:ascii="Times New Roman" w:hAnsi="Times New Roman" w:eastAsia="宋体" w:cs="Times New Roman"/>
                <w:snapToGrid w:val="0"/>
                <w:color w:val="auto"/>
                <w:spacing w:val="-6"/>
                <w:kern w:val="21"/>
                <w:sz w:val="21"/>
              </w:rPr>
            </w:pPr>
            <w:r>
              <w:rPr>
                <w:rFonts w:hint="default" w:ascii="Times New Roman" w:hAnsi="Times New Roman" w:eastAsia="宋体" w:cs="Times New Roman"/>
                <w:snapToGrid w:val="0"/>
                <w:color w:val="auto"/>
                <w:spacing w:val="-6"/>
                <w:kern w:val="21"/>
                <w:sz w:val="21"/>
              </w:rPr>
              <w:t>在建工程</w:t>
            </w:r>
          </w:p>
          <w:p w14:paraId="208B83FE">
            <w:pPr>
              <w:pStyle w:val="46"/>
              <w:spacing w:beforeLines="0" w:afterLines="0" w:line="240" w:lineRule="auto"/>
              <w:ind w:firstLine="0" w:firstLineChars="0"/>
              <w:rPr>
                <w:rFonts w:hint="default" w:ascii="Times New Roman" w:hAnsi="Times New Roman" w:eastAsia="宋体" w:cs="Times New Roman"/>
                <w:snapToGrid w:val="0"/>
                <w:color w:val="auto"/>
                <w:spacing w:val="-6"/>
                <w:kern w:val="21"/>
                <w:sz w:val="21"/>
              </w:rPr>
            </w:pPr>
            <w:r>
              <w:rPr>
                <w:rFonts w:hint="default" w:ascii="Times New Roman" w:hAnsi="Times New Roman" w:eastAsia="宋体" w:cs="Times New Roman"/>
                <w:snapToGrid w:val="0"/>
                <w:color w:val="auto"/>
                <w:spacing w:val="-6"/>
                <w:kern w:val="21"/>
                <w:sz w:val="21"/>
              </w:rPr>
              <w:t>排放量（固体废物产生量）</w:t>
            </w:r>
            <w:r>
              <w:rPr>
                <w:rFonts w:hint="default" w:ascii="Times New Roman" w:hAnsi="Times New Roman" w:eastAsia="宋体" w:cs="Times New Roman"/>
                <w:snapToGrid w:val="0"/>
                <w:color w:val="auto"/>
                <w:spacing w:val="-6"/>
                <w:kern w:val="21"/>
                <w:sz w:val="21"/>
              </w:rPr>
              <w:fldChar w:fldCharType="begin"/>
            </w:r>
            <w:r>
              <w:rPr>
                <w:rFonts w:hint="default" w:ascii="Times New Roman" w:hAnsi="Times New Roman" w:eastAsia="宋体" w:cs="Times New Roman"/>
                <w:snapToGrid w:val="0"/>
                <w:color w:val="auto"/>
                <w:spacing w:val="-6"/>
                <w:kern w:val="21"/>
                <w:sz w:val="21"/>
              </w:rPr>
              <w:instrText xml:space="preserve"> = 3 \* GB3 \* MERGEFORMAT </w:instrText>
            </w:r>
            <w:r>
              <w:rPr>
                <w:rFonts w:hint="default" w:ascii="Times New Roman" w:hAnsi="Times New Roman" w:eastAsia="宋体" w:cs="Times New Roman"/>
                <w:snapToGrid w:val="0"/>
                <w:color w:val="auto"/>
                <w:spacing w:val="-6"/>
                <w:kern w:val="21"/>
                <w:sz w:val="21"/>
              </w:rPr>
              <w:fldChar w:fldCharType="separate"/>
            </w:r>
            <w:r>
              <w:rPr>
                <w:rFonts w:hint="default" w:ascii="Times New Roman" w:hAnsi="Times New Roman" w:eastAsia="宋体" w:cs="Times New Roman"/>
                <w:color w:val="auto"/>
                <w:kern w:val="2"/>
                <w:sz w:val="21"/>
              </w:rPr>
              <w:t>③</w:t>
            </w:r>
            <w:r>
              <w:rPr>
                <w:rFonts w:hint="default" w:ascii="Times New Roman" w:hAnsi="Times New Roman" w:eastAsia="宋体" w:cs="Times New Roman"/>
                <w:snapToGrid w:val="0"/>
                <w:color w:val="auto"/>
                <w:spacing w:val="-6"/>
                <w:kern w:val="21"/>
                <w:sz w:val="21"/>
              </w:rPr>
              <w:fldChar w:fldCharType="end"/>
            </w:r>
          </w:p>
        </w:tc>
        <w:tc>
          <w:tcPr>
            <w:tcW w:w="1559" w:type="dxa"/>
            <w:tcMar>
              <w:left w:w="28" w:type="dxa"/>
              <w:right w:w="28" w:type="dxa"/>
            </w:tcMar>
            <w:vAlign w:val="center"/>
          </w:tcPr>
          <w:p w14:paraId="5D0F1C81">
            <w:pPr>
              <w:pStyle w:val="46"/>
              <w:spacing w:beforeLines="0" w:afterLines="0" w:line="240" w:lineRule="auto"/>
              <w:ind w:firstLine="0" w:firstLineChars="0"/>
              <w:rPr>
                <w:rFonts w:hint="default" w:ascii="Times New Roman" w:hAnsi="Times New Roman" w:eastAsia="宋体" w:cs="Times New Roman"/>
                <w:snapToGrid w:val="0"/>
                <w:color w:val="auto"/>
                <w:spacing w:val="-6"/>
                <w:kern w:val="21"/>
                <w:sz w:val="21"/>
              </w:rPr>
            </w:pPr>
            <w:r>
              <w:rPr>
                <w:rFonts w:hint="default" w:ascii="Times New Roman" w:hAnsi="Times New Roman" w:eastAsia="宋体" w:cs="Times New Roman"/>
                <w:snapToGrid w:val="0"/>
                <w:color w:val="auto"/>
                <w:spacing w:val="-6"/>
                <w:kern w:val="21"/>
                <w:sz w:val="21"/>
              </w:rPr>
              <w:t>本项目</w:t>
            </w:r>
          </w:p>
          <w:p w14:paraId="6509BCA7">
            <w:pPr>
              <w:pStyle w:val="46"/>
              <w:spacing w:beforeLines="0" w:afterLines="0" w:line="240" w:lineRule="auto"/>
              <w:ind w:firstLine="0" w:firstLineChars="0"/>
              <w:rPr>
                <w:rFonts w:hint="default" w:ascii="Times New Roman" w:hAnsi="Times New Roman" w:eastAsia="宋体" w:cs="Times New Roman"/>
                <w:snapToGrid w:val="0"/>
                <w:color w:val="auto"/>
                <w:spacing w:val="-6"/>
                <w:kern w:val="21"/>
                <w:sz w:val="21"/>
              </w:rPr>
            </w:pPr>
            <w:r>
              <w:rPr>
                <w:rFonts w:hint="default" w:ascii="Times New Roman" w:hAnsi="Times New Roman" w:eastAsia="宋体" w:cs="Times New Roman"/>
                <w:snapToGrid w:val="0"/>
                <w:color w:val="auto"/>
                <w:spacing w:val="-6"/>
                <w:kern w:val="21"/>
                <w:sz w:val="21"/>
              </w:rPr>
              <w:t>排放量（固体废物产生量）</w:t>
            </w:r>
            <w:r>
              <w:rPr>
                <w:rFonts w:hint="default" w:ascii="Times New Roman" w:hAnsi="Times New Roman" w:eastAsia="宋体" w:cs="Times New Roman"/>
                <w:snapToGrid w:val="0"/>
                <w:color w:val="auto"/>
                <w:spacing w:val="-6"/>
                <w:kern w:val="21"/>
                <w:sz w:val="21"/>
              </w:rPr>
              <w:fldChar w:fldCharType="begin"/>
            </w:r>
            <w:r>
              <w:rPr>
                <w:rFonts w:hint="default" w:ascii="Times New Roman" w:hAnsi="Times New Roman" w:eastAsia="宋体" w:cs="Times New Roman"/>
                <w:snapToGrid w:val="0"/>
                <w:color w:val="auto"/>
                <w:spacing w:val="-6"/>
                <w:kern w:val="21"/>
                <w:sz w:val="21"/>
              </w:rPr>
              <w:instrText xml:space="preserve"> = 4 \* GB3 \* MERGEFORMAT </w:instrText>
            </w:r>
            <w:r>
              <w:rPr>
                <w:rFonts w:hint="default" w:ascii="Times New Roman" w:hAnsi="Times New Roman" w:eastAsia="宋体" w:cs="Times New Roman"/>
                <w:snapToGrid w:val="0"/>
                <w:color w:val="auto"/>
                <w:spacing w:val="-6"/>
                <w:kern w:val="21"/>
                <w:sz w:val="21"/>
              </w:rPr>
              <w:fldChar w:fldCharType="separate"/>
            </w:r>
            <w:r>
              <w:rPr>
                <w:rFonts w:hint="default" w:ascii="Times New Roman" w:hAnsi="Times New Roman" w:eastAsia="宋体" w:cs="Times New Roman"/>
                <w:color w:val="auto"/>
                <w:kern w:val="2"/>
                <w:sz w:val="21"/>
              </w:rPr>
              <w:t>④</w:t>
            </w:r>
            <w:r>
              <w:rPr>
                <w:rFonts w:hint="default" w:ascii="Times New Roman" w:hAnsi="Times New Roman" w:eastAsia="宋体" w:cs="Times New Roman"/>
                <w:snapToGrid w:val="0"/>
                <w:color w:val="auto"/>
                <w:spacing w:val="-6"/>
                <w:kern w:val="21"/>
                <w:sz w:val="21"/>
              </w:rPr>
              <w:fldChar w:fldCharType="end"/>
            </w:r>
          </w:p>
        </w:tc>
        <w:tc>
          <w:tcPr>
            <w:tcW w:w="1761" w:type="dxa"/>
            <w:tcMar>
              <w:left w:w="28" w:type="dxa"/>
              <w:right w:w="28" w:type="dxa"/>
            </w:tcMar>
            <w:vAlign w:val="center"/>
          </w:tcPr>
          <w:p w14:paraId="57E7CA35">
            <w:pPr>
              <w:pStyle w:val="46"/>
              <w:spacing w:beforeLines="0" w:afterLines="0" w:line="240" w:lineRule="auto"/>
              <w:ind w:firstLine="0" w:firstLineChars="0"/>
              <w:rPr>
                <w:rFonts w:hint="default" w:ascii="Times New Roman" w:hAnsi="Times New Roman" w:eastAsia="宋体" w:cs="Times New Roman"/>
                <w:snapToGrid w:val="0"/>
                <w:color w:val="auto"/>
                <w:spacing w:val="-16"/>
                <w:kern w:val="21"/>
                <w:sz w:val="21"/>
              </w:rPr>
            </w:pPr>
            <w:r>
              <w:rPr>
                <w:rFonts w:hint="default" w:ascii="Times New Roman" w:hAnsi="Times New Roman" w:eastAsia="宋体" w:cs="Times New Roman"/>
                <w:snapToGrid w:val="0"/>
                <w:color w:val="auto"/>
                <w:spacing w:val="-16"/>
                <w:kern w:val="21"/>
                <w:sz w:val="21"/>
              </w:rPr>
              <w:t>以新带老削减量</w:t>
            </w:r>
          </w:p>
          <w:p w14:paraId="4D184DAD">
            <w:pPr>
              <w:pStyle w:val="46"/>
              <w:spacing w:beforeLines="0" w:afterLines="0" w:line="240" w:lineRule="auto"/>
              <w:ind w:firstLine="0" w:firstLineChars="0"/>
              <w:rPr>
                <w:rFonts w:hint="default" w:ascii="Times New Roman" w:hAnsi="Times New Roman" w:eastAsia="宋体" w:cs="Times New Roman"/>
                <w:snapToGrid w:val="0"/>
                <w:color w:val="auto"/>
                <w:spacing w:val="-16"/>
                <w:kern w:val="21"/>
                <w:sz w:val="21"/>
              </w:rPr>
            </w:pPr>
            <w:r>
              <w:rPr>
                <w:rFonts w:hint="default" w:ascii="Times New Roman" w:hAnsi="Times New Roman" w:eastAsia="宋体" w:cs="Times New Roman"/>
                <w:snapToGrid w:val="0"/>
                <w:color w:val="auto"/>
                <w:spacing w:val="-16"/>
                <w:kern w:val="21"/>
                <w:sz w:val="21"/>
              </w:rPr>
              <w:t>（新建项目不填）</w:t>
            </w:r>
            <w:r>
              <w:rPr>
                <w:rFonts w:hint="default" w:ascii="Times New Roman" w:hAnsi="Times New Roman" w:eastAsia="宋体" w:cs="Times New Roman"/>
                <w:snapToGrid w:val="0"/>
                <w:color w:val="auto"/>
                <w:spacing w:val="-16"/>
                <w:kern w:val="21"/>
                <w:sz w:val="21"/>
              </w:rPr>
              <w:fldChar w:fldCharType="begin"/>
            </w:r>
            <w:r>
              <w:rPr>
                <w:rFonts w:hint="default" w:ascii="Times New Roman" w:hAnsi="Times New Roman" w:eastAsia="宋体" w:cs="Times New Roman"/>
                <w:snapToGrid w:val="0"/>
                <w:color w:val="auto"/>
                <w:spacing w:val="-16"/>
                <w:kern w:val="21"/>
                <w:sz w:val="21"/>
              </w:rPr>
              <w:instrText xml:space="preserve"> = 5 \* GB3 \* MERGEFORMAT </w:instrText>
            </w:r>
            <w:r>
              <w:rPr>
                <w:rFonts w:hint="default" w:ascii="Times New Roman" w:hAnsi="Times New Roman" w:eastAsia="宋体" w:cs="Times New Roman"/>
                <w:snapToGrid w:val="0"/>
                <w:color w:val="auto"/>
                <w:spacing w:val="-16"/>
                <w:kern w:val="21"/>
                <w:sz w:val="21"/>
              </w:rPr>
              <w:fldChar w:fldCharType="separate"/>
            </w:r>
            <w:r>
              <w:rPr>
                <w:rFonts w:hint="default" w:ascii="Times New Roman" w:hAnsi="Times New Roman" w:eastAsia="宋体" w:cs="Times New Roman"/>
                <w:color w:val="auto"/>
                <w:kern w:val="2"/>
                <w:sz w:val="21"/>
              </w:rPr>
              <w:t>⑤</w:t>
            </w:r>
            <w:r>
              <w:rPr>
                <w:rFonts w:hint="default" w:ascii="Times New Roman" w:hAnsi="Times New Roman" w:eastAsia="宋体" w:cs="Times New Roman"/>
                <w:snapToGrid w:val="0"/>
                <w:color w:val="auto"/>
                <w:spacing w:val="-16"/>
                <w:kern w:val="21"/>
                <w:sz w:val="21"/>
              </w:rPr>
              <w:fldChar w:fldCharType="end"/>
            </w:r>
          </w:p>
        </w:tc>
        <w:tc>
          <w:tcPr>
            <w:tcW w:w="1868" w:type="dxa"/>
            <w:tcMar>
              <w:left w:w="28" w:type="dxa"/>
              <w:right w:w="28" w:type="dxa"/>
            </w:tcMar>
            <w:vAlign w:val="center"/>
          </w:tcPr>
          <w:p w14:paraId="4AA8A083">
            <w:pPr>
              <w:pStyle w:val="46"/>
              <w:spacing w:beforeLines="0" w:afterLines="0" w:line="240" w:lineRule="auto"/>
              <w:ind w:firstLine="0" w:firstLineChars="0"/>
              <w:rPr>
                <w:rFonts w:hint="default" w:ascii="Times New Roman" w:hAnsi="Times New Roman" w:eastAsia="宋体" w:cs="Times New Roman"/>
                <w:snapToGrid w:val="0"/>
                <w:color w:val="auto"/>
                <w:spacing w:val="-16"/>
                <w:kern w:val="21"/>
                <w:sz w:val="21"/>
              </w:rPr>
            </w:pPr>
            <w:r>
              <w:rPr>
                <w:rFonts w:hint="default" w:ascii="Times New Roman" w:hAnsi="Times New Roman" w:eastAsia="宋体" w:cs="Times New Roman"/>
                <w:snapToGrid w:val="0"/>
                <w:color w:val="auto"/>
                <w:spacing w:val="-16"/>
                <w:kern w:val="21"/>
                <w:sz w:val="21"/>
              </w:rPr>
              <w:t>本项目建成后</w:t>
            </w:r>
          </w:p>
          <w:p w14:paraId="12D9E6B5">
            <w:pPr>
              <w:pStyle w:val="46"/>
              <w:spacing w:beforeLines="0" w:afterLines="0" w:line="240" w:lineRule="auto"/>
              <w:ind w:firstLine="0" w:firstLineChars="0"/>
              <w:rPr>
                <w:rFonts w:hint="default" w:ascii="Times New Roman" w:hAnsi="Times New Roman" w:eastAsia="宋体" w:cs="Times New Roman"/>
                <w:snapToGrid w:val="0"/>
                <w:color w:val="auto"/>
                <w:spacing w:val="-16"/>
                <w:kern w:val="21"/>
                <w:sz w:val="21"/>
              </w:rPr>
            </w:pPr>
            <w:r>
              <w:rPr>
                <w:rFonts w:hint="default" w:ascii="Times New Roman" w:hAnsi="Times New Roman" w:eastAsia="宋体" w:cs="Times New Roman"/>
                <w:snapToGrid w:val="0"/>
                <w:color w:val="auto"/>
                <w:spacing w:val="-16"/>
                <w:kern w:val="21"/>
                <w:sz w:val="21"/>
              </w:rPr>
              <w:t>全厂排放量（固体废物产生量）</w:t>
            </w:r>
            <w:r>
              <w:rPr>
                <w:rFonts w:hint="default" w:ascii="Times New Roman" w:hAnsi="Times New Roman" w:eastAsia="宋体" w:cs="Times New Roman"/>
                <w:snapToGrid w:val="0"/>
                <w:color w:val="auto"/>
                <w:spacing w:val="-16"/>
                <w:kern w:val="21"/>
                <w:sz w:val="21"/>
              </w:rPr>
              <w:fldChar w:fldCharType="begin"/>
            </w:r>
            <w:r>
              <w:rPr>
                <w:rFonts w:hint="default" w:ascii="Times New Roman" w:hAnsi="Times New Roman" w:eastAsia="宋体" w:cs="Times New Roman"/>
                <w:snapToGrid w:val="0"/>
                <w:color w:val="auto"/>
                <w:spacing w:val="-16"/>
                <w:kern w:val="21"/>
                <w:sz w:val="21"/>
              </w:rPr>
              <w:instrText xml:space="preserve"> = 6 \* GB3 \* MERGEFORMAT </w:instrText>
            </w:r>
            <w:r>
              <w:rPr>
                <w:rFonts w:hint="default" w:ascii="Times New Roman" w:hAnsi="Times New Roman" w:eastAsia="宋体" w:cs="Times New Roman"/>
                <w:snapToGrid w:val="0"/>
                <w:color w:val="auto"/>
                <w:spacing w:val="-16"/>
                <w:kern w:val="21"/>
                <w:sz w:val="21"/>
              </w:rPr>
              <w:fldChar w:fldCharType="separate"/>
            </w:r>
            <w:r>
              <w:rPr>
                <w:rFonts w:hint="default" w:ascii="Times New Roman" w:hAnsi="Times New Roman" w:eastAsia="宋体" w:cs="Times New Roman"/>
                <w:color w:val="auto"/>
                <w:kern w:val="2"/>
                <w:sz w:val="21"/>
              </w:rPr>
              <w:t>⑥</w:t>
            </w:r>
            <w:r>
              <w:rPr>
                <w:rFonts w:hint="default" w:ascii="Times New Roman" w:hAnsi="Times New Roman" w:eastAsia="宋体" w:cs="Times New Roman"/>
                <w:snapToGrid w:val="0"/>
                <w:color w:val="auto"/>
                <w:spacing w:val="-16"/>
                <w:kern w:val="21"/>
                <w:sz w:val="21"/>
              </w:rPr>
              <w:fldChar w:fldCharType="end"/>
            </w:r>
          </w:p>
        </w:tc>
        <w:tc>
          <w:tcPr>
            <w:tcW w:w="917" w:type="dxa"/>
            <w:tcMar>
              <w:left w:w="28" w:type="dxa"/>
              <w:right w:w="28" w:type="dxa"/>
            </w:tcMar>
            <w:vAlign w:val="center"/>
          </w:tcPr>
          <w:p w14:paraId="7FC9CA98">
            <w:pPr>
              <w:pStyle w:val="46"/>
              <w:spacing w:beforeLines="0" w:afterLines="0" w:line="240" w:lineRule="auto"/>
              <w:ind w:firstLine="0" w:firstLineChars="0"/>
              <w:rPr>
                <w:rFonts w:hint="default" w:ascii="Times New Roman" w:hAnsi="Times New Roman" w:eastAsia="宋体" w:cs="Times New Roman"/>
                <w:snapToGrid w:val="0"/>
                <w:color w:val="auto"/>
                <w:spacing w:val="-6"/>
                <w:kern w:val="21"/>
                <w:sz w:val="21"/>
              </w:rPr>
            </w:pPr>
            <w:r>
              <w:rPr>
                <w:rFonts w:hint="default" w:ascii="Times New Roman" w:hAnsi="Times New Roman" w:eastAsia="宋体" w:cs="Times New Roman"/>
                <w:snapToGrid w:val="0"/>
                <w:color w:val="auto"/>
                <w:spacing w:val="-6"/>
                <w:kern w:val="21"/>
                <w:sz w:val="21"/>
              </w:rPr>
              <w:t>变化量</w:t>
            </w:r>
          </w:p>
          <w:p w14:paraId="2A9F6359">
            <w:pPr>
              <w:pStyle w:val="46"/>
              <w:spacing w:beforeLines="0" w:afterLines="0" w:line="240" w:lineRule="auto"/>
              <w:ind w:firstLine="0" w:firstLineChars="0"/>
              <w:rPr>
                <w:rFonts w:hint="default" w:ascii="Times New Roman" w:hAnsi="Times New Roman" w:eastAsia="宋体" w:cs="Times New Roman"/>
                <w:snapToGrid w:val="0"/>
                <w:color w:val="auto"/>
                <w:spacing w:val="-6"/>
                <w:kern w:val="21"/>
                <w:sz w:val="21"/>
              </w:rPr>
            </w:pPr>
            <w:r>
              <w:rPr>
                <w:rFonts w:hint="default" w:ascii="Times New Roman" w:hAnsi="Times New Roman" w:eastAsia="宋体" w:cs="Times New Roman"/>
                <w:snapToGrid w:val="0"/>
                <w:color w:val="auto"/>
                <w:spacing w:val="-6"/>
                <w:kern w:val="21"/>
                <w:sz w:val="21"/>
              </w:rPr>
              <w:fldChar w:fldCharType="begin"/>
            </w:r>
            <w:r>
              <w:rPr>
                <w:rFonts w:hint="default" w:ascii="Times New Roman" w:hAnsi="Times New Roman" w:eastAsia="宋体" w:cs="Times New Roman"/>
                <w:snapToGrid w:val="0"/>
                <w:color w:val="auto"/>
                <w:spacing w:val="-6"/>
                <w:kern w:val="21"/>
                <w:sz w:val="21"/>
              </w:rPr>
              <w:instrText xml:space="preserve"> = 7 \* GB3 \* MERGEFORMAT </w:instrText>
            </w:r>
            <w:r>
              <w:rPr>
                <w:rFonts w:hint="default" w:ascii="Times New Roman" w:hAnsi="Times New Roman" w:eastAsia="宋体" w:cs="Times New Roman"/>
                <w:snapToGrid w:val="0"/>
                <w:color w:val="auto"/>
                <w:spacing w:val="-6"/>
                <w:kern w:val="21"/>
                <w:sz w:val="21"/>
              </w:rPr>
              <w:fldChar w:fldCharType="separate"/>
            </w:r>
            <w:r>
              <w:rPr>
                <w:rFonts w:hint="default" w:ascii="Times New Roman" w:hAnsi="Times New Roman" w:eastAsia="宋体" w:cs="Times New Roman"/>
                <w:color w:val="auto"/>
                <w:kern w:val="2"/>
                <w:sz w:val="21"/>
              </w:rPr>
              <w:t>⑦</w:t>
            </w:r>
            <w:r>
              <w:rPr>
                <w:rFonts w:hint="default" w:ascii="Times New Roman" w:hAnsi="Times New Roman" w:eastAsia="宋体" w:cs="Times New Roman"/>
                <w:snapToGrid w:val="0"/>
                <w:color w:val="auto"/>
                <w:spacing w:val="-6"/>
                <w:kern w:val="21"/>
                <w:sz w:val="21"/>
              </w:rPr>
              <w:fldChar w:fldCharType="end"/>
            </w:r>
          </w:p>
        </w:tc>
      </w:tr>
      <w:tr w14:paraId="27DC9C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14:paraId="797FC88F">
            <w:pPr>
              <w:pStyle w:val="46"/>
              <w:spacing w:beforeLines="0" w:afterLines="0" w:line="240" w:lineRule="auto"/>
              <w:ind w:firstLine="0" w:firstLineChars="0"/>
              <w:rPr>
                <w:rFonts w:hint="default" w:ascii="Times New Roman" w:hAnsi="Times New Roman" w:eastAsia="宋体" w:cs="Times New Roman"/>
                <w:snapToGrid w:val="0"/>
                <w:color w:val="auto"/>
                <w:kern w:val="21"/>
                <w:sz w:val="21"/>
              </w:rPr>
            </w:pPr>
            <w:r>
              <w:rPr>
                <w:rFonts w:hint="default" w:ascii="Times New Roman" w:hAnsi="Times New Roman" w:eastAsia="宋体" w:cs="Times New Roman"/>
                <w:snapToGrid w:val="0"/>
                <w:color w:val="auto"/>
                <w:kern w:val="21"/>
                <w:sz w:val="21"/>
              </w:rPr>
              <w:t>废气</w:t>
            </w:r>
          </w:p>
        </w:tc>
        <w:tc>
          <w:tcPr>
            <w:tcW w:w="1417" w:type="dxa"/>
            <w:vAlign w:val="center"/>
          </w:tcPr>
          <w:p w14:paraId="468DF614">
            <w:pPr>
              <w:pStyle w:val="46"/>
              <w:spacing w:beforeLines="0" w:afterLines="0" w:line="240" w:lineRule="auto"/>
              <w:ind w:firstLine="0" w:firstLineChars="0"/>
              <w:rPr>
                <w:rFonts w:hint="default" w:ascii="Times New Roman" w:hAnsi="Times New Roman" w:eastAsia="宋体" w:cs="Times New Roman"/>
                <w:snapToGrid w:val="0"/>
                <w:color w:val="auto"/>
                <w:kern w:val="21"/>
                <w:sz w:val="21"/>
                <w:lang w:val="en-US" w:eastAsia="zh-CN"/>
              </w:rPr>
            </w:pPr>
            <w:r>
              <w:rPr>
                <w:rFonts w:hint="default" w:ascii="Times New Roman" w:hAnsi="Times New Roman" w:eastAsia="宋体" w:cs="Times New Roman"/>
                <w:snapToGrid w:val="0"/>
                <w:color w:val="auto"/>
                <w:kern w:val="21"/>
                <w:sz w:val="21"/>
              </w:rPr>
              <w:t>颗粒物</w:t>
            </w:r>
            <w:r>
              <w:rPr>
                <w:rFonts w:hint="eastAsia" w:ascii="Times New Roman" w:cs="Times New Roman"/>
                <w:snapToGrid w:val="0"/>
                <w:color w:val="auto"/>
                <w:kern w:val="21"/>
                <w:sz w:val="21"/>
                <w:lang w:eastAsia="zh-CN"/>
              </w:rPr>
              <w:t>（无组织</w:t>
            </w:r>
            <w:r>
              <w:rPr>
                <w:rFonts w:hint="eastAsia" w:ascii="Times New Roman" w:cs="Times New Roman"/>
                <w:snapToGrid w:val="0"/>
                <w:color w:val="auto"/>
                <w:kern w:val="21"/>
                <w:sz w:val="21"/>
                <w:lang w:val="en-US" w:eastAsia="zh-CN"/>
              </w:rPr>
              <w:t>）</w:t>
            </w:r>
          </w:p>
        </w:tc>
        <w:tc>
          <w:tcPr>
            <w:tcW w:w="1701" w:type="dxa"/>
            <w:vAlign w:val="center"/>
          </w:tcPr>
          <w:p w14:paraId="6B9FD429">
            <w:pPr>
              <w:pStyle w:val="46"/>
              <w:spacing w:beforeLines="0" w:afterLines="0" w:line="240" w:lineRule="auto"/>
              <w:ind w:firstLine="0" w:firstLineChars="0"/>
              <w:rPr>
                <w:rFonts w:hint="default" w:ascii="Times New Roman" w:hAnsi="Times New Roman" w:eastAsia="宋体" w:cs="Times New Roman"/>
                <w:snapToGrid w:val="0"/>
                <w:color w:val="auto"/>
                <w:kern w:val="21"/>
                <w:sz w:val="21"/>
                <w:lang w:val="en-US" w:eastAsia="zh-CN"/>
              </w:rPr>
            </w:pPr>
            <w:r>
              <w:rPr>
                <w:rFonts w:hint="default" w:ascii="Times New Roman" w:hAnsi="Times New Roman" w:eastAsia="宋体" w:cs="Times New Roman"/>
                <w:snapToGrid w:val="0"/>
                <w:color w:val="auto"/>
                <w:kern w:val="21"/>
                <w:sz w:val="21"/>
                <w:lang w:val="en-US" w:eastAsia="zh-CN"/>
              </w:rPr>
              <w:t>/</w:t>
            </w:r>
          </w:p>
        </w:tc>
        <w:tc>
          <w:tcPr>
            <w:tcW w:w="1276" w:type="dxa"/>
            <w:vAlign w:val="center"/>
          </w:tcPr>
          <w:p w14:paraId="10FF7051">
            <w:pPr>
              <w:pStyle w:val="46"/>
              <w:spacing w:beforeLines="0" w:afterLines="0" w:line="240" w:lineRule="auto"/>
              <w:ind w:firstLine="0" w:firstLineChars="0"/>
              <w:rPr>
                <w:rFonts w:hint="default" w:ascii="Times New Roman" w:hAnsi="Times New Roman" w:eastAsia="宋体" w:cs="Times New Roman"/>
                <w:snapToGrid w:val="0"/>
                <w:color w:val="auto"/>
                <w:kern w:val="21"/>
                <w:sz w:val="21"/>
                <w:lang w:val="en-US" w:eastAsia="zh-CN"/>
              </w:rPr>
            </w:pPr>
            <w:r>
              <w:rPr>
                <w:rFonts w:hint="default" w:ascii="Times New Roman" w:hAnsi="Times New Roman" w:eastAsia="宋体" w:cs="Times New Roman"/>
                <w:snapToGrid w:val="0"/>
                <w:color w:val="auto"/>
                <w:kern w:val="21"/>
                <w:sz w:val="21"/>
                <w:lang w:val="en-US" w:eastAsia="zh-CN"/>
              </w:rPr>
              <w:t>/</w:t>
            </w:r>
          </w:p>
        </w:tc>
        <w:tc>
          <w:tcPr>
            <w:tcW w:w="1701" w:type="dxa"/>
            <w:vAlign w:val="center"/>
          </w:tcPr>
          <w:p w14:paraId="10021756">
            <w:pPr>
              <w:pStyle w:val="46"/>
              <w:spacing w:beforeLines="0" w:afterLines="0" w:line="240" w:lineRule="auto"/>
              <w:ind w:firstLine="0" w:firstLineChars="0"/>
              <w:rPr>
                <w:rFonts w:hint="default" w:ascii="Times New Roman" w:hAnsi="Times New Roman" w:eastAsia="宋体" w:cs="Times New Roman"/>
                <w:snapToGrid w:val="0"/>
                <w:color w:val="auto"/>
                <w:kern w:val="21"/>
                <w:sz w:val="21"/>
                <w:lang w:val="en-US" w:eastAsia="zh-CN"/>
              </w:rPr>
            </w:pPr>
            <w:r>
              <w:rPr>
                <w:rFonts w:hint="default" w:ascii="Times New Roman" w:hAnsi="Times New Roman" w:eastAsia="宋体" w:cs="Times New Roman"/>
                <w:snapToGrid w:val="0"/>
                <w:color w:val="auto"/>
                <w:kern w:val="21"/>
                <w:sz w:val="21"/>
                <w:lang w:val="en-US" w:eastAsia="zh-CN"/>
              </w:rPr>
              <w:t>/</w:t>
            </w:r>
          </w:p>
        </w:tc>
        <w:tc>
          <w:tcPr>
            <w:tcW w:w="1559" w:type="dxa"/>
            <w:vAlign w:val="center"/>
          </w:tcPr>
          <w:p w14:paraId="5DFDDFA9">
            <w:pPr>
              <w:adjustRightInd w:val="0"/>
              <w:snapToGrid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eastAsia" w:cs="Times New Roman"/>
                <w:snapToGrid w:val="0"/>
                <w:color w:val="auto"/>
                <w:kern w:val="21"/>
                <w:sz w:val="21"/>
                <w:lang w:val="en-US" w:eastAsia="zh-CN"/>
              </w:rPr>
              <w:t>0.551</w:t>
            </w:r>
            <w:r>
              <w:rPr>
                <w:rFonts w:hint="default" w:ascii="Times New Roman" w:hAnsi="Times New Roman" w:eastAsia="宋体" w:cs="Times New Roman"/>
                <w:snapToGrid w:val="0"/>
                <w:color w:val="auto"/>
                <w:kern w:val="21"/>
                <w:sz w:val="21"/>
                <w:szCs w:val="21"/>
              </w:rPr>
              <w:t>t/a</w:t>
            </w:r>
          </w:p>
        </w:tc>
        <w:tc>
          <w:tcPr>
            <w:tcW w:w="1761" w:type="dxa"/>
            <w:vAlign w:val="center"/>
          </w:tcPr>
          <w:p w14:paraId="4AFA0D70">
            <w:pPr>
              <w:pStyle w:val="46"/>
              <w:spacing w:beforeLines="0" w:afterLines="0" w:line="240" w:lineRule="auto"/>
              <w:ind w:firstLine="0" w:firstLineChars="0"/>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lang w:val="en-US" w:eastAsia="zh-CN"/>
              </w:rPr>
              <w:t>/</w:t>
            </w:r>
          </w:p>
        </w:tc>
        <w:tc>
          <w:tcPr>
            <w:tcW w:w="1868" w:type="dxa"/>
            <w:vAlign w:val="center"/>
          </w:tcPr>
          <w:p w14:paraId="55642841">
            <w:pPr>
              <w:adjustRightInd w:val="0"/>
              <w:snapToGrid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eastAsia" w:cs="Times New Roman"/>
                <w:snapToGrid w:val="0"/>
                <w:color w:val="auto"/>
                <w:kern w:val="21"/>
                <w:sz w:val="21"/>
                <w:szCs w:val="21"/>
                <w:lang w:val="en-US" w:eastAsia="zh-CN"/>
              </w:rPr>
              <w:t>0.551</w:t>
            </w:r>
            <w:r>
              <w:rPr>
                <w:rFonts w:hint="default" w:ascii="Times New Roman" w:hAnsi="Times New Roman" w:eastAsia="宋体" w:cs="Times New Roman"/>
                <w:snapToGrid w:val="0"/>
                <w:color w:val="auto"/>
                <w:kern w:val="21"/>
                <w:sz w:val="21"/>
                <w:szCs w:val="21"/>
              </w:rPr>
              <w:t>t/a</w:t>
            </w:r>
          </w:p>
        </w:tc>
        <w:tc>
          <w:tcPr>
            <w:tcW w:w="917" w:type="dxa"/>
            <w:vAlign w:val="center"/>
          </w:tcPr>
          <w:p w14:paraId="003C91B8">
            <w:pPr>
              <w:adjustRightInd w:val="0"/>
              <w:snapToGrid w:val="0"/>
              <w:spacing w:line="240" w:lineRule="auto"/>
              <w:ind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w:t>
            </w:r>
            <w:r>
              <w:rPr>
                <w:rFonts w:hint="eastAsia" w:cs="Times New Roman"/>
                <w:snapToGrid w:val="0"/>
                <w:color w:val="auto"/>
                <w:kern w:val="21"/>
                <w:sz w:val="21"/>
                <w:szCs w:val="21"/>
                <w:lang w:val="en-US" w:eastAsia="zh-CN"/>
              </w:rPr>
              <w:t>0.551</w:t>
            </w:r>
            <w:r>
              <w:rPr>
                <w:rFonts w:hint="default" w:ascii="Times New Roman" w:hAnsi="Times New Roman" w:eastAsia="宋体" w:cs="Times New Roman"/>
                <w:snapToGrid w:val="0"/>
                <w:color w:val="auto"/>
                <w:kern w:val="21"/>
                <w:sz w:val="21"/>
                <w:szCs w:val="21"/>
              </w:rPr>
              <w:t>t/a</w:t>
            </w:r>
          </w:p>
        </w:tc>
      </w:tr>
      <w:tr w14:paraId="7BE02E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588" w:type="dxa"/>
            <w:vMerge w:val="restart"/>
            <w:vAlign w:val="center"/>
          </w:tcPr>
          <w:p w14:paraId="7F545331">
            <w:pPr>
              <w:pStyle w:val="46"/>
              <w:spacing w:beforeLines="0" w:afterLines="0" w:line="240" w:lineRule="auto"/>
              <w:ind w:firstLine="0" w:firstLineChars="0"/>
              <w:rPr>
                <w:rFonts w:hint="default" w:ascii="Times New Roman" w:hAnsi="Times New Roman" w:eastAsia="宋体" w:cs="Times New Roman"/>
                <w:snapToGrid w:val="0"/>
                <w:color w:val="auto"/>
                <w:kern w:val="21"/>
                <w:sz w:val="21"/>
              </w:rPr>
            </w:pPr>
            <w:r>
              <w:rPr>
                <w:rFonts w:hint="default" w:ascii="Times New Roman" w:hAnsi="Times New Roman" w:eastAsia="宋体" w:cs="Times New Roman"/>
                <w:snapToGrid w:val="0"/>
                <w:color w:val="auto"/>
                <w:kern w:val="21"/>
                <w:sz w:val="21"/>
              </w:rPr>
              <w:t>危险废物</w:t>
            </w:r>
          </w:p>
        </w:tc>
        <w:tc>
          <w:tcPr>
            <w:tcW w:w="1417" w:type="dxa"/>
            <w:vAlign w:val="center"/>
          </w:tcPr>
          <w:p w14:paraId="4EA48037">
            <w:pPr>
              <w:adjustRightInd w:val="0"/>
              <w:snapToGrid w:val="0"/>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废机油</w:t>
            </w:r>
          </w:p>
        </w:tc>
        <w:tc>
          <w:tcPr>
            <w:tcW w:w="1701" w:type="dxa"/>
            <w:vAlign w:val="center"/>
          </w:tcPr>
          <w:p w14:paraId="534DA1CC">
            <w:pPr>
              <w:pStyle w:val="46"/>
              <w:spacing w:beforeLines="0" w:afterLines="0" w:line="240" w:lineRule="auto"/>
              <w:ind w:firstLine="0" w:firstLineChars="0"/>
              <w:rPr>
                <w:rFonts w:hint="default" w:ascii="Times New Roman" w:hAnsi="Times New Roman" w:eastAsia="宋体" w:cs="Times New Roman"/>
                <w:snapToGrid w:val="0"/>
                <w:color w:val="auto"/>
                <w:kern w:val="21"/>
                <w:sz w:val="21"/>
                <w:lang w:val="en-US" w:eastAsia="zh-CN"/>
              </w:rPr>
            </w:pPr>
            <w:r>
              <w:rPr>
                <w:rFonts w:hint="default" w:ascii="Times New Roman" w:hAnsi="Times New Roman" w:eastAsia="宋体" w:cs="Times New Roman"/>
                <w:snapToGrid w:val="0"/>
                <w:color w:val="auto"/>
                <w:kern w:val="21"/>
                <w:sz w:val="21"/>
                <w:lang w:val="en-US" w:eastAsia="zh-CN"/>
              </w:rPr>
              <w:t>/</w:t>
            </w:r>
          </w:p>
        </w:tc>
        <w:tc>
          <w:tcPr>
            <w:tcW w:w="1276" w:type="dxa"/>
            <w:vAlign w:val="center"/>
          </w:tcPr>
          <w:p w14:paraId="558D8A47">
            <w:pPr>
              <w:pStyle w:val="46"/>
              <w:spacing w:beforeLines="0" w:afterLines="0" w:line="240" w:lineRule="auto"/>
              <w:ind w:firstLine="0" w:firstLineChars="0"/>
              <w:rPr>
                <w:rFonts w:hint="default" w:ascii="Times New Roman" w:hAnsi="Times New Roman" w:eastAsia="宋体" w:cs="Times New Roman"/>
                <w:snapToGrid w:val="0"/>
                <w:color w:val="auto"/>
                <w:kern w:val="21"/>
                <w:sz w:val="21"/>
              </w:rPr>
            </w:pPr>
            <w:r>
              <w:rPr>
                <w:rFonts w:hint="default" w:ascii="Times New Roman" w:hAnsi="Times New Roman" w:eastAsia="宋体" w:cs="Times New Roman"/>
                <w:snapToGrid w:val="0"/>
                <w:color w:val="auto"/>
                <w:kern w:val="21"/>
                <w:sz w:val="21"/>
                <w:lang w:val="en-US" w:eastAsia="zh-CN"/>
              </w:rPr>
              <w:t>/</w:t>
            </w:r>
          </w:p>
        </w:tc>
        <w:tc>
          <w:tcPr>
            <w:tcW w:w="1701" w:type="dxa"/>
            <w:vAlign w:val="center"/>
          </w:tcPr>
          <w:p w14:paraId="06D5447D">
            <w:pPr>
              <w:pStyle w:val="46"/>
              <w:spacing w:beforeLines="0" w:afterLines="0" w:line="240" w:lineRule="auto"/>
              <w:ind w:firstLine="0" w:firstLineChars="0"/>
              <w:rPr>
                <w:rFonts w:hint="default" w:ascii="Times New Roman" w:hAnsi="Times New Roman" w:eastAsia="宋体" w:cs="Times New Roman"/>
                <w:snapToGrid w:val="0"/>
                <w:color w:val="auto"/>
                <w:kern w:val="21"/>
                <w:sz w:val="21"/>
              </w:rPr>
            </w:pPr>
            <w:r>
              <w:rPr>
                <w:rFonts w:hint="default" w:ascii="Times New Roman" w:hAnsi="Times New Roman" w:eastAsia="宋体" w:cs="Times New Roman"/>
                <w:snapToGrid w:val="0"/>
                <w:color w:val="auto"/>
                <w:kern w:val="21"/>
                <w:sz w:val="21"/>
                <w:lang w:val="en-US" w:eastAsia="zh-CN"/>
              </w:rPr>
              <w:t>/</w:t>
            </w:r>
          </w:p>
        </w:tc>
        <w:tc>
          <w:tcPr>
            <w:tcW w:w="1559" w:type="dxa"/>
            <w:vAlign w:val="center"/>
          </w:tcPr>
          <w:p w14:paraId="43CD483C">
            <w:pPr>
              <w:pStyle w:val="46"/>
              <w:spacing w:beforeLines="0" w:afterLines="0" w:line="240" w:lineRule="auto"/>
              <w:ind w:firstLine="0" w:firstLineChars="0"/>
              <w:rPr>
                <w:rFonts w:hint="default" w:ascii="Times New Roman" w:hAnsi="Times New Roman" w:eastAsia="宋体" w:cs="Times New Roman"/>
                <w:snapToGrid w:val="0"/>
                <w:color w:val="auto"/>
                <w:kern w:val="21"/>
                <w:sz w:val="21"/>
                <w:lang w:val="en-US" w:eastAsia="zh-CN"/>
              </w:rPr>
            </w:pPr>
            <w:r>
              <w:rPr>
                <w:rFonts w:hint="default" w:ascii="Times New Roman" w:hAnsi="Times New Roman" w:eastAsia="宋体" w:cs="Times New Roman"/>
                <w:snapToGrid w:val="0"/>
                <w:color w:val="auto"/>
                <w:kern w:val="21"/>
                <w:sz w:val="21"/>
                <w:lang w:val="en-US" w:eastAsia="zh-CN"/>
              </w:rPr>
              <w:t>0.</w:t>
            </w:r>
            <w:r>
              <w:rPr>
                <w:rFonts w:hint="eastAsia" w:ascii="Times New Roman" w:cs="Times New Roman"/>
                <w:snapToGrid w:val="0"/>
                <w:color w:val="auto"/>
                <w:kern w:val="21"/>
                <w:sz w:val="21"/>
                <w:lang w:val="en-US" w:eastAsia="zh-CN"/>
              </w:rPr>
              <w:t>3</w:t>
            </w:r>
            <w:r>
              <w:rPr>
                <w:rFonts w:hint="default" w:ascii="Times New Roman" w:hAnsi="Times New Roman" w:eastAsia="宋体" w:cs="Times New Roman"/>
                <w:snapToGrid w:val="0"/>
                <w:color w:val="auto"/>
                <w:kern w:val="21"/>
                <w:sz w:val="21"/>
                <w:szCs w:val="21"/>
              </w:rPr>
              <w:t>t/a</w:t>
            </w:r>
          </w:p>
        </w:tc>
        <w:tc>
          <w:tcPr>
            <w:tcW w:w="1761" w:type="dxa"/>
            <w:vAlign w:val="center"/>
          </w:tcPr>
          <w:p w14:paraId="0015BCBA">
            <w:pPr>
              <w:pStyle w:val="46"/>
              <w:spacing w:beforeLines="0" w:afterLines="0" w:line="240" w:lineRule="auto"/>
              <w:ind w:firstLine="0" w:firstLineChars="0"/>
              <w:rPr>
                <w:rFonts w:hint="default" w:ascii="Times New Roman" w:hAnsi="Times New Roman" w:eastAsia="宋体" w:cs="Times New Roman"/>
                <w:snapToGrid w:val="0"/>
                <w:color w:val="auto"/>
                <w:kern w:val="21"/>
                <w:sz w:val="21"/>
              </w:rPr>
            </w:pPr>
            <w:r>
              <w:rPr>
                <w:rFonts w:hint="default" w:ascii="Times New Roman" w:hAnsi="Times New Roman" w:eastAsia="宋体" w:cs="Times New Roman"/>
                <w:snapToGrid w:val="0"/>
                <w:color w:val="auto"/>
                <w:kern w:val="21"/>
                <w:sz w:val="21"/>
                <w:lang w:val="en-US" w:eastAsia="zh-CN"/>
              </w:rPr>
              <w:t>/</w:t>
            </w:r>
          </w:p>
        </w:tc>
        <w:tc>
          <w:tcPr>
            <w:tcW w:w="1868" w:type="dxa"/>
            <w:vAlign w:val="center"/>
          </w:tcPr>
          <w:p w14:paraId="34ADB31F">
            <w:pPr>
              <w:pStyle w:val="46"/>
              <w:spacing w:beforeLines="0" w:afterLines="0" w:line="240" w:lineRule="auto"/>
              <w:ind w:firstLine="0" w:firstLineChars="0"/>
              <w:rPr>
                <w:rFonts w:hint="default" w:ascii="Times New Roman" w:hAnsi="Times New Roman" w:eastAsia="宋体" w:cs="Times New Roman"/>
                <w:snapToGrid w:val="0"/>
                <w:color w:val="auto"/>
                <w:kern w:val="21"/>
                <w:sz w:val="21"/>
              </w:rPr>
            </w:pPr>
            <w:r>
              <w:rPr>
                <w:rFonts w:hint="eastAsia" w:ascii="Times New Roman" w:cs="Times New Roman"/>
                <w:snapToGrid w:val="0"/>
                <w:color w:val="auto"/>
                <w:kern w:val="21"/>
                <w:sz w:val="21"/>
                <w:szCs w:val="21"/>
                <w:lang w:val="en-US" w:eastAsia="zh-CN"/>
              </w:rPr>
              <w:t>0.3</w:t>
            </w:r>
            <w:r>
              <w:rPr>
                <w:rFonts w:hint="default" w:ascii="Times New Roman" w:hAnsi="Times New Roman" w:eastAsia="宋体" w:cs="Times New Roman"/>
                <w:snapToGrid w:val="0"/>
                <w:color w:val="auto"/>
                <w:kern w:val="21"/>
                <w:sz w:val="21"/>
                <w:szCs w:val="21"/>
              </w:rPr>
              <w:t>t/a</w:t>
            </w:r>
          </w:p>
        </w:tc>
        <w:tc>
          <w:tcPr>
            <w:tcW w:w="917" w:type="dxa"/>
            <w:vAlign w:val="center"/>
          </w:tcPr>
          <w:p w14:paraId="7D9701DA">
            <w:pPr>
              <w:pStyle w:val="46"/>
              <w:spacing w:beforeLines="0" w:afterLines="0" w:line="240" w:lineRule="auto"/>
              <w:ind w:firstLine="0" w:firstLineChars="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lang w:val="en-US" w:eastAsia="zh-CN"/>
              </w:rPr>
              <w:t>+0.</w:t>
            </w:r>
            <w:r>
              <w:rPr>
                <w:rFonts w:hint="eastAsia" w:ascii="Times New Roman" w:cs="Times New Roman"/>
                <w:snapToGrid w:val="0"/>
                <w:color w:val="auto"/>
                <w:kern w:val="21"/>
                <w:sz w:val="21"/>
                <w:lang w:val="en-US" w:eastAsia="zh-CN"/>
              </w:rPr>
              <w:t>3</w:t>
            </w:r>
            <w:r>
              <w:rPr>
                <w:rFonts w:hint="default" w:ascii="Times New Roman" w:hAnsi="Times New Roman" w:eastAsia="宋体" w:cs="Times New Roman"/>
                <w:snapToGrid w:val="0"/>
                <w:color w:val="auto"/>
                <w:kern w:val="21"/>
                <w:sz w:val="21"/>
                <w:szCs w:val="21"/>
              </w:rPr>
              <w:t>t/a</w:t>
            </w:r>
          </w:p>
        </w:tc>
      </w:tr>
      <w:tr w14:paraId="4ACA3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2EE78367">
            <w:pPr>
              <w:pStyle w:val="46"/>
              <w:spacing w:beforeLines="0" w:afterLines="0" w:line="240" w:lineRule="auto"/>
              <w:ind w:firstLine="0" w:firstLineChars="0"/>
              <w:rPr>
                <w:rFonts w:hint="default" w:ascii="Times New Roman" w:hAnsi="Times New Roman" w:eastAsia="宋体" w:cs="Times New Roman"/>
                <w:snapToGrid w:val="0"/>
                <w:color w:val="auto"/>
                <w:kern w:val="21"/>
                <w:sz w:val="21"/>
              </w:rPr>
            </w:pPr>
          </w:p>
        </w:tc>
        <w:tc>
          <w:tcPr>
            <w:tcW w:w="1417" w:type="dxa"/>
            <w:vAlign w:val="center"/>
          </w:tcPr>
          <w:p w14:paraId="6A30779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废润滑油</w:t>
            </w:r>
          </w:p>
        </w:tc>
        <w:tc>
          <w:tcPr>
            <w:tcW w:w="1701" w:type="dxa"/>
            <w:vAlign w:val="center"/>
          </w:tcPr>
          <w:p w14:paraId="704427EC">
            <w:pPr>
              <w:pStyle w:val="46"/>
              <w:spacing w:beforeLines="0" w:afterLines="0" w:line="240" w:lineRule="auto"/>
              <w:ind w:firstLine="0" w:firstLineChars="0"/>
              <w:rPr>
                <w:rFonts w:hint="default" w:ascii="Times New Roman" w:hAnsi="Times New Roman" w:eastAsia="宋体" w:cs="Times New Roman"/>
                <w:snapToGrid w:val="0"/>
                <w:color w:val="auto"/>
                <w:kern w:val="21"/>
                <w:sz w:val="21"/>
                <w:lang w:val="en-US" w:eastAsia="zh-CN"/>
              </w:rPr>
            </w:pPr>
            <w:r>
              <w:rPr>
                <w:rFonts w:hint="default" w:ascii="Times New Roman" w:hAnsi="Times New Roman" w:eastAsia="宋体" w:cs="Times New Roman"/>
                <w:snapToGrid w:val="0"/>
                <w:color w:val="auto"/>
                <w:kern w:val="21"/>
                <w:sz w:val="21"/>
                <w:lang w:val="en-US" w:eastAsia="zh-CN"/>
              </w:rPr>
              <w:t>/</w:t>
            </w:r>
          </w:p>
        </w:tc>
        <w:tc>
          <w:tcPr>
            <w:tcW w:w="1276" w:type="dxa"/>
            <w:vAlign w:val="center"/>
          </w:tcPr>
          <w:p w14:paraId="56DE7AC3">
            <w:pPr>
              <w:pStyle w:val="46"/>
              <w:spacing w:beforeLines="0" w:afterLines="0" w:line="240" w:lineRule="auto"/>
              <w:ind w:firstLine="0" w:firstLineChars="0"/>
              <w:rPr>
                <w:rFonts w:hint="default" w:ascii="Times New Roman" w:hAnsi="Times New Roman" w:eastAsia="宋体" w:cs="Times New Roman"/>
                <w:snapToGrid w:val="0"/>
                <w:color w:val="auto"/>
                <w:kern w:val="21"/>
                <w:sz w:val="21"/>
              </w:rPr>
            </w:pPr>
            <w:r>
              <w:rPr>
                <w:rFonts w:hint="default" w:ascii="Times New Roman" w:hAnsi="Times New Roman" w:eastAsia="宋体" w:cs="Times New Roman"/>
                <w:snapToGrid w:val="0"/>
                <w:color w:val="auto"/>
                <w:kern w:val="21"/>
                <w:sz w:val="21"/>
                <w:lang w:val="en-US" w:eastAsia="zh-CN"/>
              </w:rPr>
              <w:t>/</w:t>
            </w:r>
          </w:p>
        </w:tc>
        <w:tc>
          <w:tcPr>
            <w:tcW w:w="1701" w:type="dxa"/>
            <w:vAlign w:val="center"/>
          </w:tcPr>
          <w:p w14:paraId="73635498">
            <w:pPr>
              <w:pStyle w:val="46"/>
              <w:spacing w:beforeLines="0" w:afterLines="0" w:line="240" w:lineRule="auto"/>
              <w:ind w:firstLine="0" w:firstLineChars="0"/>
              <w:rPr>
                <w:rFonts w:hint="default" w:ascii="Times New Roman" w:hAnsi="Times New Roman" w:eastAsia="宋体" w:cs="Times New Roman"/>
                <w:snapToGrid w:val="0"/>
                <w:color w:val="auto"/>
                <w:kern w:val="21"/>
                <w:sz w:val="21"/>
              </w:rPr>
            </w:pPr>
            <w:r>
              <w:rPr>
                <w:rFonts w:hint="default" w:ascii="Times New Roman" w:hAnsi="Times New Roman" w:eastAsia="宋体" w:cs="Times New Roman"/>
                <w:snapToGrid w:val="0"/>
                <w:color w:val="auto"/>
                <w:kern w:val="21"/>
                <w:sz w:val="21"/>
                <w:lang w:val="en-US" w:eastAsia="zh-CN"/>
              </w:rPr>
              <w:t>/</w:t>
            </w:r>
          </w:p>
        </w:tc>
        <w:tc>
          <w:tcPr>
            <w:tcW w:w="1559" w:type="dxa"/>
            <w:vAlign w:val="center"/>
          </w:tcPr>
          <w:p w14:paraId="4445B117">
            <w:pPr>
              <w:pStyle w:val="46"/>
              <w:spacing w:beforeLines="0" w:afterLines="0" w:line="240" w:lineRule="auto"/>
              <w:ind w:firstLine="0" w:firstLineChars="0"/>
              <w:rPr>
                <w:rFonts w:hint="default" w:ascii="Times New Roman" w:hAnsi="Times New Roman" w:eastAsia="宋体" w:cs="Times New Roman"/>
                <w:snapToGrid w:val="0"/>
                <w:color w:val="auto"/>
                <w:kern w:val="21"/>
                <w:sz w:val="21"/>
                <w:lang w:val="en-US" w:eastAsia="zh-CN"/>
              </w:rPr>
            </w:pPr>
            <w:r>
              <w:rPr>
                <w:rFonts w:hint="default" w:ascii="Times New Roman" w:hAnsi="Times New Roman" w:eastAsia="宋体" w:cs="Times New Roman"/>
                <w:snapToGrid w:val="0"/>
                <w:color w:val="auto"/>
                <w:kern w:val="21"/>
                <w:sz w:val="21"/>
                <w:lang w:val="en-US" w:eastAsia="zh-CN"/>
              </w:rPr>
              <w:t>0.5</w:t>
            </w:r>
            <w:r>
              <w:rPr>
                <w:rFonts w:hint="default" w:ascii="Times New Roman" w:hAnsi="Times New Roman" w:eastAsia="宋体" w:cs="Times New Roman"/>
                <w:snapToGrid w:val="0"/>
                <w:color w:val="auto"/>
                <w:kern w:val="21"/>
                <w:sz w:val="21"/>
                <w:szCs w:val="21"/>
              </w:rPr>
              <w:t>t/a</w:t>
            </w:r>
          </w:p>
        </w:tc>
        <w:tc>
          <w:tcPr>
            <w:tcW w:w="1761" w:type="dxa"/>
            <w:vAlign w:val="center"/>
          </w:tcPr>
          <w:p w14:paraId="07BEE518">
            <w:pPr>
              <w:pStyle w:val="46"/>
              <w:spacing w:beforeLines="0" w:afterLines="0" w:line="240" w:lineRule="auto"/>
              <w:ind w:firstLine="0" w:firstLineChars="0"/>
              <w:rPr>
                <w:rFonts w:hint="default" w:ascii="Times New Roman" w:hAnsi="Times New Roman" w:eastAsia="宋体" w:cs="Times New Roman"/>
                <w:snapToGrid w:val="0"/>
                <w:color w:val="auto"/>
                <w:kern w:val="21"/>
                <w:sz w:val="21"/>
              </w:rPr>
            </w:pPr>
            <w:r>
              <w:rPr>
                <w:rFonts w:hint="default" w:ascii="Times New Roman" w:hAnsi="Times New Roman" w:eastAsia="宋体" w:cs="Times New Roman"/>
                <w:snapToGrid w:val="0"/>
                <w:color w:val="auto"/>
                <w:kern w:val="21"/>
                <w:sz w:val="21"/>
                <w:lang w:val="en-US" w:eastAsia="zh-CN"/>
              </w:rPr>
              <w:t>/</w:t>
            </w:r>
          </w:p>
        </w:tc>
        <w:tc>
          <w:tcPr>
            <w:tcW w:w="1868" w:type="dxa"/>
            <w:vAlign w:val="center"/>
          </w:tcPr>
          <w:p w14:paraId="369C4653">
            <w:pPr>
              <w:pStyle w:val="46"/>
              <w:spacing w:beforeLines="0" w:afterLines="0" w:line="240" w:lineRule="auto"/>
              <w:ind w:firstLine="0" w:firstLineChars="0"/>
              <w:rPr>
                <w:rFonts w:hint="default" w:ascii="Times New Roman" w:hAnsi="Times New Roman" w:eastAsia="宋体" w:cs="Times New Roman"/>
                <w:snapToGrid w:val="0"/>
                <w:color w:val="auto"/>
                <w:kern w:val="21"/>
                <w:sz w:val="21"/>
              </w:rPr>
            </w:pPr>
            <w:r>
              <w:rPr>
                <w:rFonts w:hint="eastAsia" w:ascii="Times New Roman" w:cs="Times New Roman"/>
                <w:snapToGrid w:val="0"/>
                <w:color w:val="auto"/>
                <w:kern w:val="21"/>
                <w:sz w:val="21"/>
                <w:lang w:val="en-US" w:eastAsia="zh-CN"/>
              </w:rPr>
              <w:t>0.5</w:t>
            </w:r>
            <w:r>
              <w:rPr>
                <w:rFonts w:hint="default" w:ascii="Times New Roman" w:hAnsi="Times New Roman" w:eastAsia="宋体" w:cs="Times New Roman"/>
                <w:snapToGrid w:val="0"/>
                <w:color w:val="auto"/>
                <w:kern w:val="21"/>
                <w:sz w:val="21"/>
                <w:szCs w:val="21"/>
              </w:rPr>
              <w:t>t/a</w:t>
            </w:r>
          </w:p>
        </w:tc>
        <w:tc>
          <w:tcPr>
            <w:tcW w:w="917" w:type="dxa"/>
            <w:vAlign w:val="center"/>
          </w:tcPr>
          <w:p w14:paraId="1BC31A9F">
            <w:pPr>
              <w:pStyle w:val="46"/>
              <w:spacing w:beforeLines="0" w:afterLines="0" w:line="240" w:lineRule="auto"/>
              <w:ind w:firstLine="0" w:firstLineChars="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lang w:val="en-US" w:eastAsia="zh-CN"/>
              </w:rPr>
              <w:t>+0.5</w:t>
            </w:r>
            <w:r>
              <w:rPr>
                <w:rFonts w:hint="default" w:ascii="Times New Roman" w:hAnsi="Times New Roman" w:eastAsia="宋体" w:cs="Times New Roman"/>
                <w:snapToGrid w:val="0"/>
                <w:color w:val="auto"/>
                <w:kern w:val="21"/>
                <w:sz w:val="21"/>
                <w:szCs w:val="21"/>
              </w:rPr>
              <w:t>t/a</w:t>
            </w:r>
          </w:p>
        </w:tc>
      </w:tr>
    </w:tbl>
    <w:p w14:paraId="0BFE967C">
      <w:pPr>
        <w:pStyle w:val="46"/>
        <w:spacing w:before="192" w:beforeLines="80" w:after="24"/>
        <w:ind w:firstLine="400"/>
        <w:jc w:val="left"/>
        <w:rPr>
          <w:rFonts w:hint="default" w:ascii="Times New Roman" w:hAnsi="Times New Roman" w:eastAsia="宋体" w:cs="Times New Roman"/>
          <w:snapToGrid w:val="0"/>
          <w:color w:val="auto"/>
          <w:spacing w:val="-6"/>
          <w:kern w:val="21"/>
        </w:rPr>
      </w:pPr>
      <w:r>
        <w:rPr>
          <w:rFonts w:hint="default" w:ascii="Times New Roman" w:hAnsi="Times New Roman" w:eastAsia="宋体" w:cs="Times New Roman"/>
          <w:snapToGrid w:val="0"/>
          <w:color w:val="auto"/>
          <w:kern w:val="21"/>
        </w:rPr>
        <w:t>注：</w:t>
      </w:r>
      <w:r>
        <w:rPr>
          <w:rFonts w:hint="default" w:ascii="Times New Roman" w:hAnsi="Times New Roman" w:eastAsia="宋体" w:cs="Times New Roman"/>
          <w:snapToGrid w:val="0"/>
          <w:color w:val="auto"/>
          <w:spacing w:val="-16"/>
          <w:kern w:val="21"/>
        </w:rPr>
        <w:fldChar w:fldCharType="begin"/>
      </w:r>
      <w:r>
        <w:rPr>
          <w:rFonts w:hint="default" w:ascii="Times New Roman" w:hAnsi="Times New Roman" w:eastAsia="宋体" w:cs="Times New Roman"/>
          <w:snapToGrid w:val="0"/>
          <w:color w:val="auto"/>
          <w:spacing w:val="-16"/>
          <w:kern w:val="21"/>
        </w:rPr>
        <w:instrText xml:space="preserve"> = 6 \* GB3 \* MERGEFORMAT </w:instrText>
      </w:r>
      <w:r>
        <w:rPr>
          <w:rFonts w:hint="default" w:ascii="Times New Roman" w:hAnsi="Times New Roman" w:eastAsia="宋体" w:cs="Times New Roman"/>
          <w:snapToGrid w:val="0"/>
          <w:color w:val="auto"/>
          <w:spacing w:val="-16"/>
          <w:kern w:val="21"/>
        </w:rPr>
        <w:fldChar w:fldCharType="separate"/>
      </w:r>
      <w:r>
        <w:rPr>
          <w:rFonts w:hint="default" w:ascii="Times New Roman" w:hAnsi="Times New Roman" w:eastAsia="宋体" w:cs="Times New Roman"/>
          <w:color w:val="auto"/>
        </w:rPr>
        <w:t>⑥</w:t>
      </w:r>
      <w:r>
        <w:rPr>
          <w:rFonts w:hint="default" w:ascii="Times New Roman" w:hAnsi="Times New Roman" w:eastAsia="宋体" w:cs="Times New Roman"/>
          <w:snapToGrid w:val="0"/>
          <w:color w:val="auto"/>
          <w:spacing w:val="-16"/>
          <w:kern w:val="21"/>
        </w:rPr>
        <w:fldChar w:fldCharType="end"/>
      </w:r>
      <w:r>
        <w:rPr>
          <w:rFonts w:hint="default" w:ascii="Times New Roman" w:hAnsi="Times New Roman" w:eastAsia="宋体" w:cs="Times New Roman"/>
          <w:snapToGrid w:val="0"/>
          <w:color w:val="auto"/>
          <w:spacing w:val="-16"/>
          <w:kern w:val="21"/>
        </w:rPr>
        <w:t>=</w:t>
      </w:r>
      <w:r>
        <w:rPr>
          <w:rFonts w:hint="default" w:ascii="Times New Roman" w:hAnsi="Times New Roman" w:eastAsia="宋体" w:cs="Times New Roman"/>
          <w:snapToGrid w:val="0"/>
          <w:color w:val="auto"/>
          <w:spacing w:val="-6"/>
          <w:kern w:val="21"/>
        </w:rPr>
        <w:fldChar w:fldCharType="begin"/>
      </w:r>
      <w:r>
        <w:rPr>
          <w:rFonts w:hint="default" w:ascii="Times New Roman" w:hAnsi="Times New Roman" w:eastAsia="宋体" w:cs="Times New Roman"/>
          <w:snapToGrid w:val="0"/>
          <w:color w:val="auto"/>
          <w:spacing w:val="-6"/>
          <w:kern w:val="21"/>
        </w:rPr>
        <w:instrText xml:space="preserve"> = 1 \* GB3 \* MERGEFORMAT </w:instrText>
      </w:r>
      <w:r>
        <w:rPr>
          <w:rFonts w:hint="default" w:ascii="Times New Roman" w:hAnsi="Times New Roman" w:eastAsia="宋体" w:cs="Times New Roman"/>
          <w:snapToGrid w:val="0"/>
          <w:color w:val="auto"/>
          <w:spacing w:val="-6"/>
          <w:kern w:val="21"/>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snapToGrid w:val="0"/>
          <w:color w:val="auto"/>
          <w:spacing w:val="-6"/>
          <w:kern w:val="21"/>
        </w:rPr>
        <w:fldChar w:fldCharType="end"/>
      </w:r>
      <w:r>
        <w:rPr>
          <w:rFonts w:hint="default" w:ascii="Times New Roman" w:hAnsi="Times New Roman" w:eastAsia="宋体" w:cs="Times New Roman"/>
          <w:snapToGrid w:val="0"/>
          <w:color w:val="auto"/>
          <w:spacing w:val="-6"/>
          <w:kern w:val="21"/>
        </w:rPr>
        <w:t>+</w:t>
      </w:r>
      <w:r>
        <w:rPr>
          <w:rFonts w:hint="default" w:ascii="Times New Roman" w:hAnsi="Times New Roman" w:eastAsia="宋体" w:cs="Times New Roman"/>
          <w:snapToGrid w:val="0"/>
          <w:color w:val="auto"/>
          <w:spacing w:val="-6"/>
          <w:kern w:val="21"/>
        </w:rPr>
        <w:fldChar w:fldCharType="begin"/>
      </w:r>
      <w:r>
        <w:rPr>
          <w:rFonts w:hint="default" w:ascii="Times New Roman" w:hAnsi="Times New Roman" w:eastAsia="宋体" w:cs="Times New Roman"/>
          <w:snapToGrid w:val="0"/>
          <w:color w:val="auto"/>
          <w:spacing w:val="-6"/>
          <w:kern w:val="21"/>
        </w:rPr>
        <w:instrText xml:space="preserve"> = 3 \* GB3 \* MERGEFORMAT </w:instrText>
      </w:r>
      <w:r>
        <w:rPr>
          <w:rFonts w:hint="default" w:ascii="Times New Roman" w:hAnsi="Times New Roman" w:eastAsia="宋体" w:cs="Times New Roman"/>
          <w:snapToGrid w:val="0"/>
          <w:color w:val="auto"/>
          <w:spacing w:val="-6"/>
          <w:kern w:val="21"/>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snapToGrid w:val="0"/>
          <w:color w:val="auto"/>
          <w:spacing w:val="-6"/>
          <w:kern w:val="21"/>
        </w:rPr>
        <w:fldChar w:fldCharType="end"/>
      </w:r>
      <w:r>
        <w:rPr>
          <w:rFonts w:hint="default" w:ascii="Times New Roman" w:hAnsi="Times New Roman" w:eastAsia="宋体" w:cs="Times New Roman"/>
          <w:snapToGrid w:val="0"/>
          <w:color w:val="auto"/>
          <w:spacing w:val="-6"/>
          <w:kern w:val="21"/>
        </w:rPr>
        <w:t>+</w:t>
      </w:r>
      <w:r>
        <w:rPr>
          <w:rFonts w:hint="default" w:ascii="Times New Roman" w:hAnsi="Times New Roman" w:eastAsia="宋体" w:cs="Times New Roman"/>
          <w:snapToGrid w:val="0"/>
          <w:color w:val="auto"/>
          <w:spacing w:val="-6"/>
          <w:kern w:val="21"/>
        </w:rPr>
        <w:fldChar w:fldCharType="begin"/>
      </w:r>
      <w:r>
        <w:rPr>
          <w:rFonts w:hint="default" w:ascii="Times New Roman" w:hAnsi="Times New Roman" w:eastAsia="宋体" w:cs="Times New Roman"/>
          <w:snapToGrid w:val="0"/>
          <w:color w:val="auto"/>
          <w:spacing w:val="-6"/>
          <w:kern w:val="21"/>
        </w:rPr>
        <w:instrText xml:space="preserve"> = 4 \* GB3 \* MERGEFORMAT </w:instrText>
      </w:r>
      <w:r>
        <w:rPr>
          <w:rFonts w:hint="default" w:ascii="Times New Roman" w:hAnsi="Times New Roman" w:eastAsia="宋体" w:cs="Times New Roman"/>
          <w:snapToGrid w:val="0"/>
          <w:color w:val="auto"/>
          <w:spacing w:val="-6"/>
          <w:kern w:val="21"/>
        </w:rPr>
        <w:fldChar w:fldCharType="separate"/>
      </w:r>
      <w:r>
        <w:rPr>
          <w:rFonts w:hint="default" w:ascii="Times New Roman" w:hAnsi="Times New Roman" w:eastAsia="宋体" w:cs="Times New Roman"/>
          <w:color w:val="auto"/>
        </w:rPr>
        <w:t>④</w:t>
      </w:r>
      <w:r>
        <w:rPr>
          <w:rFonts w:hint="default" w:ascii="Times New Roman" w:hAnsi="Times New Roman" w:eastAsia="宋体" w:cs="Times New Roman"/>
          <w:snapToGrid w:val="0"/>
          <w:color w:val="auto"/>
          <w:spacing w:val="-6"/>
          <w:kern w:val="21"/>
        </w:rPr>
        <w:fldChar w:fldCharType="end"/>
      </w:r>
      <w:r>
        <w:rPr>
          <w:rFonts w:hint="default" w:ascii="Times New Roman" w:hAnsi="Times New Roman" w:eastAsia="宋体" w:cs="Times New Roman"/>
          <w:snapToGrid w:val="0"/>
          <w:color w:val="auto"/>
          <w:spacing w:val="-6"/>
          <w:kern w:val="21"/>
        </w:rPr>
        <w:t>-</w:t>
      </w:r>
      <w:r>
        <w:rPr>
          <w:rFonts w:hint="default" w:ascii="Times New Roman" w:hAnsi="Times New Roman" w:eastAsia="宋体" w:cs="Times New Roman"/>
          <w:snapToGrid w:val="0"/>
          <w:color w:val="auto"/>
          <w:spacing w:val="-16"/>
          <w:kern w:val="21"/>
        </w:rPr>
        <w:fldChar w:fldCharType="begin"/>
      </w:r>
      <w:r>
        <w:rPr>
          <w:rFonts w:hint="default" w:ascii="Times New Roman" w:hAnsi="Times New Roman" w:eastAsia="宋体" w:cs="Times New Roman"/>
          <w:snapToGrid w:val="0"/>
          <w:color w:val="auto"/>
          <w:spacing w:val="-16"/>
          <w:kern w:val="21"/>
        </w:rPr>
        <w:instrText xml:space="preserve"> = 5 \* GB3 \* MERGEFORMAT </w:instrText>
      </w:r>
      <w:r>
        <w:rPr>
          <w:rFonts w:hint="default" w:ascii="Times New Roman" w:hAnsi="Times New Roman" w:eastAsia="宋体" w:cs="Times New Roman"/>
          <w:snapToGrid w:val="0"/>
          <w:color w:val="auto"/>
          <w:spacing w:val="-16"/>
          <w:kern w:val="21"/>
        </w:rPr>
        <w:fldChar w:fldCharType="separate"/>
      </w:r>
      <w:r>
        <w:rPr>
          <w:rFonts w:hint="default" w:ascii="Times New Roman" w:hAnsi="Times New Roman" w:eastAsia="宋体" w:cs="Times New Roman"/>
          <w:color w:val="auto"/>
        </w:rPr>
        <w:t>⑤</w:t>
      </w:r>
      <w:r>
        <w:rPr>
          <w:rFonts w:hint="default" w:ascii="Times New Roman" w:hAnsi="Times New Roman" w:eastAsia="宋体" w:cs="Times New Roman"/>
          <w:snapToGrid w:val="0"/>
          <w:color w:val="auto"/>
          <w:spacing w:val="-16"/>
          <w:kern w:val="21"/>
        </w:rPr>
        <w:fldChar w:fldCharType="end"/>
      </w:r>
      <w:r>
        <w:rPr>
          <w:rFonts w:hint="default" w:ascii="Times New Roman" w:hAnsi="Times New Roman" w:eastAsia="宋体" w:cs="Times New Roman"/>
          <w:snapToGrid w:val="0"/>
          <w:color w:val="auto"/>
          <w:spacing w:val="-16"/>
          <w:kern w:val="21"/>
        </w:rPr>
        <w:t>；</w:t>
      </w:r>
      <w:r>
        <w:rPr>
          <w:rFonts w:hint="default" w:ascii="Times New Roman" w:hAnsi="Times New Roman" w:eastAsia="宋体" w:cs="Times New Roman"/>
          <w:snapToGrid w:val="0"/>
          <w:color w:val="auto"/>
          <w:spacing w:val="-6"/>
          <w:kern w:val="21"/>
        </w:rPr>
        <w:fldChar w:fldCharType="begin"/>
      </w:r>
      <w:r>
        <w:rPr>
          <w:rFonts w:hint="default" w:ascii="Times New Roman" w:hAnsi="Times New Roman" w:eastAsia="宋体" w:cs="Times New Roman"/>
          <w:snapToGrid w:val="0"/>
          <w:color w:val="auto"/>
          <w:spacing w:val="-6"/>
          <w:kern w:val="21"/>
        </w:rPr>
        <w:instrText xml:space="preserve"> = 7 \* GB3 \* MERGEFORMAT </w:instrText>
      </w:r>
      <w:r>
        <w:rPr>
          <w:rFonts w:hint="default" w:ascii="Times New Roman" w:hAnsi="Times New Roman" w:eastAsia="宋体" w:cs="Times New Roman"/>
          <w:snapToGrid w:val="0"/>
          <w:color w:val="auto"/>
          <w:spacing w:val="-6"/>
          <w:kern w:val="21"/>
        </w:rPr>
        <w:fldChar w:fldCharType="separate"/>
      </w:r>
      <w:r>
        <w:rPr>
          <w:rFonts w:hint="default" w:ascii="Times New Roman" w:hAnsi="Times New Roman" w:eastAsia="宋体" w:cs="Times New Roman"/>
          <w:color w:val="auto"/>
        </w:rPr>
        <w:t>⑦</w:t>
      </w:r>
      <w:r>
        <w:rPr>
          <w:rFonts w:hint="default" w:ascii="Times New Roman" w:hAnsi="Times New Roman" w:eastAsia="宋体" w:cs="Times New Roman"/>
          <w:snapToGrid w:val="0"/>
          <w:color w:val="auto"/>
          <w:spacing w:val="-6"/>
          <w:kern w:val="21"/>
        </w:rPr>
        <w:fldChar w:fldCharType="end"/>
      </w:r>
      <w:r>
        <w:rPr>
          <w:rFonts w:hint="default" w:ascii="Times New Roman" w:hAnsi="Times New Roman" w:eastAsia="宋体" w:cs="Times New Roman"/>
          <w:snapToGrid w:val="0"/>
          <w:color w:val="auto"/>
          <w:spacing w:val="-6"/>
          <w:kern w:val="21"/>
        </w:rPr>
        <w:t>=</w:t>
      </w:r>
      <w:r>
        <w:rPr>
          <w:rFonts w:hint="default" w:ascii="Times New Roman" w:hAnsi="Times New Roman" w:eastAsia="宋体" w:cs="Times New Roman"/>
          <w:snapToGrid w:val="0"/>
          <w:color w:val="auto"/>
          <w:spacing w:val="-16"/>
          <w:kern w:val="21"/>
        </w:rPr>
        <w:fldChar w:fldCharType="begin"/>
      </w:r>
      <w:r>
        <w:rPr>
          <w:rFonts w:hint="default" w:ascii="Times New Roman" w:hAnsi="Times New Roman" w:eastAsia="宋体" w:cs="Times New Roman"/>
          <w:snapToGrid w:val="0"/>
          <w:color w:val="auto"/>
          <w:spacing w:val="-16"/>
          <w:kern w:val="21"/>
        </w:rPr>
        <w:instrText xml:space="preserve"> = 6 \* GB3 \* MERGEFORMAT </w:instrText>
      </w:r>
      <w:r>
        <w:rPr>
          <w:rFonts w:hint="default" w:ascii="Times New Roman" w:hAnsi="Times New Roman" w:eastAsia="宋体" w:cs="Times New Roman"/>
          <w:snapToGrid w:val="0"/>
          <w:color w:val="auto"/>
          <w:spacing w:val="-16"/>
          <w:kern w:val="21"/>
        </w:rPr>
        <w:fldChar w:fldCharType="separate"/>
      </w:r>
      <w:r>
        <w:rPr>
          <w:rFonts w:hint="default" w:ascii="Times New Roman" w:hAnsi="Times New Roman" w:eastAsia="宋体" w:cs="Times New Roman"/>
          <w:color w:val="auto"/>
        </w:rPr>
        <w:t>⑥</w:t>
      </w:r>
      <w:r>
        <w:rPr>
          <w:rFonts w:hint="default" w:ascii="Times New Roman" w:hAnsi="Times New Roman" w:eastAsia="宋体" w:cs="Times New Roman"/>
          <w:snapToGrid w:val="0"/>
          <w:color w:val="auto"/>
          <w:spacing w:val="-16"/>
          <w:kern w:val="21"/>
        </w:rPr>
        <w:fldChar w:fldCharType="end"/>
      </w:r>
      <w:r>
        <w:rPr>
          <w:rFonts w:hint="default" w:ascii="Times New Roman" w:hAnsi="Times New Roman" w:eastAsia="宋体" w:cs="Times New Roman"/>
          <w:snapToGrid w:val="0"/>
          <w:color w:val="auto"/>
          <w:spacing w:val="-16"/>
          <w:kern w:val="21"/>
        </w:rPr>
        <w:t>-</w:t>
      </w:r>
      <w:r>
        <w:rPr>
          <w:rFonts w:hint="default" w:ascii="Times New Roman" w:hAnsi="Times New Roman" w:eastAsia="宋体" w:cs="Times New Roman"/>
          <w:snapToGrid w:val="0"/>
          <w:color w:val="auto"/>
          <w:spacing w:val="-6"/>
          <w:kern w:val="21"/>
        </w:rPr>
        <w:fldChar w:fldCharType="begin"/>
      </w:r>
      <w:r>
        <w:rPr>
          <w:rFonts w:hint="default" w:ascii="Times New Roman" w:hAnsi="Times New Roman" w:eastAsia="宋体" w:cs="Times New Roman"/>
          <w:snapToGrid w:val="0"/>
          <w:color w:val="auto"/>
          <w:spacing w:val="-6"/>
          <w:kern w:val="21"/>
        </w:rPr>
        <w:instrText xml:space="preserve"> = 1 \* GB3 \* MERGEFORMAT </w:instrText>
      </w:r>
      <w:r>
        <w:rPr>
          <w:rFonts w:hint="default" w:ascii="Times New Roman" w:hAnsi="Times New Roman" w:eastAsia="宋体" w:cs="Times New Roman"/>
          <w:snapToGrid w:val="0"/>
          <w:color w:val="auto"/>
          <w:spacing w:val="-6"/>
          <w:kern w:val="21"/>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snapToGrid w:val="0"/>
          <w:color w:val="auto"/>
          <w:spacing w:val="-6"/>
          <w:kern w:val="21"/>
        </w:rPr>
        <w:fldChar w:fldCharType="end"/>
      </w:r>
    </w:p>
    <w:p w14:paraId="2D160332">
      <w:pPr>
        <w:pStyle w:val="19"/>
        <w:ind w:firstLine="0" w:firstLineChars="0"/>
        <w:rPr>
          <w:rFonts w:hint="default" w:ascii="Times New Roman" w:hAnsi="Times New Roman" w:eastAsia="宋体" w:cs="Times New Roman"/>
          <w:b/>
          <w:bCs/>
          <w:snapToGrid w:val="0"/>
          <w:color w:val="FF0000"/>
          <w:spacing w:val="-6"/>
          <w:kern w:val="21"/>
          <w:szCs w:val="21"/>
        </w:rPr>
      </w:pPr>
    </w:p>
    <w:p w14:paraId="2A892183">
      <w:pPr>
        <w:ind w:firstLine="0" w:firstLineChars="0"/>
        <w:rPr>
          <w:rFonts w:hint="default" w:ascii="Times New Roman" w:hAnsi="Times New Roman" w:eastAsia="宋体" w:cs="Times New Roman"/>
          <w:color w:val="FF0000"/>
        </w:rPr>
      </w:pP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3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A9254">
    <w:pPr>
      <w:pStyle w:val="15"/>
      <w:tabs>
        <w:tab w:val="center" w:pos="4422"/>
        <w:tab w:val="clear" w:pos="4153"/>
      </w:tabs>
      <w:ind w:right="360" w:firstLine="36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3DE35">
    <w:pPr>
      <w:pStyle w:val="15"/>
      <w:framePr w:wrap="around" w:vAnchor="text" w:hAnchor="margin" w:xAlign="outside" w:y="1"/>
      <w:ind w:firstLine="360"/>
      <w:rPr>
        <w:rStyle w:val="28"/>
      </w:rPr>
    </w:pPr>
    <w:r>
      <w:rPr>
        <w:rStyle w:val="28"/>
      </w:rPr>
      <w:fldChar w:fldCharType="begin"/>
    </w:r>
    <w:r>
      <w:rPr>
        <w:rStyle w:val="28"/>
      </w:rPr>
      <w:instrText xml:space="preserve">PAGE  </w:instrText>
    </w:r>
    <w:r>
      <w:rPr>
        <w:rStyle w:val="28"/>
      </w:rPr>
      <w:fldChar w:fldCharType="end"/>
    </w:r>
  </w:p>
  <w:p w14:paraId="4CFA65DB">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06448">
    <w:pPr>
      <w:pStyle w:val="15"/>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6A6C79">
                          <w:pPr>
                            <w:pStyle w:val="15"/>
                            <w:ind w:firstLine="360"/>
                          </w:pPr>
                          <w:r>
                            <w:fldChar w:fldCharType="begin"/>
                          </w:r>
                          <w:r>
                            <w:instrText xml:space="preserve"> PAGE  \* MERGEFORMAT </w:instrText>
                          </w:r>
                          <w:r>
                            <w:fldChar w:fldCharType="separate"/>
                          </w:r>
                          <w:r>
                            <w:t>81</w:t>
                          </w:r>
                          <w:r>
                            <w:fldChar w:fldCharType="end"/>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GpETonXAQAAsgMAAA4AAAAAAAAAAQAgAAAA&#10;HgEAAGRycy9lMm9Eb2MueG1sUEsFBgAAAAAGAAYAWQEAAGcFAAAAAA==&#10;">
              <v:fill on="f" focussize="0,0"/>
              <v:stroke on="f"/>
              <v:imagedata o:title=""/>
              <o:lock v:ext="edit" aspectratio="f"/>
              <v:textbox inset="0mm,0mm,0mm,0mm" style="mso-fit-shape-to-text:t;">
                <w:txbxContent>
                  <w:p w14:paraId="116A6C79">
                    <w:pPr>
                      <w:pStyle w:val="15"/>
                      <w:ind w:firstLine="360"/>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A4528">
    <w:pPr>
      <w:pStyle w:val="15"/>
      <w:framePr w:wrap="around" w:vAnchor="text" w:hAnchor="margin" w:xAlign="outside" w:y="1"/>
      <w:ind w:firstLine="560"/>
      <w:rPr>
        <w:rStyle w:val="28"/>
        <w:rFonts w:ascii="宋体" w:hAnsi="宋体"/>
        <w:sz w:val="28"/>
        <w:szCs w:val="28"/>
      </w:rPr>
    </w:pPr>
    <w:r>
      <w:rPr>
        <w:rStyle w:val="28"/>
        <w:rFonts w:hint="eastAsia" w:ascii="宋体" w:hAnsi="宋体"/>
        <w:sz w:val="28"/>
        <w:szCs w:val="28"/>
      </w:rPr>
      <w:t>—</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89</w:t>
    </w:r>
    <w:r>
      <w:rPr>
        <w:rFonts w:ascii="宋体" w:hAnsi="宋体"/>
        <w:sz w:val="26"/>
        <w:szCs w:val="26"/>
      </w:rPr>
      <w:fldChar w:fldCharType="end"/>
    </w:r>
    <w:r>
      <w:rPr>
        <w:rStyle w:val="28"/>
        <w:rFonts w:hint="eastAsia" w:ascii="宋体" w:hAnsi="宋体"/>
        <w:sz w:val="28"/>
        <w:szCs w:val="28"/>
      </w:rPr>
      <w:t>—</w:t>
    </w:r>
  </w:p>
  <w:p w14:paraId="12EEDB5C">
    <w:pPr>
      <w:pStyle w:val="15"/>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CC8C6C"/>
    <w:multiLevelType w:val="singleLevel"/>
    <w:tmpl w:val="ACCC8C6C"/>
    <w:lvl w:ilvl="0" w:tentative="0">
      <w:start w:val="4"/>
      <w:numFmt w:val="decimal"/>
      <w:suff w:val="nothing"/>
      <w:lvlText w:val="%1、"/>
      <w:lvlJc w:val="left"/>
    </w:lvl>
  </w:abstractNum>
  <w:abstractNum w:abstractNumId="1">
    <w:nsid w:val="B3A70106"/>
    <w:multiLevelType w:val="multilevel"/>
    <w:tmpl w:val="B3A70106"/>
    <w:lvl w:ilvl="0" w:tentative="0">
      <w:start w:val="1"/>
      <w:numFmt w:val="decimal"/>
      <w:suff w:val="space"/>
      <w:lvlText w:val="%1"/>
      <w:lvlJc w:val="left"/>
      <w:pPr>
        <w:tabs>
          <w:tab w:val="left" w:pos="0"/>
        </w:tabs>
        <w:ind w:left="425" w:hanging="425"/>
      </w:pPr>
      <w:rPr>
        <w:rFonts w:hint="default" w:ascii="Times New Roman" w:hAnsi="Times New Roman" w:eastAsia="宋体" w:cs="Times New Roman"/>
        <w:sz w:val="32"/>
        <w:szCs w:val="32"/>
      </w:rPr>
    </w:lvl>
    <w:lvl w:ilvl="1" w:tentative="0">
      <w:start w:val="1"/>
      <w:numFmt w:val="decimal"/>
      <w:pStyle w:val="4"/>
      <w:suff w:val="space"/>
      <w:lvlText w:val="%1.%2"/>
      <w:lvlJc w:val="left"/>
      <w:pPr>
        <w:tabs>
          <w:tab w:val="left" w:pos="0"/>
        </w:tabs>
        <w:ind w:left="0" w:firstLine="10"/>
      </w:pPr>
      <w:rPr>
        <w:rFonts w:hint="default" w:ascii="Times New Roman" w:hAnsi="Times New Roman" w:eastAsia="宋体" w:cs="Times New Roman"/>
        <w:sz w:val="30"/>
        <w:szCs w:val="30"/>
      </w:rPr>
    </w:lvl>
    <w:lvl w:ilvl="2" w:tentative="0">
      <w:start w:val="1"/>
      <w:numFmt w:val="decimal"/>
      <w:suff w:val="space"/>
      <w:lvlText w:val="%1.%2.%3"/>
      <w:lvlJc w:val="left"/>
      <w:pPr>
        <w:tabs>
          <w:tab w:val="left" w:pos="420"/>
        </w:tabs>
        <w:ind w:left="709" w:hanging="709"/>
      </w:pPr>
      <w:rPr>
        <w:rFonts w:hint="default" w:ascii="Times New Roman" w:hAnsi="Times New Roman" w:eastAsia="宋体" w:cs="Times New Roman"/>
        <w:sz w:val="28"/>
        <w:szCs w:val="28"/>
      </w:rPr>
    </w:lvl>
    <w:lvl w:ilvl="3" w:tentative="0">
      <w:start w:val="1"/>
      <w:numFmt w:val="decimal"/>
      <w:suff w:val="space"/>
      <w:lvlText w:val="%1.%2.%3.%4"/>
      <w:lvlJc w:val="left"/>
      <w:pPr>
        <w:tabs>
          <w:tab w:val="left" w:pos="420"/>
        </w:tabs>
        <w:ind w:left="850" w:hanging="850"/>
      </w:pPr>
      <w:rPr>
        <w:rFonts w:hint="default" w:ascii="Times New Roman" w:hAnsi="Times New Roman" w:eastAsia="宋体" w:cs="Times New Roman"/>
        <w:sz w:val="28"/>
        <w:szCs w:val="28"/>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F7E2EA35"/>
    <w:multiLevelType w:val="singleLevel"/>
    <w:tmpl w:val="F7E2EA35"/>
    <w:lvl w:ilvl="0" w:tentative="0">
      <w:start w:val="1"/>
      <w:numFmt w:val="decimal"/>
      <w:suff w:val="nothing"/>
      <w:lvlText w:val="%1、"/>
      <w:lvlJc w:val="left"/>
    </w:lvl>
  </w:abstractNum>
  <w:abstractNum w:abstractNumId="3">
    <w:nsid w:val="03550D43"/>
    <w:multiLevelType w:val="singleLevel"/>
    <w:tmpl w:val="03550D43"/>
    <w:lvl w:ilvl="0" w:tentative="0">
      <w:start w:val="2"/>
      <w:numFmt w:val="decimal"/>
      <w:lvlText w:val="%1."/>
      <w:lvlJc w:val="left"/>
      <w:pPr>
        <w:tabs>
          <w:tab w:val="left" w:pos="312"/>
        </w:tabs>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kY2Y1MDgzMmRhMWU4MmIwOGFhODc5OWIwNzAxMTYifQ=="/>
    <w:docVar w:name="KSO_WPS_MARK_KEY" w:val="c4e82651-21fd-4e7d-9f76-68cc155694e0"/>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17EA4"/>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26B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0AA6"/>
    <w:rsid w:val="005E1791"/>
    <w:rsid w:val="005E2CE6"/>
    <w:rsid w:val="005E6324"/>
    <w:rsid w:val="005F228B"/>
    <w:rsid w:val="005F29CD"/>
    <w:rsid w:val="005F4DFB"/>
    <w:rsid w:val="005F6CC0"/>
    <w:rsid w:val="00602066"/>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2B3D"/>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06D53"/>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955F1"/>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F959FD"/>
    <w:rsid w:val="02AA459F"/>
    <w:rsid w:val="040C59C6"/>
    <w:rsid w:val="044955CA"/>
    <w:rsid w:val="04E672BC"/>
    <w:rsid w:val="05742AC8"/>
    <w:rsid w:val="059155B1"/>
    <w:rsid w:val="05976972"/>
    <w:rsid w:val="05A30074"/>
    <w:rsid w:val="05BB61AD"/>
    <w:rsid w:val="05D755E3"/>
    <w:rsid w:val="06352F05"/>
    <w:rsid w:val="063E7D85"/>
    <w:rsid w:val="070875E0"/>
    <w:rsid w:val="07252637"/>
    <w:rsid w:val="07293586"/>
    <w:rsid w:val="07295285"/>
    <w:rsid w:val="07713EDE"/>
    <w:rsid w:val="07716E7E"/>
    <w:rsid w:val="07770C56"/>
    <w:rsid w:val="07864854"/>
    <w:rsid w:val="08517BCD"/>
    <w:rsid w:val="086B7872"/>
    <w:rsid w:val="08C5270A"/>
    <w:rsid w:val="08D124A1"/>
    <w:rsid w:val="092217DD"/>
    <w:rsid w:val="093A7294"/>
    <w:rsid w:val="099B2511"/>
    <w:rsid w:val="0A22263B"/>
    <w:rsid w:val="0A9427A0"/>
    <w:rsid w:val="0B175955"/>
    <w:rsid w:val="0BD27BF6"/>
    <w:rsid w:val="0C181455"/>
    <w:rsid w:val="0C3E7E14"/>
    <w:rsid w:val="0D6909D7"/>
    <w:rsid w:val="0E110D06"/>
    <w:rsid w:val="0E2C21E4"/>
    <w:rsid w:val="0E7E72B3"/>
    <w:rsid w:val="0EA5120C"/>
    <w:rsid w:val="0F13775A"/>
    <w:rsid w:val="0F481FDC"/>
    <w:rsid w:val="0F9A112B"/>
    <w:rsid w:val="0FAD2EF7"/>
    <w:rsid w:val="101679FA"/>
    <w:rsid w:val="106D2F64"/>
    <w:rsid w:val="10B63710"/>
    <w:rsid w:val="10D97AA6"/>
    <w:rsid w:val="111C2F7A"/>
    <w:rsid w:val="11250B14"/>
    <w:rsid w:val="113013DE"/>
    <w:rsid w:val="11991B7A"/>
    <w:rsid w:val="122B06C2"/>
    <w:rsid w:val="12486B50"/>
    <w:rsid w:val="128C4EA1"/>
    <w:rsid w:val="12C811FE"/>
    <w:rsid w:val="13766BC8"/>
    <w:rsid w:val="13951726"/>
    <w:rsid w:val="14396509"/>
    <w:rsid w:val="1447165C"/>
    <w:rsid w:val="149F2030"/>
    <w:rsid w:val="16240457"/>
    <w:rsid w:val="170F26A3"/>
    <w:rsid w:val="173407C2"/>
    <w:rsid w:val="17735226"/>
    <w:rsid w:val="17EC2B9C"/>
    <w:rsid w:val="1842129C"/>
    <w:rsid w:val="185060D1"/>
    <w:rsid w:val="18FB11DD"/>
    <w:rsid w:val="1911776B"/>
    <w:rsid w:val="19A978A1"/>
    <w:rsid w:val="1A1C66C0"/>
    <w:rsid w:val="1A267158"/>
    <w:rsid w:val="1A2D463F"/>
    <w:rsid w:val="1A42393B"/>
    <w:rsid w:val="1A6D488A"/>
    <w:rsid w:val="1AF40203"/>
    <w:rsid w:val="1B046F80"/>
    <w:rsid w:val="1B1B4F32"/>
    <w:rsid w:val="1B3267B5"/>
    <w:rsid w:val="1BA66013"/>
    <w:rsid w:val="1BC25DC8"/>
    <w:rsid w:val="1C5E7925"/>
    <w:rsid w:val="1C6C5EA1"/>
    <w:rsid w:val="1C887FC8"/>
    <w:rsid w:val="1CEC44F3"/>
    <w:rsid w:val="1D5F6196"/>
    <w:rsid w:val="1D6132A5"/>
    <w:rsid w:val="1D8E56D5"/>
    <w:rsid w:val="1E7A43DA"/>
    <w:rsid w:val="1EB277FE"/>
    <w:rsid w:val="1F485CCD"/>
    <w:rsid w:val="1F9A6E4B"/>
    <w:rsid w:val="1FC647AD"/>
    <w:rsid w:val="1FE62A99"/>
    <w:rsid w:val="1FE7539E"/>
    <w:rsid w:val="1FF60FB3"/>
    <w:rsid w:val="20963CB8"/>
    <w:rsid w:val="20B07FB6"/>
    <w:rsid w:val="212F4572"/>
    <w:rsid w:val="213B74B1"/>
    <w:rsid w:val="215A2310"/>
    <w:rsid w:val="21DE318A"/>
    <w:rsid w:val="21EF5B80"/>
    <w:rsid w:val="223516F4"/>
    <w:rsid w:val="22576990"/>
    <w:rsid w:val="229C4EAB"/>
    <w:rsid w:val="22A12BA8"/>
    <w:rsid w:val="22BF5D10"/>
    <w:rsid w:val="23A7586B"/>
    <w:rsid w:val="23AB585B"/>
    <w:rsid w:val="23EE52F0"/>
    <w:rsid w:val="244D4F26"/>
    <w:rsid w:val="248C3E5A"/>
    <w:rsid w:val="24D413A2"/>
    <w:rsid w:val="250B5EE7"/>
    <w:rsid w:val="250C5C98"/>
    <w:rsid w:val="252D53FE"/>
    <w:rsid w:val="259B1656"/>
    <w:rsid w:val="25EC2D81"/>
    <w:rsid w:val="26351B7E"/>
    <w:rsid w:val="264528BD"/>
    <w:rsid w:val="269763F5"/>
    <w:rsid w:val="27486378"/>
    <w:rsid w:val="274A3283"/>
    <w:rsid w:val="274E4364"/>
    <w:rsid w:val="27D15DD1"/>
    <w:rsid w:val="28A76295"/>
    <w:rsid w:val="29206EB8"/>
    <w:rsid w:val="293265CD"/>
    <w:rsid w:val="29996B8F"/>
    <w:rsid w:val="29E325E0"/>
    <w:rsid w:val="2A452503"/>
    <w:rsid w:val="2B5D6D58"/>
    <w:rsid w:val="2BA936A8"/>
    <w:rsid w:val="2BBC2806"/>
    <w:rsid w:val="2BE93D2C"/>
    <w:rsid w:val="2C19257C"/>
    <w:rsid w:val="2C315A5A"/>
    <w:rsid w:val="2C5030EA"/>
    <w:rsid w:val="2C601E3E"/>
    <w:rsid w:val="2C9479BB"/>
    <w:rsid w:val="2CAE55AC"/>
    <w:rsid w:val="2D2E3981"/>
    <w:rsid w:val="2D4C4E64"/>
    <w:rsid w:val="2D9E56F5"/>
    <w:rsid w:val="2E06411C"/>
    <w:rsid w:val="2E667F96"/>
    <w:rsid w:val="2E8226AB"/>
    <w:rsid w:val="2EA36628"/>
    <w:rsid w:val="2F363EAF"/>
    <w:rsid w:val="2F832C79"/>
    <w:rsid w:val="2F8F72AD"/>
    <w:rsid w:val="2F9B3277"/>
    <w:rsid w:val="2FAA79C2"/>
    <w:rsid w:val="2FBF3C00"/>
    <w:rsid w:val="2FEF2D58"/>
    <w:rsid w:val="2FF9472F"/>
    <w:rsid w:val="30580BC9"/>
    <w:rsid w:val="30B60273"/>
    <w:rsid w:val="311E2ED7"/>
    <w:rsid w:val="315C449C"/>
    <w:rsid w:val="31B82709"/>
    <w:rsid w:val="32400B34"/>
    <w:rsid w:val="32606B21"/>
    <w:rsid w:val="32876FBF"/>
    <w:rsid w:val="3289254C"/>
    <w:rsid w:val="329E6876"/>
    <w:rsid w:val="33332513"/>
    <w:rsid w:val="33A54307"/>
    <w:rsid w:val="33D934D4"/>
    <w:rsid w:val="33FE2F6A"/>
    <w:rsid w:val="36074A7F"/>
    <w:rsid w:val="36564455"/>
    <w:rsid w:val="368A544A"/>
    <w:rsid w:val="36923549"/>
    <w:rsid w:val="36B2154A"/>
    <w:rsid w:val="36B75FBF"/>
    <w:rsid w:val="36FB4891"/>
    <w:rsid w:val="372052C7"/>
    <w:rsid w:val="376B5452"/>
    <w:rsid w:val="378F7D88"/>
    <w:rsid w:val="38DC1007"/>
    <w:rsid w:val="38F12CD3"/>
    <w:rsid w:val="38F94775"/>
    <w:rsid w:val="39047736"/>
    <w:rsid w:val="39257BD3"/>
    <w:rsid w:val="392971ED"/>
    <w:rsid w:val="39420F61"/>
    <w:rsid w:val="39EF30A0"/>
    <w:rsid w:val="3A054B54"/>
    <w:rsid w:val="3A4365BD"/>
    <w:rsid w:val="3ABE1B66"/>
    <w:rsid w:val="3AC8266B"/>
    <w:rsid w:val="3B3763D1"/>
    <w:rsid w:val="3B450F43"/>
    <w:rsid w:val="3C883987"/>
    <w:rsid w:val="3CDA245A"/>
    <w:rsid w:val="3CEE0A37"/>
    <w:rsid w:val="3D2C374B"/>
    <w:rsid w:val="3D975F9B"/>
    <w:rsid w:val="3DCE4129"/>
    <w:rsid w:val="3EB60E02"/>
    <w:rsid w:val="3F660E74"/>
    <w:rsid w:val="3FED07F9"/>
    <w:rsid w:val="407A6407"/>
    <w:rsid w:val="41041839"/>
    <w:rsid w:val="41192E26"/>
    <w:rsid w:val="418234FF"/>
    <w:rsid w:val="423A3BCC"/>
    <w:rsid w:val="424E7084"/>
    <w:rsid w:val="42E55239"/>
    <w:rsid w:val="42F237BA"/>
    <w:rsid w:val="433A6FE6"/>
    <w:rsid w:val="4350713C"/>
    <w:rsid w:val="436653E0"/>
    <w:rsid w:val="43B30001"/>
    <w:rsid w:val="43EF1962"/>
    <w:rsid w:val="449074CC"/>
    <w:rsid w:val="44CD14E0"/>
    <w:rsid w:val="458946E9"/>
    <w:rsid w:val="45986E58"/>
    <w:rsid w:val="467C1831"/>
    <w:rsid w:val="46970EA5"/>
    <w:rsid w:val="46D22C21"/>
    <w:rsid w:val="46D955A7"/>
    <w:rsid w:val="47133957"/>
    <w:rsid w:val="47140FB4"/>
    <w:rsid w:val="47222CD4"/>
    <w:rsid w:val="474E12AF"/>
    <w:rsid w:val="4779329E"/>
    <w:rsid w:val="47801987"/>
    <w:rsid w:val="47A07E0C"/>
    <w:rsid w:val="48112EA5"/>
    <w:rsid w:val="48676001"/>
    <w:rsid w:val="4870272E"/>
    <w:rsid w:val="48BB310A"/>
    <w:rsid w:val="497C50C6"/>
    <w:rsid w:val="499967CC"/>
    <w:rsid w:val="49DC7715"/>
    <w:rsid w:val="4A023139"/>
    <w:rsid w:val="4A545C13"/>
    <w:rsid w:val="4A6D6EFA"/>
    <w:rsid w:val="4A7B576F"/>
    <w:rsid w:val="4B3E551F"/>
    <w:rsid w:val="4BD607A7"/>
    <w:rsid w:val="4BF413F3"/>
    <w:rsid w:val="4C4A0649"/>
    <w:rsid w:val="4C8B61DE"/>
    <w:rsid w:val="4CA80E0F"/>
    <w:rsid w:val="4CAA0829"/>
    <w:rsid w:val="4CE470D3"/>
    <w:rsid w:val="4D2422E8"/>
    <w:rsid w:val="4D96571F"/>
    <w:rsid w:val="4DEC4FB0"/>
    <w:rsid w:val="4E075D8A"/>
    <w:rsid w:val="4E433318"/>
    <w:rsid w:val="4ED31154"/>
    <w:rsid w:val="4F0E3895"/>
    <w:rsid w:val="4FAC6067"/>
    <w:rsid w:val="4FC62A8C"/>
    <w:rsid w:val="4FC9781C"/>
    <w:rsid w:val="4FE20F0D"/>
    <w:rsid w:val="50504C4B"/>
    <w:rsid w:val="505C6D4E"/>
    <w:rsid w:val="509C6E7C"/>
    <w:rsid w:val="51242239"/>
    <w:rsid w:val="5162104E"/>
    <w:rsid w:val="516F5E83"/>
    <w:rsid w:val="52D6599C"/>
    <w:rsid w:val="52D8309A"/>
    <w:rsid w:val="52EE00AA"/>
    <w:rsid w:val="536120AB"/>
    <w:rsid w:val="53A039CC"/>
    <w:rsid w:val="53A1505A"/>
    <w:rsid w:val="54063E08"/>
    <w:rsid w:val="543437E8"/>
    <w:rsid w:val="559B174B"/>
    <w:rsid w:val="55CE0CF4"/>
    <w:rsid w:val="55F62BFF"/>
    <w:rsid w:val="56243E2B"/>
    <w:rsid w:val="56B22A9C"/>
    <w:rsid w:val="56FC0A8A"/>
    <w:rsid w:val="57044D26"/>
    <w:rsid w:val="57B72A76"/>
    <w:rsid w:val="58F307D5"/>
    <w:rsid w:val="5935071F"/>
    <w:rsid w:val="59600EAD"/>
    <w:rsid w:val="5A034E90"/>
    <w:rsid w:val="5A3C747D"/>
    <w:rsid w:val="5ABE2233"/>
    <w:rsid w:val="5ACC5BD9"/>
    <w:rsid w:val="5B276D18"/>
    <w:rsid w:val="5BDF5D95"/>
    <w:rsid w:val="5C000DDA"/>
    <w:rsid w:val="5C17595A"/>
    <w:rsid w:val="5C8935C6"/>
    <w:rsid w:val="5CAE5BC4"/>
    <w:rsid w:val="5D7849E6"/>
    <w:rsid w:val="5DF604F8"/>
    <w:rsid w:val="5DF87A0F"/>
    <w:rsid w:val="5E1E00A2"/>
    <w:rsid w:val="5EFD2586"/>
    <w:rsid w:val="5F1A2B43"/>
    <w:rsid w:val="5FAD2D1B"/>
    <w:rsid w:val="5FB837BB"/>
    <w:rsid w:val="5FD8EA1E"/>
    <w:rsid w:val="600B149F"/>
    <w:rsid w:val="60951213"/>
    <w:rsid w:val="60E17732"/>
    <w:rsid w:val="61C31CC3"/>
    <w:rsid w:val="61E11042"/>
    <w:rsid w:val="61FF6487"/>
    <w:rsid w:val="62265E8B"/>
    <w:rsid w:val="62364782"/>
    <w:rsid w:val="624369D5"/>
    <w:rsid w:val="627459B4"/>
    <w:rsid w:val="62B919F8"/>
    <w:rsid w:val="62C90F25"/>
    <w:rsid w:val="63381A7E"/>
    <w:rsid w:val="63D40BE9"/>
    <w:rsid w:val="63E0211F"/>
    <w:rsid w:val="63E02ECC"/>
    <w:rsid w:val="63FE2572"/>
    <w:rsid w:val="645E55B1"/>
    <w:rsid w:val="649C3F17"/>
    <w:rsid w:val="64C54BA4"/>
    <w:rsid w:val="64CD637E"/>
    <w:rsid w:val="65373578"/>
    <w:rsid w:val="6611542A"/>
    <w:rsid w:val="673F2C7A"/>
    <w:rsid w:val="678D4E96"/>
    <w:rsid w:val="67F82A09"/>
    <w:rsid w:val="681F6961"/>
    <w:rsid w:val="68610A2F"/>
    <w:rsid w:val="68805514"/>
    <w:rsid w:val="68E06CE5"/>
    <w:rsid w:val="694E2071"/>
    <w:rsid w:val="697A3B33"/>
    <w:rsid w:val="699E2456"/>
    <w:rsid w:val="6A487A93"/>
    <w:rsid w:val="6A520D7C"/>
    <w:rsid w:val="6A985FAF"/>
    <w:rsid w:val="6AA7BD1B"/>
    <w:rsid w:val="6ABE6E95"/>
    <w:rsid w:val="6B322639"/>
    <w:rsid w:val="6B3275AD"/>
    <w:rsid w:val="6BD61FBC"/>
    <w:rsid w:val="6BDA572B"/>
    <w:rsid w:val="6BFE237D"/>
    <w:rsid w:val="6C0134DD"/>
    <w:rsid w:val="6C2B1733"/>
    <w:rsid w:val="6C5C6966"/>
    <w:rsid w:val="6C636C38"/>
    <w:rsid w:val="6C6E3C17"/>
    <w:rsid w:val="6CFB1EFD"/>
    <w:rsid w:val="6D2B5B46"/>
    <w:rsid w:val="6DB34098"/>
    <w:rsid w:val="6DB545B6"/>
    <w:rsid w:val="6DEF762A"/>
    <w:rsid w:val="6E4375A0"/>
    <w:rsid w:val="6E514CED"/>
    <w:rsid w:val="6E79491A"/>
    <w:rsid w:val="6E984F09"/>
    <w:rsid w:val="6EB563D5"/>
    <w:rsid w:val="6F022D14"/>
    <w:rsid w:val="6F225983"/>
    <w:rsid w:val="6FDB1DC5"/>
    <w:rsid w:val="6FFC5590"/>
    <w:rsid w:val="70301DA3"/>
    <w:rsid w:val="703127BB"/>
    <w:rsid w:val="70434E44"/>
    <w:rsid w:val="706D1DD0"/>
    <w:rsid w:val="70856B87"/>
    <w:rsid w:val="70D527EE"/>
    <w:rsid w:val="70FE0C4E"/>
    <w:rsid w:val="715B5300"/>
    <w:rsid w:val="715F4BD7"/>
    <w:rsid w:val="717514CD"/>
    <w:rsid w:val="71D27F8A"/>
    <w:rsid w:val="71F744C6"/>
    <w:rsid w:val="71F960CF"/>
    <w:rsid w:val="72CA5E93"/>
    <w:rsid w:val="72D53EFF"/>
    <w:rsid w:val="731F5D5E"/>
    <w:rsid w:val="7369616A"/>
    <w:rsid w:val="73A00E5C"/>
    <w:rsid w:val="73AA7181"/>
    <w:rsid w:val="741E793C"/>
    <w:rsid w:val="74AF6D74"/>
    <w:rsid w:val="758D75E2"/>
    <w:rsid w:val="75A27BB4"/>
    <w:rsid w:val="75BBA06D"/>
    <w:rsid w:val="762AA977"/>
    <w:rsid w:val="76391AC3"/>
    <w:rsid w:val="765B4E24"/>
    <w:rsid w:val="76696E6E"/>
    <w:rsid w:val="767320B6"/>
    <w:rsid w:val="77762421"/>
    <w:rsid w:val="77AE6EBF"/>
    <w:rsid w:val="780F09F4"/>
    <w:rsid w:val="784604CA"/>
    <w:rsid w:val="789C4F47"/>
    <w:rsid w:val="78A90480"/>
    <w:rsid w:val="79811327"/>
    <w:rsid w:val="79C879FA"/>
    <w:rsid w:val="7A292C34"/>
    <w:rsid w:val="7A364017"/>
    <w:rsid w:val="7A8265E1"/>
    <w:rsid w:val="7AB90C3A"/>
    <w:rsid w:val="7ACE6C62"/>
    <w:rsid w:val="7B671FE4"/>
    <w:rsid w:val="7B686D42"/>
    <w:rsid w:val="7B841746"/>
    <w:rsid w:val="7BBF2F87"/>
    <w:rsid w:val="7C9C4B7D"/>
    <w:rsid w:val="7D0239FF"/>
    <w:rsid w:val="7D5E40CD"/>
    <w:rsid w:val="7D693BED"/>
    <w:rsid w:val="7D6FBA90"/>
    <w:rsid w:val="7DFD9523"/>
    <w:rsid w:val="7E867ECC"/>
    <w:rsid w:val="7ED476BA"/>
    <w:rsid w:val="7EF72E8E"/>
    <w:rsid w:val="7F7989B7"/>
    <w:rsid w:val="7FB7088F"/>
    <w:rsid w:val="7FCDB5FB"/>
    <w:rsid w:val="7FE47E50"/>
    <w:rsid w:val="7FF960FB"/>
    <w:rsid w:val="7FFCF88E"/>
    <w:rsid w:val="7FFE58AB"/>
    <w:rsid w:val="9FAF3749"/>
    <w:rsid w:val="ABF3ADA3"/>
    <w:rsid w:val="AD7E743E"/>
    <w:rsid w:val="B3BEC1BA"/>
    <w:rsid w:val="B7777299"/>
    <w:rsid w:val="BBBF5C60"/>
    <w:rsid w:val="BE6E97FA"/>
    <w:rsid w:val="CBDEBB19"/>
    <w:rsid w:val="CFFDD62E"/>
    <w:rsid w:val="DFC73643"/>
    <w:rsid w:val="E66F17E1"/>
    <w:rsid w:val="EBEF47C3"/>
    <w:rsid w:val="F4CFDD53"/>
    <w:rsid w:val="F7DA118E"/>
    <w:rsid w:val="F7FD5829"/>
    <w:rsid w:val="F8DD98D5"/>
    <w:rsid w:val="FB7C7DAB"/>
    <w:rsid w:val="FDFE66FA"/>
    <w:rsid w:val="FDFF58E4"/>
    <w:rsid w:val="FE8746DA"/>
    <w:rsid w:val="FEFA1C35"/>
    <w:rsid w:val="FFF8C982"/>
    <w:rsid w:val="FFFF6B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ocked="1"/>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overflowPunct w:val="0"/>
      <w:snapToGrid w:val="0"/>
      <w:ind w:firstLine="0" w:firstLineChars="0"/>
      <w:outlineLvl w:val="0"/>
    </w:pPr>
    <w:rPr>
      <w:rFonts w:eastAsia="华文宋体"/>
      <w:b/>
      <w:bCs/>
      <w:color w:val="000000"/>
      <w:kern w:val="44"/>
      <w:szCs w:val="30"/>
    </w:rPr>
  </w:style>
  <w:style w:type="paragraph" w:styleId="4">
    <w:name w:val="heading 2"/>
    <w:basedOn w:val="1"/>
    <w:next w:val="1"/>
    <w:link w:val="32"/>
    <w:qFormat/>
    <w:locked/>
    <w:uiPriority w:val="0"/>
    <w:pPr>
      <w:keepNext/>
      <w:keepLines/>
      <w:numPr>
        <w:ilvl w:val="1"/>
        <w:numId w:val="1"/>
      </w:numPr>
      <w:tabs>
        <w:tab w:val="left" w:pos="420"/>
        <w:tab w:val="clear" w:pos="0"/>
      </w:tabs>
      <w:ind w:firstLine="0" w:firstLineChars="0"/>
      <w:outlineLvl w:val="1"/>
    </w:pPr>
    <w:rPr>
      <w:rFonts w:ascii="Calibri" w:hAnsi="Calibri"/>
      <w:sz w:val="30"/>
    </w:rPr>
  </w:style>
  <w:style w:type="paragraph" w:styleId="5">
    <w:name w:val="heading 3"/>
    <w:basedOn w:val="1"/>
    <w:next w:val="1"/>
    <w:qFormat/>
    <w:locked/>
    <w:uiPriority w:val="0"/>
    <w:pPr>
      <w:keepNext/>
      <w:keepLines/>
      <w:spacing w:before="260" w:after="260" w:line="413" w:lineRule="auto"/>
      <w:outlineLvl w:val="2"/>
    </w:pPr>
    <w:rPr>
      <w:b/>
      <w:sz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unhideWhenUsed/>
    <w:qFormat/>
    <w:locked/>
    <w:uiPriority w:val="39"/>
    <w:pPr>
      <w:ind w:left="420" w:leftChars="200"/>
    </w:pPr>
  </w:style>
  <w:style w:type="paragraph" w:styleId="6">
    <w:name w:val="Normal Indent"/>
    <w:basedOn w:val="1"/>
    <w:next w:val="1"/>
    <w:autoRedefine/>
    <w:qFormat/>
    <w:uiPriority w:val="0"/>
    <w:pPr>
      <w:ind w:firstLine="420"/>
    </w:pPr>
    <w:rPr>
      <w:szCs w:val="20"/>
    </w:rPr>
  </w:style>
  <w:style w:type="paragraph" w:styleId="7">
    <w:name w:val="caption"/>
    <w:basedOn w:val="1"/>
    <w:next w:val="1"/>
    <w:autoRedefine/>
    <w:qFormat/>
    <w:locked/>
    <w:uiPriority w:val="35"/>
    <w:rPr>
      <w:rFonts w:ascii="Arial" w:hAnsi="Arial" w:eastAsia="黑体"/>
      <w:kern w:val="0"/>
      <w:sz w:val="20"/>
      <w:szCs w:val="20"/>
    </w:rPr>
  </w:style>
  <w:style w:type="paragraph" w:styleId="8">
    <w:name w:val="annotation text"/>
    <w:basedOn w:val="1"/>
    <w:link w:val="33"/>
    <w:autoRedefine/>
    <w:semiHidden/>
    <w:qFormat/>
    <w:uiPriority w:val="0"/>
    <w:pPr>
      <w:jc w:val="left"/>
    </w:pPr>
    <w:rPr>
      <w:kern w:val="0"/>
      <w:sz w:val="20"/>
    </w:rPr>
  </w:style>
  <w:style w:type="paragraph" w:styleId="9">
    <w:name w:val="Body Text"/>
    <w:basedOn w:val="1"/>
    <w:link w:val="34"/>
    <w:autoRedefine/>
    <w:qFormat/>
    <w:uiPriority w:val="0"/>
    <w:pPr>
      <w:widowControl/>
      <w:snapToGrid w:val="0"/>
      <w:spacing w:before="60" w:after="160" w:line="259" w:lineRule="auto"/>
      <w:ind w:right="113"/>
    </w:pPr>
    <w:rPr>
      <w:kern w:val="0"/>
      <w:sz w:val="18"/>
      <w:szCs w:val="18"/>
    </w:rPr>
  </w:style>
  <w:style w:type="paragraph" w:styleId="10">
    <w:name w:val="Body Text Indent"/>
    <w:basedOn w:val="1"/>
    <w:next w:val="1"/>
    <w:link w:val="35"/>
    <w:autoRedefine/>
    <w:qFormat/>
    <w:uiPriority w:val="0"/>
    <w:pPr>
      <w:spacing w:after="120"/>
      <w:ind w:left="420" w:leftChars="200"/>
    </w:pPr>
  </w:style>
  <w:style w:type="paragraph" w:styleId="11">
    <w:name w:val="Block Text"/>
    <w:basedOn w:val="1"/>
    <w:autoRedefine/>
    <w:qFormat/>
    <w:uiPriority w:val="0"/>
    <w:pPr>
      <w:ind w:left="230" w:right="220" w:firstLine="562"/>
      <w:jc w:val="left"/>
    </w:pPr>
    <w:rPr>
      <w:rFonts w:ascii="宋体" w:hAnsi="宋体"/>
      <w:color w:val="000000"/>
      <w:kern w:val="0"/>
    </w:rPr>
  </w:style>
  <w:style w:type="paragraph" w:styleId="12">
    <w:name w:val="Plain Text"/>
    <w:basedOn w:val="1"/>
    <w:autoRedefine/>
    <w:qFormat/>
    <w:uiPriority w:val="0"/>
    <w:pPr>
      <w:spacing w:line="240" w:lineRule="auto"/>
      <w:ind w:firstLine="0" w:firstLineChars="0"/>
    </w:pPr>
    <w:rPr>
      <w:rFonts w:ascii="宋体" w:hAnsi="Courier New" w:cs="Courier New"/>
      <w:sz w:val="21"/>
      <w:szCs w:val="21"/>
    </w:rPr>
  </w:style>
  <w:style w:type="paragraph" w:styleId="13">
    <w:name w:val="Date"/>
    <w:basedOn w:val="1"/>
    <w:next w:val="1"/>
    <w:link w:val="37"/>
    <w:autoRedefine/>
    <w:qFormat/>
    <w:uiPriority w:val="0"/>
    <w:pPr>
      <w:ind w:left="100" w:leftChars="2500"/>
    </w:pPr>
    <w:rPr>
      <w:kern w:val="0"/>
      <w:sz w:val="20"/>
    </w:rPr>
  </w:style>
  <w:style w:type="paragraph" w:styleId="14">
    <w:name w:val="Balloon Text"/>
    <w:basedOn w:val="1"/>
    <w:link w:val="38"/>
    <w:autoRedefine/>
    <w:semiHidden/>
    <w:qFormat/>
    <w:uiPriority w:val="0"/>
    <w:rPr>
      <w:sz w:val="18"/>
      <w:szCs w:val="18"/>
    </w:rPr>
  </w:style>
  <w:style w:type="paragraph" w:styleId="15">
    <w:name w:val="footer"/>
    <w:basedOn w:val="1"/>
    <w:link w:val="39"/>
    <w:autoRedefine/>
    <w:qFormat/>
    <w:uiPriority w:val="0"/>
    <w:pPr>
      <w:tabs>
        <w:tab w:val="center" w:pos="4153"/>
        <w:tab w:val="right" w:pos="8306"/>
      </w:tabs>
      <w:snapToGrid w:val="0"/>
      <w:jc w:val="left"/>
    </w:pPr>
    <w:rPr>
      <w:sz w:val="18"/>
      <w:szCs w:val="18"/>
    </w:rPr>
  </w:style>
  <w:style w:type="paragraph" w:styleId="16">
    <w:name w:val="header"/>
    <w:basedOn w:val="1"/>
    <w:next w:val="17"/>
    <w:link w:val="36"/>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7">
    <w:name w:val="样式5"/>
    <w:basedOn w:val="6"/>
    <w:autoRedefine/>
    <w:qFormat/>
    <w:uiPriority w:val="0"/>
    <w:pPr>
      <w:jc w:val="center"/>
    </w:pPr>
  </w:style>
  <w:style w:type="paragraph" w:styleId="18">
    <w:name w:val="table of figures"/>
    <w:basedOn w:val="1"/>
    <w:next w:val="1"/>
    <w:autoRedefine/>
    <w:qFormat/>
    <w:uiPriority w:val="99"/>
    <w:pPr>
      <w:ind w:left="200" w:leftChars="200" w:hanging="200" w:hangingChars="200"/>
    </w:pPr>
    <w:rPr>
      <w:rFonts w:ascii="Calibri" w:hAnsi="Calibri"/>
    </w:rPr>
  </w:style>
  <w:style w:type="paragraph" w:styleId="19">
    <w:name w:val="Body Text 2"/>
    <w:basedOn w:val="1"/>
    <w:autoRedefine/>
    <w:qFormat/>
    <w:uiPriority w:val="0"/>
    <w:pPr>
      <w:spacing w:after="120" w:line="480" w:lineRule="auto"/>
    </w:pPr>
  </w:style>
  <w:style w:type="paragraph" w:styleId="20">
    <w:name w:val="Normal (Web)"/>
    <w:basedOn w:val="1"/>
    <w:link w:val="40"/>
    <w:autoRedefine/>
    <w:qFormat/>
    <w:uiPriority w:val="0"/>
    <w:pPr>
      <w:widowControl/>
      <w:spacing w:before="100" w:beforeAutospacing="1" w:after="100" w:afterAutospacing="1"/>
      <w:jc w:val="left"/>
    </w:pPr>
    <w:rPr>
      <w:rFonts w:ascii="宋体" w:hAnsi="宋体"/>
      <w:kern w:val="0"/>
    </w:rPr>
  </w:style>
  <w:style w:type="paragraph" w:styleId="21">
    <w:name w:val="annotation subject"/>
    <w:basedOn w:val="8"/>
    <w:next w:val="8"/>
    <w:link w:val="41"/>
    <w:autoRedefine/>
    <w:semiHidden/>
    <w:qFormat/>
    <w:uiPriority w:val="0"/>
    <w:rPr>
      <w:b/>
      <w:bCs/>
    </w:rPr>
  </w:style>
  <w:style w:type="paragraph" w:styleId="22">
    <w:name w:val="Body Text First Indent"/>
    <w:basedOn w:val="9"/>
    <w:autoRedefine/>
    <w:qFormat/>
    <w:uiPriority w:val="0"/>
    <w:pPr>
      <w:spacing w:after="120"/>
      <w:ind w:firstLine="420" w:firstLineChars="100"/>
    </w:pPr>
    <w:rPr>
      <w:rFonts w:ascii="Calibri" w:hAnsi="Calibri"/>
      <w:kern w:val="2"/>
      <w:sz w:val="21"/>
    </w:rPr>
  </w:style>
  <w:style w:type="paragraph" w:styleId="23">
    <w:name w:val="Body Text First Indent 2"/>
    <w:basedOn w:val="10"/>
    <w:next w:val="1"/>
    <w:autoRedefine/>
    <w:unhideWhenUsed/>
    <w:qFormat/>
    <w:uiPriority w:val="99"/>
    <w:pPr>
      <w:ind w:firstLine="420"/>
    </w:pPr>
  </w:style>
  <w:style w:type="table" w:styleId="25">
    <w:name w:val="Table Grid"/>
    <w:basedOn w:val="2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autoRedefine/>
    <w:qFormat/>
    <w:locked/>
    <w:uiPriority w:val="0"/>
    <w:rPr>
      <w:b/>
    </w:rPr>
  </w:style>
  <w:style w:type="character" w:styleId="28">
    <w:name w:val="page number"/>
    <w:basedOn w:val="26"/>
    <w:autoRedefine/>
    <w:qFormat/>
    <w:uiPriority w:val="0"/>
  </w:style>
  <w:style w:type="character" w:styleId="29">
    <w:name w:val="Hyperlink"/>
    <w:basedOn w:val="26"/>
    <w:autoRedefine/>
    <w:qFormat/>
    <w:uiPriority w:val="0"/>
    <w:rPr>
      <w:color w:val="0000FF"/>
      <w:u w:val="single"/>
    </w:rPr>
  </w:style>
  <w:style w:type="character" w:styleId="30">
    <w:name w:val="annotation reference"/>
    <w:basedOn w:val="26"/>
    <w:autoRedefine/>
    <w:semiHidden/>
    <w:qFormat/>
    <w:uiPriority w:val="0"/>
    <w:rPr>
      <w:sz w:val="21"/>
    </w:rPr>
  </w:style>
  <w:style w:type="paragraph" w:customStyle="1" w:styleId="31">
    <w:name w:val="Default"/>
    <w:autoRedefine/>
    <w:unhideWhenUsed/>
    <w:qFormat/>
    <w:uiPriority w:val="0"/>
    <w:pPr>
      <w:widowControl w:val="0"/>
      <w:autoSpaceDE w:val="0"/>
      <w:autoSpaceDN w:val="0"/>
      <w:adjustRightInd w:val="0"/>
    </w:pPr>
    <w:rPr>
      <w:rFonts w:hint="eastAsia" w:ascii="宋体" w:hAnsi="宋体" w:eastAsia="宋体" w:cs="Times New Roman"/>
      <w:color w:val="000000"/>
      <w:sz w:val="24"/>
      <w:lang w:val="en-US" w:eastAsia="zh-CN" w:bidi="ar-SA"/>
    </w:rPr>
  </w:style>
  <w:style w:type="character" w:customStyle="1" w:styleId="32">
    <w:name w:val="标题 2 Char"/>
    <w:basedOn w:val="26"/>
    <w:link w:val="4"/>
    <w:autoRedefine/>
    <w:qFormat/>
    <w:uiPriority w:val="9"/>
    <w:rPr>
      <w:rFonts w:ascii="Calibri" w:hAnsi="Calibri" w:eastAsia="宋体" w:cs="Times New Roman"/>
      <w:sz w:val="30"/>
    </w:rPr>
  </w:style>
  <w:style w:type="character" w:customStyle="1" w:styleId="33">
    <w:name w:val="批注文字 Char"/>
    <w:link w:val="8"/>
    <w:autoRedefine/>
    <w:qFormat/>
    <w:locked/>
    <w:uiPriority w:val="0"/>
    <w:rPr>
      <w:rFonts w:ascii="Times New Roman" w:hAnsi="Times New Roman" w:eastAsia="宋体"/>
      <w:sz w:val="24"/>
    </w:rPr>
  </w:style>
  <w:style w:type="character" w:customStyle="1" w:styleId="34">
    <w:name w:val="正文文本 Char"/>
    <w:link w:val="9"/>
    <w:autoRedefine/>
    <w:qFormat/>
    <w:locked/>
    <w:uiPriority w:val="0"/>
    <w:rPr>
      <w:sz w:val="18"/>
    </w:rPr>
  </w:style>
  <w:style w:type="character" w:customStyle="1" w:styleId="35">
    <w:name w:val="正文文本缩进 Char"/>
    <w:basedOn w:val="26"/>
    <w:link w:val="10"/>
    <w:autoRedefine/>
    <w:semiHidden/>
    <w:qFormat/>
    <w:locked/>
    <w:uiPriority w:val="0"/>
    <w:rPr>
      <w:rFonts w:ascii="Times New Roman" w:hAnsi="Times New Roman" w:eastAsia="宋体" w:cs="Times New Roman"/>
      <w:sz w:val="24"/>
      <w:szCs w:val="24"/>
    </w:rPr>
  </w:style>
  <w:style w:type="character" w:customStyle="1" w:styleId="36">
    <w:name w:val="页眉 Char"/>
    <w:basedOn w:val="26"/>
    <w:link w:val="16"/>
    <w:autoRedefine/>
    <w:qFormat/>
    <w:locked/>
    <w:uiPriority w:val="0"/>
    <w:rPr>
      <w:rFonts w:cs="Times New Roman"/>
      <w:sz w:val="18"/>
      <w:szCs w:val="18"/>
    </w:rPr>
  </w:style>
  <w:style w:type="character" w:customStyle="1" w:styleId="37">
    <w:name w:val="日期 Char"/>
    <w:link w:val="13"/>
    <w:qFormat/>
    <w:locked/>
    <w:uiPriority w:val="0"/>
    <w:rPr>
      <w:rFonts w:ascii="Times New Roman" w:hAnsi="Times New Roman" w:eastAsia="宋体"/>
      <w:sz w:val="24"/>
    </w:rPr>
  </w:style>
  <w:style w:type="character" w:customStyle="1" w:styleId="38">
    <w:name w:val="批注框文本 Char"/>
    <w:basedOn w:val="26"/>
    <w:link w:val="14"/>
    <w:semiHidden/>
    <w:qFormat/>
    <w:locked/>
    <w:uiPriority w:val="0"/>
    <w:rPr>
      <w:rFonts w:ascii="Times New Roman" w:hAnsi="Times New Roman" w:eastAsia="宋体" w:cs="Times New Roman"/>
      <w:sz w:val="18"/>
      <w:szCs w:val="18"/>
    </w:rPr>
  </w:style>
  <w:style w:type="character" w:customStyle="1" w:styleId="39">
    <w:name w:val="页脚 Char"/>
    <w:basedOn w:val="26"/>
    <w:link w:val="15"/>
    <w:qFormat/>
    <w:locked/>
    <w:uiPriority w:val="0"/>
    <w:rPr>
      <w:rFonts w:cs="Times New Roman"/>
      <w:sz w:val="18"/>
      <w:szCs w:val="18"/>
    </w:rPr>
  </w:style>
  <w:style w:type="character" w:customStyle="1" w:styleId="40">
    <w:name w:val="普通(网站) Char1"/>
    <w:link w:val="20"/>
    <w:autoRedefine/>
    <w:qFormat/>
    <w:locked/>
    <w:uiPriority w:val="0"/>
    <w:rPr>
      <w:rFonts w:ascii="宋体" w:hAnsi="宋体" w:eastAsia="宋体"/>
      <w:sz w:val="24"/>
    </w:rPr>
  </w:style>
  <w:style w:type="character" w:customStyle="1" w:styleId="41">
    <w:name w:val="批注主题 Char"/>
    <w:basedOn w:val="33"/>
    <w:link w:val="21"/>
    <w:semiHidden/>
    <w:qFormat/>
    <w:locked/>
    <w:uiPriority w:val="0"/>
    <w:rPr>
      <w:rFonts w:ascii="Times New Roman" w:hAnsi="Times New Roman" w:eastAsia="宋体" w:cs="Times New Roman"/>
      <w:b/>
      <w:bCs/>
      <w:kern w:val="2"/>
      <w:sz w:val="24"/>
      <w:szCs w:val="24"/>
    </w:rPr>
  </w:style>
  <w:style w:type="character" w:customStyle="1" w:styleId="42">
    <w:name w:val="日期 字符"/>
    <w:basedOn w:val="26"/>
    <w:autoRedefine/>
    <w:semiHidden/>
    <w:qFormat/>
    <w:uiPriority w:val="0"/>
    <w:rPr>
      <w:rFonts w:ascii="Times New Roman" w:hAnsi="Times New Roman" w:eastAsia="宋体" w:cs="Times New Roman"/>
      <w:sz w:val="24"/>
      <w:szCs w:val="24"/>
    </w:rPr>
  </w:style>
  <w:style w:type="character" w:customStyle="1" w:styleId="43">
    <w:name w:val="正文文本 字符1"/>
    <w:basedOn w:val="26"/>
    <w:semiHidden/>
    <w:qFormat/>
    <w:uiPriority w:val="0"/>
    <w:rPr>
      <w:rFonts w:ascii="Times New Roman" w:hAnsi="Times New Roman" w:eastAsia="宋体" w:cs="Times New Roman"/>
      <w:sz w:val="24"/>
      <w:szCs w:val="24"/>
    </w:rPr>
  </w:style>
  <w:style w:type="paragraph" w:customStyle="1" w:styleId="44">
    <w:name w:val="普通(网站)2"/>
    <w:basedOn w:val="1"/>
    <w:qFormat/>
    <w:uiPriority w:val="0"/>
    <w:pPr>
      <w:widowControl/>
      <w:spacing w:before="100" w:beforeAutospacing="1" w:after="100" w:afterAutospacing="1"/>
      <w:jc w:val="left"/>
    </w:pPr>
    <w:rPr>
      <w:rFonts w:ascii="宋体" w:hAnsi="宋体"/>
      <w:szCs w:val="20"/>
    </w:rPr>
  </w:style>
  <w:style w:type="character" w:customStyle="1" w:styleId="45">
    <w:name w:val="表格 Char"/>
    <w:link w:val="46"/>
    <w:autoRedefine/>
    <w:qFormat/>
    <w:locked/>
    <w:uiPriority w:val="0"/>
    <w:rPr>
      <w:rFonts w:ascii="宋体"/>
      <w:sz w:val="21"/>
    </w:rPr>
  </w:style>
  <w:style w:type="paragraph" w:customStyle="1" w:styleId="46">
    <w:name w:val="表格"/>
    <w:basedOn w:val="1"/>
    <w:next w:val="1"/>
    <w:link w:val="45"/>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47">
    <w:name w:val="批注文字 字符1"/>
    <w:basedOn w:val="26"/>
    <w:autoRedefine/>
    <w:semiHidden/>
    <w:qFormat/>
    <w:uiPriority w:val="0"/>
    <w:rPr>
      <w:rFonts w:ascii="Times New Roman" w:hAnsi="Times New Roman" w:eastAsia="宋体" w:cs="Times New Roman"/>
      <w:sz w:val="24"/>
      <w:szCs w:val="24"/>
    </w:rPr>
  </w:style>
  <w:style w:type="character" w:customStyle="1" w:styleId="48">
    <w:name w:val="普通(网站) Char"/>
    <w:autoRedefine/>
    <w:qFormat/>
    <w:locked/>
    <w:uiPriority w:val="0"/>
    <w:rPr>
      <w:rFonts w:ascii="宋体" w:hAnsi="宋体" w:eastAsia="宋体"/>
      <w:sz w:val="24"/>
    </w:rPr>
  </w:style>
  <w:style w:type="paragraph" w:customStyle="1" w:styleId="49">
    <w:name w:val="Table Paragraph"/>
    <w:basedOn w:val="1"/>
    <w:autoRedefine/>
    <w:qFormat/>
    <w:uiPriority w:val="1"/>
    <w:rPr>
      <w:rFonts w:ascii="宋体" w:hAnsi="宋体" w:cs="宋体"/>
      <w:lang w:val="zh-CN" w:bidi="zh-CN"/>
    </w:rPr>
  </w:style>
  <w:style w:type="paragraph" w:customStyle="1" w:styleId="50">
    <w:name w:val="Heading #2|1"/>
    <w:basedOn w:val="1"/>
    <w:qFormat/>
    <w:uiPriority w:val="0"/>
    <w:pPr>
      <w:spacing w:after="300"/>
      <w:jc w:val="center"/>
      <w:outlineLvl w:val="1"/>
    </w:pPr>
    <w:rPr>
      <w:rFonts w:ascii="宋体" w:hAnsi="宋体" w:cs="宋体"/>
      <w:sz w:val="40"/>
      <w:szCs w:val="40"/>
      <w:lang w:val="zh-TW" w:eastAsia="zh-TW" w:bidi="zh-TW"/>
    </w:rPr>
  </w:style>
  <w:style w:type="paragraph" w:customStyle="1" w:styleId="51">
    <w:name w:val="论文正文"/>
    <w:basedOn w:val="1"/>
    <w:link w:val="52"/>
    <w:autoRedefine/>
    <w:qFormat/>
    <w:uiPriority w:val="0"/>
    <w:pPr>
      <w:ind w:firstLine="200"/>
    </w:pPr>
    <w:rPr>
      <w:kern w:val="0"/>
      <w:szCs w:val="21"/>
    </w:rPr>
  </w:style>
  <w:style w:type="character" w:customStyle="1" w:styleId="52">
    <w:name w:val="论文正文 Char"/>
    <w:link w:val="51"/>
    <w:autoRedefine/>
    <w:qFormat/>
    <w:uiPriority w:val="0"/>
    <w:rPr>
      <w:rFonts w:ascii="Times New Roman" w:hAnsi="Times New Roman"/>
      <w:kern w:val="0"/>
      <w:szCs w:val="21"/>
    </w:rPr>
  </w:style>
  <w:style w:type="paragraph" w:customStyle="1" w:styleId="53">
    <w:name w:val="题注2"/>
    <w:basedOn w:val="7"/>
    <w:autoRedefine/>
    <w:qFormat/>
    <w:uiPriority w:val="0"/>
    <w:pPr>
      <w:spacing w:after="50" w:afterLines="50" w:line="240" w:lineRule="atLeast"/>
      <w:jc w:val="center"/>
    </w:pPr>
    <w:rPr>
      <w:rFonts w:ascii="Times New Roman" w:hAnsi="Times New Roman" w:eastAsia="楷体"/>
      <w:sz w:val="24"/>
    </w:rPr>
  </w:style>
  <w:style w:type="paragraph" w:customStyle="1" w:styleId="54">
    <w:name w:val="图、表内容字体"/>
    <w:basedOn w:val="51"/>
    <w:next w:val="1"/>
    <w:autoRedefine/>
    <w:qFormat/>
    <w:uiPriority w:val="0"/>
    <w:pPr>
      <w:spacing w:line="440" w:lineRule="exact"/>
      <w:ind w:firstLine="0" w:firstLineChars="0"/>
      <w:jc w:val="center"/>
    </w:pPr>
    <w:rPr>
      <w:sz w:val="21"/>
    </w:rPr>
  </w:style>
  <w:style w:type="paragraph" w:customStyle="1" w:styleId="55">
    <w:name w:val="报告正文"/>
    <w:basedOn w:val="1"/>
    <w:autoRedefine/>
    <w:qFormat/>
    <w:uiPriority w:val="0"/>
  </w:style>
  <w:style w:type="paragraph" w:customStyle="1" w:styleId="56">
    <w:name w:val="风评表头"/>
    <w:basedOn w:val="1"/>
    <w:next w:val="1"/>
    <w:qFormat/>
    <w:uiPriority w:val="0"/>
    <w:pPr>
      <w:spacing w:beforeLines="100"/>
      <w:jc w:val="center"/>
    </w:pPr>
    <w:rPr>
      <w:rFonts w:eastAsia="黑体"/>
      <w:b/>
    </w:rPr>
  </w:style>
  <w:style w:type="paragraph" w:customStyle="1" w:styleId="57">
    <w:name w:val="*正文"/>
    <w:basedOn w:val="1"/>
    <w:autoRedefine/>
    <w:qFormat/>
    <w:uiPriority w:val="0"/>
    <w:pPr>
      <w:ind w:firstLine="200"/>
    </w:pPr>
    <w:rPr>
      <w:kern w:val="0"/>
    </w:rPr>
  </w:style>
  <w:style w:type="paragraph" w:customStyle="1" w:styleId="58">
    <w:name w:val="正文3"/>
    <w:basedOn w:val="1"/>
    <w:next w:val="1"/>
    <w:autoRedefine/>
    <w:qFormat/>
    <w:uiPriority w:val="0"/>
    <w:pPr>
      <w:spacing w:line="529" w:lineRule="exact"/>
    </w:pPr>
    <w:rPr>
      <w:rFonts w:ascii="宋体" w:hAnsi="宋体"/>
    </w:rPr>
  </w:style>
  <w:style w:type="paragraph" w:customStyle="1" w:styleId="59">
    <w:name w:val="三级条标题"/>
    <w:basedOn w:val="1"/>
    <w:next w:val="1"/>
    <w:autoRedefine/>
    <w:qFormat/>
    <w:uiPriority w:val="0"/>
    <w:pPr>
      <w:widowControl/>
      <w:tabs>
        <w:tab w:val="left" w:pos="360"/>
      </w:tabs>
      <w:spacing w:line="240" w:lineRule="auto"/>
      <w:ind w:firstLine="0" w:firstLineChars="0"/>
      <w:outlineLvl w:val="4"/>
    </w:pPr>
    <w:rPr>
      <w:rFonts w:ascii="黑体" w:eastAsia="黑体"/>
      <w:kern w:val="0"/>
      <w:sz w:val="21"/>
      <w:szCs w:val="20"/>
    </w:rPr>
  </w:style>
  <w:style w:type="paragraph" w:customStyle="1" w:styleId="60">
    <w:name w:val="图表"/>
    <w:next w:val="1"/>
    <w:autoRedefine/>
    <w:qFormat/>
    <w:locked/>
    <w:uiPriority w:val="0"/>
    <w:pPr>
      <w:jc w:val="center"/>
    </w:pPr>
    <w:rPr>
      <w:rFonts w:ascii="Times New Roman" w:hAnsi="Times New Roman" w:eastAsia="宋体" w:cs="Times New Roman"/>
      <w:kern w:val="2"/>
      <w:sz w:val="21"/>
      <w:szCs w:val="24"/>
      <w:lang w:val="en-US" w:eastAsia="zh-CN" w:bidi="ar-SA"/>
    </w:rPr>
  </w:style>
  <w:style w:type="paragraph" w:customStyle="1" w:styleId="61">
    <w:name w:val="正文-ls"/>
    <w:basedOn w:val="1"/>
    <w:autoRedefine/>
    <w:qFormat/>
    <w:uiPriority w:val="0"/>
    <w:pPr>
      <w:ind w:firstLine="200"/>
    </w:pPr>
    <w:rPr>
      <w:rFonts w:hAnsi="宋体"/>
      <w:szCs w:val="20"/>
    </w:rPr>
  </w:style>
  <w:style w:type="paragraph" w:styleId="62">
    <w:name w:val="No Spacing"/>
    <w:next w:val="46"/>
    <w:autoRedefine/>
    <w:qFormat/>
    <w:uiPriority w:val="0"/>
    <w:pPr>
      <w:jc w:val="center"/>
    </w:pPr>
    <w:rPr>
      <w:rFonts w:ascii="Times New Roman" w:hAnsi="Times New Roman" w:eastAsia="宋体" w:cs="Times New Roman"/>
      <w:sz w:val="21"/>
      <w:szCs w:val="22"/>
      <w:lang w:val="en-US" w:eastAsia="zh-CN" w:bidi="ar-SA"/>
    </w:rPr>
  </w:style>
  <w:style w:type="paragraph" w:customStyle="1" w:styleId="63">
    <w:name w:val="3表格"/>
    <w:next w:val="1"/>
    <w:qFormat/>
    <w:uiPriority w:val="0"/>
    <w:pPr>
      <w:overflowPunct w:val="0"/>
      <w:adjustRightInd w:val="0"/>
      <w:jc w:val="center"/>
      <w:textAlignment w:val="baseline"/>
    </w:pPr>
    <w:rPr>
      <w:rFonts w:ascii="Times New Roman" w:hAnsi="Times New Roman" w:eastAsia="宋体" w:cs="Times New Roman"/>
      <w:sz w:val="21"/>
      <w:lang w:val="en-US" w:eastAsia="zh-CN" w:bidi="ar-SA"/>
    </w:rPr>
  </w:style>
  <w:style w:type="paragraph" w:customStyle="1" w:styleId="64">
    <w:name w:val="表格内"/>
    <w:basedOn w:val="1"/>
    <w:autoRedefine/>
    <w:qFormat/>
    <w:uiPriority w:val="0"/>
    <w:pPr>
      <w:spacing w:line="240" w:lineRule="auto"/>
      <w:ind w:firstLine="0" w:firstLineChars="0"/>
      <w:jc w:val="center"/>
    </w:pPr>
    <w:rPr>
      <w:sz w:val="21"/>
    </w:rPr>
  </w:style>
  <w:style w:type="paragraph" w:customStyle="1" w:styleId="65">
    <w:name w:val="表格文字"/>
    <w:basedOn w:val="1"/>
    <w:qFormat/>
    <w:uiPriority w:val="0"/>
    <w:pPr>
      <w:adjustRightInd w:val="0"/>
      <w:snapToGrid w:val="0"/>
      <w:spacing w:line="240" w:lineRule="auto"/>
      <w:ind w:firstLine="0" w:firstLineChars="0"/>
      <w:jc w:val="center"/>
    </w:pPr>
    <w:rPr>
      <w:rFonts w:asciiTheme="minorHAnsi" w:hAnsiTheme="minorHAnsi" w:eastAsiaTheme="minorEastAsia"/>
      <w:sz w:val="21"/>
      <w:szCs w:val="21"/>
    </w:rPr>
  </w:style>
  <w:style w:type="paragraph" w:customStyle="1" w:styleId="66">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7">
    <w:name w:val="font41"/>
    <w:autoRedefine/>
    <w:qFormat/>
    <w:uiPriority w:val="0"/>
    <w:rPr>
      <w:rFonts w:hint="default" w:ascii="Times New Roman" w:hAnsi="Times New Roman" w:cs="Times New Roman"/>
      <w:color w:val="000000"/>
      <w:sz w:val="22"/>
      <w:szCs w:val="22"/>
      <w:u w:val="none"/>
    </w:rPr>
  </w:style>
  <w:style w:type="paragraph" w:customStyle="1" w:styleId="68">
    <w:name w:val=" Char"/>
    <w:basedOn w:val="1"/>
    <w:qFormat/>
    <w:uiPriority w:val="0"/>
    <w:pPr>
      <w:autoSpaceDE w:val="0"/>
      <w:autoSpaceDN w:val="0"/>
      <w:adjustRightInd w:val="0"/>
      <w:snapToGrid w:val="0"/>
      <w:spacing w:before="50" w:beforeLines="0" w:after="50" w:afterLines="0" w:line="360" w:lineRule="auto"/>
      <w:ind w:firstLine="560" w:firstLineChars="200"/>
    </w:pPr>
    <w:rPr>
      <w:rFonts w:ascii="Times New Roman" w:hAnsi="Times New Roman" w:eastAsia="仿宋_GB2312"/>
      <w:color w:val="000000"/>
      <w:sz w:val="24"/>
      <w:szCs w:val="28"/>
    </w:rPr>
  </w:style>
  <w:style w:type="paragraph" w:customStyle="1" w:styleId="69">
    <w:name w:val="中等深浅网格 21"/>
    <w:basedOn w:val="1"/>
    <w:autoRedefine/>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cs="Times New Roman"/>
      <w:kern w:val="2"/>
      <w:sz w:val="21"/>
      <w:szCs w:val="21"/>
      <w:lang w:val="en-US" w:eastAsia="zh-CN" w:bidi="ar"/>
    </w:rPr>
  </w:style>
  <w:style w:type="paragraph" w:customStyle="1" w:styleId="70">
    <w:name w:val="无间隔表格内"/>
    <w:basedOn w:val="71"/>
    <w:autoRedefine/>
    <w:qFormat/>
    <w:uiPriority w:val="0"/>
    <w:rPr>
      <w:b w:val="0"/>
      <w:sz w:val="21"/>
    </w:rPr>
  </w:style>
  <w:style w:type="paragraph" w:customStyle="1" w:styleId="71">
    <w:name w:val="表   头"/>
    <w:basedOn w:val="1"/>
    <w:autoRedefine/>
    <w:qFormat/>
    <w:uiPriority w:val="0"/>
    <w:pPr>
      <w:adjustRightInd w:val="0"/>
      <w:snapToGrid w:val="0"/>
      <w:jc w:val="center"/>
    </w:pPr>
    <w:rPr>
      <w:b/>
      <w:sz w:val="24"/>
      <w:szCs w:val="22"/>
    </w:rPr>
  </w:style>
  <w:style w:type="paragraph" w:customStyle="1" w:styleId="72">
    <w:name w:val="Table Text"/>
    <w:basedOn w:val="1"/>
    <w:semiHidden/>
    <w:qFormat/>
    <w:uiPriority w:val="0"/>
    <w:rPr>
      <w:rFonts w:ascii="宋体" w:hAnsi="宋体" w:eastAsia="宋体" w:cs="宋体"/>
      <w:sz w:val="21"/>
      <w:szCs w:val="21"/>
      <w:lang w:val="en-US" w:eastAsia="en-US" w:bidi="ar-SA"/>
    </w:rPr>
  </w:style>
  <w:style w:type="table" w:customStyle="1" w:styleId="7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wmf"/><Relationship Id="rId17" Type="http://schemas.openxmlformats.org/officeDocument/2006/relationships/image" Target="media/image7.png"/><Relationship Id="rId16" Type="http://schemas.openxmlformats.org/officeDocument/2006/relationships/image" Target="media/image6.wmf"/><Relationship Id="rId15" Type="http://schemas.openxmlformats.org/officeDocument/2006/relationships/oleObject" Target="embeddings/oleObject1.bin"/><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67</Pages>
  <Words>41072</Words>
  <Characters>45355</Characters>
  <Lines>127</Lines>
  <Paragraphs>147</Paragraphs>
  <TotalTime>204</TotalTime>
  <ScaleCrop>false</ScaleCrop>
  <LinksUpToDate>false</LinksUpToDate>
  <CharactersWithSpaces>45355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2020-12-26T17:42:00Z</dcterms:created>
  <dc:creator>lhj</dc:creator>
  <cp:lastModifiedBy>bulabula</cp:lastModifiedBy>
  <cp:lastPrinted>2022-10-10T23:25:00Z</cp:lastPrinted>
  <dcterms:modified xsi:type="dcterms:W3CDTF">2025-10-16T06:23:58Z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1EA034F2DFAA44398BCA4EC593CF6DAF_13</vt:lpwstr>
  </property>
  <property fmtid="{D5CDD505-2E9C-101B-9397-08002B2CF9AE}" pid="4" name="KSOTemplateDocerSaveRecord">
    <vt:lpwstr>eyJoZGlkIjoiMzk5YTZmZGUyMjA3MjliMmRiY2YzNmIzODg2M2ZhNDciLCJ1c2VySWQiOiIzNzQ2OTk4MjEifQ==</vt:lpwstr>
  </property>
</Properties>
</file>