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F7B10">
      <w:pPr>
        <w:jc w:val="center"/>
        <w:rPr>
          <w:rFonts w:hint="eastAsia"/>
          <w:color w:val="000000" w:themeColor="text1"/>
          <w:lang w:val="en-US" w:eastAsia="zh-CN"/>
          <w14:textFill>
            <w14:solidFill>
              <w14:schemeClr w14:val="tx1"/>
            </w14:solidFill>
          </w14:textFill>
        </w:rPr>
      </w:pPr>
    </w:p>
    <w:p w14:paraId="02D6F1E5">
      <w:pPr>
        <w:jc w:val="center"/>
        <w:rPr>
          <w:rFonts w:hint="eastAsia"/>
          <w:color w:val="000000" w:themeColor="text1"/>
          <w:lang w:val="en-US" w:eastAsia="zh-CN"/>
          <w14:textFill>
            <w14:solidFill>
              <w14:schemeClr w14:val="tx1"/>
            </w14:solidFill>
          </w14:textFill>
        </w:rPr>
      </w:pPr>
    </w:p>
    <w:p w14:paraId="53830612">
      <w:pPr>
        <w:jc w:val="center"/>
        <w:rPr>
          <w:rFonts w:hint="eastAsia"/>
          <w:color w:val="000000" w:themeColor="text1"/>
          <w:lang w:val="en-US" w:eastAsia="zh-CN"/>
          <w14:textFill>
            <w14:solidFill>
              <w14:schemeClr w14:val="tx1"/>
            </w14:solidFill>
          </w14:textFill>
        </w:rPr>
      </w:pPr>
    </w:p>
    <w:p w14:paraId="475E50B6">
      <w:pPr>
        <w:jc w:val="center"/>
        <w:rPr>
          <w:rFonts w:hint="eastAsia"/>
          <w:color w:val="000000" w:themeColor="text1"/>
          <w:lang w:val="en-US" w:eastAsia="zh-CN"/>
          <w14:textFill>
            <w14:solidFill>
              <w14:schemeClr w14:val="tx1"/>
            </w14:solidFill>
          </w14:textFill>
        </w:rPr>
      </w:pPr>
    </w:p>
    <w:p w14:paraId="593493F6">
      <w:pPr>
        <w:jc w:val="center"/>
        <w:rPr>
          <w:rFonts w:hint="eastAsia"/>
          <w:color w:val="000000" w:themeColor="text1"/>
          <w:lang w:val="en-US" w:eastAsia="zh-CN"/>
          <w14:textFill>
            <w14:solidFill>
              <w14:schemeClr w14:val="tx1"/>
            </w14:solidFill>
          </w14:textFill>
        </w:rPr>
      </w:pPr>
    </w:p>
    <w:p w14:paraId="0077D624">
      <w:pPr>
        <w:jc w:val="center"/>
        <w:rPr>
          <w:rFonts w:hint="eastAsia" w:ascii="黑体" w:hAnsi="黑体" w:eastAsia="黑体" w:cs="黑体"/>
          <w:color w:val="000000" w:themeColor="text1"/>
          <w:sz w:val="72"/>
          <w:szCs w:val="112"/>
          <w:lang w:val="en-US" w:eastAsia="zh-CN"/>
          <w14:textFill>
            <w14:solidFill>
              <w14:schemeClr w14:val="tx1"/>
            </w14:solidFill>
          </w14:textFill>
        </w:rPr>
      </w:pPr>
      <w:r>
        <w:rPr>
          <w:rFonts w:hint="eastAsia" w:ascii="黑体" w:hAnsi="黑体" w:eastAsia="黑体" w:cs="黑体"/>
          <w:color w:val="000000" w:themeColor="text1"/>
          <w:sz w:val="72"/>
          <w:szCs w:val="112"/>
          <w:lang w:val="en-US" w:eastAsia="zh-CN"/>
          <w14:textFill>
            <w14:solidFill>
              <w14:schemeClr w14:val="tx1"/>
            </w14:solidFill>
          </w14:textFill>
        </w:rPr>
        <w:t>建设项目环境影响报告表</w:t>
      </w:r>
    </w:p>
    <w:p w14:paraId="7B92E7EE">
      <w:pPr>
        <w:jc w:val="center"/>
        <w:rPr>
          <w:rFonts w:hint="eastAsia" w:ascii="宋体" w:hAnsi="宋体" w:eastAsia="宋体" w:cs="宋体"/>
          <w:color w:val="000000" w:themeColor="text1"/>
          <w:sz w:val="52"/>
          <w:szCs w:val="60"/>
          <w:lang w:val="en-US" w:eastAsia="zh-CN"/>
          <w14:textFill>
            <w14:solidFill>
              <w14:schemeClr w14:val="tx1"/>
            </w14:solidFill>
          </w14:textFill>
        </w:rPr>
      </w:pPr>
      <w:r>
        <w:rPr>
          <w:rFonts w:hint="eastAsia" w:ascii="宋体" w:hAnsi="宋体" w:eastAsia="宋体" w:cs="宋体"/>
          <w:color w:val="000000" w:themeColor="text1"/>
          <w:sz w:val="52"/>
          <w:szCs w:val="60"/>
          <w:lang w:val="en-US" w:eastAsia="zh-CN"/>
          <w14:textFill>
            <w14:solidFill>
              <w14:schemeClr w14:val="tx1"/>
            </w14:solidFill>
          </w14:textFill>
        </w:rPr>
        <w:t>（污染影响类）</w:t>
      </w:r>
    </w:p>
    <w:p w14:paraId="55AF7484">
      <w:pPr>
        <w:jc w:val="center"/>
        <w:rPr>
          <w:rFonts w:hint="eastAsia" w:ascii="黑体" w:hAnsi="黑体" w:eastAsia="黑体" w:cs="黑体"/>
          <w:color w:val="000000" w:themeColor="text1"/>
          <w:sz w:val="60"/>
          <w:szCs w:val="96"/>
          <w:lang w:val="en-US" w:eastAsia="zh-CN"/>
          <w14:textFill>
            <w14:solidFill>
              <w14:schemeClr w14:val="tx1"/>
            </w14:solidFill>
          </w14:textFill>
        </w:rPr>
      </w:pPr>
    </w:p>
    <w:p w14:paraId="2238275D">
      <w:pPr>
        <w:jc w:val="center"/>
        <w:rPr>
          <w:rFonts w:hint="eastAsia" w:ascii="黑体" w:hAnsi="黑体" w:eastAsia="黑体" w:cs="黑体"/>
          <w:color w:val="000000" w:themeColor="text1"/>
          <w:sz w:val="60"/>
          <w:szCs w:val="96"/>
          <w:lang w:val="en-US" w:eastAsia="zh-CN"/>
          <w14:textFill>
            <w14:solidFill>
              <w14:schemeClr w14:val="tx1"/>
            </w14:solidFill>
          </w14:textFill>
        </w:rPr>
      </w:pPr>
    </w:p>
    <w:p w14:paraId="27699E73">
      <w:pPr>
        <w:jc w:val="center"/>
        <w:rPr>
          <w:rFonts w:hint="eastAsia" w:ascii="黑体" w:hAnsi="黑体" w:eastAsia="黑体" w:cs="黑体"/>
          <w:color w:val="000000" w:themeColor="text1"/>
          <w:sz w:val="60"/>
          <w:szCs w:val="96"/>
          <w:lang w:val="en-US" w:eastAsia="zh-CN"/>
          <w14:textFill>
            <w14:solidFill>
              <w14:schemeClr w14:val="tx1"/>
            </w14:solidFill>
          </w14:textFill>
        </w:rPr>
      </w:pPr>
    </w:p>
    <w:p w14:paraId="08149090">
      <w:pPr>
        <w:jc w:val="center"/>
        <w:rPr>
          <w:rFonts w:hint="eastAsia" w:asciiTheme="minorEastAsia" w:hAnsiTheme="minorEastAsia" w:eastAsiaTheme="minorEastAsia" w:cstheme="minorEastAsia"/>
          <w:color w:val="000000" w:themeColor="text1"/>
          <w:sz w:val="28"/>
          <w:szCs w:val="36"/>
          <w:lang w:val="en-US" w:eastAsia="zh-CN"/>
          <w14:textFill>
            <w14:solidFill>
              <w14:schemeClr w14:val="tx1"/>
            </w14:solidFill>
          </w14:textFill>
        </w:rPr>
      </w:pPr>
    </w:p>
    <w:p w14:paraId="140CE731">
      <w:pPr>
        <w:jc w:val="center"/>
        <w:rPr>
          <w:rFonts w:hint="eastAsia" w:asciiTheme="minorEastAsia" w:hAnsiTheme="minorEastAsia" w:eastAsiaTheme="minorEastAsia" w:cstheme="minorEastAsia"/>
          <w:color w:val="000000" w:themeColor="text1"/>
          <w:sz w:val="28"/>
          <w:szCs w:val="36"/>
          <w:lang w:val="en-US" w:eastAsia="zh-CN"/>
          <w14:textFill>
            <w14:solidFill>
              <w14:schemeClr w14:val="tx1"/>
            </w14:solidFill>
          </w14:textFill>
        </w:rPr>
      </w:pPr>
    </w:p>
    <w:p w14:paraId="7753A055">
      <w:pPr>
        <w:jc w:val="center"/>
        <w:rPr>
          <w:rFonts w:hint="eastAsia" w:asciiTheme="minorEastAsia" w:hAnsiTheme="minorEastAsia" w:eastAsiaTheme="minorEastAsia" w:cstheme="minorEastAsia"/>
          <w:color w:val="000000" w:themeColor="text1"/>
          <w:sz w:val="28"/>
          <w:szCs w:val="36"/>
          <w:lang w:val="en-US" w:eastAsia="zh-CN"/>
          <w14:textFill>
            <w14:solidFill>
              <w14:schemeClr w14:val="tx1"/>
            </w14:solidFill>
          </w14:textFill>
        </w:rPr>
      </w:pPr>
    </w:p>
    <w:p w14:paraId="5D644FF0">
      <w:pPr>
        <w:jc w:val="center"/>
        <w:rPr>
          <w:rFonts w:hint="eastAsia" w:asciiTheme="minorEastAsia" w:hAnsiTheme="minorEastAsia" w:eastAsiaTheme="minorEastAsia" w:cstheme="minorEastAsia"/>
          <w:color w:val="000000" w:themeColor="text1"/>
          <w:sz w:val="28"/>
          <w:szCs w:val="36"/>
          <w:lang w:val="en-US" w:eastAsia="zh-CN"/>
          <w14:textFill>
            <w14:solidFill>
              <w14:schemeClr w14:val="tx1"/>
            </w14:solidFill>
          </w14:textFill>
        </w:rPr>
      </w:pPr>
    </w:p>
    <w:p w14:paraId="29F552B1">
      <w:pPr>
        <w:ind w:left="0" w:leftChars="0" w:firstLine="834" w:firstLineChars="128"/>
        <w:jc w:val="both"/>
        <w:rPr>
          <w:rFonts w:hint="eastAsia" w:ascii="宋体" w:hAnsi="宋体" w:eastAsia="宋体" w:cs="Times New Roman"/>
          <w:color w:val="000000" w:themeColor="text1"/>
          <w:sz w:val="28"/>
          <w:szCs w:val="28"/>
          <w:u w:val="single"/>
          <w:lang w:val="en-US" w:eastAsia="zh-CN"/>
          <w14:textFill>
            <w14:solidFill>
              <w14:schemeClr w14:val="tx1"/>
            </w14:solidFill>
          </w14:textFill>
        </w:rPr>
      </w:pPr>
      <w:r>
        <w:rPr>
          <w:rFonts w:hint="eastAsia" w:asciiTheme="minorEastAsia" w:hAnsiTheme="minorEastAsia" w:cstheme="minorEastAsia"/>
          <w:color w:val="000000" w:themeColor="text1"/>
          <w:spacing w:val="186"/>
          <w:kern w:val="0"/>
          <w:sz w:val="28"/>
          <w:szCs w:val="36"/>
          <w:fitText w:val="2240" w:id="1971073846"/>
          <w:lang w:val="en-US" w:eastAsia="zh-CN"/>
          <w14:textFill>
            <w14:solidFill>
              <w14:schemeClr w14:val="tx1"/>
            </w14:solidFill>
          </w14:textFill>
        </w:rPr>
        <w:t>项目名</w:t>
      </w:r>
      <w:r>
        <w:rPr>
          <w:rFonts w:hint="eastAsia" w:asciiTheme="minorEastAsia" w:hAnsiTheme="minorEastAsia" w:cstheme="minorEastAsia"/>
          <w:color w:val="000000" w:themeColor="text1"/>
          <w:spacing w:val="2"/>
          <w:kern w:val="0"/>
          <w:sz w:val="28"/>
          <w:szCs w:val="36"/>
          <w:fitText w:val="2240" w:id="1971073846"/>
          <w:lang w:val="en-US" w:eastAsia="zh-CN"/>
          <w14:textFill>
            <w14:solidFill>
              <w14:schemeClr w14:val="tx1"/>
            </w14:solidFill>
          </w14:textFill>
        </w:rPr>
        <w:t>称</w:t>
      </w:r>
      <w:r>
        <w:rPr>
          <w:rFonts w:hint="eastAsia" w:asciiTheme="minorEastAsia" w:hAnsiTheme="minorEastAsia" w:cstheme="minorEastAsia"/>
          <w:color w:val="000000" w:themeColor="text1"/>
          <w:sz w:val="28"/>
          <w:szCs w:val="36"/>
          <w:lang w:val="en-US" w:eastAsia="zh-CN"/>
          <w14:textFill>
            <w14:solidFill>
              <w14:schemeClr w14:val="tx1"/>
            </w14:solidFill>
          </w14:textFill>
        </w:rPr>
        <w:t>：</w:t>
      </w:r>
      <w:r>
        <w:rPr>
          <w:rFonts w:hint="eastAsia" w:ascii="宋体" w:hAnsi="宋体" w:eastAsia="宋体" w:cs="Times New Roman"/>
          <w:color w:val="000000" w:themeColor="text1"/>
          <w:sz w:val="28"/>
          <w:szCs w:val="28"/>
          <w:u w:val="single"/>
          <w:lang w:val="en-US" w:eastAsia="zh-CN"/>
          <w14:textFill>
            <w14:solidFill>
              <w14:schemeClr w14:val="tx1"/>
            </w14:solidFill>
          </w14:textFill>
        </w:rPr>
        <w:t>陕西柯尔斯复合材料科技有限公司</w:t>
      </w:r>
    </w:p>
    <w:p w14:paraId="1B75A15D">
      <w:pPr>
        <w:jc w:val="center"/>
        <w:rPr>
          <w:rFonts w:hint="default" w:asciiTheme="minorEastAsia" w:hAnsiTheme="minorEastAsia" w:cstheme="minorEastAsia"/>
          <w:color w:val="000000" w:themeColor="text1"/>
          <w:sz w:val="40"/>
          <w:szCs w:val="48"/>
          <w:u w:val="single"/>
          <w:lang w:val="en-US" w:eastAsia="zh-CN"/>
          <w14:textFill>
            <w14:solidFill>
              <w14:schemeClr w14:val="tx1"/>
            </w14:solidFill>
          </w14:textFill>
        </w:rPr>
      </w:pPr>
      <w:r>
        <w:rPr>
          <w:rFonts w:hint="eastAsia" w:ascii="宋体" w:hAnsi="宋体" w:eastAsia="宋体" w:cs="Times New Roman"/>
          <w:color w:val="000000" w:themeColor="text1"/>
          <w:sz w:val="28"/>
          <w:szCs w:val="28"/>
          <w:u w:val="none"/>
          <w:lang w:val="en-US" w:eastAsia="zh-CN"/>
          <w14:textFill>
            <w14:solidFill>
              <w14:schemeClr w14:val="tx1"/>
            </w14:solidFill>
          </w14:textFill>
        </w:rPr>
        <w:t xml:space="preserve">         </w:t>
      </w:r>
      <w:r>
        <w:rPr>
          <w:rFonts w:hint="eastAsia" w:ascii="宋体" w:hAnsi="宋体" w:eastAsia="宋体" w:cs="Times New Roman"/>
          <w:color w:val="000000" w:themeColor="text1"/>
          <w:sz w:val="28"/>
          <w:szCs w:val="28"/>
          <w:u w:val="single"/>
          <w:lang w:val="en-US" w:eastAsia="zh-CN"/>
          <w14:textFill>
            <w14:solidFill>
              <w14:schemeClr w14:val="tx1"/>
            </w14:solidFill>
          </w14:textFill>
        </w:rPr>
        <w:t xml:space="preserve">复合材料产能提升项目          </w:t>
      </w:r>
    </w:p>
    <w:p w14:paraId="12B64617">
      <w:pPr>
        <w:ind w:left="0" w:leftChars="0" w:firstLine="840" w:firstLineChars="300"/>
        <w:jc w:val="both"/>
        <w:rPr>
          <w:rFonts w:hint="eastAsia" w:asciiTheme="minorEastAsia" w:hAnsi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cstheme="minorEastAsia"/>
          <w:color w:val="000000" w:themeColor="text1"/>
          <w:spacing w:val="0"/>
          <w:kern w:val="0"/>
          <w:sz w:val="28"/>
          <w:szCs w:val="36"/>
          <w:fitText w:val="2240" w:id="1896425541"/>
          <w:lang w:val="en-US" w:eastAsia="zh-CN"/>
          <w14:textFill>
            <w14:solidFill>
              <w14:schemeClr w14:val="tx1"/>
            </w14:solidFill>
          </w14:textFill>
        </w:rPr>
        <w:t>建设单位（盖章）</w:t>
      </w:r>
      <w:r>
        <w:rPr>
          <w:rFonts w:hint="eastAsia" w:asciiTheme="minorEastAsia" w:hAnsiTheme="minorEastAsia" w:cstheme="minorEastAsia"/>
          <w:color w:val="000000" w:themeColor="text1"/>
          <w:sz w:val="28"/>
          <w:szCs w:val="36"/>
          <w:lang w:val="en-US" w:eastAsia="zh-CN"/>
          <w14:textFill>
            <w14:solidFill>
              <w14:schemeClr w14:val="tx1"/>
            </w14:solidFill>
          </w14:textFill>
        </w:rPr>
        <w:t>：</w:t>
      </w:r>
      <w:r>
        <w:rPr>
          <w:rFonts w:hint="eastAsia" w:ascii="宋体" w:hAnsi="宋体" w:eastAsia="宋体" w:cs="Times New Roman"/>
          <w:color w:val="000000" w:themeColor="text1"/>
          <w:sz w:val="28"/>
          <w:szCs w:val="28"/>
          <w:u w:val="single"/>
          <w:lang w:val="en-US" w:eastAsia="zh-CN"/>
          <w14:textFill>
            <w14:solidFill>
              <w14:schemeClr w14:val="tx1"/>
            </w14:solidFill>
          </w14:textFill>
        </w:rPr>
        <w:t>陕西柯尔斯复合材料科技有限公司</w:t>
      </w:r>
    </w:p>
    <w:p w14:paraId="4748108D">
      <w:pPr>
        <w:ind w:left="0" w:leftChars="0" w:firstLine="834" w:firstLineChars="128"/>
        <w:jc w:val="both"/>
        <w:rPr>
          <w:rFonts w:hint="eastAsia" w:asciiTheme="minorEastAsia" w:hAnsiTheme="minorEastAsia" w:cstheme="minorEastAsia"/>
          <w:color w:val="000000" w:themeColor="text1"/>
          <w:sz w:val="28"/>
          <w:szCs w:val="36"/>
          <w:u w:val="single"/>
          <w:lang w:val="en-US" w:eastAsia="zh-CN"/>
          <w14:textFill>
            <w14:solidFill>
              <w14:schemeClr w14:val="tx1"/>
            </w14:solidFill>
          </w14:textFill>
        </w:rPr>
      </w:pPr>
      <w:r>
        <w:rPr>
          <w:rFonts w:hint="eastAsia" w:asciiTheme="minorEastAsia" w:hAnsiTheme="minorEastAsia" w:cstheme="minorEastAsia"/>
          <w:color w:val="000000" w:themeColor="text1"/>
          <w:spacing w:val="186"/>
          <w:kern w:val="0"/>
          <w:sz w:val="28"/>
          <w:szCs w:val="36"/>
          <w:fitText w:val="2240" w:id="1694386574"/>
          <w:lang w:val="en-US" w:eastAsia="zh-CN"/>
          <w14:textFill>
            <w14:solidFill>
              <w14:schemeClr w14:val="tx1"/>
            </w14:solidFill>
          </w14:textFill>
        </w:rPr>
        <w:t>编制日</w:t>
      </w:r>
      <w:r>
        <w:rPr>
          <w:rFonts w:hint="eastAsia" w:asciiTheme="minorEastAsia" w:hAnsiTheme="minorEastAsia" w:cstheme="minorEastAsia"/>
          <w:color w:val="000000" w:themeColor="text1"/>
          <w:spacing w:val="2"/>
          <w:kern w:val="0"/>
          <w:sz w:val="28"/>
          <w:szCs w:val="36"/>
          <w:fitText w:val="2240" w:id="1694386574"/>
          <w:lang w:val="en-US" w:eastAsia="zh-CN"/>
          <w14:textFill>
            <w14:solidFill>
              <w14:schemeClr w14:val="tx1"/>
            </w14:solidFill>
          </w14:textFill>
        </w:rPr>
        <w:t>期</w:t>
      </w:r>
      <w:r>
        <w:rPr>
          <w:rFonts w:hint="eastAsia" w:asciiTheme="minorEastAsia" w:hAnsiTheme="minorEastAsia" w:cstheme="minorEastAsia"/>
          <w:color w:val="000000" w:themeColor="text1"/>
          <w:sz w:val="28"/>
          <w:szCs w:val="36"/>
          <w:lang w:val="en-US" w:eastAsia="zh-CN"/>
          <w14:textFill>
            <w14:solidFill>
              <w14:schemeClr w14:val="tx1"/>
            </w14:solidFill>
          </w14:textFill>
        </w:rPr>
        <w:t>：</w:t>
      </w:r>
      <w:r>
        <w:rPr>
          <w:rFonts w:hint="eastAsia" w:asciiTheme="minorEastAsia" w:hAnsiTheme="minorEastAsia" w:cstheme="minorEastAsia"/>
          <w:color w:val="000000" w:themeColor="text1"/>
          <w:sz w:val="28"/>
          <w:szCs w:val="36"/>
          <w:u w:val="single"/>
          <w:lang w:val="en-US" w:eastAsia="zh-CN"/>
          <w14:textFill>
            <w14:solidFill>
              <w14:schemeClr w14:val="tx1"/>
            </w14:solidFill>
          </w14:textFill>
        </w:rPr>
        <w:t xml:space="preserve">      二〇二五年五月          </w:t>
      </w:r>
    </w:p>
    <w:p w14:paraId="13F8E481">
      <w:pPr>
        <w:ind w:left="0" w:leftChars="0" w:firstLine="1478" w:firstLineChars="528"/>
        <w:jc w:val="both"/>
        <w:rPr>
          <w:rFonts w:hint="eastAsia" w:asciiTheme="minorEastAsia" w:hAnsiTheme="minorEastAsia" w:cstheme="minorEastAsia"/>
          <w:color w:val="000000" w:themeColor="text1"/>
          <w:sz w:val="28"/>
          <w:szCs w:val="36"/>
          <w:u w:val="single"/>
          <w:lang w:val="en-US" w:eastAsia="zh-CN"/>
          <w14:textFill>
            <w14:solidFill>
              <w14:schemeClr w14:val="tx1"/>
            </w14:solidFill>
          </w14:textFill>
        </w:rPr>
      </w:pPr>
    </w:p>
    <w:p w14:paraId="4E735DDD">
      <w:pPr>
        <w:ind w:left="0" w:leftChars="0" w:firstLine="1478" w:firstLineChars="528"/>
        <w:jc w:val="both"/>
        <w:rPr>
          <w:rFonts w:hint="eastAsia" w:asciiTheme="minorEastAsia" w:hAnsiTheme="minorEastAsia" w:cstheme="minorEastAsia"/>
          <w:color w:val="000000" w:themeColor="text1"/>
          <w:sz w:val="28"/>
          <w:szCs w:val="36"/>
          <w:u w:val="single"/>
          <w:lang w:val="en-US" w:eastAsia="zh-CN"/>
          <w14:textFill>
            <w14:solidFill>
              <w14:schemeClr w14:val="tx1"/>
            </w14:solidFill>
          </w14:textFill>
        </w:rPr>
      </w:pPr>
    </w:p>
    <w:p w14:paraId="3E0BBB0E">
      <w:pPr>
        <w:jc w:val="center"/>
        <w:rPr>
          <w:rFonts w:hint="eastAsia" w:asciiTheme="minorEastAsia" w:hAnsiTheme="minorEastAsia" w:cstheme="minorEastAsia"/>
          <w:color w:val="000000" w:themeColor="text1"/>
          <w:sz w:val="28"/>
          <w:szCs w:val="36"/>
          <w:u w:val="none"/>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heme="minorEastAsia" w:hAnsiTheme="minorEastAsia" w:cstheme="minorEastAsia"/>
          <w:color w:val="000000" w:themeColor="text1"/>
          <w:sz w:val="28"/>
          <w:szCs w:val="36"/>
          <w:u w:val="none"/>
          <w:lang w:val="en-US" w:eastAsia="zh-CN"/>
          <w14:textFill>
            <w14:solidFill>
              <w14:schemeClr w14:val="tx1"/>
            </w14:solidFill>
          </w14:textFill>
        </w:rPr>
        <w:t>中华人民共和国生态环境部制</w:t>
      </w:r>
    </w:p>
    <w:sdt>
      <w:sdtPr>
        <w:rPr>
          <w:rFonts w:ascii="宋体" w:hAnsi="宋体" w:eastAsia="宋体" w:cstheme="minorBidi"/>
          <w:b/>
          <w:bCs/>
          <w:kern w:val="2"/>
          <w:sz w:val="32"/>
          <w:szCs w:val="40"/>
          <w:lang w:val="en-US" w:eastAsia="zh-CN" w:bidi="ar-SA"/>
        </w:rPr>
        <w:id w:val="147465778"/>
        <w15:color w:val="DBDBDB"/>
        <w:docPartObj>
          <w:docPartGallery w:val="Table of Contents"/>
          <w:docPartUnique/>
        </w:docPartObj>
      </w:sdtPr>
      <w:sdtEndPr>
        <w:rPr>
          <w:rFonts w:hint="default" w:asciiTheme="minorEastAsia" w:hAnsiTheme="minorEastAsia" w:eastAsiaTheme="minorEastAsia" w:cstheme="minorEastAsia"/>
          <w:b/>
          <w:bCs/>
          <w:color w:val="000000" w:themeColor="text1"/>
          <w:kern w:val="2"/>
          <w:sz w:val="21"/>
          <w:szCs w:val="36"/>
          <w:u w:val="none"/>
          <w:lang w:val="en-US" w:eastAsia="zh-CN" w:bidi="ar-SA"/>
          <w14:textFill>
            <w14:solidFill>
              <w14:schemeClr w14:val="tx1"/>
            </w14:solidFill>
          </w14:textFill>
        </w:rPr>
      </w:sdtEndPr>
      <w:sdtContent>
        <w:p w14:paraId="0663FA83">
          <w:pPr>
            <w:spacing w:before="0" w:beforeLines="0" w:after="0" w:afterLines="0" w:line="240" w:lineRule="auto"/>
            <w:ind w:left="0" w:leftChars="0" w:right="0" w:rightChars="0" w:firstLine="0" w:firstLineChars="0"/>
            <w:jc w:val="center"/>
            <w:rPr>
              <w:rFonts w:hint="default" w:ascii="Times New Roman" w:hAnsi="Times New Roman" w:cs="Times New Roman"/>
              <w:b/>
              <w:bCs/>
              <w:sz w:val="32"/>
              <w:szCs w:val="40"/>
            </w:rPr>
          </w:pPr>
          <w:r>
            <w:rPr>
              <w:rFonts w:hint="default" w:ascii="Times New Roman" w:hAnsi="Times New Roman" w:eastAsia="宋体" w:cs="Times New Roman"/>
              <w:b/>
              <w:bCs/>
              <w:sz w:val="32"/>
              <w:szCs w:val="40"/>
            </w:rPr>
            <w:t>目</w:t>
          </w:r>
          <w:r>
            <w:rPr>
              <w:rFonts w:hint="default" w:ascii="Times New Roman" w:hAnsi="Times New Roman" w:eastAsia="宋体" w:cs="Times New Roman"/>
              <w:b/>
              <w:bCs/>
              <w:sz w:val="32"/>
              <w:szCs w:val="40"/>
              <w:lang w:val="en-US" w:eastAsia="zh-CN"/>
            </w:rPr>
            <w:t xml:space="preserve"> </w:t>
          </w:r>
          <w:r>
            <w:rPr>
              <w:rFonts w:hint="default" w:ascii="Times New Roman" w:hAnsi="Times New Roman" w:eastAsia="宋体" w:cs="Times New Roman"/>
              <w:b/>
              <w:bCs/>
              <w:sz w:val="32"/>
              <w:szCs w:val="40"/>
            </w:rPr>
            <w:t>录</w:t>
          </w:r>
        </w:p>
        <w:p w14:paraId="6D27BCE3">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8"/>
              <w:szCs w:val="36"/>
            </w:rPr>
          </w:pPr>
          <w:r>
            <w:rPr>
              <w:rFonts w:hint="default" w:ascii="Times New Roman" w:hAnsi="Times New Roman" w:cs="Times New Roman"/>
              <w:color w:val="000000" w:themeColor="text1"/>
              <w:sz w:val="28"/>
              <w:szCs w:val="36"/>
              <w:u w:val="none"/>
              <w:lang w:val="en-US" w:eastAsia="zh-CN"/>
              <w14:textFill>
                <w14:solidFill>
                  <w14:schemeClr w14:val="tx1"/>
                </w14:solidFill>
              </w14:textFill>
            </w:rPr>
            <w:fldChar w:fldCharType="begin"/>
          </w:r>
          <w:r>
            <w:rPr>
              <w:rFonts w:hint="default" w:ascii="Times New Roman" w:hAnsi="Times New Roman" w:cs="Times New Roman"/>
              <w:color w:val="000000" w:themeColor="text1"/>
              <w:sz w:val="28"/>
              <w:szCs w:val="36"/>
              <w:u w:val="none"/>
              <w:lang w:val="en-US" w:eastAsia="zh-CN"/>
              <w14:textFill>
                <w14:solidFill>
                  <w14:schemeClr w14:val="tx1"/>
                </w14:solidFill>
              </w14:textFill>
            </w:rPr>
            <w:instrText xml:space="preserve">TOC \o "1-1" \h \u </w:instrText>
          </w:r>
          <w:r>
            <w:rPr>
              <w:rFonts w:hint="default" w:ascii="Times New Roman" w:hAnsi="Times New Roman" w:cs="Times New Roman"/>
              <w:color w:val="000000" w:themeColor="text1"/>
              <w:sz w:val="28"/>
              <w:szCs w:val="36"/>
              <w:u w:val="none"/>
              <w:lang w:val="en-US" w:eastAsia="zh-CN"/>
              <w14:textFill>
                <w14:solidFill>
                  <w14:schemeClr w14:val="tx1"/>
                </w14:solidFill>
              </w14:textFill>
            </w:rPr>
            <w:fldChar w:fldCharType="separate"/>
          </w:r>
          <w:r>
            <w:rPr>
              <w:rFonts w:hint="default" w:ascii="Times New Roman" w:hAnsi="Times New Roman" w:cs="Times New Roman"/>
              <w:color w:val="000000" w:themeColor="text1"/>
              <w:sz w:val="28"/>
              <w:szCs w:val="48"/>
              <w:u w:val="none"/>
              <w:lang w:val="en-US" w:eastAsia="zh-CN"/>
              <w14:textFill>
                <w14:solidFill>
                  <w14:schemeClr w14:val="tx1"/>
                </w14:solidFill>
              </w14:textFill>
            </w:rPr>
            <w:fldChar w:fldCharType="begin"/>
          </w:r>
          <w:r>
            <w:rPr>
              <w:rFonts w:hint="default" w:ascii="Times New Roman" w:hAnsi="Times New Roman" w:cs="Times New Roman"/>
              <w:sz w:val="28"/>
              <w:szCs w:val="48"/>
              <w:lang w:val="en-US" w:eastAsia="zh-CN"/>
            </w:rPr>
            <w:instrText xml:space="preserve"> HYPERLINK \l _Toc22958 </w:instrText>
          </w:r>
          <w:r>
            <w:rPr>
              <w:rFonts w:hint="default" w:ascii="Times New Roman" w:hAnsi="Times New Roman" w:cs="Times New Roman"/>
              <w:sz w:val="28"/>
              <w:szCs w:val="48"/>
              <w:lang w:val="en-US" w:eastAsia="zh-CN"/>
            </w:rPr>
            <w:fldChar w:fldCharType="separate"/>
          </w:r>
          <w:r>
            <w:rPr>
              <w:rFonts w:hint="default" w:ascii="Times New Roman" w:hAnsi="Times New Roman" w:cs="Times New Roman"/>
              <w:sz w:val="28"/>
              <w:szCs w:val="40"/>
            </w:rPr>
            <w:t>一、建设项目基本情况</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_Toc22958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w:t>
          </w:r>
          <w:r>
            <w:rPr>
              <w:rFonts w:hint="default" w:ascii="Times New Roman" w:hAnsi="Times New Roman" w:cs="Times New Roman"/>
              <w:sz w:val="28"/>
              <w:szCs w:val="36"/>
            </w:rPr>
            <w:fldChar w:fldCharType="end"/>
          </w:r>
          <w:r>
            <w:rPr>
              <w:rFonts w:hint="default" w:ascii="Times New Roman" w:hAnsi="Times New Roman" w:cs="Times New Roman"/>
              <w:color w:val="000000" w:themeColor="text1"/>
              <w:sz w:val="28"/>
              <w:szCs w:val="48"/>
              <w:u w:val="none"/>
              <w:lang w:val="en-US" w:eastAsia="zh-CN"/>
              <w14:textFill>
                <w14:solidFill>
                  <w14:schemeClr w14:val="tx1"/>
                </w14:solidFill>
              </w14:textFill>
            </w:rPr>
            <w:fldChar w:fldCharType="end"/>
          </w:r>
        </w:p>
        <w:p w14:paraId="75290A1F">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8"/>
              <w:szCs w:val="36"/>
            </w:rPr>
          </w:pPr>
          <w:r>
            <w:rPr>
              <w:rFonts w:hint="default" w:ascii="Times New Roman" w:hAnsi="Times New Roman" w:cs="Times New Roman"/>
              <w:color w:val="000000" w:themeColor="text1"/>
              <w:sz w:val="28"/>
              <w:szCs w:val="48"/>
              <w:u w:val="none"/>
              <w:lang w:val="en-US" w:eastAsia="zh-CN"/>
              <w14:textFill>
                <w14:solidFill>
                  <w14:schemeClr w14:val="tx1"/>
                </w14:solidFill>
              </w14:textFill>
            </w:rPr>
            <w:fldChar w:fldCharType="begin"/>
          </w:r>
          <w:r>
            <w:rPr>
              <w:rFonts w:hint="default" w:ascii="Times New Roman" w:hAnsi="Times New Roman" w:cs="Times New Roman"/>
              <w:sz w:val="28"/>
              <w:szCs w:val="48"/>
              <w:lang w:val="en-US" w:eastAsia="zh-CN"/>
            </w:rPr>
            <w:instrText xml:space="preserve"> HYPERLINK \l _Toc6260 </w:instrText>
          </w:r>
          <w:r>
            <w:rPr>
              <w:rFonts w:hint="default" w:ascii="Times New Roman" w:hAnsi="Times New Roman" w:cs="Times New Roman"/>
              <w:sz w:val="28"/>
              <w:szCs w:val="48"/>
              <w:lang w:val="en-US" w:eastAsia="zh-CN"/>
            </w:rPr>
            <w:fldChar w:fldCharType="separate"/>
          </w:r>
          <w:r>
            <w:rPr>
              <w:rFonts w:hint="default" w:ascii="Times New Roman" w:hAnsi="Times New Roman" w:cs="Times New Roman"/>
              <w:sz w:val="28"/>
              <w:szCs w:val="40"/>
            </w:rPr>
            <w:t>二、建设项目工程分析</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_Toc6260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17</w:t>
          </w:r>
          <w:r>
            <w:rPr>
              <w:rFonts w:hint="default" w:ascii="Times New Roman" w:hAnsi="Times New Roman" w:cs="Times New Roman"/>
              <w:sz w:val="28"/>
              <w:szCs w:val="36"/>
            </w:rPr>
            <w:fldChar w:fldCharType="end"/>
          </w:r>
          <w:r>
            <w:rPr>
              <w:rFonts w:hint="default" w:ascii="Times New Roman" w:hAnsi="Times New Roman" w:cs="Times New Roman"/>
              <w:color w:val="000000" w:themeColor="text1"/>
              <w:sz w:val="28"/>
              <w:szCs w:val="48"/>
              <w:u w:val="none"/>
              <w:lang w:val="en-US" w:eastAsia="zh-CN"/>
              <w14:textFill>
                <w14:solidFill>
                  <w14:schemeClr w14:val="tx1"/>
                </w14:solidFill>
              </w14:textFill>
            </w:rPr>
            <w:fldChar w:fldCharType="end"/>
          </w:r>
        </w:p>
        <w:p w14:paraId="6D915A4F">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8"/>
              <w:szCs w:val="36"/>
            </w:rPr>
          </w:pPr>
          <w:r>
            <w:rPr>
              <w:rFonts w:hint="default" w:ascii="Times New Roman" w:hAnsi="Times New Roman" w:cs="Times New Roman"/>
              <w:color w:val="000000" w:themeColor="text1"/>
              <w:sz w:val="28"/>
              <w:szCs w:val="48"/>
              <w:u w:val="none"/>
              <w:lang w:val="en-US" w:eastAsia="zh-CN"/>
              <w14:textFill>
                <w14:solidFill>
                  <w14:schemeClr w14:val="tx1"/>
                </w14:solidFill>
              </w14:textFill>
            </w:rPr>
            <w:fldChar w:fldCharType="begin"/>
          </w:r>
          <w:r>
            <w:rPr>
              <w:rFonts w:hint="default" w:ascii="Times New Roman" w:hAnsi="Times New Roman" w:cs="Times New Roman"/>
              <w:sz w:val="28"/>
              <w:szCs w:val="48"/>
              <w:lang w:val="en-US" w:eastAsia="zh-CN"/>
            </w:rPr>
            <w:instrText xml:space="preserve"> HYPERLINK \l _Toc29790 </w:instrText>
          </w:r>
          <w:r>
            <w:rPr>
              <w:rFonts w:hint="default" w:ascii="Times New Roman" w:hAnsi="Times New Roman" w:cs="Times New Roman"/>
              <w:sz w:val="28"/>
              <w:szCs w:val="48"/>
              <w:lang w:val="en-US" w:eastAsia="zh-CN"/>
            </w:rPr>
            <w:fldChar w:fldCharType="separate"/>
          </w:r>
          <w:r>
            <w:rPr>
              <w:rFonts w:hint="default" w:ascii="Times New Roman" w:hAnsi="Times New Roman" w:cs="Times New Roman"/>
              <w:sz w:val="28"/>
              <w:szCs w:val="40"/>
            </w:rPr>
            <w:t>三、区域环境质量现状、环境保护目标及评价标准</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_Toc29790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29</w:t>
          </w:r>
          <w:r>
            <w:rPr>
              <w:rFonts w:hint="default" w:ascii="Times New Roman" w:hAnsi="Times New Roman" w:cs="Times New Roman"/>
              <w:sz w:val="28"/>
              <w:szCs w:val="36"/>
            </w:rPr>
            <w:fldChar w:fldCharType="end"/>
          </w:r>
          <w:r>
            <w:rPr>
              <w:rFonts w:hint="default" w:ascii="Times New Roman" w:hAnsi="Times New Roman" w:cs="Times New Roman"/>
              <w:color w:val="000000" w:themeColor="text1"/>
              <w:sz w:val="28"/>
              <w:szCs w:val="48"/>
              <w:u w:val="none"/>
              <w:lang w:val="en-US" w:eastAsia="zh-CN"/>
              <w14:textFill>
                <w14:solidFill>
                  <w14:schemeClr w14:val="tx1"/>
                </w14:solidFill>
              </w14:textFill>
            </w:rPr>
            <w:fldChar w:fldCharType="end"/>
          </w:r>
        </w:p>
        <w:p w14:paraId="1F1917D2">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8"/>
              <w:szCs w:val="36"/>
            </w:rPr>
          </w:pPr>
          <w:r>
            <w:rPr>
              <w:rFonts w:hint="default" w:ascii="Times New Roman" w:hAnsi="Times New Roman" w:cs="Times New Roman"/>
              <w:color w:val="000000" w:themeColor="text1"/>
              <w:sz w:val="28"/>
              <w:szCs w:val="48"/>
              <w:u w:val="none"/>
              <w:lang w:val="en-US" w:eastAsia="zh-CN"/>
              <w14:textFill>
                <w14:solidFill>
                  <w14:schemeClr w14:val="tx1"/>
                </w14:solidFill>
              </w14:textFill>
            </w:rPr>
            <w:fldChar w:fldCharType="begin"/>
          </w:r>
          <w:r>
            <w:rPr>
              <w:rFonts w:hint="default" w:ascii="Times New Roman" w:hAnsi="Times New Roman" w:cs="Times New Roman"/>
              <w:sz w:val="28"/>
              <w:szCs w:val="48"/>
              <w:lang w:val="en-US" w:eastAsia="zh-CN"/>
            </w:rPr>
            <w:instrText xml:space="preserve"> HYPERLINK \l _Toc1371 </w:instrText>
          </w:r>
          <w:r>
            <w:rPr>
              <w:rFonts w:hint="default" w:ascii="Times New Roman" w:hAnsi="Times New Roman" w:cs="Times New Roman"/>
              <w:sz w:val="28"/>
              <w:szCs w:val="48"/>
              <w:lang w:val="en-US" w:eastAsia="zh-CN"/>
            </w:rPr>
            <w:fldChar w:fldCharType="separate"/>
          </w:r>
          <w:r>
            <w:rPr>
              <w:rFonts w:hint="default" w:ascii="Times New Roman" w:hAnsi="Times New Roman" w:cs="Times New Roman"/>
              <w:sz w:val="28"/>
              <w:szCs w:val="40"/>
            </w:rPr>
            <w:t>四、主要环境影响和保护措施</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_Toc1371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38</w:t>
          </w:r>
          <w:r>
            <w:rPr>
              <w:rFonts w:hint="default" w:ascii="Times New Roman" w:hAnsi="Times New Roman" w:cs="Times New Roman"/>
              <w:sz w:val="28"/>
              <w:szCs w:val="36"/>
            </w:rPr>
            <w:fldChar w:fldCharType="end"/>
          </w:r>
          <w:r>
            <w:rPr>
              <w:rFonts w:hint="default" w:ascii="Times New Roman" w:hAnsi="Times New Roman" w:cs="Times New Roman"/>
              <w:color w:val="000000" w:themeColor="text1"/>
              <w:sz w:val="28"/>
              <w:szCs w:val="48"/>
              <w:u w:val="none"/>
              <w:lang w:val="en-US" w:eastAsia="zh-CN"/>
              <w14:textFill>
                <w14:solidFill>
                  <w14:schemeClr w14:val="tx1"/>
                </w14:solidFill>
              </w14:textFill>
            </w:rPr>
            <w:fldChar w:fldCharType="end"/>
          </w:r>
        </w:p>
        <w:p w14:paraId="60B45DFB">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8"/>
              <w:szCs w:val="36"/>
            </w:rPr>
          </w:pPr>
          <w:r>
            <w:rPr>
              <w:rFonts w:hint="default" w:ascii="Times New Roman" w:hAnsi="Times New Roman" w:cs="Times New Roman"/>
              <w:color w:val="000000" w:themeColor="text1"/>
              <w:sz w:val="28"/>
              <w:szCs w:val="48"/>
              <w:u w:val="none"/>
              <w:lang w:val="en-US" w:eastAsia="zh-CN"/>
              <w14:textFill>
                <w14:solidFill>
                  <w14:schemeClr w14:val="tx1"/>
                </w14:solidFill>
              </w14:textFill>
            </w:rPr>
            <w:fldChar w:fldCharType="begin"/>
          </w:r>
          <w:r>
            <w:rPr>
              <w:rFonts w:hint="default" w:ascii="Times New Roman" w:hAnsi="Times New Roman" w:cs="Times New Roman"/>
              <w:sz w:val="28"/>
              <w:szCs w:val="48"/>
              <w:lang w:val="en-US" w:eastAsia="zh-CN"/>
            </w:rPr>
            <w:instrText xml:space="preserve"> HYPERLINK \l _Toc23525 </w:instrText>
          </w:r>
          <w:r>
            <w:rPr>
              <w:rFonts w:hint="default" w:ascii="Times New Roman" w:hAnsi="Times New Roman" w:cs="Times New Roman"/>
              <w:sz w:val="28"/>
              <w:szCs w:val="48"/>
              <w:lang w:val="en-US" w:eastAsia="zh-CN"/>
            </w:rPr>
            <w:fldChar w:fldCharType="separate"/>
          </w:r>
          <w:r>
            <w:rPr>
              <w:rFonts w:hint="default" w:ascii="Times New Roman" w:hAnsi="Times New Roman" w:cs="Times New Roman"/>
              <w:sz w:val="28"/>
              <w:szCs w:val="40"/>
            </w:rPr>
            <w:t>五、环境保护措施监督检查清单</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_Toc23525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55</w:t>
          </w:r>
          <w:r>
            <w:rPr>
              <w:rFonts w:hint="default" w:ascii="Times New Roman" w:hAnsi="Times New Roman" w:cs="Times New Roman"/>
              <w:sz w:val="28"/>
              <w:szCs w:val="36"/>
            </w:rPr>
            <w:fldChar w:fldCharType="end"/>
          </w:r>
          <w:r>
            <w:rPr>
              <w:rFonts w:hint="default" w:ascii="Times New Roman" w:hAnsi="Times New Roman" w:cs="Times New Roman"/>
              <w:color w:val="000000" w:themeColor="text1"/>
              <w:sz w:val="28"/>
              <w:szCs w:val="48"/>
              <w:u w:val="none"/>
              <w:lang w:val="en-US" w:eastAsia="zh-CN"/>
              <w14:textFill>
                <w14:solidFill>
                  <w14:schemeClr w14:val="tx1"/>
                </w14:solidFill>
              </w14:textFill>
            </w:rPr>
            <w:fldChar w:fldCharType="end"/>
          </w:r>
        </w:p>
        <w:p w14:paraId="3A36E2AF">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8"/>
              <w:szCs w:val="36"/>
            </w:rPr>
          </w:pPr>
          <w:r>
            <w:rPr>
              <w:rFonts w:hint="default" w:ascii="Times New Roman" w:hAnsi="Times New Roman" w:cs="Times New Roman"/>
              <w:color w:val="000000" w:themeColor="text1"/>
              <w:sz w:val="28"/>
              <w:szCs w:val="48"/>
              <w:u w:val="none"/>
              <w:lang w:val="en-US" w:eastAsia="zh-CN"/>
              <w14:textFill>
                <w14:solidFill>
                  <w14:schemeClr w14:val="tx1"/>
                </w14:solidFill>
              </w14:textFill>
            </w:rPr>
            <w:fldChar w:fldCharType="begin"/>
          </w:r>
          <w:r>
            <w:rPr>
              <w:rFonts w:hint="default" w:ascii="Times New Roman" w:hAnsi="Times New Roman" w:cs="Times New Roman"/>
              <w:sz w:val="28"/>
              <w:szCs w:val="48"/>
              <w:lang w:val="en-US" w:eastAsia="zh-CN"/>
            </w:rPr>
            <w:instrText xml:space="preserve"> HYPERLINK \l _Toc5298 </w:instrText>
          </w:r>
          <w:r>
            <w:rPr>
              <w:rFonts w:hint="default" w:ascii="Times New Roman" w:hAnsi="Times New Roman" w:cs="Times New Roman"/>
              <w:sz w:val="28"/>
              <w:szCs w:val="48"/>
              <w:lang w:val="en-US" w:eastAsia="zh-CN"/>
            </w:rPr>
            <w:fldChar w:fldCharType="separate"/>
          </w:r>
          <w:r>
            <w:rPr>
              <w:rFonts w:hint="default" w:ascii="Times New Roman" w:hAnsi="Times New Roman" w:cs="Times New Roman"/>
              <w:sz w:val="28"/>
              <w:szCs w:val="40"/>
            </w:rPr>
            <w:t>六、结论</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_Toc5298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56</w:t>
          </w:r>
          <w:r>
            <w:rPr>
              <w:rFonts w:hint="default" w:ascii="Times New Roman" w:hAnsi="Times New Roman" w:cs="Times New Roman"/>
              <w:sz w:val="28"/>
              <w:szCs w:val="36"/>
            </w:rPr>
            <w:fldChar w:fldCharType="end"/>
          </w:r>
          <w:r>
            <w:rPr>
              <w:rFonts w:hint="default" w:ascii="Times New Roman" w:hAnsi="Times New Roman" w:cs="Times New Roman"/>
              <w:color w:val="000000" w:themeColor="text1"/>
              <w:sz w:val="28"/>
              <w:szCs w:val="48"/>
              <w:u w:val="none"/>
              <w:lang w:val="en-US" w:eastAsia="zh-CN"/>
              <w14:textFill>
                <w14:solidFill>
                  <w14:schemeClr w14:val="tx1"/>
                </w14:solidFill>
              </w14:textFill>
            </w:rPr>
            <w:fldChar w:fldCharType="end"/>
          </w:r>
        </w:p>
        <w:p w14:paraId="4F5E6A06">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8"/>
              <w:szCs w:val="36"/>
            </w:rPr>
          </w:pPr>
          <w:r>
            <w:rPr>
              <w:rFonts w:hint="default" w:ascii="Times New Roman" w:hAnsi="Times New Roman" w:cs="Times New Roman"/>
              <w:color w:val="000000" w:themeColor="text1"/>
              <w:sz w:val="28"/>
              <w:szCs w:val="48"/>
              <w:u w:val="none"/>
              <w:lang w:val="en-US" w:eastAsia="zh-CN"/>
              <w14:textFill>
                <w14:solidFill>
                  <w14:schemeClr w14:val="tx1"/>
                </w14:solidFill>
              </w14:textFill>
            </w:rPr>
            <w:fldChar w:fldCharType="begin"/>
          </w:r>
          <w:r>
            <w:rPr>
              <w:rFonts w:hint="default" w:ascii="Times New Roman" w:hAnsi="Times New Roman" w:cs="Times New Roman"/>
              <w:sz w:val="28"/>
              <w:szCs w:val="48"/>
              <w:lang w:val="en-US" w:eastAsia="zh-CN"/>
            </w:rPr>
            <w:instrText xml:space="preserve"> HYPERLINK \l _Toc2638 </w:instrText>
          </w:r>
          <w:r>
            <w:rPr>
              <w:rFonts w:hint="default" w:ascii="Times New Roman" w:hAnsi="Times New Roman" w:cs="Times New Roman"/>
              <w:sz w:val="28"/>
              <w:szCs w:val="48"/>
              <w:lang w:val="en-US" w:eastAsia="zh-CN"/>
            </w:rPr>
            <w:fldChar w:fldCharType="separate"/>
          </w:r>
          <w:r>
            <w:rPr>
              <w:rFonts w:hint="default" w:ascii="Times New Roman" w:hAnsi="Times New Roman" w:cs="Times New Roman"/>
              <w:sz w:val="28"/>
              <w:szCs w:val="22"/>
            </w:rPr>
            <w:t>建设项目污染物排放量汇总表</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_Toc2638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57</w:t>
          </w:r>
          <w:r>
            <w:rPr>
              <w:rFonts w:hint="default" w:ascii="Times New Roman" w:hAnsi="Times New Roman" w:cs="Times New Roman"/>
              <w:sz w:val="28"/>
              <w:szCs w:val="36"/>
            </w:rPr>
            <w:fldChar w:fldCharType="end"/>
          </w:r>
          <w:r>
            <w:rPr>
              <w:rFonts w:hint="default" w:ascii="Times New Roman" w:hAnsi="Times New Roman" w:cs="Times New Roman"/>
              <w:color w:val="000000" w:themeColor="text1"/>
              <w:sz w:val="28"/>
              <w:szCs w:val="48"/>
              <w:u w:val="none"/>
              <w:lang w:val="en-US" w:eastAsia="zh-CN"/>
              <w14:textFill>
                <w14:solidFill>
                  <w14:schemeClr w14:val="tx1"/>
                </w14:solidFill>
              </w14:textFill>
            </w:rPr>
            <w:fldChar w:fldCharType="end"/>
          </w:r>
        </w:p>
        <w:p w14:paraId="3D18D6EA">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p>
        <w:p w14:paraId="726E5FB1">
          <w:pPr>
            <w:jc w:val="center"/>
            <w:rPr>
              <w:rFonts w:hint="default" w:asciiTheme="minorEastAsia" w:hAnsiTheme="minorEastAsia" w:eastAsiaTheme="minorEastAsia" w:cstheme="minorEastAsia"/>
              <w:color w:val="000000" w:themeColor="text1"/>
              <w:kern w:val="2"/>
              <w:sz w:val="21"/>
              <w:szCs w:val="36"/>
              <w:u w:val="none"/>
              <w:lang w:val="en-US" w:eastAsia="zh-CN" w:bidi="ar-SA"/>
              <w14:textFill>
                <w14:solidFill>
                  <w14:schemeClr w14:val="tx1"/>
                </w14:solidFill>
              </w14:textFill>
            </w:rPr>
          </w:pPr>
          <w:r>
            <w:rPr>
              <w:rFonts w:hint="default" w:ascii="Times New Roman" w:hAnsi="Times New Roman" w:cs="Times New Roman"/>
              <w:color w:val="000000" w:themeColor="text1"/>
              <w:szCs w:val="36"/>
              <w:u w:val="none"/>
              <w:lang w:val="en-US" w:eastAsia="zh-CN"/>
              <w14:textFill>
                <w14:solidFill>
                  <w14:schemeClr w14:val="tx1"/>
                </w14:solidFill>
              </w14:textFill>
            </w:rPr>
            <w:fldChar w:fldCharType="end"/>
          </w:r>
        </w:p>
      </w:sdtContent>
    </w:sdt>
    <w:p w14:paraId="69C3346B">
      <w:pPr>
        <w:jc w:val="center"/>
        <w:rPr>
          <w:rFonts w:hint="default" w:asciiTheme="minorEastAsia" w:hAnsiTheme="minorEastAsia" w:eastAsiaTheme="minorEastAsia" w:cstheme="minorEastAsia"/>
          <w:color w:val="000000" w:themeColor="text1"/>
          <w:kern w:val="2"/>
          <w:sz w:val="21"/>
          <w:szCs w:val="36"/>
          <w:u w:val="none"/>
          <w:lang w:val="en-US" w:eastAsia="zh-CN" w:bidi="ar-SA"/>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13" w:name="_GoBack"/>
      <w:bookmarkEnd w:id="13"/>
    </w:p>
    <w:p w14:paraId="2F802ED8">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b/>
          <w:sz w:val="30"/>
          <w:szCs w:val="30"/>
        </w:rPr>
      </w:pPr>
      <w:bookmarkStart w:id="0" w:name="_Toc22958"/>
      <w:r>
        <w:rPr>
          <w:rFonts w:hint="eastAsia"/>
          <w:b/>
          <w:sz w:val="30"/>
          <w:szCs w:val="30"/>
        </w:rPr>
        <w:t>一、建设项目基本情况</w:t>
      </w:r>
      <w:bookmarkEnd w:id="0"/>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76"/>
        <w:gridCol w:w="2579"/>
        <w:gridCol w:w="2076"/>
        <w:gridCol w:w="2639"/>
      </w:tblGrid>
      <w:tr w14:paraId="18F4F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1576" w:type="dxa"/>
            <w:noWrap w:val="0"/>
            <w:tcMar>
              <w:top w:w="16" w:type="dxa"/>
              <w:left w:w="16" w:type="dxa"/>
              <w:right w:w="16" w:type="dxa"/>
            </w:tcMar>
            <w:vAlign w:val="center"/>
          </w:tcPr>
          <w:p w14:paraId="69933B4B">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建设项目名称</w:t>
            </w:r>
          </w:p>
        </w:tc>
        <w:tc>
          <w:tcPr>
            <w:tcW w:w="7294" w:type="dxa"/>
            <w:gridSpan w:val="3"/>
            <w:noWrap w:val="0"/>
            <w:vAlign w:val="center"/>
          </w:tcPr>
          <w:p w14:paraId="5FCB6532">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陕西柯尔斯复合材料科技有限公司复合材料产能提升项目</w:t>
            </w:r>
          </w:p>
        </w:tc>
      </w:tr>
      <w:tr w14:paraId="300B3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6" w:hRule="atLeast"/>
          <w:jc w:val="center"/>
        </w:trPr>
        <w:tc>
          <w:tcPr>
            <w:tcW w:w="1576" w:type="dxa"/>
            <w:noWrap w:val="0"/>
            <w:tcMar>
              <w:top w:w="16" w:type="dxa"/>
              <w:left w:w="16" w:type="dxa"/>
              <w:right w:w="16" w:type="dxa"/>
            </w:tcMar>
            <w:vAlign w:val="center"/>
          </w:tcPr>
          <w:p w14:paraId="5995466C">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项目代码</w:t>
            </w:r>
          </w:p>
        </w:tc>
        <w:tc>
          <w:tcPr>
            <w:tcW w:w="7294" w:type="dxa"/>
            <w:gridSpan w:val="3"/>
            <w:noWrap w:val="0"/>
            <w:vAlign w:val="center"/>
          </w:tcPr>
          <w:p w14:paraId="635FBDC0">
            <w:pPr>
              <w:adjustRightInd w:val="0"/>
              <w:snapToGrid w:val="0"/>
              <w:jc w:val="center"/>
              <w:rPr>
                <w:rFonts w:hint="default" w:ascii="宋体" w:hAnsi="宋体" w:cs="宋体"/>
                <w:color w:val="000000" w:themeColor="text1"/>
                <w:szCs w:val="21"/>
                <w:lang w:val="en-US"/>
                <w14:textFill>
                  <w14:solidFill>
                    <w14:schemeClr w14:val="tx1"/>
                  </w14:solidFill>
                </w14:textFill>
              </w:rPr>
            </w:pPr>
            <w:r>
              <w:rPr>
                <w:rFonts w:hint="eastAsia" w:ascii="宋体" w:hAnsi="宋体" w:eastAsia="宋体" w:cs="Times New Roman"/>
                <w:color w:val="000000" w:themeColor="text1"/>
                <w:szCs w:val="21"/>
                <w:highlight w:val="none"/>
                <w:shd w:val="clear"/>
                <w:lang w:val="en-US" w:eastAsia="zh-CN"/>
                <w14:textFill>
                  <w14:solidFill>
                    <w14:schemeClr w14:val="tx1"/>
                  </w14:solidFill>
                </w14:textFill>
              </w:rPr>
              <w:t>2505-610304-04-01-547921</w:t>
            </w:r>
          </w:p>
        </w:tc>
      </w:tr>
      <w:tr w14:paraId="35787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576" w:type="dxa"/>
            <w:noWrap w:val="0"/>
            <w:tcMar>
              <w:top w:w="16" w:type="dxa"/>
              <w:left w:w="16" w:type="dxa"/>
              <w:right w:w="16" w:type="dxa"/>
            </w:tcMar>
            <w:vAlign w:val="center"/>
          </w:tcPr>
          <w:p w14:paraId="276E69D5">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建设单位联系人</w:t>
            </w:r>
          </w:p>
        </w:tc>
        <w:tc>
          <w:tcPr>
            <w:tcW w:w="2579" w:type="dxa"/>
            <w:noWrap w:val="0"/>
            <w:vAlign w:val="center"/>
          </w:tcPr>
          <w:p w14:paraId="18D49F62">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p>
        </w:tc>
        <w:tc>
          <w:tcPr>
            <w:tcW w:w="2076" w:type="dxa"/>
            <w:noWrap w:val="0"/>
            <w:vAlign w:val="center"/>
          </w:tcPr>
          <w:p w14:paraId="0CA377C4">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联系方式</w:t>
            </w:r>
          </w:p>
        </w:tc>
        <w:tc>
          <w:tcPr>
            <w:tcW w:w="2639" w:type="dxa"/>
            <w:noWrap w:val="0"/>
            <w:vAlign w:val="center"/>
          </w:tcPr>
          <w:p w14:paraId="5C7969A4">
            <w:pPr>
              <w:adjustRightInd w:val="0"/>
              <w:snapToGrid w:val="0"/>
              <w:jc w:val="center"/>
              <w:rPr>
                <w:rFonts w:ascii="宋体" w:hAnsi="宋体" w:cs="宋体"/>
                <w:color w:val="000000" w:themeColor="text1"/>
                <w:szCs w:val="21"/>
                <w14:textFill>
                  <w14:solidFill>
                    <w14:schemeClr w14:val="tx1"/>
                  </w14:solidFill>
                </w14:textFill>
              </w:rPr>
            </w:pPr>
          </w:p>
        </w:tc>
      </w:tr>
      <w:tr w14:paraId="0B175E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576" w:type="dxa"/>
            <w:noWrap w:val="0"/>
            <w:tcMar>
              <w:top w:w="16" w:type="dxa"/>
              <w:left w:w="16" w:type="dxa"/>
              <w:right w:w="16" w:type="dxa"/>
            </w:tcMar>
            <w:vAlign w:val="center"/>
          </w:tcPr>
          <w:p w14:paraId="3685AABF">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建设地点</w:t>
            </w:r>
          </w:p>
        </w:tc>
        <w:tc>
          <w:tcPr>
            <w:tcW w:w="7294" w:type="dxa"/>
            <w:gridSpan w:val="3"/>
            <w:noWrap w:val="0"/>
            <w:vAlign w:val="center"/>
          </w:tcPr>
          <w:p w14:paraId="3C81192B">
            <w:pPr>
              <w:spacing w:line="340" w:lineRule="exact"/>
              <w:jc w:val="center"/>
              <w:rPr>
                <w:rFonts w:ascii="宋体" w:hAnsi="宋体" w:cs="宋体"/>
                <w:color w:val="000000" w:themeColor="text1"/>
                <w:szCs w:val="21"/>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陕西省宝鸡市陈仓区东关西虢大道27号（陕西机器人智能制造产业园）</w:t>
            </w:r>
          </w:p>
        </w:tc>
      </w:tr>
      <w:tr w14:paraId="3775A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576" w:type="dxa"/>
            <w:noWrap w:val="0"/>
            <w:tcMar>
              <w:top w:w="16" w:type="dxa"/>
              <w:left w:w="16" w:type="dxa"/>
              <w:right w:w="16" w:type="dxa"/>
            </w:tcMar>
            <w:vAlign w:val="center"/>
          </w:tcPr>
          <w:p w14:paraId="54DD0C25">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地理坐标</w:t>
            </w:r>
          </w:p>
        </w:tc>
        <w:tc>
          <w:tcPr>
            <w:tcW w:w="7294" w:type="dxa"/>
            <w:gridSpan w:val="3"/>
            <w:noWrap w:val="0"/>
            <w:vAlign w:val="center"/>
          </w:tcPr>
          <w:p w14:paraId="0441339B">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u w:val="single"/>
                <w:lang w:val="en-US" w:eastAsia="zh-CN"/>
                <w14:textFill>
                  <w14:solidFill>
                    <w14:schemeClr w14:val="tx1"/>
                  </w14:solidFill>
                </w14:textFill>
              </w:rPr>
              <w:t>107</w:t>
            </w:r>
            <w:r>
              <w:rPr>
                <w:rFonts w:hint="eastAsia" w:ascii="宋体" w:hAnsi="宋体" w:cs="宋体"/>
                <w:color w:val="000000" w:themeColor="text1"/>
                <w:szCs w:val="21"/>
                <w14:textFill>
                  <w14:solidFill>
                    <w14:schemeClr w14:val="tx1"/>
                  </w14:solidFill>
                </w14:textFill>
              </w:rPr>
              <w:t>度</w:t>
            </w:r>
            <w:r>
              <w:rPr>
                <w:rFonts w:hint="eastAsia" w:ascii="宋体" w:hAnsi="宋体" w:cs="宋体"/>
                <w:color w:val="000000" w:themeColor="text1"/>
                <w:szCs w:val="21"/>
                <w:u w:val="single"/>
                <w:lang w:val="en-US" w:eastAsia="zh-CN"/>
                <w14:textFill>
                  <w14:solidFill>
                    <w14:schemeClr w14:val="tx1"/>
                  </w14:solidFill>
                </w14:textFill>
              </w:rPr>
              <w:t>25</w:t>
            </w:r>
            <w:r>
              <w:rPr>
                <w:rFonts w:hint="eastAsia" w:ascii="宋体" w:hAnsi="宋体" w:cs="宋体"/>
                <w:color w:val="000000" w:themeColor="text1"/>
                <w:szCs w:val="21"/>
                <w14:textFill>
                  <w14:solidFill>
                    <w14:schemeClr w14:val="tx1"/>
                  </w14:solidFill>
                </w14:textFill>
              </w:rPr>
              <w:t>分</w:t>
            </w:r>
            <w:r>
              <w:rPr>
                <w:rFonts w:hint="eastAsia" w:ascii="宋体" w:hAnsi="宋体" w:cs="宋体"/>
                <w:color w:val="000000" w:themeColor="text1"/>
                <w:szCs w:val="21"/>
                <w:u w:val="single"/>
                <w:lang w:val="en-US" w:eastAsia="zh-CN"/>
                <w14:textFill>
                  <w14:solidFill>
                    <w14:schemeClr w14:val="tx1"/>
                  </w14:solidFill>
                </w14:textFill>
              </w:rPr>
              <w:t>42.776</w:t>
            </w:r>
            <w:r>
              <w:rPr>
                <w:rFonts w:hint="eastAsia" w:ascii="宋体" w:hAnsi="宋体" w:cs="宋体"/>
                <w:color w:val="000000" w:themeColor="text1"/>
                <w:szCs w:val="21"/>
                <w14:textFill>
                  <w14:solidFill>
                    <w14:schemeClr w14:val="tx1"/>
                  </w14:solidFill>
                </w14:textFill>
              </w:rPr>
              <w:t>秒，</w:t>
            </w:r>
            <w:r>
              <w:rPr>
                <w:rFonts w:hint="eastAsia" w:ascii="宋体" w:hAnsi="宋体" w:cs="宋体"/>
                <w:color w:val="000000" w:themeColor="text1"/>
                <w:szCs w:val="21"/>
                <w:u w:val="single"/>
                <w:lang w:val="en-US" w:eastAsia="zh-CN"/>
                <w14:textFill>
                  <w14:solidFill>
                    <w14:schemeClr w14:val="tx1"/>
                  </w14:solidFill>
                </w14:textFill>
              </w:rPr>
              <w:t>34</w:t>
            </w:r>
            <w:r>
              <w:rPr>
                <w:rFonts w:hint="eastAsia" w:ascii="宋体" w:hAnsi="宋体" w:cs="宋体"/>
                <w:color w:val="000000" w:themeColor="text1"/>
                <w:szCs w:val="21"/>
                <w14:textFill>
                  <w14:solidFill>
                    <w14:schemeClr w14:val="tx1"/>
                  </w14:solidFill>
                </w14:textFill>
              </w:rPr>
              <w:t>度</w:t>
            </w:r>
            <w:r>
              <w:rPr>
                <w:rFonts w:hint="eastAsia" w:ascii="宋体" w:hAnsi="宋体" w:cs="宋体"/>
                <w:color w:val="000000" w:themeColor="text1"/>
                <w:szCs w:val="21"/>
                <w:u w:val="single"/>
                <w:lang w:val="en-US" w:eastAsia="zh-CN"/>
                <w14:textFill>
                  <w14:solidFill>
                    <w14:schemeClr w14:val="tx1"/>
                  </w14:solidFill>
                </w14:textFill>
              </w:rPr>
              <w:t>20</w:t>
            </w:r>
            <w:r>
              <w:rPr>
                <w:rFonts w:hint="eastAsia" w:ascii="宋体" w:hAnsi="宋体" w:cs="宋体"/>
                <w:color w:val="000000" w:themeColor="text1"/>
                <w:szCs w:val="21"/>
                <w14:textFill>
                  <w14:solidFill>
                    <w14:schemeClr w14:val="tx1"/>
                  </w14:solidFill>
                </w14:textFill>
              </w:rPr>
              <w:t>分</w:t>
            </w:r>
            <w:r>
              <w:rPr>
                <w:rFonts w:hint="eastAsia" w:ascii="宋体" w:hAnsi="宋体" w:cs="宋体"/>
                <w:color w:val="000000" w:themeColor="text1"/>
                <w:szCs w:val="21"/>
                <w:u w:val="single"/>
                <w:lang w:val="en-US" w:eastAsia="zh-CN"/>
                <w14:textFill>
                  <w14:solidFill>
                    <w14:schemeClr w14:val="tx1"/>
                  </w14:solidFill>
                </w14:textFill>
              </w:rPr>
              <w:t>57.303</w:t>
            </w:r>
            <w:r>
              <w:rPr>
                <w:rFonts w:hint="eastAsia" w:ascii="宋体" w:hAnsi="宋体" w:cs="宋体"/>
                <w:color w:val="000000" w:themeColor="text1"/>
                <w:szCs w:val="21"/>
                <w14:textFill>
                  <w14:solidFill>
                    <w14:schemeClr w14:val="tx1"/>
                  </w14:solidFill>
                </w14:textFill>
              </w:rPr>
              <w:t>秒）</w:t>
            </w:r>
          </w:p>
        </w:tc>
      </w:tr>
      <w:tr w14:paraId="13188C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1576" w:type="dxa"/>
            <w:noWrap w:val="0"/>
            <w:tcMar>
              <w:top w:w="16" w:type="dxa"/>
              <w:left w:w="16" w:type="dxa"/>
              <w:right w:w="16" w:type="dxa"/>
            </w:tcMar>
            <w:vAlign w:val="center"/>
          </w:tcPr>
          <w:p w14:paraId="79BC1D33">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国民经济</w:t>
            </w:r>
          </w:p>
          <w:p w14:paraId="59B78E8F">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行业类别</w:t>
            </w:r>
          </w:p>
        </w:tc>
        <w:tc>
          <w:tcPr>
            <w:tcW w:w="2579" w:type="dxa"/>
            <w:noWrap w:val="0"/>
            <w:vAlign w:val="center"/>
          </w:tcPr>
          <w:p w14:paraId="46FF1662">
            <w:pPr>
              <w:spacing w:line="340" w:lineRule="exact"/>
              <w:jc w:val="center"/>
              <w:rPr>
                <w:rFonts w:ascii="宋体" w:hAnsi="宋体" w:cs="宋体"/>
                <w:color w:val="000000" w:themeColor="text1"/>
                <w:szCs w:val="21"/>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C3062玻璃纤维增强塑料制品制造C3091石墨及碳素制品制造</w:t>
            </w:r>
          </w:p>
        </w:tc>
        <w:tc>
          <w:tcPr>
            <w:tcW w:w="2076" w:type="dxa"/>
            <w:noWrap w:val="0"/>
            <w:vAlign w:val="center"/>
          </w:tcPr>
          <w:p w14:paraId="101D0DD6">
            <w:pPr>
              <w:adjustRightInd w:val="0"/>
              <w:snapToGrid w:val="0"/>
              <w:jc w:val="center"/>
              <w:rPr>
                <w:rFonts w:ascii="宋体" w:hAnsi="宋体" w:cs="宋体"/>
                <w:color w:val="000000" w:themeColor="text1"/>
                <w:szCs w:val="21"/>
                <w14:textFill>
                  <w14:solidFill>
                    <w14:schemeClr w14:val="tx1"/>
                  </w14:solidFill>
                </w14:textFill>
              </w:rPr>
            </w:pPr>
            <w:bookmarkStart w:id="1" w:name="_Hlk49843745"/>
            <w:r>
              <w:rPr>
                <w:rFonts w:hint="eastAsia" w:ascii="宋体" w:hAnsi="宋体" w:cs="宋体"/>
                <w:color w:val="000000" w:themeColor="text1"/>
                <w:szCs w:val="21"/>
                <w14:textFill>
                  <w14:solidFill>
                    <w14:schemeClr w14:val="tx1"/>
                  </w14:solidFill>
                </w14:textFill>
              </w:rPr>
              <w:t>建设项目</w:t>
            </w:r>
          </w:p>
          <w:p w14:paraId="56E23C22">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行业类别</w:t>
            </w:r>
            <w:bookmarkEnd w:id="1"/>
          </w:p>
        </w:tc>
        <w:tc>
          <w:tcPr>
            <w:tcW w:w="2639" w:type="dxa"/>
            <w:noWrap w:val="0"/>
            <w:vAlign w:val="center"/>
          </w:tcPr>
          <w:p w14:paraId="393BDFA7">
            <w:pPr>
              <w:adjustRightInd w:val="0"/>
              <w:snapToGrid w:val="0"/>
              <w:jc w:val="center"/>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二十七、非金属矿物制品业30，58.玻璃纤维和玻璃纤维增强塑料制品制造306</w:t>
            </w:r>
          </w:p>
          <w:p w14:paraId="24FF9285">
            <w:pPr>
              <w:adjustRightInd w:val="0"/>
              <w:snapToGrid w:val="0"/>
              <w:jc w:val="center"/>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二十七、非金属矿物制品业30,60.石墨及其他非金属矿物制品制造309</w:t>
            </w:r>
          </w:p>
        </w:tc>
      </w:tr>
      <w:tr w14:paraId="79BE51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76" w:type="dxa"/>
            <w:noWrap w:val="0"/>
            <w:tcMar>
              <w:top w:w="16" w:type="dxa"/>
              <w:left w:w="16" w:type="dxa"/>
              <w:right w:w="16" w:type="dxa"/>
            </w:tcMar>
            <w:vAlign w:val="center"/>
          </w:tcPr>
          <w:p w14:paraId="10B0A1D9">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建设性质</w:t>
            </w:r>
          </w:p>
        </w:tc>
        <w:tc>
          <w:tcPr>
            <w:tcW w:w="2579" w:type="dxa"/>
            <w:noWrap w:val="0"/>
            <w:vAlign w:val="center"/>
          </w:tcPr>
          <w:p w14:paraId="6F6D2D0D">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□新建（迁建）</w:t>
            </w:r>
          </w:p>
          <w:p w14:paraId="270F2726">
            <w:pPr>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□改建</w:t>
            </w:r>
          </w:p>
          <w:p w14:paraId="1F2B9724">
            <w:pPr>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扩建</w:t>
            </w:r>
          </w:p>
          <w:p w14:paraId="6FD40CBC">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□技术改造</w:t>
            </w:r>
          </w:p>
        </w:tc>
        <w:tc>
          <w:tcPr>
            <w:tcW w:w="2076" w:type="dxa"/>
            <w:noWrap w:val="0"/>
            <w:vAlign w:val="center"/>
          </w:tcPr>
          <w:p w14:paraId="34ADE964">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建设项目</w:t>
            </w:r>
          </w:p>
          <w:p w14:paraId="17435B02">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申报情形</w:t>
            </w:r>
          </w:p>
        </w:tc>
        <w:tc>
          <w:tcPr>
            <w:tcW w:w="2639" w:type="dxa"/>
            <w:noWrap w:val="0"/>
            <w:vAlign w:val="center"/>
          </w:tcPr>
          <w:p w14:paraId="0A3E1CD8">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首次申报项目</w:t>
            </w:r>
            <w:r>
              <w:rPr>
                <w:rFonts w:ascii="宋体" w:hAnsi="宋体" w:cs="宋体"/>
                <w:color w:val="000000" w:themeColor="text1"/>
                <w:szCs w:val="21"/>
                <w14:textFill>
                  <w14:solidFill>
                    <w14:schemeClr w14:val="tx1"/>
                  </w14:solidFill>
                </w14:textFill>
              </w:rPr>
              <w:t xml:space="preserve">             </w:t>
            </w:r>
          </w:p>
          <w:p w14:paraId="260E268B">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□不予批准后再次申报项目</w:t>
            </w:r>
          </w:p>
          <w:p w14:paraId="2A376E7F">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□超五年重新审核项目</w:t>
            </w:r>
            <w:r>
              <w:rPr>
                <w:rFonts w:ascii="宋体" w:hAnsi="宋体" w:cs="宋体"/>
                <w:color w:val="000000" w:themeColor="text1"/>
                <w:szCs w:val="21"/>
                <w14:textFill>
                  <w14:solidFill>
                    <w14:schemeClr w14:val="tx1"/>
                  </w14:solidFill>
                </w14:textFill>
              </w:rPr>
              <w:t xml:space="preserve">     </w:t>
            </w:r>
          </w:p>
          <w:p w14:paraId="651CE988">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□重大变动重新报批项目</w:t>
            </w:r>
          </w:p>
        </w:tc>
      </w:tr>
      <w:tr w14:paraId="6314A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76" w:type="dxa"/>
            <w:noWrap w:val="0"/>
            <w:tcMar>
              <w:top w:w="16" w:type="dxa"/>
              <w:left w:w="16" w:type="dxa"/>
              <w:right w:w="16" w:type="dxa"/>
            </w:tcMar>
            <w:vAlign w:val="center"/>
          </w:tcPr>
          <w:p w14:paraId="3496E0D7">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项目审批（核准</w:t>
            </w:r>
            <w:r>
              <w:rPr>
                <w:rFonts w:ascii="宋体" w:hAnsi="宋体" w:cs="宋体"/>
                <w:color w:val="000000" w:themeColor="text1"/>
                <w:szCs w:val="21"/>
                <w14:textFill>
                  <w14:solidFill>
                    <w14:schemeClr w14:val="tx1"/>
                  </w14:solidFill>
                </w14:textFill>
              </w:rPr>
              <w:t>/</w:t>
            </w:r>
          </w:p>
          <w:p w14:paraId="77C9AE43">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备案）部门（选填）</w:t>
            </w:r>
          </w:p>
        </w:tc>
        <w:tc>
          <w:tcPr>
            <w:tcW w:w="2579" w:type="dxa"/>
            <w:noWrap w:val="0"/>
            <w:vAlign w:val="center"/>
          </w:tcPr>
          <w:p w14:paraId="5BC5623E">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陈仓区发展和改革局</w:t>
            </w:r>
          </w:p>
        </w:tc>
        <w:tc>
          <w:tcPr>
            <w:tcW w:w="2076" w:type="dxa"/>
            <w:noWrap w:val="0"/>
            <w:vAlign w:val="center"/>
          </w:tcPr>
          <w:p w14:paraId="18A95316">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项目审批（核准</w:t>
            </w:r>
            <w:r>
              <w:rPr>
                <w:rFonts w:ascii="宋体" w:hAnsi="宋体" w:cs="宋体"/>
                <w:color w:val="000000" w:themeColor="text1"/>
                <w:szCs w:val="21"/>
                <w14:textFill>
                  <w14:solidFill>
                    <w14:schemeClr w14:val="tx1"/>
                  </w14:solidFill>
                </w14:textFill>
              </w:rPr>
              <w:t>/</w:t>
            </w:r>
          </w:p>
          <w:p w14:paraId="3C718C73">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备案）文号（选填）</w:t>
            </w:r>
          </w:p>
        </w:tc>
        <w:tc>
          <w:tcPr>
            <w:tcW w:w="2639" w:type="dxa"/>
            <w:noWrap w:val="0"/>
            <w:vAlign w:val="center"/>
          </w:tcPr>
          <w:p w14:paraId="114CC4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w:t>
            </w:r>
          </w:p>
        </w:tc>
      </w:tr>
      <w:tr w14:paraId="24360D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6" w:type="dxa"/>
            <w:noWrap w:val="0"/>
            <w:tcMar>
              <w:top w:w="16" w:type="dxa"/>
              <w:left w:w="16" w:type="dxa"/>
              <w:right w:w="16" w:type="dxa"/>
            </w:tcMar>
            <w:vAlign w:val="center"/>
          </w:tcPr>
          <w:p w14:paraId="1A8C1E9C">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总投资（万元）</w:t>
            </w:r>
          </w:p>
        </w:tc>
        <w:tc>
          <w:tcPr>
            <w:tcW w:w="2579" w:type="dxa"/>
            <w:noWrap w:val="0"/>
            <w:vAlign w:val="center"/>
          </w:tcPr>
          <w:p w14:paraId="7D257BDF">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600</w:t>
            </w:r>
          </w:p>
        </w:tc>
        <w:tc>
          <w:tcPr>
            <w:tcW w:w="2076" w:type="dxa"/>
            <w:noWrap w:val="0"/>
            <w:tcMar>
              <w:top w:w="16" w:type="dxa"/>
              <w:left w:w="16" w:type="dxa"/>
              <w:right w:w="16" w:type="dxa"/>
            </w:tcMar>
            <w:vAlign w:val="center"/>
          </w:tcPr>
          <w:p w14:paraId="4EF485F3">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环保投资（万元）</w:t>
            </w:r>
          </w:p>
        </w:tc>
        <w:tc>
          <w:tcPr>
            <w:tcW w:w="2639" w:type="dxa"/>
            <w:noWrap w:val="0"/>
            <w:vAlign w:val="center"/>
          </w:tcPr>
          <w:p w14:paraId="57CE590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11.3</w:t>
            </w:r>
          </w:p>
        </w:tc>
      </w:tr>
      <w:tr w14:paraId="22308A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6" w:type="dxa"/>
            <w:noWrap w:val="0"/>
            <w:tcMar>
              <w:top w:w="16" w:type="dxa"/>
              <w:left w:w="16" w:type="dxa"/>
              <w:right w:w="16" w:type="dxa"/>
            </w:tcMar>
            <w:vAlign w:val="center"/>
          </w:tcPr>
          <w:p w14:paraId="5C8E9747">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环保投资占比（</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w:t>
            </w:r>
          </w:p>
        </w:tc>
        <w:tc>
          <w:tcPr>
            <w:tcW w:w="2579" w:type="dxa"/>
            <w:noWrap w:val="0"/>
            <w:vAlign w:val="center"/>
          </w:tcPr>
          <w:p w14:paraId="540A8CE9">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1.88</w:t>
            </w:r>
          </w:p>
        </w:tc>
        <w:tc>
          <w:tcPr>
            <w:tcW w:w="2076" w:type="dxa"/>
            <w:noWrap w:val="0"/>
            <w:tcMar>
              <w:top w:w="16" w:type="dxa"/>
              <w:left w:w="16" w:type="dxa"/>
              <w:right w:w="16" w:type="dxa"/>
            </w:tcMar>
            <w:vAlign w:val="center"/>
          </w:tcPr>
          <w:p w14:paraId="6D5D8BAA">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施工工期</w:t>
            </w:r>
          </w:p>
        </w:tc>
        <w:tc>
          <w:tcPr>
            <w:tcW w:w="2639" w:type="dxa"/>
            <w:noWrap w:val="0"/>
            <w:vAlign w:val="center"/>
          </w:tcPr>
          <w:p w14:paraId="469B47A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24个月</w:t>
            </w:r>
          </w:p>
        </w:tc>
      </w:tr>
      <w:tr w14:paraId="7488D0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6" w:type="dxa"/>
            <w:noWrap w:val="0"/>
            <w:tcMar>
              <w:top w:w="16" w:type="dxa"/>
              <w:left w:w="16" w:type="dxa"/>
              <w:right w:w="16" w:type="dxa"/>
            </w:tcMar>
            <w:vAlign w:val="center"/>
          </w:tcPr>
          <w:p w14:paraId="449B0DD0">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是否开工建设</w:t>
            </w:r>
          </w:p>
        </w:tc>
        <w:tc>
          <w:tcPr>
            <w:tcW w:w="2579" w:type="dxa"/>
            <w:noWrap w:val="0"/>
            <w:vAlign w:val="center"/>
          </w:tcPr>
          <w:p w14:paraId="0F97ADFE">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sym w:font="Wingdings 2" w:char="0052"/>
            </w:r>
            <w:r>
              <w:rPr>
                <w:rFonts w:hint="eastAsia" w:ascii="宋体" w:hAnsi="宋体" w:cs="宋体"/>
                <w:color w:val="000000" w:themeColor="text1"/>
                <w:szCs w:val="21"/>
                <w14:textFill>
                  <w14:solidFill>
                    <w14:schemeClr w14:val="tx1"/>
                  </w14:solidFill>
                </w14:textFill>
              </w:rPr>
              <w:t>否</w:t>
            </w:r>
          </w:p>
          <w:p w14:paraId="3260EF93">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sym w:font="Wingdings 2" w:char="00A3"/>
            </w:r>
            <w:r>
              <w:rPr>
                <w:rFonts w:hint="eastAsia" w:ascii="宋体" w:hAnsi="宋体" w:cs="宋体"/>
                <w:color w:val="000000" w:themeColor="text1"/>
                <w:szCs w:val="21"/>
                <w14:textFill>
                  <w14:solidFill>
                    <w14:schemeClr w14:val="tx1"/>
                  </w14:solidFill>
                </w14:textFill>
              </w:rPr>
              <w:t>是：</w:t>
            </w:r>
            <w:r>
              <w:rPr>
                <w:rFonts w:hint="eastAsia" w:ascii="宋体" w:hAnsi="宋体" w:cs="宋体"/>
                <w:color w:val="000000" w:themeColor="text1"/>
                <w:szCs w:val="21"/>
                <w:u w:val="single"/>
                <w14:textFill>
                  <w14:solidFill>
                    <w14:schemeClr w14:val="tx1"/>
                  </w14:solidFill>
                </w14:textFill>
              </w:rPr>
              <w:t xml:space="preserve">             </w:t>
            </w:r>
          </w:p>
        </w:tc>
        <w:tc>
          <w:tcPr>
            <w:tcW w:w="2076" w:type="dxa"/>
            <w:noWrap w:val="0"/>
            <w:tcMar>
              <w:top w:w="16" w:type="dxa"/>
              <w:left w:w="16" w:type="dxa"/>
              <w:right w:w="16" w:type="dxa"/>
            </w:tcMar>
            <w:vAlign w:val="center"/>
          </w:tcPr>
          <w:p w14:paraId="04CB4073">
            <w:pPr>
              <w:adjustRightInd w:val="0"/>
              <w:snapToGrid w:val="0"/>
              <w:jc w:val="center"/>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用地（用海）</w:t>
            </w:r>
          </w:p>
          <w:p w14:paraId="2F81102F">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面积（</w:t>
            </w:r>
            <w:r>
              <w:rPr>
                <w:rFonts w:ascii="宋体" w:hAnsi="宋体" w:cs="宋体"/>
                <w:color w:val="000000" w:themeColor="text1"/>
                <w:spacing w:val="-6"/>
                <w:szCs w:val="21"/>
                <w14:textFill>
                  <w14:solidFill>
                    <w14:schemeClr w14:val="tx1"/>
                  </w14:solidFill>
                </w14:textFill>
              </w:rPr>
              <w:t>m</w:t>
            </w:r>
            <w:r>
              <w:rPr>
                <w:rFonts w:ascii="宋体" w:hAnsi="宋体" w:cs="宋体"/>
                <w:color w:val="000000" w:themeColor="text1"/>
                <w:spacing w:val="-6"/>
                <w:szCs w:val="21"/>
                <w:vertAlign w:val="superscript"/>
                <w14:textFill>
                  <w14:solidFill>
                    <w14:schemeClr w14:val="tx1"/>
                  </w14:solidFill>
                </w14:textFill>
              </w:rPr>
              <w:t>2</w:t>
            </w:r>
            <w:r>
              <w:rPr>
                <w:rFonts w:hint="eastAsia" w:ascii="宋体" w:hAnsi="宋体" w:cs="宋体"/>
                <w:color w:val="000000" w:themeColor="text1"/>
                <w:spacing w:val="-6"/>
                <w:szCs w:val="21"/>
                <w14:textFill>
                  <w14:solidFill>
                    <w14:schemeClr w14:val="tx1"/>
                  </w14:solidFill>
                </w14:textFill>
              </w:rPr>
              <w:t>）</w:t>
            </w:r>
          </w:p>
        </w:tc>
        <w:tc>
          <w:tcPr>
            <w:tcW w:w="2639" w:type="dxa"/>
            <w:noWrap w:val="0"/>
            <w:vAlign w:val="center"/>
          </w:tcPr>
          <w:p w14:paraId="219CB8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cs="宋体"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本项目不新增占地（在原有项目厂房内增加设备，厂房占地1780㎡）</w:t>
            </w:r>
          </w:p>
        </w:tc>
      </w:tr>
      <w:tr w14:paraId="37212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576" w:type="dxa"/>
            <w:noWrap w:val="0"/>
            <w:vAlign w:val="center"/>
          </w:tcPr>
          <w:p w14:paraId="60EEB230">
            <w:pPr>
              <w:autoSpaceDE w:val="0"/>
              <w:autoSpaceDN w:val="0"/>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专项评价</w:t>
            </w:r>
          </w:p>
          <w:p w14:paraId="561CDC49">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设置情况</w:t>
            </w:r>
          </w:p>
        </w:tc>
        <w:tc>
          <w:tcPr>
            <w:tcW w:w="7294" w:type="dxa"/>
            <w:gridSpan w:val="3"/>
            <w:noWrap w:val="0"/>
            <w:vAlign w:val="center"/>
          </w:tcPr>
          <w:p w14:paraId="5A81A0A3">
            <w:pPr>
              <w:autoSpaceDE w:val="0"/>
              <w:autoSpaceDN w:val="0"/>
              <w:adjustRightInd w:val="0"/>
              <w:snapToGrid w:val="0"/>
              <w:jc w:val="center"/>
              <w:rPr>
                <w:rFonts w:hint="eastAsia" w:ascii="宋体" w:hAnsi="宋体" w:cs="宋体" w:eastAsiaTheme="minorEastAsia"/>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无</w:t>
            </w:r>
          </w:p>
        </w:tc>
      </w:tr>
      <w:tr w14:paraId="17C6CA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576" w:type="dxa"/>
            <w:noWrap w:val="0"/>
            <w:vAlign w:val="center"/>
          </w:tcPr>
          <w:p w14:paraId="7CF41059">
            <w:pPr>
              <w:autoSpaceDE w:val="0"/>
              <w:autoSpaceDN w:val="0"/>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规划情况</w:t>
            </w:r>
          </w:p>
        </w:tc>
        <w:tc>
          <w:tcPr>
            <w:tcW w:w="7294" w:type="dxa"/>
            <w:gridSpan w:val="3"/>
            <w:noWrap w:val="0"/>
            <w:vAlign w:val="center"/>
          </w:tcPr>
          <w:p w14:paraId="6B46BA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规划名称：</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《陕西陈仓经济技术开发区总体规划（2022-2035）》</w:t>
            </w:r>
          </w:p>
        </w:tc>
      </w:tr>
      <w:tr w14:paraId="6A6787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76" w:type="dxa"/>
            <w:noWrap w:val="0"/>
            <w:vAlign w:val="center"/>
          </w:tcPr>
          <w:p w14:paraId="02CB892B">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规划环境影响</w:t>
            </w:r>
          </w:p>
          <w:p w14:paraId="2DA964DE">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评价情况</w:t>
            </w:r>
          </w:p>
        </w:tc>
        <w:tc>
          <w:tcPr>
            <w:tcW w:w="7294" w:type="dxa"/>
            <w:gridSpan w:val="3"/>
            <w:noWrap w:val="0"/>
            <w:vAlign w:val="center"/>
          </w:tcPr>
          <w:p w14:paraId="31C298D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规划环评文件名称：《陕西陈仓经济技术开发区总体规划（2022-2035）环境影响报告书》；</w:t>
            </w:r>
          </w:p>
          <w:p w14:paraId="2A5BBA8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审查机关：陕西省生态环境厅；</w:t>
            </w:r>
          </w:p>
          <w:p w14:paraId="180F6FC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审查文件名称及文号：关于陕西陈仓经济技术开发区总体规划（2022-2035）环境影响报告书审查意见的函（陕环环评函〔</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2023</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号）。</w:t>
            </w:r>
          </w:p>
        </w:tc>
      </w:tr>
      <w:tr w14:paraId="4BAFC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76" w:type="dxa"/>
            <w:noWrap w:val="0"/>
            <w:vAlign w:val="center"/>
          </w:tcPr>
          <w:p w14:paraId="09B502A5">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规划及规划环境影响评价符合性分析</w:t>
            </w:r>
          </w:p>
        </w:tc>
        <w:tc>
          <w:tcPr>
            <w:tcW w:w="7294" w:type="dxa"/>
            <w:gridSpan w:val="3"/>
            <w:noWrap w:val="0"/>
            <w:vAlign w:val="center"/>
          </w:tcPr>
          <w:p w14:paraId="18A7DA34">
            <w:pPr>
              <w:autoSpaceDE w:val="0"/>
              <w:autoSpaceDN w:val="0"/>
              <w:adjustRightInd w:val="0"/>
              <w:snapToGrid w:val="0"/>
              <w:jc w:val="center"/>
              <w:rPr>
                <w:rFonts w:hint="default" w:ascii="Times New Roman" w:hAnsi="Times New Roman" w:cs="Times New Roman"/>
                <w:b/>
                <w:bCs/>
                <w:color w:val="000000" w:themeColor="text1"/>
                <w:kern w:val="0"/>
                <w:szCs w:val="21"/>
                <w:lang w:val="en-US" w:eastAsia="zh-CN"/>
                <w14:textFill>
                  <w14:solidFill>
                    <w14:schemeClr w14:val="tx1"/>
                  </w14:solidFill>
                </w14:textFill>
              </w:rPr>
            </w:pPr>
            <w:r>
              <w:rPr>
                <w:rFonts w:hint="default" w:ascii="Times New Roman" w:hAnsi="Times New Roman" w:cs="Times New Roman"/>
                <w:b/>
                <w:bCs/>
                <w:color w:val="000000" w:themeColor="text1"/>
                <w:kern w:val="0"/>
                <w:szCs w:val="21"/>
                <w:lang w:val="en-US" w:eastAsia="zh-CN"/>
                <w14:textFill>
                  <w14:solidFill>
                    <w14:schemeClr w14:val="tx1"/>
                  </w14:solidFill>
                </w14:textFill>
              </w:rPr>
              <w:t>表1-1  项目与规划、规划环境影响评价结论、审查意见符合性分析</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191"/>
              <w:gridCol w:w="2704"/>
              <w:gridCol w:w="1416"/>
            </w:tblGrid>
            <w:tr w14:paraId="0D56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74B40584">
                  <w:pPr>
                    <w:autoSpaceDE w:val="0"/>
                    <w:autoSpaceDN w:val="0"/>
                    <w:adjustRightInd w:val="0"/>
                    <w:snapToGrid w:val="0"/>
                    <w:jc w:val="center"/>
                    <w:rPr>
                      <w:rFonts w:hint="default" w:ascii="Times New Roman" w:hAnsi="Times New Roman" w:cs="Times New Roman"/>
                      <w:b/>
                      <w:bCs/>
                      <w:color w:val="000000" w:themeColor="text1"/>
                      <w:kern w:val="0"/>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Cs w:val="21"/>
                      <w:vertAlign w:val="baseline"/>
                      <w:lang w:val="en-US" w:eastAsia="zh-CN"/>
                      <w14:textFill>
                        <w14:solidFill>
                          <w14:schemeClr w14:val="tx1"/>
                        </w14:solidFill>
                      </w14:textFill>
                    </w:rPr>
                    <w:t>类别</w:t>
                  </w:r>
                </w:p>
              </w:tc>
              <w:tc>
                <w:tcPr>
                  <w:tcW w:w="2191" w:type="dxa"/>
                  <w:vAlign w:val="center"/>
                </w:tcPr>
                <w:p w14:paraId="7FF2E0E8">
                  <w:pPr>
                    <w:autoSpaceDE w:val="0"/>
                    <w:autoSpaceDN w:val="0"/>
                    <w:adjustRightInd w:val="0"/>
                    <w:snapToGrid w:val="0"/>
                    <w:jc w:val="center"/>
                    <w:rPr>
                      <w:rFonts w:hint="default" w:ascii="Times New Roman" w:hAnsi="Times New Roman" w:cs="Times New Roman"/>
                      <w:b/>
                      <w:bCs/>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kern w:val="0"/>
                      <w:szCs w:val="21"/>
                      <w:vertAlign w:val="baseline"/>
                      <w:lang w:val="en-US" w:eastAsia="zh-CN"/>
                      <w14:textFill>
                        <w14:solidFill>
                          <w14:schemeClr w14:val="tx1"/>
                        </w14:solidFill>
                      </w14:textFill>
                    </w:rPr>
                    <w:t>规划、规划环评及审查意见要求</w:t>
                  </w:r>
                </w:p>
              </w:tc>
              <w:tc>
                <w:tcPr>
                  <w:tcW w:w="2704" w:type="dxa"/>
                  <w:vAlign w:val="center"/>
                </w:tcPr>
                <w:p w14:paraId="1D613479">
                  <w:pPr>
                    <w:autoSpaceDE w:val="0"/>
                    <w:autoSpaceDN w:val="0"/>
                    <w:adjustRightInd w:val="0"/>
                    <w:snapToGrid w:val="0"/>
                    <w:jc w:val="center"/>
                    <w:rPr>
                      <w:rFonts w:hint="default" w:ascii="Times New Roman" w:hAnsi="Times New Roman" w:cs="Times New Roman"/>
                      <w:b/>
                      <w:bCs/>
                      <w:color w:val="000000" w:themeColor="text1"/>
                      <w:kern w:val="0"/>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Cs w:val="21"/>
                      <w:vertAlign w:val="baseline"/>
                      <w:lang w:val="en-US" w:eastAsia="zh-CN"/>
                      <w14:textFill>
                        <w14:solidFill>
                          <w14:schemeClr w14:val="tx1"/>
                        </w14:solidFill>
                      </w14:textFill>
                    </w:rPr>
                    <w:t>符合性</w:t>
                  </w:r>
                  <w:r>
                    <w:rPr>
                      <w:rFonts w:hint="eastAsia" w:ascii="Times New Roman" w:hAnsi="Times New Roman" w:cs="Times New Roman"/>
                      <w:b/>
                      <w:bCs/>
                      <w:color w:val="000000" w:themeColor="text1"/>
                      <w:kern w:val="0"/>
                      <w:szCs w:val="21"/>
                      <w:vertAlign w:val="baseline"/>
                      <w:lang w:val="en-US" w:eastAsia="zh-CN"/>
                      <w14:textFill>
                        <w14:solidFill>
                          <w14:schemeClr w14:val="tx1"/>
                        </w14:solidFill>
                      </w14:textFill>
                    </w:rPr>
                    <w:t>分析</w:t>
                  </w:r>
                </w:p>
              </w:tc>
              <w:tc>
                <w:tcPr>
                  <w:tcW w:w="1416" w:type="dxa"/>
                  <w:vAlign w:val="center"/>
                </w:tcPr>
                <w:p w14:paraId="3D12A160">
                  <w:pPr>
                    <w:autoSpaceDE w:val="0"/>
                    <w:autoSpaceDN w:val="0"/>
                    <w:adjustRightInd w:val="0"/>
                    <w:snapToGrid w:val="0"/>
                    <w:jc w:val="center"/>
                    <w:rPr>
                      <w:rFonts w:hint="eastAsia" w:ascii="Times New Roman" w:hAnsi="Times New Roman" w:cs="Times New Roman"/>
                      <w:b/>
                      <w:bCs/>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kern w:val="0"/>
                      <w:szCs w:val="21"/>
                      <w:vertAlign w:val="baseline"/>
                      <w:lang w:val="en-US" w:eastAsia="zh-CN"/>
                      <w14:textFill>
                        <w14:solidFill>
                          <w14:schemeClr w14:val="tx1"/>
                        </w14:solidFill>
                      </w14:textFill>
                    </w:rPr>
                    <w:t>是否</w:t>
                  </w:r>
                </w:p>
                <w:p w14:paraId="42BE99A6">
                  <w:pPr>
                    <w:autoSpaceDE w:val="0"/>
                    <w:autoSpaceDN w:val="0"/>
                    <w:adjustRightInd w:val="0"/>
                    <w:snapToGrid w:val="0"/>
                    <w:jc w:val="center"/>
                    <w:rPr>
                      <w:rFonts w:hint="default" w:ascii="Times New Roman" w:hAnsi="Times New Roman" w:cs="Times New Roman"/>
                      <w:b/>
                      <w:bCs/>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kern w:val="0"/>
                      <w:szCs w:val="21"/>
                      <w:vertAlign w:val="baseline"/>
                      <w:lang w:val="en-US" w:eastAsia="zh-CN"/>
                      <w14:textFill>
                        <w14:solidFill>
                          <w14:schemeClr w14:val="tx1"/>
                        </w14:solidFill>
                      </w14:textFill>
                    </w:rPr>
                    <w:t>符合</w:t>
                  </w:r>
                </w:p>
              </w:tc>
            </w:tr>
            <w:tr w14:paraId="10D5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57" w:type="dxa"/>
                  <w:vMerge w:val="restart"/>
                  <w:vAlign w:val="center"/>
                </w:tcPr>
                <w:p w14:paraId="667A135E">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《陕西陈仓经济技术开发区总体规划（2022-2035）》</w:t>
                  </w:r>
                </w:p>
              </w:tc>
              <w:tc>
                <w:tcPr>
                  <w:tcW w:w="2191" w:type="dxa"/>
                  <w:vAlign w:val="center"/>
                </w:tcPr>
                <w:p w14:paraId="5E03BB57">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Cs w:val="21"/>
                      <w:vertAlign w:val="baseline"/>
                      <w:lang w:val="en-US" w:eastAsia="zh-CN"/>
                      <w14:textFill>
                        <w14:solidFill>
                          <w14:schemeClr w14:val="tx1"/>
                        </w14:solidFill>
                      </w14:textFill>
                    </w:rPr>
                    <w:t>规划范围：</w:t>
                  </w:r>
                  <w:r>
                    <w:rPr>
                      <w:rFonts w:hint="default"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陈仓科技工业园坐落于东关街道，面积为602.90公顷。四至范围为西片区（381.03公顷）东至陆港大桥，南至宝鸡过境高速，西至思贤路，北至陇海铁路；东片区（221.87公顷）东至法士特大桥，南至河堤路，西至东枸村，北至宝鸡过境高速北侧约560米处。</w:t>
                  </w:r>
                </w:p>
              </w:tc>
              <w:tc>
                <w:tcPr>
                  <w:tcW w:w="2704" w:type="dxa"/>
                  <w:vAlign w:val="center"/>
                </w:tcPr>
                <w:p w14:paraId="22D4F176">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本项目位于陕西省宝鸡市陈仓区陆港大道西段，属于陕西陈仓经济技术开发区总体规划范围内</w:t>
                  </w:r>
                  <w:r>
                    <w:rPr>
                      <w:rFonts w:hint="eastAsia"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，用地性质为工业用地。</w:t>
                  </w:r>
                </w:p>
              </w:tc>
              <w:tc>
                <w:tcPr>
                  <w:tcW w:w="1416" w:type="dxa"/>
                  <w:vAlign w:val="center"/>
                </w:tcPr>
                <w:p w14:paraId="76ACAEBF">
                  <w:pPr>
                    <w:autoSpaceDE w:val="0"/>
                    <w:autoSpaceDN w:val="0"/>
                    <w:adjustRightInd w:val="0"/>
                    <w:snapToGrid w:val="0"/>
                    <w:jc w:val="cente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pPr>
                  <w:r>
                    <w:rPr>
                      <w:rFonts w:hint="eastAsia"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符合</w:t>
                  </w:r>
                </w:p>
              </w:tc>
            </w:tr>
            <w:tr w14:paraId="2908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trPr>
              <w:tc>
                <w:tcPr>
                  <w:tcW w:w="757" w:type="dxa"/>
                  <w:vMerge w:val="continue"/>
                  <w:vAlign w:val="center"/>
                </w:tcPr>
                <w:p w14:paraId="67CED4FE">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p>
              </w:tc>
              <w:tc>
                <w:tcPr>
                  <w:tcW w:w="2191" w:type="dxa"/>
                  <w:vAlign w:val="center"/>
                </w:tcPr>
                <w:p w14:paraId="3A9A4554">
                  <w:pPr>
                    <w:autoSpaceDE w:val="0"/>
                    <w:autoSpaceDN w:val="0"/>
                    <w:adjustRightInd w:val="0"/>
                    <w:snapToGrid w:val="0"/>
                    <w:jc w:val="both"/>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Cs w:val="21"/>
                      <w:vertAlign w:val="baseline"/>
                      <w:lang w:val="en-US" w:eastAsia="zh-CN"/>
                      <w14:textFill>
                        <w14:solidFill>
                          <w14:schemeClr w14:val="tx1"/>
                        </w14:solidFill>
                      </w14:textFill>
                    </w:rPr>
                    <w:t>发展定位：</w:t>
                  </w: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①以新材料深度开发为引领，打造宝鸡新材料生产研发基地；②以智能制造为主导，打造先进制造业高质量发展创新示范区；③以经开区功能节点建设为带动，打造现代服务业发展集聚区。</w:t>
                  </w:r>
                </w:p>
              </w:tc>
              <w:tc>
                <w:tcPr>
                  <w:tcW w:w="2704" w:type="dxa"/>
                  <w:vMerge w:val="restart"/>
                  <w:vAlign w:val="center"/>
                </w:tcPr>
                <w:p w14:paraId="74039FA3">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本项目为</w:t>
                  </w:r>
                  <w:r>
                    <w:rPr>
                      <w:rFonts w:hint="eastAsia" w:ascii="宋体" w:hAnsi="宋体" w:eastAsia="宋体" w:cs="Times New Roman"/>
                      <w:color w:val="000000" w:themeColor="text1"/>
                      <w:szCs w:val="21"/>
                      <w:lang w:val="en-US" w:eastAsia="zh-CN"/>
                      <w14:textFill>
                        <w14:solidFill>
                          <w14:schemeClr w14:val="tx1"/>
                        </w14:solidFill>
                      </w14:textFill>
                    </w:rPr>
                    <w:t>玻璃纤维增强塑料制品制造和石墨及碳素制品制造新材料生产</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属于开发区主导产业</w:t>
                  </w:r>
                </w:p>
              </w:tc>
              <w:tc>
                <w:tcPr>
                  <w:tcW w:w="1416" w:type="dxa"/>
                  <w:vMerge w:val="restart"/>
                  <w:vAlign w:val="center"/>
                </w:tcPr>
                <w:p w14:paraId="12B1EA29">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2120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trPr>
              <w:tc>
                <w:tcPr>
                  <w:tcW w:w="757" w:type="dxa"/>
                  <w:vMerge w:val="continue"/>
                  <w:vAlign w:val="center"/>
                </w:tcPr>
                <w:p w14:paraId="0B801EC6">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p>
              </w:tc>
              <w:tc>
                <w:tcPr>
                  <w:tcW w:w="2191" w:type="dxa"/>
                  <w:vAlign w:val="center"/>
                </w:tcPr>
                <w:p w14:paraId="69C6969B">
                  <w:pPr>
                    <w:autoSpaceDE w:val="0"/>
                    <w:autoSpaceDN w:val="0"/>
                    <w:adjustRightInd w:val="0"/>
                    <w:snapToGrid w:val="0"/>
                    <w:jc w:val="both"/>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产业发展重点：</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陈仓经济技术开发区主导产业是新材料、智能制造。</w:t>
                  </w:r>
                </w:p>
              </w:tc>
              <w:tc>
                <w:tcPr>
                  <w:tcW w:w="2704" w:type="dxa"/>
                  <w:vMerge w:val="continue"/>
                  <w:vAlign w:val="center"/>
                </w:tcPr>
                <w:p w14:paraId="0FF0D32E">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p>
              </w:tc>
              <w:tc>
                <w:tcPr>
                  <w:tcW w:w="1416" w:type="dxa"/>
                  <w:vMerge w:val="continue"/>
                  <w:vAlign w:val="center"/>
                </w:tcPr>
                <w:p w14:paraId="301AB646">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p>
              </w:tc>
            </w:tr>
            <w:tr w14:paraId="30FC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trPr>
              <w:tc>
                <w:tcPr>
                  <w:tcW w:w="757" w:type="dxa"/>
                  <w:vMerge w:val="restart"/>
                  <w:vAlign w:val="center"/>
                </w:tcPr>
                <w:p w14:paraId="4BF48423">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《陕西陈仓经济技术开发区总体规划（2022-2035）》环境影响报告书</w:t>
                  </w:r>
                </w:p>
              </w:tc>
              <w:tc>
                <w:tcPr>
                  <w:tcW w:w="2191" w:type="dxa"/>
                  <w:vAlign w:val="center"/>
                </w:tcPr>
                <w:p w14:paraId="21855495">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入园企业严格控制企业废水泄漏，加强对污水输送管道的检查和维护，并严格做好防渗处理等防范措施。</w:t>
                  </w:r>
                </w:p>
              </w:tc>
              <w:tc>
                <w:tcPr>
                  <w:tcW w:w="2704" w:type="dxa"/>
                  <w:vAlign w:val="center"/>
                </w:tcPr>
                <w:p w14:paraId="561F9FDE">
                  <w:pPr>
                    <w:autoSpaceDE w:val="0"/>
                    <w:autoSpaceDN w:val="0"/>
                    <w:adjustRightInd w:val="0"/>
                    <w:snapToGrid w:val="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生活污水经化粪池处理后排入市政管网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，运营期产品密封性检验废水循环使用定期补充不外排。</w:t>
                  </w:r>
                </w:p>
              </w:tc>
              <w:tc>
                <w:tcPr>
                  <w:tcW w:w="1416" w:type="dxa"/>
                  <w:vAlign w:val="center"/>
                </w:tcPr>
                <w:p w14:paraId="0522CA34">
                  <w:pPr>
                    <w:autoSpaceDE w:val="0"/>
                    <w:autoSpaceDN w:val="0"/>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3A89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57" w:type="dxa"/>
                  <w:vMerge w:val="continue"/>
                  <w:vAlign w:val="center"/>
                </w:tcPr>
                <w:p w14:paraId="3379DE1E">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p>
              </w:tc>
              <w:tc>
                <w:tcPr>
                  <w:tcW w:w="2191" w:type="dxa"/>
                  <w:vAlign w:val="center"/>
                </w:tcPr>
                <w:p w14:paraId="5A1BEBC5">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入园企业产生的一般工业固体废物遵循资源化、无害化、减量化的原则，对可资源化一般工业固体废物优先进行资源化再利用，危险废物交有资质单位处置。</w:t>
                  </w:r>
                </w:p>
              </w:tc>
              <w:tc>
                <w:tcPr>
                  <w:tcW w:w="2704" w:type="dxa"/>
                  <w:vAlign w:val="center"/>
                </w:tcPr>
                <w:p w14:paraId="5DE004AB">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本项目对库房、危险废物暂存库等进行重点防渗，可切断地下水、土壤污染途径，不会对地下水、土壤环境造成影响。本项目运营期产生的危险废物暂存于危险废物贮存设施，定期交有危险废物处理资质的单位处置；生活垃圾采用垃圾桶分类收集，及时清运，交由环卫部门清运。</w:t>
                  </w:r>
                </w:p>
              </w:tc>
              <w:tc>
                <w:tcPr>
                  <w:tcW w:w="1416" w:type="dxa"/>
                  <w:vAlign w:val="center"/>
                </w:tcPr>
                <w:p w14:paraId="358C9338">
                  <w:pPr>
                    <w:autoSpaceDE w:val="0"/>
                    <w:autoSpaceDN w:val="0"/>
                    <w:adjustRightInd w:val="0"/>
                    <w:snapToGrid w:val="0"/>
                    <w:jc w:val="center"/>
                    <w:rPr>
                      <w:rFonts w:hint="default"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pPr>
                  <w:r>
                    <w:rPr>
                      <w:rFonts w:hint="eastAsia"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符合</w:t>
                  </w:r>
                </w:p>
              </w:tc>
            </w:tr>
            <w:tr w14:paraId="2D3D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757" w:type="dxa"/>
                  <w:vMerge w:val="continue"/>
                  <w:vAlign w:val="center"/>
                </w:tcPr>
                <w:p w14:paraId="4C91DCFB">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p>
              </w:tc>
              <w:tc>
                <w:tcPr>
                  <w:tcW w:w="2191" w:type="dxa"/>
                  <w:vAlign w:val="center"/>
                </w:tcPr>
                <w:p w14:paraId="3AB966D6">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严格执行《产业结构调整指导目录（2019年）</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部分工业行业淘汰落后生产工艺装备和产品指导目录（2010年本）》以及各项产业规划和政策，国家明确限制、禁止的工艺、设备、产品等不得进入园区</w:t>
                  </w:r>
                </w:p>
              </w:tc>
              <w:tc>
                <w:tcPr>
                  <w:tcW w:w="2704" w:type="dxa"/>
                  <w:vAlign w:val="center"/>
                </w:tcPr>
                <w:p w14:paraId="3D3ADC59">
                  <w:pPr>
                    <w:autoSpaceDE w:val="0"/>
                    <w:autoSpaceDN w:val="0"/>
                    <w:adjustRightInd w:val="0"/>
                    <w:snapToGrid w:val="0"/>
                    <w:jc w:val="center"/>
                    <w:rPr>
                      <w:rFonts w:hint="default" w:ascii="Times New Roman" w:hAnsi="Times New Roman" w:cs="Times New Roman" w:eastAsiaTheme="minorEastAsia"/>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本项目为</w:t>
                  </w:r>
                  <w:r>
                    <w:rPr>
                      <w:rFonts w:hint="eastAsia" w:ascii="宋体" w:hAnsi="宋体" w:eastAsia="宋体" w:cs="Times New Roman"/>
                      <w:color w:val="000000" w:themeColor="text1"/>
                      <w:szCs w:val="21"/>
                      <w:lang w:val="en-US" w:eastAsia="zh-CN"/>
                      <w14:textFill>
                        <w14:solidFill>
                          <w14:schemeClr w14:val="tx1"/>
                        </w14:solidFill>
                      </w14:textFill>
                    </w:rPr>
                    <w:t>玻璃纤维增强塑料制品制造和石墨及碳素制品制造，生产工艺和设备不属于</w:t>
                  </w:r>
                  <w:r>
                    <w:rPr>
                      <w:color w:val="000000" w:themeColor="text1"/>
                      <w:sz w:val="21"/>
                      <w:szCs w:val="21"/>
                      <w:highlight w:val="none"/>
                      <w14:textFill>
                        <w14:solidFill>
                          <w14:schemeClr w14:val="tx1"/>
                        </w14:solidFill>
                      </w14:textFill>
                    </w:rPr>
                    <w:t>《产业结构调整指导目录（2019年）</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部分工业行业淘汰落后生产工艺装备和产品指导目录（2010年本）》</w:t>
                  </w:r>
                  <w:r>
                    <w:rPr>
                      <w:rFonts w:hint="eastAsia"/>
                      <w:color w:val="000000" w:themeColor="text1"/>
                      <w:sz w:val="21"/>
                      <w:szCs w:val="21"/>
                      <w:highlight w:val="none"/>
                      <w:lang w:val="en-US" w:eastAsia="zh-CN"/>
                      <w14:textFill>
                        <w14:solidFill>
                          <w14:schemeClr w14:val="tx1"/>
                        </w14:solidFill>
                      </w14:textFill>
                    </w:rPr>
                    <w:t>禁止或淘汰类。</w:t>
                  </w:r>
                </w:p>
              </w:tc>
              <w:tc>
                <w:tcPr>
                  <w:tcW w:w="1416" w:type="dxa"/>
                  <w:vAlign w:val="center"/>
                </w:tcPr>
                <w:p w14:paraId="774A2019">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符合</w:t>
                  </w:r>
                </w:p>
              </w:tc>
            </w:tr>
            <w:tr w14:paraId="2279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2" w:hRule="atLeast"/>
              </w:trPr>
              <w:tc>
                <w:tcPr>
                  <w:tcW w:w="757" w:type="dxa"/>
                  <w:vMerge w:val="restart"/>
                  <w:vAlign w:val="center"/>
                </w:tcPr>
                <w:p w14:paraId="5E3B968B">
                  <w:pPr>
                    <w:autoSpaceDE w:val="0"/>
                    <w:autoSpaceDN w:val="0"/>
                    <w:adjustRightInd w:val="0"/>
                    <w:snapToGrid w:val="0"/>
                    <w:jc w:val="center"/>
                    <w:rPr>
                      <w:rFonts w:hint="default"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《陕西陈仓经济技术开发区总体规划（2022-2035年）环境</w:t>
                  </w:r>
                </w:p>
                <w:p w14:paraId="08F22EC6">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影响报告书》审查意见的函</w:t>
                  </w:r>
                </w:p>
              </w:tc>
              <w:tc>
                <w:tcPr>
                  <w:tcW w:w="2191" w:type="dxa"/>
                  <w:vAlign w:val="center"/>
                </w:tcPr>
                <w:p w14:paraId="0CE0EA0E">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对不符合经开区规划定位的现有企业，不再扩大其规模。推进技术研发型、创新产业发展</w:t>
                  </w:r>
                  <w:r>
                    <w:rPr>
                      <w:rFonts w:hint="eastAsia"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w:t>
                  </w:r>
                </w:p>
              </w:tc>
              <w:tc>
                <w:tcPr>
                  <w:tcW w:w="2704" w:type="dxa"/>
                  <w:vAlign w:val="center"/>
                </w:tcPr>
                <w:p w14:paraId="3A807956">
                  <w:pPr>
                    <w:autoSpaceDE w:val="0"/>
                    <w:autoSpaceDN w:val="0"/>
                    <w:adjustRightInd w:val="0"/>
                    <w:snapToGrid w:val="0"/>
                    <w:jc w:val="cente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本项目为</w:t>
                  </w:r>
                  <w:r>
                    <w:rPr>
                      <w:rFonts w:hint="eastAsia" w:ascii="宋体" w:hAnsi="宋体" w:eastAsia="宋体" w:cs="Times New Roman"/>
                      <w:color w:val="000000" w:themeColor="text1"/>
                      <w:szCs w:val="21"/>
                      <w:lang w:val="en-US" w:eastAsia="zh-CN"/>
                      <w14:textFill>
                        <w14:solidFill>
                          <w14:schemeClr w14:val="tx1"/>
                        </w14:solidFill>
                      </w14:textFill>
                    </w:rPr>
                    <w:t>玻璃纤维增强塑料制品制造和石墨及碳素制品制造新材料生产</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属于开发区主导产业</w:t>
                  </w:r>
                  <w:r>
                    <w:rPr>
                      <w:rFonts w:hint="eastAsia"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w:t>
                  </w:r>
                </w:p>
                <w:p w14:paraId="183ED759">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本公司属于高技术型企业，现有研发专利11项，属于研发型、创新型产业。</w:t>
                  </w:r>
                </w:p>
              </w:tc>
              <w:tc>
                <w:tcPr>
                  <w:tcW w:w="1416" w:type="dxa"/>
                  <w:vAlign w:val="center"/>
                </w:tcPr>
                <w:p w14:paraId="1433A0A2">
                  <w:pPr>
                    <w:autoSpaceDE w:val="0"/>
                    <w:autoSpaceDN w:val="0"/>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符合</w:t>
                  </w:r>
                </w:p>
              </w:tc>
            </w:tr>
            <w:tr w14:paraId="0B2B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Merge w:val="continue"/>
                  <w:vAlign w:val="center"/>
                </w:tcPr>
                <w:p w14:paraId="3462CDEB">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p>
              </w:tc>
              <w:tc>
                <w:tcPr>
                  <w:tcW w:w="2191" w:type="dxa"/>
                  <w:vAlign w:val="center"/>
                </w:tcPr>
                <w:p w14:paraId="35116B53">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t>在科技园区（西区）和科技园区（东区）禁止新建“两高一资”项目。严格控制高耗水、高污染行业发展</w:t>
                  </w: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w:t>
                  </w:r>
                </w:p>
              </w:tc>
              <w:tc>
                <w:tcPr>
                  <w:tcW w:w="2704" w:type="dxa"/>
                  <w:vAlign w:val="center"/>
                </w:tcPr>
                <w:p w14:paraId="457A89D7">
                  <w:pPr>
                    <w:autoSpaceDE w:val="0"/>
                    <w:autoSpaceDN w:val="0"/>
                    <w:adjustRightInd w:val="0"/>
                    <w:snapToGrid w:val="0"/>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项目使用电能生产，不属于“两高一资”项目</w:t>
                  </w:r>
                  <w:r>
                    <w:rPr>
                      <w:rFonts w:hint="eastAsia"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w:t>
                  </w:r>
                  <w:r>
                    <w:rPr>
                      <w:rFonts w:hint="default"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本项目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生活污水经化粪池处理后排入市政管网</w:t>
                  </w:r>
                  <w:r>
                    <w:rPr>
                      <w:rFonts w:hint="default"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，运营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期产品密封性检验废水循环使用定期补充不外排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，不属于高耗水行业。</w:t>
                  </w:r>
                </w:p>
              </w:tc>
              <w:tc>
                <w:tcPr>
                  <w:tcW w:w="1416" w:type="dxa"/>
                  <w:vAlign w:val="center"/>
                </w:tcPr>
                <w:p w14:paraId="259C104D">
                  <w:pPr>
                    <w:autoSpaceDE w:val="0"/>
                    <w:autoSpaceDN w:val="0"/>
                    <w:adjustRightInd w:val="0"/>
                    <w:snapToGrid w:val="0"/>
                    <w:jc w:val="center"/>
                    <w:rPr>
                      <w:rFonts w:hint="default"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pPr>
                  <w:r>
                    <w:rPr>
                      <w:rFonts w:hint="eastAsia"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符合</w:t>
                  </w:r>
                </w:p>
              </w:tc>
            </w:tr>
          </w:tbl>
          <w:p w14:paraId="38B2D343">
            <w:pPr>
              <w:autoSpaceDE w:val="0"/>
              <w:autoSpaceDN w:val="0"/>
              <w:adjustRightInd w:val="0"/>
              <w:snapToGrid w:val="0"/>
              <w:jc w:val="center"/>
              <w:rPr>
                <w:rFonts w:hint="default" w:ascii="Times New Roman" w:hAnsi="Times New Roman" w:cs="Times New Roman"/>
                <w:color w:val="000000" w:themeColor="text1"/>
                <w:kern w:val="0"/>
                <w:szCs w:val="21"/>
                <w:lang w:val="en-US" w:eastAsia="zh-CN"/>
                <w14:textFill>
                  <w14:solidFill>
                    <w14:schemeClr w14:val="tx1"/>
                  </w14:solidFill>
                </w14:textFill>
              </w:rPr>
            </w:pPr>
          </w:p>
        </w:tc>
      </w:tr>
      <w:tr w14:paraId="786D8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76" w:type="dxa"/>
            <w:noWrap w:val="0"/>
            <w:vAlign w:val="center"/>
          </w:tcPr>
          <w:p w14:paraId="0DE877B7">
            <w:pPr>
              <w:autoSpaceDE w:val="0"/>
              <w:autoSpaceDN w:val="0"/>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其他符合</w:t>
            </w:r>
          </w:p>
          <w:p w14:paraId="0C42D942">
            <w:pPr>
              <w:autoSpaceDE w:val="0"/>
              <w:autoSpaceDN w:val="0"/>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性分析</w:t>
            </w:r>
          </w:p>
        </w:tc>
        <w:tc>
          <w:tcPr>
            <w:tcW w:w="7294" w:type="dxa"/>
            <w:gridSpan w:val="3"/>
            <w:noWrap w:val="0"/>
            <w:vAlign w:val="center"/>
          </w:tcPr>
          <w:p w14:paraId="302D9D83">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cs="Times New Roman"/>
                <w:b/>
                <w:bCs/>
                <w:color w:val="000000" w:themeColor="text1"/>
                <w:kern w:val="0"/>
                <w:sz w:val="24"/>
                <w:szCs w:val="24"/>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1、“三线一单”符合性分析</w:t>
            </w:r>
          </w:p>
          <w:p w14:paraId="663CEC9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kern w:val="0"/>
                <w:sz w:val="24"/>
                <w:szCs w:val="24"/>
                <w:lang w:val="en-US" w:eastAsia="zh-CN"/>
                <w14:textFill>
                  <w14:solidFill>
                    <w14:schemeClr w14:val="tx1"/>
                  </w14:solidFill>
                </w14:textFill>
              </w:rPr>
              <w:t>本项目通过陕西省“三线一单”数据应用分析平台（V1.0）冲突分析可知其建设范围全部位于生态环境管控的重点管控单元。不涉及优先保护单元。陕西省“三线一单”生态环境管控单元对照分析报告详见附件。</w:t>
            </w:r>
          </w:p>
          <w:p w14:paraId="4A428A4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cs="Times New Roman"/>
                <w:b/>
                <w:bCs/>
                <w:color w:val="000000" w:themeColor="text1"/>
                <w:kern w:val="0"/>
                <w:sz w:val="24"/>
                <w:szCs w:val="24"/>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（1）“一图”</w:t>
            </w:r>
            <w:r>
              <w:rPr>
                <w:rFonts w:hint="eastAsia" w:ascii="Times New Roman" w:hAnsi="Times New Roman" w:cs="Times New Roman"/>
                <w:b/>
                <w:bCs/>
                <w:color w:val="000000" w:themeColor="text1"/>
                <w:kern w:val="0"/>
                <w:sz w:val="24"/>
                <w:szCs w:val="24"/>
                <w:lang w:val="en-US" w:eastAsia="zh-CN"/>
                <w14:textFill>
                  <w14:solidFill>
                    <w14:schemeClr w14:val="tx1"/>
                  </w14:solidFill>
                </w14:textFill>
              </w:rPr>
              <w:t>：</w:t>
            </w: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环境管控单元对照分析示意图</w:t>
            </w:r>
          </w:p>
          <w:p w14:paraId="391923D4">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cs="Times New Roman"/>
                <w:b/>
                <w:bCs/>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drawing>
                <wp:anchor distT="0" distB="0" distL="114300" distR="114300" simplePos="0" relativeHeight="251661312" behindDoc="0" locked="0" layoutInCell="1" allowOverlap="1">
                  <wp:simplePos x="0" y="0"/>
                  <wp:positionH relativeFrom="column">
                    <wp:posOffset>91440</wp:posOffset>
                  </wp:positionH>
                  <wp:positionV relativeFrom="paragraph">
                    <wp:posOffset>2540</wp:posOffset>
                  </wp:positionV>
                  <wp:extent cx="341630" cy="630555"/>
                  <wp:effectExtent l="0" t="0" r="1270" b="17145"/>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7"/>
                          <a:stretch>
                            <a:fillRect/>
                          </a:stretch>
                        </pic:blipFill>
                        <pic:spPr>
                          <a:xfrm>
                            <a:off x="0" y="0"/>
                            <a:ext cx="341630" cy="630555"/>
                          </a:xfrm>
                          <a:prstGeom prst="rect">
                            <a:avLst/>
                          </a:prstGeom>
                          <a:noFill/>
                          <a:ln>
                            <a:noFill/>
                          </a:ln>
                        </pic:spPr>
                      </pic:pic>
                    </a:graphicData>
                  </a:graphic>
                </wp:anchor>
              </w:drawing>
            </w:r>
            <w:r>
              <w:rPr>
                <w:rFonts w:hint="default" w:ascii="Times New Roman" w:hAnsi="Times New Roman" w:cs="Times New Roman"/>
                <w:color w:val="000000" w:themeColor="text1"/>
                <w:sz w:val="2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3521710</wp:posOffset>
                      </wp:positionH>
                      <wp:positionV relativeFrom="paragraph">
                        <wp:posOffset>2051050</wp:posOffset>
                      </wp:positionV>
                      <wp:extent cx="838835" cy="22733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838835" cy="227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71BCBB">
                                  <w:pPr>
                                    <w:rPr>
                                      <w:rFonts w:hint="default" w:eastAsiaTheme="minorEastAsia"/>
                                      <w:sz w:val="15"/>
                                      <w:szCs w:val="18"/>
                                      <w:lang w:val="en-US" w:eastAsia="zh-CN"/>
                                    </w:rPr>
                                  </w:pPr>
                                  <w:r>
                                    <w:rPr>
                                      <w:rFonts w:hint="eastAsia"/>
                                      <w:sz w:val="15"/>
                                      <w:szCs w:val="18"/>
                                      <w:lang w:val="en-US" w:eastAsia="zh-CN"/>
                                    </w:rPr>
                                    <w:t>重点管控单元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3pt;margin-top:161.5pt;height:17.9pt;width:66.05pt;z-index:251669504;mso-width-relative:page;mso-height-relative:page;" filled="f" stroked="f" coordsize="21600,21600" o:gfxdata="UEsDBAoAAAAAAIdO4kAAAAAAAAAAAAAAAAAEAAAAZHJzL1BLAwQUAAAACACHTuJAmM/jSdwAAAAL&#10;AQAADwAAAGRycy9kb3ducmV2LnhtbE2Py07DMBBF90j8gzVI7KjTlAQrjVOhSBUSgkVLN+yceJpE&#10;9SPE7gO+nmFVljNzdOfccnWxhp1wCoN3EuazBBi61uvBdRJ2H+sHASxE5bQy3qGEbwywqm5vSlVo&#10;f3YbPG1jxyjEhUJJ6GMcC85D26NVYeZHdHTb+8mqSOPUcT2pM4Vbw9MkyblVg6MPvRqx7rE9bI9W&#10;wmu9flebJrXix9Qvb/vn8Wv3mUl5fzdPlsAiXuIVhj99UoeKnBp/dDowIyHLHnNCJSzSBZUiIhf5&#10;E7CGNpkQwKuS/+9Q/QJQSwMEFAAAAAgAh07iQJ5Gvqc+AgAAZwQAAA4AAABkcnMvZTJvRG9jLnht&#10;bK1UzW7UMBC+I/EOlu80+9Of7arZamlVhFTRSgVx9jpOE8n2GNvbpDwAvAEnLtx5rj4Hn53dbVU4&#10;9MDFGc+MZ+b7ZiYnp73R7E750JIt+XhvxJmykqrW3pb808eLNzPOQhS2EpqsKvm9Cvx08frVSefm&#10;akIN6Up5hiA2zDtX8iZGNy+KIBtlRNgjpyyMNXkjIq7+tqi86BDd6GIyGh0WHfnKeZIqBGjPByPf&#10;RPQvCUh13Up1TnJtlI1DVK+0iIAUmtYFvsjV1rWS8aqug4pMlxxIYz6RBPIqncXiRMxvvXBNKzcl&#10;iJeU8AyTEa1F0l2ocxEFW/v2r1CmlZ4C1XFPkikGIJkRoBiPnnFz0winMhZQHdyO9PD/wsoPd9ee&#10;tRUm4ZgzKww6/vDj+8PP3w+/vjHoQFDnwhx+Nw6esX9LPZy3+gBlwt3X3qQvEDHYQe/9jl7VRyah&#10;nE1ns+kBZxKmyeRoOs30F4+PnQ/xnSLDklByj+5lUsXdZYgoBK5bl5TL0kWrde6gtqwr+eH0YJQf&#10;7Cx4oS0eJghDqUmK/arf4FpRdQ9YnobJCE5etEh+KUK8Fh6jACRYlniFo9aEJLSROGvIf/2XPvmj&#10;Q7By1mG0Sh6+rIVXnOn3Fr07Hu/vp1nMl/2Dowku/qll9dRi1+aMML1jrKWTWUz+UW/F2pP5jJ1a&#10;pqwwCSuRu+RxK57FYeCxk1Itl9kJ0+dEvLQ3TqbQA53LdaS6zUwnmgZuNuxh/nIDNruSBvzpPXs9&#10;/h8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Yz+NJ3AAAAAsBAAAPAAAAAAAAAAEAIAAAACIA&#10;AABkcnMvZG93bnJldi54bWxQSwECFAAUAAAACACHTuJAnka+pz4CAABnBAAADgAAAAAAAAABACAA&#10;AAArAQAAZHJzL2Uyb0RvYy54bWxQSwUGAAAAAAYABgBZAQAA2wUAAAAA&#10;">
                      <v:fill on="f" focussize="0,0"/>
                      <v:stroke on="f" weight="0.5pt"/>
                      <v:imagedata o:title=""/>
                      <o:lock v:ext="edit" aspectratio="f"/>
                      <v:textbox>
                        <w:txbxContent>
                          <w:p w14:paraId="2A71BCBB">
                            <w:pPr>
                              <w:rPr>
                                <w:rFonts w:hint="default" w:eastAsiaTheme="minorEastAsia"/>
                                <w:sz w:val="15"/>
                                <w:szCs w:val="18"/>
                                <w:lang w:val="en-US" w:eastAsia="zh-CN"/>
                              </w:rPr>
                            </w:pPr>
                            <w:r>
                              <w:rPr>
                                <w:rFonts w:hint="eastAsia"/>
                                <w:sz w:val="15"/>
                                <w:szCs w:val="18"/>
                                <w:lang w:val="en-US" w:eastAsia="zh-CN"/>
                              </w:rPr>
                              <w:t>重点管控单元</w:t>
                            </w:r>
                          </w:p>
                        </w:txbxContent>
                      </v:textbox>
                    </v:shape>
                  </w:pict>
                </mc:Fallback>
              </mc:AlternateContent>
            </w:r>
            <w:r>
              <w:rPr>
                <w:rFonts w:hint="default" w:ascii="Times New Roman" w:hAnsi="Times New Roman" w:cs="Times New Roman"/>
                <w:color w:val="000000" w:themeColor="text1"/>
                <w:sz w:val="2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3138170</wp:posOffset>
                      </wp:positionH>
                      <wp:positionV relativeFrom="paragraph">
                        <wp:posOffset>2079625</wp:posOffset>
                      </wp:positionV>
                      <wp:extent cx="302895" cy="156210"/>
                      <wp:effectExtent l="6350" t="6350" r="14605" b="8890"/>
                      <wp:wrapNone/>
                      <wp:docPr id="18" name="矩形 18"/>
                      <wp:cNvGraphicFramePr/>
                      <a:graphic xmlns:a="http://schemas.openxmlformats.org/drawingml/2006/main">
                        <a:graphicData uri="http://schemas.microsoft.com/office/word/2010/wordprocessingShape">
                          <wps:wsp>
                            <wps:cNvSpPr/>
                            <wps:spPr>
                              <a:xfrm>
                                <a:off x="0" y="0"/>
                                <a:ext cx="302895" cy="15621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7.1pt;margin-top:163.75pt;height:12.3pt;width:23.85pt;z-index:251668480;v-text-anchor:middle;mso-width-relative:page;mso-height-relative:page;" fillcolor="#EF949E [1945]" filled="t" stroked="t" coordsize="21600,21600" o:gfxdata="UEsDBAoAAAAAAIdO4kAAAAAAAAAAAAAAAAAEAAAAZHJzL1BLAwQUAAAACACHTuJA2N26s9gAAAAL&#10;AQAADwAAAGRycy9kb3ducmV2LnhtbE2Py07DMBBF90j8gzVI7KgfJIWEOJWo6J6WSIidEw9JRDyO&#10;YvfB32NWsJyZozvnVpuLm9gJlzB60iBXAhhS5+1IvYbmbXf3CCxEQ9ZMnlDDNwbY1NdXlSmtP9Me&#10;T4fYsxRCoTQahhjnkvPQDehMWPkZKd0+/eJMTOPSc7uYcwp3E1dCrLkzI6UPg5lxO2D3dTg6Da/t&#10;vnkR78Wz2q6zJu5k/tHYXOvbGymegEW8xD8YfvWTOtTJqfVHsoFNGrIiUwnVcK8ecmCJyDNZAGvT&#10;JlcSeF3x/x3qH1BLAwQUAAAACACHTuJAMdAoL4gCAABnBQAADgAAAGRycy9lMm9Eb2MueG1stVTL&#10;bhMxFN0j8Q+W93SSkD4SdVJFTYOQCq1UEGvH48lY8gvbyaT8DBI7PoLPQfwGx55JX7DoArKY3JfP&#10;9T33Xp+e7bQiW+GDtKakw4MBJcJwW0mzLunHD8tXJ5SEyEzFlDWipLci0LPZyxenrZuKkW2sqoQn&#10;ADFh2rqSNjG6aVEE3gjNwoF1wsBZW69ZhOrXReVZC3StitFgcFS01lfOWy5CgHXROWmP6J8DaOta&#10;crGwfKOFiR2qF4pFlBQa6QKd5dvWteDxqq6DiESVFJXG/EUSyKv0LWanbLr2zDWS91dgz7nCk5o0&#10;kwZJ76AWLDKy8fIPKC25t8HW8YBbXXSFZEZQxXDwhJubhjmRawHVwd2RHv4dLH+/vfZEVpgE9N0w&#10;jY7/+vr9549vBAaw07owRdCNu/a9FiCmUne11+kfRZBdZvT2jlGxi4TD+HowOpkcUsLhGh4ejYaZ&#10;8eL+sPMhvhFWkySU1KNhmUe2vQwRCRG6D0m5glWyWkqlsuLXq3PlyZahuRfLyXhykc+qjX5nq858&#10;NMCv6zLMmIXOPN6bgR86mJzrEb4ypMW1R8dAIJxh1mvMGETtwFcwa0qYWmOJePQ58aPTPex/u12i&#10;ZcFC0yXIqbs6tYxYUCV1SU9SmXvKlUGJqZ1dA5O0stUt2u9ttxfB8aUE7CUL8Zp5LAIKx1MRr/Cp&#10;lQUbtpcoaaz/8jd7isd8wktJi8UCU583zAtK1FuDyZ0Mx+O0iVkZHx6PoPiHntVDj9noc4v2DvEo&#10;OZ7FFB/VXqy91Z/wosxTVriY4cjd9aRXzmO38HiTuJjPcxi2z7F4aW4cT+BpnIydb6KtZR67e3Z6&#10;0rB/eUL6tyIt+EM9R92/j7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2N26s9gAAAALAQAADwAA&#10;AAAAAAABACAAAAAiAAAAZHJzL2Rvd25yZXYueG1sUEsBAhQAFAAAAAgAh07iQDHQKC+IAgAAZwUA&#10;AA4AAAAAAAAAAQAgAAAAJwEAAGRycy9lMm9Eb2MueG1sUEsFBgAAAAAGAAYAWQEAACEGAAAAAA==&#10;">
                      <v:fill on="t" focussize="0,0"/>
                      <v:stroke weight="1pt" color="#EF949E [1945]" miterlimit="8" joinstyle="miter"/>
                      <v:imagedata o:title=""/>
                      <o:lock v:ext="edit" aspectratio="f"/>
                    </v:rect>
                  </w:pict>
                </mc:Fallback>
              </mc:AlternateContent>
            </w:r>
            <w:r>
              <w:rPr>
                <w:rFonts w:hint="default" w:ascii="Times New Roman" w:hAnsi="Times New Roman" w:cs="Times New Roman"/>
                <w:color w:val="000000" w:themeColor="text1"/>
                <w:sz w:val="2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3506470</wp:posOffset>
                      </wp:positionH>
                      <wp:positionV relativeFrom="paragraph">
                        <wp:posOffset>1735455</wp:posOffset>
                      </wp:positionV>
                      <wp:extent cx="838835" cy="227330"/>
                      <wp:effectExtent l="0" t="0" r="0" b="0"/>
                      <wp:wrapNone/>
                      <wp:docPr id="17" name="文本框 17"/>
                      <wp:cNvGraphicFramePr/>
                      <a:graphic xmlns:a="http://schemas.openxmlformats.org/drawingml/2006/main">
                        <a:graphicData uri="http://schemas.microsoft.com/office/word/2010/wordprocessingShape">
                          <wps:wsp>
                            <wps:cNvSpPr txBox="1"/>
                            <wps:spPr>
                              <a:xfrm>
                                <a:off x="5556250" y="3344545"/>
                                <a:ext cx="838835" cy="227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45F1E">
                                  <w:pPr>
                                    <w:rPr>
                                      <w:rFonts w:hint="default" w:eastAsiaTheme="minorEastAsia"/>
                                      <w:sz w:val="15"/>
                                      <w:szCs w:val="18"/>
                                      <w:lang w:val="en-US" w:eastAsia="zh-CN"/>
                                    </w:rPr>
                                  </w:pPr>
                                  <w:r>
                                    <w:rPr>
                                      <w:rFonts w:hint="eastAsia"/>
                                      <w:sz w:val="15"/>
                                      <w:szCs w:val="18"/>
                                      <w:lang w:val="en-US" w:eastAsia="zh-CN"/>
                                    </w:rPr>
                                    <w:t>优先管控单元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1pt;margin-top:136.65pt;height:17.9pt;width:66.05pt;z-index:251667456;mso-width-relative:page;mso-height-relative:page;" filled="f" stroked="f" coordsize="21600,21600" o:gfxdata="UEsDBAoAAAAAAIdO4kAAAAAAAAAAAAAAAAAEAAAAZHJzL1BLAwQUAAAACACHTuJAY3P1bdwAAAAL&#10;AQAADwAAAGRycy9kb3ducmV2LnhtbE2Py07DMBBF90j8gzVI7KidhJQQ4lQoUoWEYNHSDbtJ7CYR&#10;foTYfcDXM6xgN6M5unNutTpbw456DqN3EpKFAKZd59Xoegm7t/VNASxEdAqNd1rClw6wqi8vKiyV&#10;P7mNPm5jzyjEhRIlDDFOJeehG7TFsPCTdnTb+9lipHXuuZrxROHW8FSIJbc4Ovow4KSbQXcf24OV&#10;8NysX3HTprb4Ns3Ty/5x+ty951JeXyXiAVjU5/gHw68+qUNNTq0/OBWYkZDnaUqohPQuy4ARsSxu&#10;aWglZOI+AV5X/H+H+gdQSwMEFAAAAAgAh07iQGenmSNIAgAAcwQAAA4AAABkcnMvZTJvRG9jLnht&#10;bK1UzW4TMRC+I/EOlu90k2y2DVE2VWhVhFTRSgVxdrze7Er+w3a6Wx4A3oATF+48V56Dz96kLYVD&#10;D1ycsefbmfm+mcnitFeS3ArnW6NLOj4aUSI0N1WrNyX9+OHi1YwSH5iumDRalPROeHq6fPli0dm5&#10;mJjGyEo4giDazztb0iYEO88yzxuhmD8yVmg4a+MUC7i6TVY51iG6ktlkNDrOOuMq6wwX3uP1fHDS&#10;fUT3nICmrlsuzg3fKqHDENUJyQIo+aa1ni5TtXUteLiqay8CkSUF05BOJIG9jme2XLD5xjHbtHxf&#10;AntOCU84KdZqJL0Pdc4CI1vX/hVKtdwZb+pwxI3KBiJJEbAYj55oc9MwKxIXSO3tvej+/4Xl72+v&#10;HWkrTMIJJZopdHz3/dvux6/dz68EbxCos34O3I0FMvRvTA/w4d3jMfLua6fiLxgR+IuiOJ4UEPmu&#10;pHk+nRbTYpBa9IFwAGb5bJYXlHAAJpOTPE+tyB4CWefDW2EUiUZJHTqZBGa3lz6gKEAPkJhXm4tW&#10;ytRNqUlX0uMc6f/w4Aup8WGkM5QdrdCv+z3HtanuQNGZYUq85Rctkl8yH66Zw1iADxYnXOGopUES&#10;s7coaYz78q/3iEe34KWkw5iV1H/eMicoke80+vh6PJ3GuUyXaXEywcU99qwfe/RWnRlM8hgranky&#10;Iz7Ig1k7oz5hv1YxK1xMc+QuaTiYZ2EYfuwnF6tVAmESLQuX+sbyGHoQbbUNpm6T0lGmQZu9epjF&#10;1ID93sRhf3xPqIf/iu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3P1bdwAAAALAQAADwAAAAAA&#10;AAABACAAAAAiAAAAZHJzL2Rvd25yZXYueG1sUEsBAhQAFAAAAAgAh07iQGenmSNIAgAAcwQAAA4A&#10;AAAAAAAAAQAgAAAAKwEAAGRycy9lMm9Eb2MueG1sUEsFBgAAAAAGAAYAWQEAAOUFAAAAAA==&#10;">
                      <v:fill on="f" focussize="0,0"/>
                      <v:stroke on="f" weight="0.5pt"/>
                      <v:imagedata o:title=""/>
                      <o:lock v:ext="edit" aspectratio="f"/>
                      <v:textbox>
                        <w:txbxContent>
                          <w:p w14:paraId="6BA45F1E">
                            <w:pPr>
                              <w:rPr>
                                <w:rFonts w:hint="default" w:eastAsiaTheme="minorEastAsia"/>
                                <w:sz w:val="15"/>
                                <w:szCs w:val="18"/>
                                <w:lang w:val="en-US" w:eastAsia="zh-CN"/>
                              </w:rPr>
                            </w:pPr>
                            <w:r>
                              <w:rPr>
                                <w:rFonts w:hint="eastAsia"/>
                                <w:sz w:val="15"/>
                                <w:szCs w:val="18"/>
                                <w:lang w:val="en-US" w:eastAsia="zh-CN"/>
                              </w:rPr>
                              <w:t>优先管控单元</w:t>
                            </w:r>
                          </w:p>
                        </w:txbxContent>
                      </v:textbox>
                    </v:shape>
                  </w:pict>
                </mc:Fallback>
              </mc:AlternateContent>
            </w:r>
            <w:r>
              <w:rPr>
                <w:rFonts w:hint="default" w:ascii="Times New Roman" w:hAnsi="Times New Roman" w:cs="Times New Roman"/>
                <w:color w:val="000000" w:themeColor="text1"/>
                <w:sz w:val="2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3133090</wp:posOffset>
                      </wp:positionH>
                      <wp:positionV relativeFrom="paragraph">
                        <wp:posOffset>1762760</wp:posOffset>
                      </wp:positionV>
                      <wp:extent cx="302895" cy="156210"/>
                      <wp:effectExtent l="6350" t="6350" r="14605" b="8890"/>
                      <wp:wrapNone/>
                      <wp:docPr id="15" name="矩形 15"/>
                      <wp:cNvGraphicFramePr/>
                      <a:graphic xmlns:a="http://schemas.openxmlformats.org/drawingml/2006/main">
                        <a:graphicData uri="http://schemas.microsoft.com/office/word/2010/wordprocessingShape">
                          <wps:wsp>
                            <wps:cNvSpPr/>
                            <wps:spPr>
                              <a:xfrm>
                                <a:off x="5166360" y="3404870"/>
                                <a:ext cx="302895" cy="156210"/>
                              </a:xfrm>
                              <a:prstGeom prst="rect">
                                <a:avLst/>
                              </a:prstGeom>
                              <a:solidFill>
                                <a:schemeClr val="accent4">
                                  <a:lumMod val="60000"/>
                                  <a:lumOff val="40000"/>
                                </a:schemeClr>
                              </a:solidFill>
                              <a:ln>
                                <a:solidFill>
                                  <a:schemeClr val="accent4">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7pt;margin-top:138.8pt;height:12.3pt;width:23.85pt;z-index:251666432;v-text-anchor:middle;mso-width-relative:page;mso-height-relative:page;" fillcolor="#ACD78E [1943]" filled="t" stroked="t" coordsize="21600,21600" o:gfxdata="UEsDBAoAAAAAAIdO4kAAAAAAAAAAAAAAAAAEAAAAZHJzL1BLAwQUAAAACACHTuJAVMJNstcAAAAL&#10;AQAADwAAAGRycy9kb3ducmV2LnhtbE2Py07DMBBF90j8gzVIbBB1koa0hDhdFLEGCuyn8ZBE2OMo&#10;dh78PWYFy9E9uvdMdVitETONvnesIN0kIIgbp3tuFby/Pd3uQfiArNE4JgXf5OFQX15UWGq38CvN&#10;p9CKWMK+RAVdCEMppW86sug3biCO2acbLYZ4jq3UIy6x3BqZJUkhLfYcFzoc6NhR83WarII5v5GT&#10;3ePLclw/VvNsCjM/FkpdX6XJA4hAa/iD4Vc/qkMdnc5uYu2FUZDfb/OIKsh2uwJEJO7yNAVxVrBN&#10;sgxkXcn/P9Q/UEsDBBQAAAAIAIdO4kBzM8zVqAIAAHMFAAAOAAAAZHJzL2Uyb0RvYy54bWytVNtu&#10;EzEQfUfiHyy/0829adRNFRKKkAqtVBDPjtebteQbtnMpP4PEGx/B5yB+g7PeTZq2CPWBPDgz49kz&#10;M2dmfH6x04pshA/Smpx2TzqUCMNtIc0qp58+Xr4aUxIiMwVT1oic3olAL6YvX5xv3UT0bGVVITwB&#10;iAmTrctpFaObZFngldAsnFgnDC5L6zWLUP0qKzzbAl2rrNfpjLKt9YXzlosQYF00l7RF9M8BtGUp&#10;uVhYvtbCxAbVC8UiSgqVdIFOU7ZlKXi8LssgIlE5RaUxnQgCeVmf2fScTVaeuUryNgX2nBQe1aSZ&#10;NAh6gFqwyMjayydQWnJvgy3jCbc6awpJjKCKbucRN7cVcyLVAqqDO5Ae/h8s/7C58UQWmIQhJYZp&#10;dPz3tx+/fn4nMICdrQsTON26G99qAWJd6q70uv5HEWSX02F3NOqPwOtdTvuDzmB82rIrdpFwOPQ7&#10;vfEZgnA4dIejXjfdZ/dAzof4VlhNaiGnHs1LnLLNVYgIDte9Sx03WCWLS6lUUvxqOVeebBgaPZsv&#10;Tsdv0rdqrd/bojGPOvg1HYcZc9GYB3sz8EMDk2I9wFeGbJF27xQIhDPMfYl5g6gduAtmRQlTKywU&#10;jz4FfvB1C9vEm4/fDF/3n2R3SINNjrM7JP2v7GpaFixUTYAUuqlTy4hlVVLndFyXuadcGZRYt7Zp&#10;Zi0tbXGHUfC22ZHg+KUE7BUL8YZ5LAUKx7MRr3GUyoIN20qUVNZ//Zu99ses4paSLZYMTH1ZMy8o&#10;Ue8MpvisOxgANiZlMDztQfHHN8vjG7PWc4v2dvFAOZ7E2j+qvVh6qz/jdZnVUXHFDEfspietMo/N&#10;8uN94mI2S27YRMfilbl1vAavx8nY2TraUqaxu2enJQ27mCakfTfqZT/Wk9f9Wzn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FTCTbLXAAAACwEAAA8AAAAAAAAAAQAgAAAAIgAAAGRycy9kb3ducmV2&#10;LnhtbFBLAQIUABQAAAAIAIdO4kBzM8zVqAIAAHMFAAAOAAAAAAAAAAEAIAAAACYBAABkcnMvZTJv&#10;RG9jLnhtbFBLBQYAAAAABgAGAFkBAABABgAAAAA=&#10;">
                      <v:fill on="t" focussize="0,0"/>
                      <v:stroke weight="1pt" color="#C8E5B3 [1303]" miterlimit="8" joinstyle="miter"/>
                      <v:imagedata o:title=""/>
                      <o:lock v:ext="edit" aspectratio="f"/>
                    </v:rect>
                  </w:pict>
                </mc:Fallback>
              </mc:AlternateContent>
            </w:r>
            <w:r>
              <w:rPr>
                <w:rFonts w:hint="default" w:ascii="Times New Roman" w:hAnsi="Times New Roman" w:cs="Times New Roman"/>
                <w:color w:val="000000" w:themeColor="text1"/>
                <w:sz w:val="2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3063240</wp:posOffset>
                      </wp:positionH>
                      <wp:positionV relativeFrom="paragraph">
                        <wp:posOffset>1494790</wp:posOffset>
                      </wp:positionV>
                      <wp:extent cx="1316355" cy="1151890"/>
                      <wp:effectExtent l="5080" t="4445" r="12065" b="5715"/>
                      <wp:wrapNone/>
                      <wp:docPr id="14" name="文本框 14"/>
                      <wp:cNvGraphicFramePr/>
                      <a:graphic xmlns:a="http://schemas.openxmlformats.org/drawingml/2006/main">
                        <a:graphicData uri="http://schemas.microsoft.com/office/word/2010/wordprocessingShape">
                          <wps:wsp>
                            <wps:cNvSpPr txBox="1"/>
                            <wps:spPr>
                              <a:xfrm>
                                <a:off x="5088255" y="3145155"/>
                                <a:ext cx="1316355" cy="1151890"/>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68B03BD">
                                  <w:pPr>
                                    <w:rPr>
                                      <w:rFonts w:hint="eastAsia" w:eastAsiaTheme="minorEastAsia"/>
                                      <w:lang w:val="en-US" w:eastAsia="zh-CN"/>
                                    </w:rPr>
                                  </w:pPr>
                                  <w:r>
                                    <w:rPr>
                                      <w:rFonts w:hint="eastAsia"/>
                                      <w:lang w:val="en-US" w:eastAsia="zh-CN"/>
                                    </w:rPr>
                                    <w:t>图例：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2pt;margin-top:117.7pt;height:90.7pt;width:103.65pt;z-index:251665408;mso-width-relative:page;mso-height-relative:page;" fillcolor="#FFFFFF [3212]" filled="t" stroked="t" coordsize="21600,21600" o:gfxdata="UEsDBAoAAAAAAIdO4kAAAAAAAAAAAAAAAAAEAAAAZHJzL1BLAwQUAAAACACHTuJAuX/ArtkAAAAL&#10;AQAADwAAAGRycy9kb3ducmV2LnhtbE2PTU+DQBCG7yb+h82YeLML2OKKLD2YeDMmtH4dtzAFIjtL&#10;2QXqv3c86W0m75N3nsm3Z9uLGUffOdIQryIQSJWrO2o0vO6fbhQIHwzVpneEGr7Rw7a4vMhNVruF&#10;Spx3oRFcQj4zGtoQhkxKX7VojV+5AYmzoxutCbyOjaxHs3C57WUSRam0piO+0JoBH1usvnaT1fAy&#10;T+6ted9UH/S5lF4dT+WzOml9fRVHDyACnsMfDL/6rA4FOx3cRLUXvYa1StaMakhuNzwwkar7OxAH&#10;juJUgSxy+f+H4gdQSwMEFAAAAAgAh07iQCSxCrpgAgAAxwQAAA4AAABkcnMvZTJvRG9jLnhtbK1U&#10;zW4TMRC+I/EOlu90s/kpadRNFVoFIVW0UkGcHa83a8lrG9vJbnkAeIOeuHDnufocfPYmbVo49EAO&#10;zoznyzeeb2ZyetY1imyF89LoguZHA0qE5qaUel3Qz5+Wb6aU+MB0yZTRoqC3wtOz+etXp62diaGp&#10;jSqFIyDRftbagtYh2FmWeV6LhvkjY4VGsDKuYQGuW2elYy3YG5UNB4PjrDWutM5w4T1uL/og3TG6&#10;lxCaqpJcXBi+aYQOPasTigWU5GtpPZ2n11aV4OGqqrwIRBUUlYZ0IgnsVTyz+SmbrR2zteS7J7CX&#10;POFZTQ2TGkkfqC5YYGTj5F9UjeTOeFOFI26arC8kKYIq8sEzbW5qZkWqBVJ7+yC6/3+0/OP22hFZ&#10;YhLGlGjWoOP3dz/uf/6+//Wd4A4CtdbPgLuxQIbunekA3t97XMa6u8o18RsVEcQng+l0OJlQclvQ&#10;UT6e5LCT1KILhEeCUX48igAORJ5P8ulJakb2SGWdD++FaUg0CurQyyQx2176ADJA95CY2Rsly6VU&#10;KjluvTpXjmwZ+r5Mn5gfP3kCU5q0BcVDBon5Scy/hAKESoM3StRLEa3QrbqdbitT3kI2Z/rJ85Yv&#10;Jcq5ZD5cM4dRwyBiGcMVjkoZvMbsLEpq47796z7iMQGIUtJidAvqv26YE5SoDxqzcZKPx3HWkzOe&#10;vB3CcYeR1WFEb5pzA5VyrL3lyYz4oPZm5UzzBTu7iFkRYpojd0HD3jwP/UJh57lYLBII021ZuNQ3&#10;lkfq2BNtFptgKpl6F2Xqtdmph/lO/dntYlygQz+hHv9/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X/ArtkAAAALAQAADwAAAAAAAAABACAAAAAiAAAAZHJzL2Rvd25yZXYueG1sUEsBAhQAFAAA&#10;AAgAh07iQCSxCrpgAgAAxwQAAA4AAAAAAAAAAQAgAAAAKAEAAGRycy9lMm9Eb2MueG1sUEsFBgAA&#10;AAAGAAYAWQEAAPoFAAAAAA==&#10;">
                      <v:fill on="t" focussize="0,0"/>
                      <v:stroke weight="0.5pt" color="#FFFFFF [3212]" joinstyle="round"/>
                      <v:imagedata o:title=""/>
                      <o:lock v:ext="edit" aspectratio="f"/>
                      <v:textbox>
                        <w:txbxContent>
                          <w:p w14:paraId="368B03BD">
                            <w:pPr>
                              <w:rPr>
                                <w:rFonts w:hint="eastAsia" w:eastAsiaTheme="minorEastAsia"/>
                                <w:lang w:val="en-US" w:eastAsia="zh-CN"/>
                              </w:rPr>
                            </w:pPr>
                            <w:r>
                              <w:rPr>
                                <w:rFonts w:hint="eastAsia"/>
                                <w:lang w:val="en-US" w:eastAsia="zh-CN"/>
                              </w:rPr>
                              <w:t>图例：</w:t>
                            </w:r>
                          </w:p>
                        </w:txbxContent>
                      </v:textbox>
                    </v:shape>
                  </w:pict>
                </mc:Fallback>
              </mc:AlternateContent>
            </w: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94615</wp:posOffset>
                  </wp:positionH>
                  <wp:positionV relativeFrom="paragraph">
                    <wp:posOffset>2400935</wp:posOffset>
                  </wp:positionV>
                  <wp:extent cx="805815" cy="252730"/>
                  <wp:effectExtent l="0" t="0" r="13335" b="13970"/>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
                          <a:stretch>
                            <a:fillRect/>
                          </a:stretch>
                        </pic:blipFill>
                        <pic:spPr>
                          <a:xfrm>
                            <a:off x="0" y="0"/>
                            <a:ext cx="805815" cy="252730"/>
                          </a:xfrm>
                          <a:prstGeom prst="rect">
                            <a:avLst/>
                          </a:prstGeom>
                          <a:noFill/>
                          <a:ln>
                            <a:noFill/>
                          </a:ln>
                        </pic:spPr>
                      </pic:pic>
                    </a:graphicData>
                  </a:graphic>
                </wp:anchor>
              </w:drawing>
            </w:r>
            <w:r>
              <w:rPr>
                <w:rFonts w:hint="default" w:ascii="Times New Roman" w:hAnsi="Times New Roman" w:cs="Times New Roman"/>
                <w:color w:val="000000" w:themeColor="text1"/>
                <w:sz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1786890</wp:posOffset>
                      </wp:positionH>
                      <wp:positionV relativeFrom="paragraph">
                        <wp:posOffset>1009650</wp:posOffset>
                      </wp:positionV>
                      <wp:extent cx="246380" cy="363855"/>
                      <wp:effectExtent l="5080" t="3810" r="15240" b="13335"/>
                      <wp:wrapNone/>
                      <wp:docPr id="12" name="直接箭头连接符 12"/>
                      <wp:cNvGraphicFramePr/>
                      <a:graphic xmlns:a="http://schemas.openxmlformats.org/drawingml/2006/main">
                        <a:graphicData uri="http://schemas.microsoft.com/office/word/2010/wordprocessingShape">
                          <wps:wsp>
                            <wps:cNvCnPr>
                              <a:stCxn id="11" idx="2"/>
                            </wps:cNvCnPr>
                            <wps:spPr>
                              <a:xfrm>
                                <a:off x="3820160" y="2651760"/>
                                <a:ext cx="246380" cy="363855"/>
                              </a:xfrm>
                              <a:prstGeom prst="straightConnector1">
                                <a:avLst/>
                              </a:prstGeom>
                              <a:ln>
                                <a:solidFill>
                                  <a:schemeClr val="bg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40.7pt;margin-top:79.5pt;height:28.65pt;width:19.4pt;z-index:251663360;mso-width-relative:page;mso-height-relative:page;" filled="f" stroked="t" coordsize="21600,21600" o:gfxdata="UEsDBAoAAAAAAIdO4kAAAAAAAAAAAAAAAAAEAAAAZHJzL1BLAwQUAAAACACHTuJAqr8g9tgAAAAL&#10;AQAADwAAAGRycy9kb3ducmV2LnhtbE2PwU7DMBBE70j8g7VI3KiTFKw0jVOhCgTiRkHi6iZLHDVe&#10;R7bbhr9nOdHjap5m39Sb2Y3ihCEOnjTkiwwEUuu7gXoNnx/PdyWImAx1ZvSEGn4wwqa5vqpN1fkz&#10;veNpl3rBJRQro8GmNFVSxtaiM3HhJyTOvn1wJvEZetkFc+ZyN8oiy5R0ZiD+YM2EW4vtYXd0Gl7y&#10;VzWqOfSPWD69fanDtrVx0Pr2Js/WIBLO6R+GP31Wh4ad9v5IXRSjhqLM7xnl4GHFo5hYFlkBYs9R&#10;rpYgm1pebmh+AVBLAwQUAAAACACHTuJAaV3ybyECAAAYBAAADgAAAGRycy9lMm9Eb2MueG1srVPN&#10;jtMwEL4j8Q6W7zRJS7tV1HQPLeWCoBLwAK7jJJb8p7G3aV+CF0DiBJxgT3vnaWB5DMZOd5ddLnsg&#10;h2Scmflmvm/Gi/ODVmQvwEtrKlqMckqE4baWpq3o+3ebZ3NKfGCmZsoaUdGj8PR8+fTJonelGNvO&#10;qloAQRDjy95VtAvBlVnmeSc08yPrhEFnY0GzgEdosxpYj+haZeM8n2W9hdqB5cJ7/LsenPSECI8B&#10;tE0juVhbfqGFCQMqCMUCUvKddJ4uU7dNI3h40zReBKIqikxDemMRtHfxnS0XrGyBuU7yUwvsMS08&#10;4KSZNFj0FmrNAiMXIP+B0pKD9bYJI251NhBJiiCLIn+gzduOOZG4oNTe3Yru/x8sf73fApE1bsKY&#10;EsM0Tvz649WvD1+uL7///Hz1+8enaH/7StCPYvXOl5izMluIdH1YHcyQXlD8HiqawrJ7cfHg3ZBx&#10;aEDHTKROMHoyR94znMYRM2fT4gztNBNxCIRHuOezyRz9HAMmaE6n0Z+x8gbIgQ8vhdUkGhX1AZhs&#10;u7CyxuD0LRRpLmz/yoch8SYhdmHsRiqVCipD+qjCWR6rMdzsBjcKTe1QHW9aSphq8crwAAnSWyXr&#10;mJ6EgHa3UkD2DBdtk55Tn/fCYu01890Ql1wDXS0D3ioldUXneXyG34FJ9cLUJBwdDoYB2P4Eqwyq&#10;cCdstHa2Pm4hkownXJik02m540b+fU5Rdxd6+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qvyD2&#10;2AAAAAsBAAAPAAAAAAAAAAEAIAAAACIAAABkcnMvZG93bnJldi54bWxQSwECFAAUAAAACACHTuJA&#10;aV3ybyECAAAYBAAADgAAAAAAAAABACAAAAAnAQAAZHJzL2Uyb0RvYy54bWxQSwUGAAAAAAYABgBZ&#10;AQAAugUAAAAA&#10;">
                      <v:fill on="f" focussize="0,0"/>
                      <v:stroke weight="1pt" color="#FFFFFF [3212]" miterlimit="8" joinstyle="miter" endarrow="open"/>
                      <v:imagedata o:title=""/>
                      <o:lock v:ext="edit" aspectratio="f"/>
                    </v:shape>
                  </w:pict>
                </mc:Fallback>
              </mc:AlternateContent>
            </w:r>
            <w:r>
              <w:rPr>
                <w:rFonts w:hint="default" w:ascii="Times New Roman" w:hAnsi="Times New Roman" w:cs="Times New Roman"/>
                <w:color w:val="000000" w:themeColor="text1"/>
                <w:sz w:val="2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1436370</wp:posOffset>
                      </wp:positionH>
                      <wp:positionV relativeFrom="paragraph">
                        <wp:posOffset>689610</wp:posOffset>
                      </wp:positionV>
                      <wp:extent cx="701040" cy="320040"/>
                      <wp:effectExtent l="6350" t="6350" r="16510" b="16510"/>
                      <wp:wrapNone/>
                      <wp:docPr id="11" name="矩形 11"/>
                      <wp:cNvGraphicFramePr/>
                      <a:graphic xmlns:a="http://schemas.openxmlformats.org/drawingml/2006/main">
                        <a:graphicData uri="http://schemas.microsoft.com/office/word/2010/wordprocessingShape">
                          <wps:wsp>
                            <wps:cNvSpPr/>
                            <wps:spPr>
                              <a:xfrm>
                                <a:off x="3244215" y="2522220"/>
                                <a:ext cx="701040" cy="320040"/>
                              </a:xfrm>
                              <a:prstGeom prst="rect">
                                <a:avLst/>
                              </a:pr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1D0011A">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1pt;margin-top:54.3pt;height:25.2pt;width:55.2pt;z-index:251662336;v-text-anchor:middle;mso-width-relative:page;mso-height-relative:page;" filled="f" stroked="t" coordsize="21600,21600" o:gfxdata="UEsDBAoAAAAAAIdO4kAAAAAAAAAAAAAAAAAEAAAAZHJzL1BLAwQUAAAACACHTuJAVGEUJNoAAAAL&#10;AQAADwAAAGRycy9kb3ducmV2LnhtbE2PQU/DMAyF70j8h8hI3FiyTlSjNJ3QxJDQOLCxC7esNW3V&#10;xKmadCv/ft4Jbrbf0/P38tXkrDjhEFpPGuYzBQKp9FVLtYbD1+ZhCSJEQ5WxnlDDLwZYFbc3uckq&#10;f6YdnvaxFhxCITMamhj7TMpQNuhMmPkeibUfPzgTeR1qWQ3mzOHOykSpVDrTEn9oTI/rBstuPzoN&#10;47d92bwd3PROn2a9+9i+bjvbaX1/N1fPICJO8c8MV3xGh4KZjn6kKgirIUnShK0sqGUKgh2LRcrD&#10;kS+PTwpkkcv/HYoLUEsDBBQAAAAIAIdO4kCZGcgmeAIAAOMEAAAOAAAAZHJzL2Uyb0RvYy54bWyt&#10;VMtu1DAU3SPxD5b3NDPplJaomWrU0SCkilYaEGuP40ws+YXtmUz5GSR2fASfg/gNjp30QWHRBVkk&#10;177X5/ocH+f84qAV2QsfpDU1nR5NKBGG20aabU0/fli9OqMkRGYapqwRNb0VgV7MX744710lSttZ&#10;1QhPAGJC1buadjG6qigC74Rm4cg6YZBsrdcsYui3ReNZD3StinIyeV301jfOWy5CwOxySNIR0T8H&#10;0Lat5GJp+U4LEwdULxSLoBQ66QKd5922reDxum2DiETVFExjfqMJ4k16F/NzVm09c53k4xbYc7bw&#10;hJNm0qDpPdSSRUZ2Xv4FpSX3Ntg2HnGri4FIVgQsppMn2qw75kTmAqmDuxc9/D9Y/n5/44ls4IQp&#10;JYZpnPivr99//vhGMAF1ehcqFK3djR9HAWGiemi9Tl+QIIeaHpezWTk9oeS2puVJiWdUVxwi4Sg4&#10;BcEZdOcoOIYTEAOxeAByPsS3wmqSgpp6HF7WlO2vQhxK70pSX2NXUinMs0oZ0oNBeTpJ+AyubOEG&#10;hNqBWTBbSpjawu48+gwZrJJNWp5WB7/dXCpP9gwmWeVn3NkfZan3koVuqMupVMYqLSNuhJK6pmeT&#10;9IyrlQG9pN+gWIriYXPAmhRubHML6b0dPBkcX0l0uGIh3jAPE4IKrmm8xqtVFvzsGFHSWf/lX/Op&#10;Ht5AlpIepgb3zzvmBSXqnYFr3kxn6QRiHsxOTnFExD/ObB5nzE5fWkgCY2B3OUz1Ud2Frbf6E27z&#10;InVFihmO3oPK4+AyDpcN/wMuFotcBuc7Fq/M2vEEPpzlYhdtK/MxP6gz6gfvZ6OM9zRdrsfjXPXw&#10;b5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RhFCTaAAAACwEAAA8AAAAAAAAAAQAgAAAAIgAA&#10;AGRycy9kb3ducmV2LnhtbFBLAQIUABQAAAAIAIdO4kCZGcgmeAIAAOMEAAAOAAAAAAAAAAEAIAAA&#10;ACkBAABkcnMvZTJvRG9jLnhtbFBLBQYAAAAABgAGAFkBAAATBgAAAAA=&#10;">
                      <v:fill on="f" focussize="0,0"/>
                      <v:stroke weight="1pt" color="#FFFFFF [3212]" miterlimit="8" joinstyle="miter"/>
                      <v:imagedata o:title=""/>
                      <o:lock v:ext="edit" aspectratio="f"/>
                      <v:textbox>
                        <w:txbxContent>
                          <w:p w14:paraId="01D0011A">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p>
                        </w:txbxContent>
                      </v:textbox>
                    </v:rect>
                  </w:pict>
                </mc:Fallback>
              </mc:AlternateContent>
            </w:r>
            <w:r>
              <w:rPr>
                <w:rFonts w:hint="default" w:ascii="Times New Roman" w:hAnsi="Times New Roman" w:cs="Times New Roman"/>
                <w:color w:val="000000" w:themeColor="text1"/>
                <w14:textFill>
                  <w14:solidFill>
                    <w14:schemeClr w14:val="tx1"/>
                  </w14:solidFill>
                </w14:textFill>
              </w:rPr>
              <w:drawing>
                <wp:inline distT="0" distB="0" distL="114300" distR="114300">
                  <wp:extent cx="4291330" cy="2655570"/>
                  <wp:effectExtent l="0" t="0" r="13970" b="1143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4291330" cy="2655570"/>
                          </a:xfrm>
                          <a:prstGeom prst="rect">
                            <a:avLst/>
                          </a:prstGeom>
                          <a:noFill/>
                          <a:ln>
                            <a:noFill/>
                          </a:ln>
                        </pic:spPr>
                      </pic:pic>
                    </a:graphicData>
                  </a:graphic>
                </wp:inline>
              </w:drawing>
            </w:r>
          </w:p>
          <w:p w14:paraId="3B48D90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kern w:val="0"/>
                <w:szCs w:val="21"/>
                <w:lang w:val="en-US" w:eastAsia="zh-CN"/>
                <w14:textFill>
                  <w14:solidFill>
                    <w14:schemeClr w14:val="tx1"/>
                  </w14:solidFill>
                </w14:textFill>
              </w:rPr>
            </w:pPr>
            <w:r>
              <w:rPr>
                <w:rFonts w:hint="default" w:ascii="Times New Roman" w:hAnsi="Times New Roman" w:cs="Times New Roman"/>
                <w:b/>
                <w:bCs/>
                <w:color w:val="000000" w:themeColor="text1"/>
                <w:kern w:val="0"/>
                <w:szCs w:val="21"/>
                <w:lang w:val="en-US" w:eastAsia="zh-CN"/>
                <w14:textFill>
                  <w14:solidFill>
                    <w14:schemeClr w14:val="tx1"/>
                  </w14:solidFill>
                </w14:textFill>
              </w:rPr>
              <w:t>图1-</w:t>
            </w:r>
            <w:r>
              <w:rPr>
                <w:rFonts w:hint="eastAsia" w:ascii="Times New Roman" w:hAnsi="Times New Roman" w:cs="Times New Roman"/>
                <w:b/>
                <w:bCs/>
                <w:color w:val="000000" w:themeColor="text1"/>
                <w:kern w:val="0"/>
                <w:szCs w:val="21"/>
                <w:lang w:val="en-US" w:eastAsia="zh-CN"/>
                <w14:textFill>
                  <w14:solidFill>
                    <w14:schemeClr w14:val="tx1"/>
                  </w14:solidFill>
                </w14:textFill>
              </w:rPr>
              <w:t>1</w:t>
            </w:r>
            <w:r>
              <w:rPr>
                <w:rFonts w:hint="default" w:ascii="Times New Roman" w:hAnsi="Times New Roman" w:cs="Times New Roman"/>
                <w:b/>
                <w:bCs/>
                <w:color w:val="000000" w:themeColor="text1"/>
                <w:kern w:val="0"/>
                <w:szCs w:val="21"/>
                <w:lang w:val="en-US" w:eastAsia="zh-CN"/>
                <w14:textFill>
                  <w14:solidFill>
                    <w14:schemeClr w14:val="tx1"/>
                  </w14:solidFill>
                </w14:textFill>
              </w:rPr>
              <w:t xml:space="preserve">  环境管控单元对照分析示意图</w:t>
            </w:r>
          </w:p>
          <w:p w14:paraId="062BD75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由图1-2可知，本项目涉及的环境管控单元为重点管控单元。</w:t>
            </w:r>
          </w:p>
          <w:p w14:paraId="175E94B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cs="Times New Roman"/>
                <w:b/>
                <w:bCs/>
                <w:color w:val="000000" w:themeColor="text1"/>
                <w:kern w:val="0"/>
                <w:sz w:val="24"/>
                <w:szCs w:val="24"/>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（2）“一表”</w:t>
            </w:r>
            <w:r>
              <w:rPr>
                <w:rFonts w:hint="eastAsia" w:ascii="Times New Roman" w:hAnsi="Times New Roman" w:cs="Times New Roman"/>
                <w:b/>
                <w:bCs/>
                <w:color w:val="000000" w:themeColor="text1"/>
                <w:kern w:val="0"/>
                <w:sz w:val="24"/>
                <w:szCs w:val="24"/>
                <w:lang w:val="en-US" w:eastAsia="zh-CN"/>
                <w14:textFill>
                  <w14:solidFill>
                    <w14:schemeClr w14:val="tx1"/>
                  </w14:solidFill>
                </w14:textFill>
              </w:rPr>
              <w:t>：</w:t>
            </w: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涉及环境管控单元准入清单</w:t>
            </w:r>
          </w:p>
          <w:p w14:paraId="40B0FF6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kern w:val="0"/>
                <w:szCs w:val="21"/>
                <w:lang w:val="en-US" w:eastAsia="zh-CN"/>
                <w14:textFill>
                  <w14:solidFill>
                    <w14:schemeClr w14:val="tx1"/>
                  </w14:solidFill>
                </w14:textFill>
              </w:rPr>
            </w:pPr>
            <w:r>
              <w:rPr>
                <w:rFonts w:hint="default" w:ascii="Times New Roman" w:hAnsi="Times New Roman" w:cs="Times New Roman"/>
                <w:b/>
                <w:bCs/>
                <w:color w:val="000000" w:themeColor="text1"/>
                <w:kern w:val="0"/>
                <w:szCs w:val="21"/>
                <w:lang w:val="en-US" w:eastAsia="zh-CN"/>
                <w14:textFill>
                  <w14:solidFill>
                    <w14:schemeClr w14:val="tx1"/>
                  </w14:solidFill>
                </w14:textFill>
              </w:rPr>
              <w:t>表1-1  与“三线一单”生态环境分区管控方案符合性分析</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717"/>
              <w:gridCol w:w="767"/>
              <w:gridCol w:w="2131"/>
              <w:gridCol w:w="885"/>
              <w:gridCol w:w="1628"/>
            </w:tblGrid>
            <w:tr w14:paraId="4B92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Align w:val="center"/>
                </w:tcPr>
                <w:p w14:paraId="5B17DD0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t>环境管控单元名称</w:t>
                  </w:r>
                </w:p>
              </w:tc>
              <w:tc>
                <w:tcPr>
                  <w:tcW w:w="717" w:type="dxa"/>
                  <w:vAlign w:val="center"/>
                </w:tcPr>
                <w:p w14:paraId="42DEDE7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t>单元要素属性</w:t>
                  </w:r>
                </w:p>
              </w:tc>
              <w:tc>
                <w:tcPr>
                  <w:tcW w:w="767" w:type="dxa"/>
                  <w:vAlign w:val="center"/>
                </w:tcPr>
                <w:p w14:paraId="20F450B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t>管控要求分类</w:t>
                  </w:r>
                </w:p>
              </w:tc>
              <w:tc>
                <w:tcPr>
                  <w:tcW w:w="3016" w:type="dxa"/>
                  <w:gridSpan w:val="2"/>
                  <w:vAlign w:val="center"/>
                </w:tcPr>
                <w:p w14:paraId="550E68A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t>管控要求</w:t>
                  </w:r>
                </w:p>
              </w:tc>
              <w:tc>
                <w:tcPr>
                  <w:tcW w:w="1628" w:type="dxa"/>
                  <w:vAlign w:val="center"/>
                </w:tcPr>
                <w:p w14:paraId="5A23FF2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t>符合性分析</w:t>
                  </w:r>
                </w:p>
              </w:tc>
            </w:tr>
            <w:tr w14:paraId="02B8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restart"/>
                  <w:vAlign w:val="center"/>
                </w:tcPr>
                <w:p w14:paraId="5FD57B5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陕西省宝鸡市陈仓区重点管控单元9</w:t>
                  </w:r>
                </w:p>
              </w:tc>
              <w:tc>
                <w:tcPr>
                  <w:tcW w:w="717" w:type="dxa"/>
                  <w:vMerge w:val="restart"/>
                  <w:vAlign w:val="center"/>
                </w:tcPr>
                <w:p w14:paraId="531405C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大气环境受体敏感重点管控区、水环境城镇生活污染重点管控区、生态用水补给区管控分区、土地资源重点管控区、高污染燃料禁燃区、陈仓科技工业园</w:t>
                  </w:r>
                </w:p>
              </w:tc>
              <w:tc>
                <w:tcPr>
                  <w:tcW w:w="767" w:type="dxa"/>
                  <w:vMerge w:val="restart"/>
                  <w:vAlign w:val="center"/>
                </w:tcPr>
                <w:p w14:paraId="1D4B36E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空间布局约束</w:t>
                  </w:r>
                </w:p>
              </w:tc>
              <w:tc>
                <w:tcPr>
                  <w:tcW w:w="3016" w:type="dxa"/>
                  <w:gridSpan w:val="2"/>
                  <w:vAlign w:val="center"/>
                </w:tcPr>
                <w:p w14:paraId="4A2BF02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环境受体敏感重点管控区：1.严格控制新增《陕西省“两高”项目管理暂行目录》行业项目（民生等项目除外，后续对“两高”范围国家如有新规定的，从其规定）。2.严禁新增钢铁、焦化、水泥熟料、平板玻璃、 电解铝、氧化铝、煤化工产能</w:t>
                  </w:r>
                </w:p>
              </w:tc>
              <w:tc>
                <w:tcPr>
                  <w:tcW w:w="1628" w:type="dxa"/>
                  <w:vAlign w:val="center"/>
                </w:tcPr>
                <w:p w14:paraId="6420618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本项目为</w:t>
                  </w:r>
                  <w:r>
                    <w:rPr>
                      <w:rFonts w:hint="eastAsia" w:ascii="宋体" w:hAnsi="宋体" w:cs="宋体"/>
                      <w:color w:val="000000" w:themeColor="text1"/>
                      <w:szCs w:val="21"/>
                      <w:lang w:val="en-US" w:eastAsia="zh-CN"/>
                      <w14:textFill>
                        <w14:solidFill>
                          <w14:schemeClr w14:val="tx1"/>
                        </w14:solidFill>
                      </w14:textFill>
                    </w:rPr>
                    <w:t>玻璃纤维和玻璃纤维增强塑料制品制造和石墨及其他非金属矿物制品制造；</w:t>
                  </w: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不属于《陕西省“两高”项目管理暂行目录》行业项目范围内</w:t>
                  </w:r>
                </w:p>
              </w:tc>
            </w:tr>
            <w:tr w14:paraId="393B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40" w:type="dxa"/>
                  <w:vMerge w:val="continue"/>
                  <w:vAlign w:val="center"/>
                </w:tcPr>
                <w:p w14:paraId="584C993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p>
              </w:tc>
              <w:tc>
                <w:tcPr>
                  <w:tcW w:w="717" w:type="dxa"/>
                  <w:vMerge w:val="continue"/>
                  <w:vAlign w:val="center"/>
                </w:tcPr>
                <w:p w14:paraId="678DCD7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p>
              </w:tc>
              <w:tc>
                <w:tcPr>
                  <w:tcW w:w="767" w:type="dxa"/>
                  <w:vMerge w:val="continue"/>
                  <w:vAlign w:val="center"/>
                </w:tcPr>
                <w:p w14:paraId="2B451EC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p>
              </w:tc>
              <w:tc>
                <w:tcPr>
                  <w:tcW w:w="2131" w:type="dxa"/>
                  <w:vAlign w:val="center"/>
                </w:tcPr>
                <w:p w14:paraId="3A14CD7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陈仓科技工业园1.执行宝鸡市生态环境要素分区总体准入清单中“5.1大气环境受体敏感重点管控区的空间布局约束”</w:t>
                  </w:r>
                </w:p>
              </w:tc>
              <w:tc>
                <w:tcPr>
                  <w:tcW w:w="885" w:type="dxa"/>
                  <w:vAlign w:val="center"/>
                </w:tcPr>
                <w:p w14:paraId="53B53DC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1.严禁不符合主体功能定位的各类开发活动。2.严格控制涉及大气污染物排放项目，大气环境一类功能区禁止新、扩建污染源，现有污染源改建时执行现有污染源一级标准。</w:t>
                  </w:r>
                </w:p>
              </w:tc>
              <w:tc>
                <w:tcPr>
                  <w:tcW w:w="1628" w:type="dxa"/>
                  <w:vAlign w:val="center"/>
                </w:tcPr>
                <w:p w14:paraId="1201862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本项目不属于大气环境一类功能区，运行期产生的大气污染物参考《排污许可证申请与核发技术规范 橡胶和塑料制品工业》（HJ1122-2020）废气处理可行性技术的环保设施处理后可以达标排放。</w:t>
                  </w:r>
                </w:p>
              </w:tc>
            </w:tr>
            <w:tr w14:paraId="2AC6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vAlign w:val="center"/>
                </w:tcPr>
                <w:p w14:paraId="3B53E69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p>
              </w:tc>
              <w:tc>
                <w:tcPr>
                  <w:tcW w:w="717" w:type="dxa"/>
                  <w:vMerge w:val="continue"/>
                  <w:vAlign w:val="center"/>
                </w:tcPr>
                <w:p w14:paraId="60907E0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p>
              </w:tc>
              <w:tc>
                <w:tcPr>
                  <w:tcW w:w="767" w:type="dxa"/>
                  <w:vMerge w:val="restart"/>
                  <w:vAlign w:val="center"/>
                </w:tcPr>
                <w:p w14:paraId="3A158F1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污染排放管控要求</w:t>
                  </w:r>
                </w:p>
              </w:tc>
              <w:tc>
                <w:tcPr>
                  <w:tcW w:w="3016" w:type="dxa"/>
                  <w:gridSpan w:val="2"/>
                  <w:vAlign w:val="center"/>
                </w:tcPr>
                <w:p w14:paraId="0C5414B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大气环境受体敏感重点管控区：5.市辖区及开发区新、改、扩建涉气重点行业企业应达到环保绩效A级、绩效引领性水平。</w:t>
                  </w:r>
                </w:p>
              </w:tc>
              <w:tc>
                <w:tcPr>
                  <w:tcW w:w="1628" w:type="dxa"/>
                  <w:vAlign w:val="center"/>
                </w:tcPr>
                <w:p w14:paraId="4FDABA9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本项目为</w:t>
                  </w:r>
                  <w:r>
                    <w:rPr>
                      <w:rFonts w:hint="eastAsia" w:ascii="宋体" w:hAnsi="宋体" w:cs="宋体"/>
                      <w:color w:val="000000" w:themeColor="text1"/>
                      <w:szCs w:val="21"/>
                      <w:lang w:val="en-US" w:eastAsia="zh-CN"/>
                      <w14:textFill>
                        <w14:solidFill>
                          <w14:schemeClr w14:val="tx1"/>
                        </w14:solidFill>
                      </w14:textFill>
                    </w:rPr>
                    <w:t>玻璃纤维和玻璃纤维增强塑料制品制造，属于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《重污染天气重点行业应急减排措施制定技术指南》中“玻璃钢（纤维增强塑料制品）”，执行引领性企业绩效指标</w:t>
                  </w:r>
                </w:p>
              </w:tc>
            </w:tr>
            <w:tr w14:paraId="4081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40" w:type="dxa"/>
                  <w:vMerge w:val="continue"/>
                  <w:vAlign w:val="center"/>
                </w:tcPr>
                <w:p w14:paraId="21A90DC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p>
              </w:tc>
              <w:tc>
                <w:tcPr>
                  <w:tcW w:w="717" w:type="dxa"/>
                  <w:vMerge w:val="continue"/>
                  <w:vAlign w:val="center"/>
                </w:tcPr>
                <w:p w14:paraId="2D3B7C7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p>
              </w:tc>
              <w:tc>
                <w:tcPr>
                  <w:tcW w:w="767" w:type="dxa"/>
                  <w:vMerge w:val="continue"/>
                  <w:vAlign w:val="center"/>
                </w:tcPr>
                <w:p w14:paraId="020ED7C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p>
              </w:tc>
              <w:tc>
                <w:tcPr>
                  <w:tcW w:w="2131" w:type="dxa"/>
                  <w:vAlign w:val="center"/>
                </w:tcPr>
                <w:p w14:paraId="58ACAAF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1.执行宝鸡</w:t>
                  </w:r>
                </w:p>
                <w:p w14:paraId="1792561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市生态环境要素分区总体准入清单中“5.1大气环境受体敏感重点管控</w:t>
                  </w:r>
                </w:p>
                <w:p w14:paraId="2F98B70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区的污染物排放管控”；</w:t>
                  </w:r>
                </w:p>
              </w:tc>
              <w:tc>
                <w:tcPr>
                  <w:tcW w:w="885" w:type="dxa"/>
                  <w:vMerge w:val="restart"/>
                  <w:vAlign w:val="center"/>
                </w:tcPr>
                <w:p w14:paraId="38091F1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1.区域内企业采用先进生产工艺、严格落实污染治理设施，污染物执行超低排放或特别排放限值。</w:t>
                  </w:r>
                </w:p>
              </w:tc>
              <w:tc>
                <w:tcPr>
                  <w:tcW w:w="1628" w:type="dxa"/>
                  <w:vMerge w:val="restart"/>
                  <w:vAlign w:val="center"/>
                </w:tcPr>
                <w:p w14:paraId="663C7C2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项目采用成熟生产工艺，先进生产设备及污染物处理设施。</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运行期产生的大气污染物参考《排污许可证申请与核发技术规范 橡胶和塑料制品工业》（HJ1122-2020）废气处理可行性技术的环保设施处理后可以达标排放。</w:t>
                  </w:r>
                </w:p>
              </w:tc>
            </w:tr>
            <w:tr w14:paraId="70701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40" w:type="dxa"/>
                  <w:vMerge w:val="continue"/>
                  <w:vAlign w:val="center"/>
                </w:tcPr>
                <w:p w14:paraId="52B4230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p>
              </w:tc>
              <w:tc>
                <w:tcPr>
                  <w:tcW w:w="717" w:type="dxa"/>
                  <w:vMerge w:val="continue"/>
                  <w:vAlign w:val="center"/>
                </w:tcPr>
                <w:p w14:paraId="0B1A3C0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p>
              </w:tc>
              <w:tc>
                <w:tcPr>
                  <w:tcW w:w="767" w:type="dxa"/>
                  <w:vMerge w:val="continue"/>
                  <w:vAlign w:val="center"/>
                </w:tcPr>
                <w:p w14:paraId="2D92275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p>
              </w:tc>
              <w:tc>
                <w:tcPr>
                  <w:tcW w:w="2131" w:type="dxa"/>
                  <w:vAlign w:val="center"/>
                </w:tcPr>
                <w:p w14:paraId="7FD1720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2.执行宝鸡市生态环境要素分区总体准入清单中“5.3大气环境布局敏感重点管控区的污染物排放管控”。</w:t>
                  </w:r>
                </w:p>
              </w:tc>
              <w:tc>
                <w:tcPr>
                  <w:tcW w:w="885" w:type="dxa"/>
                  <w:vMerge w:val="continue"/>
                  <w:vAlign w:val="center"/>
                </w:tcPr>
                <w:p w14:paraId="0278B15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p>
              </w:tc>
              <w:tc>
                <w:tcPr>
                  <w:tcW w:w="1628" w:type="dxa"/>
                  <w:vMerge w:val="continue"/>
                  <w:vAlign w:val="center"/>
                </w:tcPr>
                <w:p w14:paraId="409FE78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p>
              </w:tc>
            </w:tr>
            <w:tr w14:paraId="3E73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0" w:type="dxa"/>
                  <w:vMerge w:val="continue"/>
                  <w:vAlign w:val="center"/>
                </w:tcPr>
                <w:p w14:paraId="1257001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p>
              </w:tc>
              <w:tc>
                <w:tcPr>
                  <w:tcW w:w="717" w:type="dxa"/>
                  <w:vMerge w:val="continue"/>
                  <w:vAlign w:val="center"/>
                </w:tcPr>
                <w:p w14:paraId="229AB9A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p>
              </w:tc>
              <w:tc>
                <w:tcPr>
                  <w:tcW w:w="767" w:type="dxa"/>
                  <w:vAlign w:val="center"/>
                </w:tcPr>
                <w:p w14:paraId="4C48FCB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资源开发效率要求</w:t>
                  </w:r>
                </w:p>
              </w:tc>
              <w:tc>
                <w:tcPr>
                  <w:tcW w:w="3016" w:type="dxa"/>
                  <w:gridSpan w:val="2"/>
                  <w:shd w:val="clear" w:color="auto" w:fill="auto"/>
                  <w:vAlign w:val="center"/>
                </w:tcPr>
                <w:p w14:paraId="02CA797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2.执行宝鸡市生态环境要素分区总体准入清单中“5.12 土地资源重点管控区的资源利用效率要求”。3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.执行宝鸡市生态环境要素分区总体准入清单中“5.13 高污染燃料禁燃区的资源利用效率要求”。</w:t>
                  </w:r>
                </w:p>
              </w:tc>
              <w:tc>
                <w:tcPr>
                  <w:tcW w:w="1628" w:type="dxa"/>
                  <w:vAlign w:val="center"/>
                </w:tcPr>
                <w:p w14:paraId="4D21E20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本项目占地性质为工业用地；运行期使用能源均为清洁能源电</w:t>
                  </w: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能</w:t>
                  </w: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，不涉及高污染燃料</w:t>
                  </w:r>
                </w:p>
              </w:tc>
            </w:tr>
          </w:tbl>
          <w:p w14:paraId="72B7A1B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0000" w:themeColor="text1"/>
                <w:kern w:val="0"/>
                <w:szCs w:val="21"/>
                <w:lang w:val="en-US" w:eastAsia="zh-CN"/>
                <w14:textFill>
                  <w14:solidFill>
                    <w14:schemeClr w14:val="tx1"/>
                  </w14:solidFill>
                </w14:textFill>
              </w:rPr>
            </w:pPr>
          </w:p>
          <w:p w14:paraId="5E9F8A5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0000" w:themeColor="text1"/>
                <w:kern w:val="0"/>
                <w:szCs w:val="21"/>
                <w:lang w:val="en-US" w:eastAsia="zh-CN"/>
                <w14:textFill>
                  <w14:solidFill>
                    <w14:schemeClr w14:val="tx1"/>
                  </w14:solidFill>
                </w14:textFill>
              </w:rPr>
            </w:pPr>
            <w:r>
              <w:rPr>
                <w:rFonts w:hint="default" w:ascii="Times New Roman" w:hAnsi="Times New Roman" w:cs="Times New Roman"/>
                <w:b/>
                <w:bCs/>
                <w:color w:val="000000" w:themeColor="text1"/>
                <w:kern w:val="0"/>
                <w:szCs w:val="21"/>
                <w:lang w:val="en-US" w:eastAsia="zh-CN"/>
                <w14:textFill>
                  <w14:solidFill>
                    <w14:schemeClr w14:val="tx1"/>
                  </w14:solidFill>
                </w14:textFill>
              </w:rPr>
              <w:t>表1-3  本项目与区域环境管控要求符合性分析一览表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28" w:type="dxa"/>
                <w:left w:w="28" w:type="dxa"/>
                <w:bottom w:w="28" w:type="dxa"/>
                <w:right w:w="28" w:type="dxa"/>
              </w:tblCellMar>
            </w:tblPr>
            <w:tblGrid>
              <w:gridCol w:w="252"/>
              <w:gridCol w:w="558"/>
              <w:gridCol w:w="311"/>
              <w:gridCol w:w="523"/>
              <w:gridCol w:w="2378"/>
              <w:gridCol w:w="2523"/>
              <w:gridCol w:w="523"/>
            </w:tblGrid>
            <w:tr w14:paraId="71D1375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28" w:type="dxa"/>
                  <w:left w:w="28" w:type="dxa"/>
                  <w:bottom w:w="28" w:type="dxa"/>
                  <w:right w:w="28" w:type="dxa"/>
                </w:tblCellMar>
              </w:tblPrEx>
              <w:trPr>
                <w:trHeight w:val="641" w:hRule="atLeast"/>
                <w:jc w:val="center"/>
              </w:trPr>
              <w:tc>
                <w:tcPr>
                  <w:tcW w:w="260" w:type="dxa"/>
                  <w:tcBorders>
                    <w:tl2br w:val="nil"/>
                    <w:tr2bl w:val="nil"/>
                  </w:tcBorders>
                  <w:noWrap w:val="0"/>
                  <w:textDirection w:val="tbRlV"/>
                  <w:vAlign w:val="center"/>
                </w:tcPr>
                <w:p w14:paraId="08C39983">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579" w:type="dxa"/>
                  <w:tcBorders>
                    <w:tl2br w:val="nil"/>
                    <w:tr2bl w:val="nil"/>
                  </w:tcBorders>
                  <w:noWrap w:val="0"/>
                  <w:vAlign w:val="center"/>
                </w:tcPr>
                <w:p w14:paraId="3AC36C6C">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区域名称</w:t>
                  </w:r>
                </w:p>
              </w:tc>
              <w:tc>
                <w:tcPr>
                  <w:tcW w:w="322" w:type="dxa"/>
                  <w:tcBorders>
                    <w:tl2br w:val="nil"/>
                    <w:tr2bl w:val="nil"/>
                  </w:tcBorders>
                  <w:noWrap w:val="0"/>
                  <w:vAlign w:val="center"/>
                </w:tcPr>
                <w:p w14:paraId="3996C606">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省份</w:t>
                  </w:r>
                </w:p>
              </w:tc>
              <w:tc>
                <w:tcPr>
                  <w:tcW w:w="544" w:type="dxa"/>
                  <w:tcBorders>
                    <w:tl2br w:val="nil"/>
                    <w:tr2bl w:val="nil"/>
                  </w:tcBorders>
                  <w:noWrap w:val="0"/>
                  <w:vAlign w:val="center"/>
                </w:tcPr>
                <w:p w14:paraId="117E267B">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管控类别</w:t>
                  </w:r>
                </w:p>
              </w:tc>
              <w:tc>
                <w:tcPr>
                  <w:tcW w:w="2479" w:type="dxa"/>
                  <w:tcBorders>
                    <w:tl2br w:val="nil"/>
                    <w:tr2bl w:val="nil"/>
                  </w:tcBorders>
                  <w:noWrap w:val="0"/>
                  <w:vAlign w:val="center"/>
                </w:tcPr>
                <w:p w14:paraId="1E68B244">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管控要求</w:t>
                  </w:r>
                </w:p>
              </w:tc>
              <w:tc>
                <w:tcPr>
                  <w:tcW w:w="2631" w:type="dxa"/>
                  <w:tcBorders>
                    <w:tl2br w:val="nil"/>
                    <w:tr2bl w:val="nil"/>
                  </w:tcBorders>
                  <w:noWrap w:val="0"/>
                  <w:vAlign w:val="center"/>
                </w:tcPr>
                <w:p w14:paraId="7489A052">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项目情况</w:t>
                  </w:r>
                </w:p>
              </w:tc>
              <w:tc>
                <w:tcPr>
                  <w:tcW w:w="542" w:type="dxa"/>
                  <w:tcBorders>
                    <w:tl2br w:val="nil"/>
                    <w:tr2bl w:val="nil"/>
                  </w:tcBorders>
                  <w:noWrap w:val="0"/>
                  <w:vAlign w:val="center"/>
                </w:tcPr>
                <w:p w14:paraId="0489F786">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en-US"/>
                      <w14:textFill>
                        <w14:solidFill>
                          <w14:schemeClr w14:val="tx1"/>
                        </w14:solidFill>
                      </w14:textFill>
                    </w:rPr>
                    <w:t>相符性</w:t>
                  </w:r>
                </w:p>
              </w:tc>
            </w:tr>
            <w:tr w14:paraId="281B83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28" w:type="dxa"/>
                  <w:left w:w="28" w:type="dxa"/>
                  <w:bottom w:w="28" w:type="dxa"/>
                  <w:right w:w="28" w:type="dxa"/>
                </w:tblCellMar>
              </w:tblPrEx>
              <w:trPr>
                <w:trHeight w:val="2703" w:hRule="atLeast"/>
                <w:jc w:val="center"/>
              </w:trPr>
              <w:tc>
                <w:tcPr>
                  <w:tcW w:w="260" w:type="dxa"/>
                  <w:vMerge w:val="restart"/>
                  <w:tcBorders>
                    <w:tl2br w:val="nil"/>
                    <w:tr2bl w:val="nil"/>
                  </w:tcBorders>
                  <w:noWrap w:val="0"/>
                  <w:vAlign w:val="center"/>
                </w:tcPr>
                <w:p w14:paraId="25CF9F5B">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79" w:type="dxa"/>
                  <w:vMerge w:val="restart"/>
                  <w:tcBorders>
                    <w:tl2br w:val="nil"/>
                    <w:tr2bl w:val="nil"/>
                  </w:tcBorders>
                  <w:noWrap w:val="0"/>
                  <w:vAlign w:val="center"/>
                </w:tcPr>
                <w:p w14:paraId="00363D21">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省域</w:t>
                  </w:r>
                </w:p>
              </w:tc>
              <w:tc>
                <w:tcPr>
                  <w:tcW w:w="322" w:type="dxa"/>
                  <w:vMerge w:val="restart"/>
                  <w:tcBorders>
                    <w:tl2br w:val="nil"/>
                    <w:tr2bl w:val="nil"/>
                  </w:tcBorders>
                  <w:noWrap w:val="0"/>
                  <w:vAlign w:val="center"/>
                </w:tcPr>
                <w:p w14:paraId="1383D1DC">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陕西省</w:t>
                  </w:r>
                </w:p>
              </w:tc>
              <w:tc>
                <w:tcPr>
                  <w:tcW w:w="544" w:type="dxa"/>
                  <w:vMerge w:val="restart"/>
                  <w:tcBorders>
                    <w:tl2br w:val="nil"/>
                    <w:tr2bl w:val="nil"/>
                  </w:tcBorders>
                  <w:noWrap w:val="0"/>
                  <w:vAlign w:val="center"/>
                </w:tcPr>
                <w:p w14:paraId="2C53F892">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空间布局约束</w:t>
                  </w:r>
                </w:p>
              </w:tc>
              <w:tc>
                <w:tcPr>
                  <w:tcW w:w="2479" w:type="dxa"/>
                  <w:tcBorders>
                    <w:tl2br w:val="nil"/>
                    <w:tr2bl w:val="nil"/>
                  </w:tcBorders>
                  <w:noWrap w:val="0"/>
                  <w:vAlign w:val="center"/>
                </w:tcPr>
                <w:p w14:paraId="065EF0D9">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执行《市场准入负面清单（2022年版）》《产业结构调整指导目录（2019年本）》及《国家发展改革委关于修改&lt;产业结构调整指导目录（2019年本）&gt;的决定》。</w:t>
                  </w:r>
                </w:p>
              </w:tc>
              <w:tc>
                <w:tcPr>
                  <w:tcW w:w="2631" w:type="dxa"/>
                  <w:tcBorders>
                    <w:tl2br w:val="nil"/>
                    <w:tr2bl w:val="nil"/>
                  </w:tcBorders>
                  <w:noWrap w:val="0"/>
                  <w:vAlign w:val="center"/>
                </w:tcPr>
                <w:p w14:paraId="59D78B1B">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在《市场准入负面清单》（2022年版）中的限制类和禁止类负面清单之列。根据《产业结构调整指导目录（2024年本）》，本项目属允许类，不在“宝鸡市生态环境准入清单”中禁止准入产业，符合管理要求。</w:t>
                  </w:r>
                </w:p>
              </w:tc>
              <w:tc>
                <w:tcPr>
                  <w:tcW w:w="542" w:type="dxa"/>
                  <w:vMerge w:val="restart"/>
                  <w:tcBorders>
                    <w:tl2br w:val="nil"/>
                    <w:tr2bl w:val="nil"/>
                  </w:tcBorders>
                  <w:noWrap w:val="0"/>
                  <w:vAlign w:val="center"/>
                </w:tcPr>
                <w:p w14:paraId="51738530">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2066FA8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28" w:type="dxa"/>
                  <w:left w:w="28" w:type="dxa"/>
                  <w:bottom w:w="28" w:type="dxa"/>
                  <w:right w:w="28" w:type="dxa"/>
                </w:tblCellMar>
              </w:tblPrEx>
              <w:trPr>
                <w:trHeight w:val="666" w:hRule="atLeast"/>
                <w:jc w:val="center"/>
              </w:trPr>
              <w:tc>
                <w:tcPr>
                  <w:tcW w:w="260" w:type="dxa"/>
                  <w:vMerge w:val="continue"/>
                  <w:tcBorders>
                    <w:tl2br w:val="nil"/>
                    <w:tr2bl w:val="nil"/>
                  </w:tcBorders>
                  <w:noWrap w:val="0"/>
                  <w:vAlign w:val="center"/>
                </w:tcPr>
                <w:p w14:paraId="397E9AFE">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79" w:type="dxa"/>
                  <w:vMerge w:val="continue"/>
                  <w:tcBorders>
                    <w:tl2br w:val="nil"/>
                    <w:tr2bl w:val="nil"/>
                  </w:tcBorders>
                  <w:noWrap w:val="0"/>
                  <w:vAlign w:val="center"/>
                </w:tcPr>
                <w:p w14:paraId="714CF56F">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22" w:type="dxa"/>
                  <w:vMerge w:val="continue"/>
                  <w:tcBorders>
                    <w:tl2br w:val="nil"/>
                    <w:tr2bl w:val="nil"/>
                  </w:tcBorders>
                  <w:noWrap w:val="0"/>
                  <w:vAlign w:val="center"/>
                </w:tcPr>
                <w:p w14:paraId="3410F36A">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4" w:type="dxa"/>
                  <w:vMerge w:val="continue"/>
                  <w:tcBorders>
                    <w:tl2br w:val="nil"/>
                    <w:tr2bl w:val="nil"/>
                  </w:tcBorders>
                  <w:noWrap w:val="0"/>
                  <w:vAlign w:val="center"/>
                </w:tcPr>
                <w:p w14:paraId="13EDBD2A">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479" w:type="dxa"/>
                  <w:tcBorders>
                    <w:tl2br w:val="nil"/>
                    <w:tr2bl w:val="nil"/>
                  </w:tcBorders>
                  <w:noWrap w:val="0"/>
                  <w:vAlign w:val="center"/>
                </w:tcPr>
                <w:p w14:paraId="71150B09">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坚决遏制高耗能、高排放项目盲目发展</w:t>
                  </w:r>
                </w:p>
              </w:tc>
              <w:tc>
                <w:tcPr>
                  <w:tcW w:w="2631" w:type="dxa"/>
                  <w:tcBorders>
                    <w:tl2br w:val="nil"/>
                    <w:tr2bl w:val="nil"/>
                  </w:tcBorders>
                  <w:noWrap w:val="0"/>
                  <w:vAlign w:val="center"/>
                </w:tcPr>
                <w:p w14:paraId="43AB443A">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本项目不属于高耗能、高排放项目</w:t>
                  </w:r>
                </w:p>
              </w:tc>
              <w:tc>
                <w:tcPr>
                  <w:tcW w:w="542" w:type="dxa"/>
                  <w:vMerge w:val="continue"/>
                  <w:tcBorders>
                    <w:tl2br w:val="nil"/>
                    <w:tr2bl w:val="nil"/>
                  </w:tcBorders>
                  <w:noWrap w:val="0"/>
                  <w:vAlign w:val="center"/>
                </w:tcPr>
                <w:p w14:paraId="46578FD1">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14:paraId="752BFA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outlineLvl w:val="1"/>
              <w:rPr>
                <w:rFonts w:hint="eastAsia" w:ascii="宋体" w:hAnsi="宋体" w:eastAsia="宋体" w:cs="宋体"/>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“一说明”：依据“一图”和“一表”论证项目符合性说明</w:t>
            </w:r>
          </w:p>
          <w:p w14:paraId="1E6D69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outlineLvl w:val="1"/>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根据上文“一图”“一表”的分析，</w:t>
            </w:r>
            <w:r>
              <w:rPr>
                <w:rFonts w:hint="eastAsia" w:ascii="宋体" w:hAnsi="宋体" w:eastAsia="宋体" w:cs="宋体"/>
                <w:color w:val="000000" w:themeColor="text1"/>
                <w:sz w:val="24"/>
                <w:szCs w:val="24"/>
                <w:lang w:eastAsia="zh-CN"/>
                <w14:textFill>
                  <w14:solidFill>
                    <w14:schemeClr w14:val="tx1"/>
                  </w14:solidFill>
                </w14:textFill>
              </w:rPr>
              <w:t>本</w:t>
            </w:r>
            <w:r>
              <w:rPr>
                <w:rFonts w:hint="eastAsia" w:ascii="宋体" w:hAnsi="宋体" w:eastAsia="宋体" w:cs="宋体"/>
                <w:color w:val="000000" w:themeColor="text1"/>
                <w:sz w:val="24"/>
                <w:szCs w:val="24"/>
                <w14:textFill>
                  <w14:solidFill>
                    <w14:schemeClr w14:val="tx1"/>
                  </w14:solidFill>
                </w14:textFill>
              </w:rPr>
              <w:t>项目位于环境管控</w:t>
            </w:r>
            <w:r>
              <w:rPr>
                <w:rFonts w:hint="default" w:ascii="Times New Roman" w:hAnsi="Times New Roman" w:eastAsia="宋体" w:cs="Times New Roman"/>
                <w:color w:val="000000" w:themeColor="text1"/>
                <w:sz w:val="24"/>
                <w:szCs w:val="24"/>
                <w14:textFill>
                  <w14:solidFill>
                    <w14:schemeClr w14:val="tx1"/>
                  </w14:solidFill>
                </w14:textFill>
              </w:rPr>
              <w:t>重点管控单元，项目所在地不涉及生态红线，重点管控单元以提升资源利用效率、加强污染物减排治理和环境风险防控为重点，解决突出生态环境问题。</w:t>
            </w:r>
            <w:r>
              <w:rPr>
                <w:rFonts w:hint="default" w:ascii="Times New Roman" w:hAnsi="Times New Roman" w:eastAsia="宋体" w:cs="Times New Roman"/>
                <w:color w:val="000000" w:themeColor="text1"/>
                <w:sz w:val="24"/>
                <w:szCs w:val="24"/>
                <w:lang w:eastAsia="zh-CN"/>
                <w14:textFill>
                  <w14:solidFill>
                    <w14:schemeClr w14:val="tx1"/>
                  </w14:solidFill>
                </w14:textFill>
              </w:rPr>
              <w:t>当</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采取相关污染防治措施后，建成后项目废气、废水、固废污染物均减少</w:t>
            </w:r>
            <w:r>
              <w:rPr>
                <w:rFonts w:hint="default" w:ascii="Times New Roman" w:hAnsi="Times New Roman" w:eastAsia="宋体" w:cs="Times New Roman"/>
                <w:color w:val="000000" w:themeColor="text1"/>
                <w:sz w:val="24"/>
                <w:szCs w:val="24"/>
                <w14:textFill>
                  <w14:solidFill>
                    <w14:schemeClr w14:val="tx1"/>
                  </w14:solidFill>
                </w14:textFill>
              </w:rPr>
              <w:t>，符合方案要求，综上，建设项目符合陕西</w:t>
            </w:r>
            <w:r>
              <w:rPr>
                <w:rFonts w:hint="eastAsia" w:ascii="宋体" w:hAnsi="宋体" w:eastAsia="宋体" w:cs="宋体"/>
                <w:color w:val="000000" w:themeColor="text1"/>
                <w:sz w:val="24"/>
                <w:szCs w:val="24"/>
                <w14:textFill>
                  <w14:solidFill>
                    <w14:schemeClr w14:val="tx1"/>
                  </w14:solidFill>
                </w14:textFill>
              </w:rPr>
              <w:t>省“三线一单”管控要</w:t>
            </w:r>
            <w:r>
              <w:rPr>
                <w:rFonts w:hint="default" w:ascii="Times New Roman" w:hAnsi="Times New Roman" w:eastAsia="宋体" w:cs="Times New Roman"/>
                <w:color w:val="000000" w:themeColor="text1"/>
                <w:sz w:val="24"/>
                <w:szCs w:val="24"/>
                <w14:textFill>
                  <w14:solidFill>
                    <w14:schemeClr w14:val="tx1"/>
                  </w14:solidFill>
                </w14:textFill>
              </w:rPr>
              <w:t>求。</w:t>
            </w:r>
          </w:p>
          <w:p w14:paraId="29AF943D">
            <w:pPr>
              <w:adjustRightInd w:val="0"/>
              <w:spacing w:before="120" w:beforeLines="50" w:line="360" w:lineRule="auto"/>
              <w:ind w:firstLine="482" w:firstLineChars="200"/>
              <w:jc w:val="left"/>
              <w:rPr>
                <w:rFonts w:hint="default" w:ascii="Times New Roman" w:hAnsi="Times New Roman" w:eastAsia="宋体" w:cs="Times New Roman"/>
                <w:b/>
                <w:bCs/>
                <w:color w:val="000000" w:themeColor="text1"/>
                <w:sz w:val="24"/>
                <w:szCs w:val="21"/>
                <w:highlight w:val="none"/>
                <w14:textFill>
                  <w14:solidFill>
                    <w14:schemeClr w14:val="tx1"/>
                  </w14:solidFill>
                </w14:textFill>
              </w:rPr>
            </w:pPr>
            <w:r>
              <w:rPr>
                <w:rFonts w:hint="default" w:ascii="Times New Roman" w:hAnsi="Times New Roman" w:eastAsia="宋体" w:cs="Times New Roman"/>
                <w:b/>
                <w:bCs/>
                <w:color w:val="000000" w:themeColor="text1"/>
                <w:sz w:val="24"/>
                <w:szCs w:val="21"/>
                <w:highlight w:val="none"/>
                <w14:textFill>
                  <w14:solidFill>
                    <w14:schemeClr w14:val="tx1"/>
                  </w14:solidFill>
                </w14:textFill>
              </w:rPr>
              <w:t>2、与相关生态环境保护法律、法规及政策符合性分析</w:t>
            </w:r>
          </w:p>
          <w:p w14:paraId="2A8DD574">
            <w:pPr>
              <w:pStyle w:val="7"/>
              <w:spacing w:before="0" w:after="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本项目与《中华人民共和国大气污染防治法》（2018修订）、《宝鸡市大气污染防治条例》《工业炉窑大气污染物综合治理方案》（环大气〔2019〕56号）等相关环保法律、法规及政策符合性分析见表1-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637FFBD9">
            <w:pPr>
              <w:jc w:val="center"/>
              <w:rPr>
                <w:rFonts w:hint="default"/>
                <w:b/>
                <w:bCs/>
                <w:color w:val="000000" w:themeColor="text1"/>
                <w:sz w:val="18"/>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表1-4  项目与相关政策法律法规及政策符合性分析一览表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3437"/>
              <w:gridCol w:w="1938"/>
              <w:gridCol w:w="894"/>
            </w:tblGrid>
            <w:tr w14:paraId="039C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1AF9706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0000" w:themeColor="text1"/>
                      <w:kern w:val="0"/>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Cs w:val="21"/>
                      <w:vertAlign w:val="baseline"/>
                      <w:lang w:val="en-US" w:eastAsia="zh-CN"/>
                      <w14:textFill>
                        <w14:solidFill>
                          <w14:schemeClr w14:val="tx1"/>
                        </w14:solidFill>
                      </w14:textFill>
                    </w:rPr>
                    <w:t>名称</w:t>
                  </w:r>
                </w:p>
              </w:tc>
              <w:tc>
                <w:tcPr>
                  <w:tcW w:w="3437" w:type="dxa"/>
                  <w:vAlign w:val="center"/>
                </w:tcPr>
                <w:p w14:paraId="5091A7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0000" w:themeColor="text1"/>
                      <w:kern w:val="0"/>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Cs w:val="21"/>
                      <w:vertAlign w:val="baseline"/>
                      <w:lang w:val="en-US" w:eastAsia="zh-CN"/>
                      <w14:textFill>
                        <w14:solidFill>
                          <w14:schemeClr w14:val="tx1"/>
                        </w14:solidFill>
                      </w14:textFill>
                    </w:rPr>
                    <w:t>政策要求</w:t>
                  </w:r>
                </w:p>
              </w:tc>
              <w:tc>
                <w:tcPr>
                  <w:tcW w:w="1938" w:type="dxa"/>
                  <w:vAlign w:val="center"/>
                </w:tcPr>
                <w:p w14:paraId="7B804B3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0000" w:themeColor="text1"/>
                      <w:kern w:val="0"/>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Cs w:val="21"/>
                      <w:vertAlign w:val="baseline"/>
                      <w:lang w:val="en-US" w:eastAsia="zh-CN"/>
                      <w14:textFill>
                        <w14:solidFill>
                          <w14:schemeClr w14:val="tx1"/>
                        </w14:solidFill>
                      </w14:textFill>
                    </w:rPr>
                    <w:t>本项目情况</w:t>
                  </w:r>
                </w:p>
              </w:tc>
              <w:tc>
                <w:tcPr>
                  <w:tcW w:w="894" w:type="dxa"/>
                  <w:vAlign w:val="center"/>
                </w:tcPr>
                <w:p w14:paraId="0B9DA6E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0000" w:themeColor="text1"/>
                      <w:kern w:val="0"/>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Cs w:val="21"/>
                      <w:vertAlign w:val="baseline"/>
                      <w:lang w:val="en-US" w:eastAsia="zh-CN"/>
                      <w14:textFill>
                        <w14:solidFill>
                          <w14:schemeClr w14:val="tx1"/>
                        </w14:solidFill>
                      </w14:textFill>
                    </w:rPr>
                    <w:t>符合性</w:t>
                  </w:r>
                </w:p>
              </w:tc>
            </w:tr>
            <w:tr w14:paraId="22E3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799" w:type="dxa"/>
                  <w:vMerge w:val="restart"/>
                  <w:vAlign w:val="center"/>
                </w:tcPr>
                <w:p w14:paraId="53A35A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i w:val="0"/>
                      <w:iCs w:val="0"/>
                      <w:caps w:val="0"/>
                      <w:color w:val="000000" w:themeColor="text1"/>
                      <w:spacing w:val="8"/>
                      <w:sz w:val="21"/>
                      <w:szCs w:val="21"/>
                      <w:shd w:val="clear" w:fill="FFFFFF"/>
                      <w:lang w:val="en-US" w:eastAsia="zh-CN" w:bidi="ar-SA"/>
                      <w14:textFill>
                        <w14:solidFill>
                          <w14:schemeClr w14:val="tx1"/>
                        </w14:solidFill>
                      </w14:textFill>
                    </w:rPr>
                  </w:pPr>
                  <w:r>
                    <w:rPr>
                      <w:rFonts w:hint="eastAsia" w:ascii="Times New Roman" w:hAnsi="Times New Roman" w:eastAsia="宋体" w:cs="Times New Roman"/>
                      <w:i w:val="0"/>
                      <w:iCs w:val="0"/>
                      <w:caps w:val="0"/>
                      <w:color w:val="000000" w:themeColor="text1"/>
                      <w:spacing w:val="8"/>
                      <w:sz w:val="21"/>
                      <w:szCs w:val="21"/>
                      <w:shd w:val="clear" w:fill="FFFFFF"/>
                      <w:lang w:val="en-US" w:eastAsia="zh-CN" w:bidi="ar-SA"/>
                      <w14:textFill>
                        <w14:solidFill>
                          <w14:schemeClr w14:val="tx1"/>
                        </w14:solidFill>
                      </w14:textFill>
                    </w:rPr>
                    <w:t>《陕西省黄河流域生态保护和高质量发展规划》</w:t>
                  </w:r>
                </w:p>
              </w:tc>
              <w:tc>
                <w:tcPr>
                  <w:tcW w:w="3437" w:type="dxa"/>
                  <w:vAlign w:val="center"/>
                </w:tcPr>
                <w:p w14:paraId="5ABB95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i w:val="0"/>
                      <w:iCs w:val="0"/>
                      <w:caps w:val="0"/>
                      <w:color w:val="000000" w:themeColor="text1"/>
                      <w:spacing w:val="8"/>
                      <w:sz w:val="21"/>
                      <w:szCs w:val="21"/>
                      <w:shd w:val="clear" w:fill="FFFFFF"/>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8"/>
                      <w:sz w:val="21"/>
                      <w:szCs w:val="21"/>
                      <w:shd w:val="clear" w:fill="FFFFFF"/>
                      <w:lang w:val="en-US" w:eastAsia="zh-CN" w:bidi="ar-SA"/>
                      <w14:textFill>
                        <w14:solidFill>
                          <w14:schemeClr w14:val="tx1"/>
                        </w14:solidFill>
                      </w14:textFill>
                    </w:rPr>
                    <w:t>打好碧水保卫战：统筹水资源、水环境、水生态治理，坚持“一河一策”“一湖一策”，以渭河、泾河、无定河、延河、北洛河、窟野河、石川河等为重点开展协同治理，全面提升黄河流域地表水水质。调整产业结构，继续淘汰严重污染水体的落后产能，推动沿黄一定范围内高耗水、高污染企业迁入合规园区，严禁在黄河干流及主要支流临岸一定范围内新建“两高一资”项目及相关产业园区。严格落实排污许可制度，严禁工业废水未经处理或未有效处理直排，严厉打击偷排直排行为。开展“双源”地下水生态环境状况调查评估，实施重要地下水污染场地修复试点，确保地下水环境质量保持稳定。实施重点行业清洁化改造，强化工业集聚区污水集中处理，持续控制工业污染。加快配套污泥处理处置基础设施建设，加强污泥处理处置全过程监管，严肃查处乱排乱倒行为。</w:t>
                  </w:r>
                </w:p>
              </w:tc>
              <w:tc>
                <w:tcPr>
                  <w:tcW w:w="1938" w:type="dxa"/>
                  <w:vAlign w:val="center"/>
                </w:tcPr>
                <w:p w14:paraId="637D086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经查阅</w:t>
                  </w:r>
                  <w:r>
                    <w:rPr>
                      <w:rFonts w:hint="default" w:ascii="Times New Roman" w:hAnsi="Times New Roman" w:eastAsia="宋体" w:cs="Times New Roman"/>
                      <w:b w:val="0"/>
                      <w:bCs w:val="0"/>
                      <w:i w:val="0"/>
                      <w:iCs w:val="0"/>
                      <w:caps w:val="0"/>
                      <w:color w:val="000000" w:themeColor="text1"/>
                      <w:spacing w:val="0"/>
                      <w:kern w:val="0"/>
                      <w:sz w:val="21"/>
                      <w:szCs w:val="21"/>
                      <w:shd w:val="clear" w:fill="FFFFFF"/>
                      <w:lang w:val="en-US" w:eastAsia="zh-CN" w:bidi="ar"/>
                      <w14:textFill>
                        <w14:solidFill>
                          <w14:schemeClr w14:val="tx1"/>
                        </w14:solidFill>
                      </w14:textFill>
                    </w:rPr>
                    <w:t>《产业结构调整指导目录（2024年本）》，本项目不属于该目录中的鼓励类、限制类和淘汰类项目，属于允许类项目；</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经查阅</w:t>
                  </w: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《陕西省“两高”项目管理暂行目录（2022年版）》（陕发改环资〔2022〕110号），本项目不属于</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“两高”项目。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本项目运营期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生活污水经化粪池处理后排入市政管网，</w:t>
                  </w: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运营期产</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品密封性检验废水循环使用定期补充不外排。</w:t>
                  </w:r>
                </w:p>
              </w:tc>
              <w:tc>
                <w:tcPr>
                  <w:tcW w:w="894" w:type="dxa"/>
                  <w:vAlign w:val="center"/>
                </w:tcPr>
                <w:p w14:paraId="38A3AEE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2526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continue"/>
                  <w:vAlign w:val="center"/>
                </w:tcPr>
                <w:p w14:paraId="4B2AFE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i w:val="0"/>
                      <w:iCs w:val="0"/>
                      <w:caps w:val="0"/>
                      <w:color w:val="000000" w:themeColor="text1"/>
                      <w:spacing w:val="8"/>
                      <w:sz w:val="21"/>
                      <w:szCs w:val="21"/>
                      <w:shd w:val="clear" w:fill="FFFFFF"/>
                      <w:lang w:val="en-US" w:eastAsia="zh-CN" w:bidi="ar-SA"/>
                      <w14:textFill>
                        <w14:solidFill>
                          <w14:schemeClr w14:val="tx1"/>
                        </w14:solidFill>
                      </w14:textFill>
                    </w:rPr>
                  </w:pPr>
                </w:p>
              </w:tc>
              <w:tc>
                <w:tcPr>
                  <w:tcW w:w="3437" w:type="dxa"/>
                  <w:vAlign w:val="center"/>
                </w:tcPr>
                <w:p w14:paraId="4987C6A8">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i w:val="0"/>
                      <w:iCs w:val="0"/>
                      <w:caps w:val="0"/>
                      <w:color w:val="000000" w:themeColor="text1"/>
                      <w:spacing w:val="8"/>
                      <w:sz w:val="21"/>
                      <w:szCs w:val="21"/>
                      <w:shd w:val="clear" w:fill="FFFFFF"/>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8"/>
                      <w:sz w:val="21"/>
                      <w:szCs w:val="21"/>
                      <w:shd w:val="clear" w:fill="FFFFFF"/>
                      <w:lang w:val="en-US" w:eastAsia="zh-CN" w:bidi="ar-SA"/>
                      <w14:textFill>
                        <w14:solidFill>
                          <w14:schemeClr w14:val="tx1"/>
                        </w14:solidFill>
                      </w14:textFill>
                    </w:rPr>
                    <w:t>做好碳达峰碳中和工作：</w:t>
                  </w:r>
                </w:p>
                <w:p w14:paraId="1C14FCC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i w:val="0"/>
                      <w:iCs w:val="0"/>
                      <w:caps w:val="0"/>
                      <w:color w:val="000000" w:themeColor="text1"/>
                      <w:spacing w:val="8"/>
                      <w:sz w:val="21"/>
                      <w:szCs w:val="21"/>
                      <w:shd w:val="clear" w:fill="FFFFFF"/>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8"/>
                      <w:sz w:val="21"/>
                      <w:szCs w:val="21"/>
                      <w:shd w:val="clear" w:fill="FFFFFF"/>
                      <w:lang w:val="en-US" w:eastAsia="zh-CN" w:bidi="ar-SA"/>
                      <w14:textFill>
                        <w14:solidFill>
                          <w14:schemeClr w14:val="tx1"/>
                        </w14:solidFill>
                      </w14:textFill>
                    </w:rPr>
                    <w:t>加快调整能源结构，完善能源消费总量和强度“双控”制度，严控化石能源消费，大力发展非化石能源，着力构建清洁低碳、安全高效的现代能源体系。加快调整产业结构，抓好农业、工业、交通、建筑等重点行业领域减污降碳，坚决遏制高耗能、高排放项目盲目发展，持续推动绿色化、低碳化转型。</w:t>
                  </w:r>
                </w:p>
              </w:tc>
              <w:tc>
                <w:tcPr>
                  <w:tcW w:w="1938" w:type="dxa"/>
                  <w:vAlign w:val="center"/>
                </w:tcPr>
                <w:p w14:paraId="3B67F4E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8"/>
                      <w:sz w:val="21"/>
                      <w:szCs w:val="21"/>
                      <w:shd w:val="clear" w:fill="FFFFFF"/>
                      <w:lang w:val="en-US" w:eastAsia="zh-CN" w:bidi="ar-SA"/>
                      <w14:textFill>
                        <w14:solidFill>
                          <w14:schemeClr w14:val="tx1"/>
                        </w14:solidFill>
                      </w14:textFill>
                    </w:rPr>
                    <w:t>本项目能源为电能，不涉及高污染燃料使用，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经查阅</w:t>
                  </w:r>
                  <w:r>
                    <w:rPr>
                      <w:rFonts w:hint="default" w:ascii="Times New Roman" w:hAnsi="Times New Roman" w:eastAsia="宋体" w:cs="Times New Roman"/>
                      <w:b w:val="0"/>
                      <w:bCs w:val="0"/>
                      <w:i w:val="0"/>
                      <w:iCs w:val="0"/>
                      <w:caps w:val="0"/>
                      <w:color w:val="000000" w:themeColor="text1"/>
                      <w:spacing w:val="0"/>
                      <w:kern w:val="0"/>
                      <w:sz w:val="21"/>
                      <w:szCs w:val="21"/>
                      <w:shd w:val="clear" w:fill="FFFFFF"/>
                      <w:lang w:val="en-US" w:eastAsia="zh-CN" w:bidi="ar"/>
                      <w14:textFill>
                        <w14:solidFill>
                          <w14:schemeClr w14:val="tx1"/>
                        </w14:solidFill>
                      </w14:textFill>
                    </w:rPr>
                    <w:t>《产业结构调整指导目录（2024年本）》，本项目不属于该目录中的鼓励类、限制类和淘汰类项目，属于允许类项目；</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经查阅</w:t>
                  </w: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《陕西省“两高”项目管理暂行目录（2022年版）》（陕发改环资〔2022〕110号），本项目不属于</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“两高”项目。</w:t>
                  </w:r>
                </w:p>
              </w:tc>
              <w:tc>
                <w:tcPr>
                  <w:tcW w:w="894" w:type="dxa"/>
                  <w:vAlign w:val="center"/>
                </w:tcPr>
                <w:p w14:paraId="61BF32F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6CB7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4A498E8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《陕西省黄河流域生态环境保护规划》</w:t>
                  </w:r>
                </w:p>
              </w:tc>
              <w:tc>
                <w:tcPr>
                  <w:tcW w:w="3437" w:type="dxa"/>
                  <w:vAlign w:val="center"/>
                </w:tcPr>
                <w:p w14:paraId="5A3004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持续推进工业污水治理。根据流域水质目标和主体功能区规划要求，实施差别化环境准入政策，严格限制增加氮磷污染物排放的工业项目。关中地区严格控制新建、扩建化学制浆造纸、化工、印染、果汁和淀粉加工等高耗水、高污染项目；持续实施煤化工、焦化、农药、农副食品加工、原料药制造等重点行业工业废水稳定达标排放治理。持续推进工业企业废水深度处理与资源化利用，重点围绕钢铁、石化、化工、有色、造纸、纺织印染、食品等行业，创建一批工业废水循环利用示范企业，逐步提高废水综合利用率，减少工业废水排放，降低污染负荷。强化工业集聚区污染治理，推进工业园区污水处理设施分类管理、分期升级改造和污水管网排查整治，完善工业园区污水集中处理设施及进出水自动在线监控装置建设，2025年底前，重点排污单位（含纳管企业）全部依法安装使用自动在线监测设备，并与生态环境部联网，实现省级以上工业集聚区污水集中处理设施规范运行，推动黄河流域工业园区工业废水应收尽收、稳定达标排放</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1938" w:type="dxa"/>
                  <w:vAlign w:val="center"/>
                </w:tcPr>
                <w:p w14:paraId="1BB135F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本项目为</w:t>
                  </w:r>
                  <w:r>
                    <w:rPr>
                      <w:rFonts w:hint="eastAsia" w:ascii="宋体" w:hAnsi="宋体" w:cs="宋体"/>
                      <w:color w:val="000000" w:themeColor="text1"/>
                      <w:szCs w:val="21"/>
                      <w:lang w:val="en-US" w:eastAsia="zh-CN"/>
                      <w14:textFill>
                        <w14:solidFill>
                          <w14:schemeClr w14:val="tx1"/>
                        </w14:solidFill>
                      </w14:textFill>
                    </w:rPr>
                    <w:t>玻璃纤维和玻璃纤维增强塑料制品制造和石墨及其他非金属矿物制品制造，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本项目运营期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生活污水经化粪池处理后排入市政管网，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运营期产品密封性检验废水循环使用定期补充不外排。</w:t>
                  </w:r>
                </w:p>
              </w:tc>
              <w:tc>
                <w:tcPr>
                  <w:tcW w:w="894" w:type="dxa"/>
                  <w:vAlign w:val="center"/>
                </w:tcPr>
                <w:p w14:paraId="383ADA3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0EF2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1CC665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eastAsia="zh-CN"/>
                      <w14:textFill>
                        <w14:solidFill>
                          <w14:schemeClr w14:val="tx1"/>
                        </w14:solidFill>
                      </w14:textFill>
                    </w:rPr>
                    <w:t>《空气质量持续改善行动计划》（国发〔2023〕24号）</w:t>
                  </w:r>
                </w:p>
              </w:tc>
              <w:tc>
                <w:tcPr>
                  <w:tcW w:w="3437" w:type="dxa"/>
                  <w:vAlign w:val="center"/>
                </w:tcPr>
                <w:p w14:paraId="44C6DC9A">
                  <w:pPr>
                    <w:spacing w:line="320" w:lineRule="exact"/>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新改扩建项目严格落实国家产业规划、产业政策、生态环境分区管控方案</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938" w:type="dxa"/>
                  <w:vAlign w:val="center"/>
                </w:tcPr>
                <w:p w14:paraId="1AD678CB">
                  <w:pPr>
                    <w:spacing w:line="320" w:lineRule="exact"/>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本项目不在《市场准入负面清单》（2022年版）中的限制类和禁止类负面清单之列。根据《产业结构调整指导目录（202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年本）》，本项目属允许类，</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“宝鸡市生态环境准入清单”中禁止准入产业，符合管理要求。本项目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符合片区规划发展定位。</w:t>
                  </w:r>
                </w:p>
              </w:tc>
              <w:tc>
                <w:tcPr>
                  <w:tcW w:w="894" w:type="dxa"/>
                  <w:vAlign w:val="center"/>
                </w:tcPr>
                <w:p w14:paraId="797DAF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03024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restart"/>
                  <w:vAlign w:val="center"/>
                </w:tcPr>
                <w:p w14:paraId="2BE8398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eastAsia="zh-CN"/>
                      <w14:textFill>
                        <w14:solidFill>
                          <w14:schemeClr w14:val="tx1"/>
                        </w14:solidFill>
                      </w14:textFill>
                    </w:rPr>
                    <w:t>《宝鸡市环境空气质量限期达标规划（2023-2030年）》</w:t>
                  </w:r>
                </w:p>
              </w:tc>
              <w:tc>
                <w:tcPr>
                  <w:tcW w:w="3437" w:type="dxa"/>
                  <w:vAlign w:val="center"/>
                </w:tcPr>
                <w:p w14:paraId="15F01350">
                  <w:pPr>
                    <w:spacing w:line="320" w:lineRule="exact"/>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加快推进单一低温等离子、光氧化、光催化以及非水溶性VOCs废气采用单一喷淋吸收不能稳定达标设施的升级改造。</w:t>
                  </w:r>
                </w:p>
              </w:tc>
              <w:tc>
                <w:tcPr>
                  <w:tcW w:w="1938" w:type="dxa"/>
                  <w:vAlign w:val="center"/>
                </w:tcPr>
                <w:p w14:paraId="581C7132">
                  <w:pPr>
                    <w:spacing w:line="320" w:lineRule="exact"/>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产生的挥发性有机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废气采用二级活性炭吸附治理，不属于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单一的</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低温等离子、光氧化、光催化等治理技术。</w:t>
                  </w:r>
                </w:p>
              </w:tc>
              <w:tc>
                <w:tcPr>
                  <w:tcW w:w="894" w:type="dxa"/>
                  <w:vAlign w:val="center"/>
                </w:tcPr>
                <w:p w14:paraId="5F7FA69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05CB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continue"/>
                  <w:vAlign w:val="center"/>
                </w:tcPr>
                <w:p w14:paraId="55CE63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p>
              </w:tc>
              <w:tc>
                <w:tcPr>
                  <w:tcW w:w="3437" w:type="dxa"/>
                  <w:vAlign w:val="center"/>
                </w:tcPr>
                <w:p w14:paraId="1071EBA2">
                  <w:pPr>
                    <w:spacing w:line="320" w:lineRule="exact"/>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加大工业无组织综合治理力度。原料场密闭化、原料高效输送改造、厂区道路硬化及保洁。强化治污设施运行监管，确保稳定达标运行，减少非正常工况排放。</w:t>
                  </w:r>
                </w:p>
              </w:tc>
              <w:tc>
                <w:tcPr>
                  <w:tcW w:w="1938" w:type="dxa"/>
                  <w:vAlign w:val="center"/>
                </w:tcPr>
                <w:p w14:paraId="1D24B1D6">
                  <w:pPr>
                    <w:spacing w:line="320" w:lineRule="exact"/>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本项目原辅材料均储存于封闭车间，项目使用的环氧树脂、机油等原辅材料均采用桶装密闭保存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。本项目运行期严格落实</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、执行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污染治理设施</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及维护，确保废气可以达标排放。</w:t>
                  </w:r>
                </w:p>
              </w:tc>
              <w:tc>
                <w:tcPr>
                  <w:tcW w:w="894" w:type="dxa"/>
                  <w:vAlign w:val="center"/>
                </w:tcPr>
                <w:p w14:paraId="0558C7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0670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continue"/>
                  <w:vAlign w:val="center"/>
                </w:tcPr>
                <w:p w14:paraId="52851A3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p>
              </w:tc>
              <w:tc>
                <w:tcPr>
                  <w:tcW w:w="3437" w:type="dxa"/>
                  <w:vAlign w:val="center"/>
                </w:tcPr>
                <w:p w14:paraId="6648893B">
                  <w:pPr>
                    <w:spacing w:line="320" w:lineRule="exact"/>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加强重点区域、重点时段、重点领域、重点行业治理，强化分区分时分类差异化精细化协同管控，推动细颗粒物浓度持续下降。</w:t>
                  </w:r>
                </w:p>
              </w:tc>
              <w:tc>
                <w:tcPr>
                  <w:tcW w:w="1938" w:type="dxa"/>
                  <w:vAlign w:val="center"/>
                </w:tcPr>
                <w:p w14:paraId="08E31FCD">
                  <w:pPr>
                    <w:spacing w:line="320" w:lineRule="exact"/>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根据《重污染天气重点行业应急减排措施制定技术指南（2020年修订版）》，</w:t>
                  </w: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本项目</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属于</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重点行业中“</w:t>
                  </w: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玻璃钢</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（纤维增强塑料制品）”，本项目颗粒物处理采用指南中绩效引领性指标要求的布袋除尘器，减少颗粒物排放量。</w:t>
                  </w:r>
                </w:p>
              </w:tc>
              <w:tc>
                <w:tcPr>
                  <w:tcW w:w="894" w:type="dxa"/>
                  <w:vAlign w:val="center"/>
                </w:tcPr>
                <w:p w14:paraId="4D6299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68AC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continue"/>
                  <w:vAlign w:val="center"/>
                </w:tcPr>
                <w:p w14:paraId="2190E25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p>
              </w:tc>
              <w:tc>
                <w:tcPr>
                  <w:tcW w:w="3437" w:type="dxa"/>
                  <w:vAlign w:val="center"/>
                </w:tcPr>
                <w:p w14:paraId="792315FF">
                  <w:pPr>
                    <w:spacing w:line="320" w:lineRule="exact"/>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优化污染天气应对体系。完善重污染天气应急减排清单，实施“一厂一策”清单化管理。</w:t>
                  </w:r>
                </w:p>
              </w:tc>
              <w:tc>
                <w:tcPr>
                  <w:tcW w:w="1938" w:type="dxa"/>
                  <w:vAlign w:val="center"/>
                </w:tcPr>
                <w:p w14:paraId="388A8321">
                  <w:pPr>
                    <w:spacing w:line="320" w:lineRule="exact"/>
                    <w:jc w:val="cente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本项目运营期严格执行应急减排措施，制定完善重污染天气应急预案及错时错峰生产方案，严格落实各项措施，实施“一厂一策”。</w:t>
                  </w:r>
                </w:p>
              </w:tc>
              <w:tc>
                <w:tcPr>
                  <w:tcW w:w="894" w:type="dxa"/>
                  <w:vAlign w:val="center"/>
                </w:tcPr>
                <w:p w14:paraId="74DA23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3529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restart"/>
                  <w:shd w:val="clear" w:color="auto" w:fill="auto"/>
                  <w:vAlign w:val="center"/>
                </w:tcPr>
                <w:p w14:paraId="7E131F82">
                  <w:pPr>
                    <w:adjustRightInd w:val="0"/>
                    <w:snapToGrid w:val="0"/>
                    <w:spacing w:line="320" w:lineRule="exact"/>
                    <w:jc w:val="center"/>
                    <w:rPr>
                      <w:rFonts w:hint="default" w:ascii="Times New Roman" w:hAnsi="Times New Roman" w:cs="Times New Roman" w:eastAsiaTheme="minorEastAsia"/>
                      <w:color w:val="000000" w:themeColor="text1"/>
                      <w:kern w:val="2"/>
                      <w:sz w:val="21"/>
                      <w:szCs w:val="21"/>
                      <w:shd w:val="clear" w:color="auto" w:fill="FFFFFF"/>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《挥发性有机物（VOC</w:t>
                  </w:r>
                  <w:r>
                    <w:rPr>
                      <w:rFonts w:hint="default" w:ascii="Times New Roman" w:hAnsi="Times New Roman" w:cs="Times New Roman"/>
                      <w:color w:val="000000" w:themeColor="text1"/>
                      <w:lang w:val="en-US" w:eastAsia="zh-CN"/>
                      <w14:textFill>
                        <w14:solidFill>
                          <w14:schemeClr w14:val="tx1"/>
                        </w14:solidFill>
                      </w14:textFill>
                    </w:rPr>
                    <w:t>s</w:t>
                  </w:r>
                  <w:r>
                    <w:rPr>
                      <w:rFonts w:hint="default" w:ascii="Times New Roman" w:hAnsi="Times New Roman" w:cs="Times New Roman"/>
                      <w:color w:val="000000" w:themeColor="text1"/>
                      <w14:textFill>
                        <w14:solidFill>
                          <w14:schemeClr w14:val="tx1"/>
                        </w14:solidFill>
                      </w14:textFill>
                    </w:rPr>
                    <w:t>）污染防治技术政策》</w:t>
                  </w:r>
                </w:p>
              </w:tc>
              <w:tc>
                <w:tcPr>
                  <w:tcW w:w="3437" w:type="dxa"/>
                  <w:shd w:val="clear" w:color="auto" w:fill="auto"/>
                  <w:vAlign w:val="center"/>
                </w:tcPr>
                <w:p w14:paraId="6BBFE9BB">
                  <w:pPr>
                    <w:adjustRightInd w:val="0"/>
                    <w:snapToGrid w:val="0"/>
                    <w:spacing w:line="320" w:lineRule="exact"/>
                    <w:jc w:val="center"/>
                    <w:rPr>
                      <w:rFonts w:hint="default" w:ascii="Times New Roman" w:hAnsi="Times New Roman" w:cs="Times New Roman" w:eastAsiaTheme="minorEastAsia"/>
                      <w:color w:val="000000" w:themeColor="text1"/>
                      <w:kern w:val="2"/>
                      <w:sz w:val="21"/>
                      <w:szCs w:val="21"/>
                      <w:shd w:val="clear" w:color="auto" w:fill="FFFFFF"/>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含VOCs产品的使用过程中，应采取废气收集措施，提高废气收集效率，减少废气的无组织排放与逸散，并对收集后的废气进行回收或处理后达标排放。</w:t>
                  </w:r>
                </w:p>
              </w:tc>
              <w:tc>
                <w:tcPr>
                  <w:tcW w:w="1938" w:type="dxa"/>
                  <w:vMerge w:val="restart"/>
                  <w:shd w:val="clear" w:color="auto" w:fill="auto"/>
                  <w:vAlign w:val="center"/>
                </w:tcPr>
                <w:p w14:paraId="3C15C710">
                  <w:pPr>
                    <w:adjustRightInd w:val="0"/>
                    <w:snapToGrid w:val="0"/>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本项目非甲烷总烃采用集气罩收集，收集过程尽可能提</w:t>
                  </w:r>
                  <w:r>
                    <w:rPr>
                      <w:rFonts w:hint="default" w:ascii="Times New Roman" w:hAnsi="Times New Roman" w:eastAsia="宋体" w:cs="Times New Roman"/>
                      <w:color w:val="000000" w:themeColor="text1"/>
                      <w:lang w:val="en-US" w:eastAsia="zh-CN"/>
                      <w14:textFill>
                        <w14:solidFill>
                          <w14:schemeClr w14:val="tx1"/>
                        </w14:solidFill>
                      </w14:textFill>
                    </w:rPr>
                    <w:t>高集气效率，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采用二级活性炭吸附</w:t>
                  </w:r>
                  <w:r>
                    <w:rPr>
                      <w:rFonts w:hint="default" w:ascii="Times New Roman" w:hAnsi="Times New Roman" w:cs="Times New Roman"/>
                      <w:color w:val="000000" w:themeColor="text1"/>
                      <w14:textFill>
                        <w14:solidFill>
                          <w14:schemeClr w14:val="tx1"/>
                        </w14:solidFill>
                      </w14:textFill>
                    </w:rPr>
                    <w:t>处理后</w:t>
                  </w:r>
                  <w:r>
                    <w:rPr>
                      <w:rFonts w:hint="default" w:ascii="Times New Roman" w:hAnsi="Times New Roman" w:cs="Times New Roman"/>
                      <w:color w:val="000000" w:themeColor="text1"/>
                      <w:lang w:eastAsia="zh-CN"/>
                      <w14:textFill>
                        <w14:solidFill>
                          <w14:schemeClr w14:val="tx1"/>
                        </w14:solidFill>
                      </w14:textFill>
                    </w:rPr>
                    <w:t>可以</w:t>
                  </w:r>
                  <w:r>
                    <w:rPr>
                      <w:rFonts w:hint="default" w:ascii="Times New Roman" w:hAnsi="Times New Roman" w:cs="Times New Roman"/>
                      <w:color w:val="000000" w:themeColor="text1"/>
                      <w14:textFill>
                        <w14:solidFill>
                          <w14:schemeClr w14:val="tx1"/>
                        </w14:solidFill>
                      </w14:textFill>
                    </w:rPr>
                    <w:t>达标排放</w:t>
                  </w:r>
                  <w:r>
                    <w:rPr>
                      <w:rFonts w:hint="default" w:ascii="Times New Roman" w:hAnsi="Times New Roman" w:cs="Times New Roman"/>
                      <w:color w:val="000000" w:themeColor="text1"/>
                      <w:lang w:eastAsia="zh-CN"/>
                      <w14:textFill>
                        <w14:solidFill>
                          <w14:schemeClr w14:val="tx1"/>
                        </w14:solidFill>
                      </w14:textFill>
                    </w:rPr>
                    <w:t>。</w:t>
                  </w:r>
                </w:p>
              </w:tc>
              <w:tc>
                <w:tcPr>
                  <w:tcW w:w="894" w:type="dxa"/>
                  <w:vMerge w:val="restart"/>
                  <w:vAlign w:val="center"/>
                </w:tcPr>
                <w:p w14:paraId="13C13D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3834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continue"/>
                  <w:shd w:val="clear" w:color="auto" w:fill="auto"/>
                  <w:vAlign w:val="center"/>
                </w:tcPr>
                <w:p w14:paraId="734BA9EF">
                  <w:pPr>
                    <w:adjustRightInd w:val="0"/>
                    <w:snapToGrid w:val="0"/>
                    <w:spacing w:line="320" w:lineRule="exact"/>
                    <w:jc w:val="center"/>
                    <w:rPr>
                      <w:rFonts w:hint="eastAsia"/>
                      <w:color w:val="000000" w:themeColor="text1"/>
                      <w14:textFill>
                        <w14:solidFill>
                          <w14:schemeClr w14:val="tx1"/>
                        </w14:solidFill>
                      </w14:textFill>
                    </w:rPr>
                  </w:pPr>
                </w:p>
              </w:tc>
              <w:tc>
                <w:tcPr>
                  <w:tcW w:w="3437" w:type="dxa"/>
                  <w:shd w:val="clear" w:color="auto" w:fill="auto"/>
                  <w:vAlign w:val="center"/>
                </w:tcPr>
                <w:p w14:paraId="7F9B0BB2">
                  <w:pPr>
                    <w:adjustRightInd w:val="0"/>
                    <w:snapToGrid w:val="0"/>
                    <w:spacing w:line="320" w:lineRule="exact"/>
                    <w:jc w:val="center"/>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938" w:type="dxa"/>
                  <w:vMerge w:val="continue"/>
                  <w:shd w:val="clear" w:color="auto" w:fill="auto"/>
                  <w:vAlign w:val="center"/>
                </w:tcPr>
                <w:p w14:paraId="49319AC5">
                  <w:pPr>
                    <w:adjustRightInd w:val="0"/>
                    <w:snapToGrid w:val="0"/>
                    <w:spacing w:line="320" w:lineRule="exact"/>
                    <w:jc w:val="center"/>
                    <w:rPr>
                      <w:rFonts w:hint="eastAsia"/>
                      <w:color w:val="000000" w:themeColor="text1"/>
                      <w:lang w:val="en-US" w:eastAsia="zh-CN"/>
                      <w14:textFill>
                        <w14:solidFill>
                          <w14:schemeClr w14:val="tx1"/>
                        </w14:solidFill>
                      </w14:textFill>
                    </w:rPr>
                  </w:pPr>
                </w:p>
              </w:tc>
              <w:tc>
                <w:tcPr>
                  <w:tcW w:w="894" w:type="dxa"/>
                  <w:vMerge w:val="continue"/>
                  <w:vAlign w:val="center"/>
                </w:tcPr>
                <w:p w14:paraId="5072858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pPr>
                </w:p>
              </w:tc>
            </w:tr>
            <w:tr w14:paraId="281A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9" w:type="dxa"/>
                  <w:vMerge w:val="continue"/>
                  <w:shd w:val="clear" w:color="auto" w:fill="auto"/>
                  <w:vAlign w:val="center"/>
                </w:tcPr>
                <w:p w14:paraId="44496232">
                  <w:pPr>
                    <w:adjustRightInd w:val="0"/>
                    <w:snapToGrid w:val="0"/>
                    <w:spacing w:line="320" w:lineRule="exact"/>
                    <w:jc w:val="center"/>
                    <w:rPr>
                      <w:rFonts w:hint="eastAsia"/>
                      <w:color w:val="000000" w:themeColor="text1"/>
                      <w14:textFill>
                        <w14:solidFill>
                          <w14:schemeClr w14:val="tx1"/>
                        </w14:solidFill>
                      </w14:textFill>
                    </w:rPr>
                  </w:pPr>
                </w:p>
              </w:tc>
              <w:tc>
                <w:tcPr>
                  <w:tcW w:w="3437" w:type="dxa"/>
                  <w:shd w:val="clear" w:color="auto" w:fill="auto"/>
                  <w:vAlign w:val="center"/>
                </w:tcPr>
                <w:p w14:paraId="62798614">
                  <w:pPr>
                    <w:adjustRightInd w:val="0"/>
                    <w:snapToGrid w:val="0"/>
                    <w:spacing w:line="32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企业应建立健全VOCs治理设施的运行维护规程</w:t>
                  </w:r>
                  <w:r>
                    <w:rPr>
                      <w:rFonts w:hint="eastAsia" w:ascii="Times New Roman" w:hAnsi="Times New Roman" w:cs="Times New Roman"/>
                      <w:color w:val="000000" w:themeColor="text1"/>
                      <w:lang w:eastAsia="zh-CN"/>
                      <w14:textFill>
                        <w14:solidFill>
                          <w14:schemeClr w14:val="tx1"/>
                        </w14:solidFill>
                      </w14:textFill>
                    </w:rPr>
                    <w:t>和台账</w:t>
                  </w:r>
                  <w:r>
                    <w:rPr>
                      <w:rFonts w:hint="default" w:ascii="Times New Roman" w:hAnsi="Times New Roman" w:cs="Times New Roman"/>
                      <w:color w:val="000000" w:themeColor="text1"/>
                      <w14:textFill>
                        <w14:solidFill>
                          <w14:schemeClr w14:val="tx1"/>
                        </w14:solidFill>
                      </w14:textFill>
                    </w:rPr>
                    <w:t>等日常管理制度，并根据工艺要求定期对各类设备、电气、自控仪表等进行检修维护，确保设施的稳定运行。</w:t>
                  </w:r>
                </w:p>
              </w:tc>
              <w:tc>
                <w:tcPr>
                  <w:tcW w:w="1938" w:type="dxa"/>
                  <w:shd w:val="clear" w:color="auto" w:fill="auto"/>
                  <w:vAlign w:val="center"/>
                </w:tcPr>
                <w:p w14:paraId="12A655E7">
                  <w:pPr>
                    <w:adjustRightInd w:val="0"/>
                    <w:snapToGrid w:val="0"/>
                    <w:spacing w:line="320" w:lineRule="exact"/>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企业根据</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《重污染天气重点行业应急减排措施制定技术指南（2020年修订版）》（以下简称指南）要求，运营期制定环保设施运行管理规程，并制定环保设施维护保养制度。</w:t>
                  </w:r>
                </w:p>
              </w:tc>
              <w:tc>
                <w:tcPr>
                  <w:tcW w:w="894" w:type="dxa"/>
                  <w:vMerge w:val="continue"/>
                  <w:vAlign w:val="center"/>
                </w:tcPr>
                <w:p w14:paraId="587EFED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pPr>
                </w:p>
              </w:tc>
            </w:tr>
            <w:tr w14:paraId="711D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continue"/>
                  <w:shd w:val="clear" w:color="auto" w:fill="auto"/>
                  <w:vAlign w:val="center"/>
                </w:tcPr>
                <w:p w14:paraId="528B2C17">
                  <w:pPr>
                    <w:adjustRightInd w:val="0"/>
                    <w:snapToGrid w:val="0"/>
                    <w:spacing w:line="320" w:lineRule="exact"/>
                    <w:jc w:val="center"/>
                    <w:rPr>
                      <w:rFonts w:hint="eastAsia"/>
                      <w:color w:val="000000" w:themeColor="text1"/>
                      <w14:textFill>
                        <w14:solidFill>
                          <w14:schemeClr w14:val="tx1"/>
                        </w14:solidFill>
                      </w14:textFill>
                    </w:rPr>
                  </w:pPr>
                </w:p>
              </w:tc>
              <w:tc>
                <w:tcPr>
                  <w:tcW w:w="3437" w:type="dxa"/>
                  <w:shd w:val="clear" w:color="auto" w:fill="auto"/>
                  <w:vAlign w:val="center"/>
                </w:tcPr>
                <w:p w14:paraId="6DEA90BB">
                  <w:pPr>
                    <w:adjustRightInd w:val="0"/>
                    <w:snapToGrid w:val="0"/>
                    <w:spacing w:line="32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鼓励企业自行开展VOCs监测，并及时主动向当地环保行政主管部门报送监测结果。</w:t>
                  </w:r>
                </w:p>
              </w:tc>
              <w:tc>
                <w:tcPr>
                  <w:tcW w:w="1938" w:type="dxa"/>
                  <w:shd w:val="clear" w:color="auto" w:fill="auto"/>
                  <w:vAlign w:val="center"/>
                </w:tcPr>
                <w:p w14:paraId="368D0B68">
                  <w:pPr>
                    <w:adjustRightInd w:val="0"/>
                    <w:snapToGrid w:val="0"/>
                    <w:spacing w:line="320" w:lineRule="exact"/>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企业运营期制定自行监测方案，根据方案严格开展自行监测。</w:t>
                  </w:r>
                </w:p>
              </w:tc>
              <w:tc>
                <w:tcPr>
                  <w:tcW w:w="894" w:type="dxa"/>
                  <w:vMerge w:val="continue"/>
                  <w:vAlign w:val="center"/>
                </w:tcPr>
                <w:p w14:paraId="7DD7E53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pPr>
                </w:p>
              </w:tc>
            </w:tr>
            <w:tr w14:paraId="1959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restart"/>
                  <w:shd w:val="clear" w:color="auto" w:fill="auto"/>
                  <w:vAlign w:val="center"/>
                </w:tcPr>
                <w:p w14:paraId="7AA30CEC">
                  <w:pPr>
                    <w:adjustRightInd w:val="0"/>
                    <w:snapToGrid w:val="0"/>
                    <w:spacing w:line="320" w:lineRule="exact"/>
                    <w:jc w:val="center"/>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挥发性有机物无组织排放</w:t>
                  </w:r>
                  <w:r>
                    <w:rPr>
                      <w:rFonts w:hint="default" w:ascii="Times New Roman" w:hAnsi="Times New Roman" w:cs="Times New Roman"/>
                      <w:color w:val="000000" w:themeColor="text1"/>
                      <w:lang w:val="zh-CN"/>
                      <w14:textFill>
                        <w14:solidFill>
                          <w14:schemeClr w14:val="tx1"/>
                        </w14:solidFill>
                      </w14:textFill>
                    </w:rPr>
                    <w:t>控制标准</w:t>
                  </w:r>
                  <w:r>
                    <w:rPr>
                      <w:rFonts w:hint="default" w:ascii="Times New Roman" w:hAnsi="Times New Roman" w:cs="Times New Roman"/>
                      <w:color w:val="000000" w:themeColor="text1"/>
                      <w:lang w:val="zh-CN" w:eastAsia="zh-CN"/>
                      <w14:textFill>
                        <w14:solidFill>
                          <w14:schemeClr w14:val="tx1"/>
                        </w14:solidFill>
                      </w14:textFill>
                    </w:rPr>
                    <w:t>》（GD3822-2019）</w:t>
                  </w:r>
                </w:p>
              </w:tc>
              <w:tc>
                <w:tcPr>
                  <w:tcW w:w="3437" w:type="dxa"/>
                  <w:shd w:val="clear" w:color="auto" w:fill="auto"/>
                  <w:vAlign w:val="center"/>
                </w:tcPr>
                <w:p w14:paraId="705BAF59">
                  <w:pPr>
                    <w:adjustRightInd w:val="0"/>
                    <w:snapToGrid w:val="0"/>
                    <w:spacing w:line="320" w:lineRule="exact"/>
                    <w:jc w:val="center"/>
                    <w:rPr>
                      <w:rFonts w:hint="default" w:eastAsia="宋体" w:asciiTheme="minorHAnsi" w:hAnsiTheme="minorHAnsi" w:cstheme="minorBidi"/>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VOCs物料应储存于密闭的容器、包装袋、储</w:t>
                  </w:r>
                  <w:r>
                    <w:rPr>
                      <w:rFonts w:hint="eastAsia"/>
                      <w:color w:val="000000" w:themeColor="text1"/>
                      <w14:textFill>
                        <w14:solidFill>
                          <w14:schemeClr w14:val="tx1"/>
                        </w14:solidFill>
                      </w14:textFill>
                    </w:rPr>
                    <w:t>罐、储库、料仓中</w:t>
                  </w:r>
                  <w:r>
                    <w:rPr>
                      <w:rFonts w:hint="eastAsia"/>
                      <w:color w:val="000000" w:themeColor="text1"/>
                      <w:lang w:eastAsia="zh-CN"/>
                      <w14:textFill>
                        <w14:solidFill>
                          <w14:schemeClr w14:val="tx1"/>
                        </w14:solidFill>
                      </w14:textFill>
                    </w:rPr>
                    <w:t>。</w:t>
                  </w:r>
                </w:p>
              </w:tc>
              <w:tc>
                <w:tcPr>
                  <w:tcW w:w="1938" w:type="dxa"/>
                  <w:shd w:val="clear" w:color="auto" w:fill="auto"/>
                  <w:vAlign w:val="center"/>
                </w:tcPr>
                <w:p w14:paraId="5CFA2859">
                  <w:pPr>
                    <w:adjustRightInd w:val="0"/>
                    <w:snapToGrid w:val="0"/>
                    <w:spacing w:line="320" w:lineRule="exact"/>
                    <w:jc w:val="center"/>
                    <w:rPr>
                      <w:rFonts w:hint="default" w:eastAsia="宋体" w:asciiTheme="minorHAnsi" w:hAnsiTheme="minorHAnsi" w:cstheme="minorBidi"/>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本项目环氧树脂等原辅料储存于密闭</w:t>
                  </w:r>
                  <w:r>
                    <w:rPr>
                      <w:rFonts w:hint="eastAsia"/>
                      <w:color w:val="000000" w:themeColor="text1"/>
                      <w14:textFill>
                        <w14:solidFill>
                          <w14:schemeClr w14:val="tx1"/>
                        </w14:solidFill>
                      </w14:textFill>
                    </w:rPr>
                    <w:t>包装</w:t>
                  </w:r>
                  <w:r>
                    <w:rPr>
                      <w:rFonts w:hint="eastAsia"/>
                      <w:color w:val="000000" w:themeColor="text1"/>
                      <w:lang w:eastAsia="zh-CN"/>
                      <w14:textFill>
                        <w14:solidFill>
                          <w14:schemeClr w14:val="tx1"/>
                        </w14:solidFill>
                      </w14:textFill>
                    </w:rPr>
                    <w:t>材料中。</w:t>
                  </w:r>
                </w:p>
              </w:tc>
              <w:tc>
                <w:tcPr>
                  <w:tcW w:w="894" w:type="dxa"/>
                  <w:vMerge w:val="restart"/>
                  <w:vAlign w:val="center"/>
                </w:tcPr>
                <w:p w14:paraId="264E9DB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4067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continue"/>
                  <w:shd w:val="clear" w:color="auto" w:fill="auto"/>
                  <w:vAlign w:val="center"/>
                </w:tcPr>
                <w:p w14:paraId="2E11D4F4">
                  <w:pPr>
                    <w:adjustRightInd w:val="0"/>
                    <w:snapToGrid w:val="0"/>
                    <w:spacing w:line="320" w:lineRule="exact"/>
                    <w:jc w:val="center"/>
                    <w:rPr>
                      <w:rFonts w:hint="eastAsia"/>
                      <w:color w:val="000000" w:themeColor="text1"/>
                      <w:lang w:val="zh-CN" w:eastAsia="zh-CN"/>
                      <w14:textFill>
                        <w14:solidFill>
                          <w14:schemeClr w14:val="tx1"/>
                        </w14:solidFill>
                      </w14:textFill>
                    </w:rPr>
                  </w:pPr>
                </w:p>
              </w:tc>
              <w:tc>
                <w:tcPr>
                  <w:tcW w:w="3437" w:type="dxa"/>
                  <w:shd w:val="clear" w:color="auto" w:fill="auto"/>
                  <w:vAlign w:val="center"/>
                </w:tcPr>
                <w:p w14:paraId="61B8E7D4">
                  <w:pPr>
                    <w:adjustRightInd w:val="0"/>
                    <w:snapToGrid w:val="0"/>
                    <w:spacing w:line="32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盛装VOCs物料的容器或包装袋应存放于室内，或存放于设置有雨棚、遮阳和防渗设施的专用场地。盛装 VOCs 物料的容器或包装袋在非取用状态时应加盖、封口，保持密闭。</w:t>
                  </w:r>
                </w:p>
              </w:tc>
              <w:tc>
                <w:tcPr>
                  <w:tcW w:w="1938" w:type="dxa"/>
                  <w:shd w:val="clear" w:color="auto" w:fill="auto"/>
                  <w:vAlign w:val="center"/>
                </w:tcPr>
                <w:p w14:paraId="100BC8E5">
                  <w:pPr>
                    <w:adjustRightInd w:val="0"/>
                    <w:snapToGrid w:val="0"/>
                    <w:spacing w:line="320" w:lineRule="exact"/>
                    <w:jc w:val="center"/>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本项目原辅材料均储存于封闭车间，项目使用的环氧树脂采用桶装密闭保存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生产厂房已硬化并做防渗处理。</w:t>
                  </w:r>
                </w:p>
              </w:tc>
              <w:tc>
                <w:tcPr>
                  <w:tcW w:w="894" w:type="dxa"/>
                  <w:vMerge w:val="continue"/>
                  <w:vAlign w:val="center"/>
                </w:tcPr>
                <w:p w14:paraId="7CEFE3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pPr>
                </w:p>
              </w:tc>
            </w:tr>
            <w:tr w14:paraId="553D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continue"/>
                  <w:shd w:val="clear" w:color="auto" w:fill="auto"/>
                  <w:vAlign w:val="center"/>
                </w:tcPr>
                <w:p w14:paraId="5C6CAC05">
                  <w:pPr>
                    <w:adjustRightInd w:val="0"/>
                    <w:snapToGrid w:val="0"/>
                    <w:spacing w:line="320" w:lineRule="exact"/>
                    <w:jc w:val="center"/>
                    <w:rPr>
                      <w:rFonts w:hint="eastAsia"/>
                      <w:color w:val="000000" w:themeColor="text1"/>
                      <w:lang w:val="zh-CN" w:eastAsia="zh-CN"/>
                      <w14:textFill>
                        <w14:solidFill>
                          <w14:schemeClr w14:val="tx1"/>
                        </w14:solidFill>
                      </w14:textFill>
                    </w:rPr>
                  </w:pPr>
                </w:p>
              </w:tc>
              <w:tc>
                <w:tcPr>
                  <w:tcW w:w="3437" w:type="dxa"/>
                  <w:shd w:val="clear" w:color="auto" w:fill="auto"/>
                  <w:vAlign w:val="center"/>
                </w:tcPr>
                <w:p w14:paraId="0C57F85D">
                  <w:pPr>
                    <w:adjustRightInd w:val="0"/>
                    <w:snapToGrid w:val="0"/>
                    <w:spacing w:line="32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VOCs物料卸（出、放）料过程应密闭，卸料废气应排至VOCs废气收集处理系统；无法密闭的，应采取局部气体收集措施，废气应排至VOCs 废气收集处理系统。</w:t>
                  </w:r>
                </w:p>
              </w:tc>
              <w:tc>
                <w:tcPr>
                  <w:tcW w:w="1938" w:type="dxa"/>
                  <w:vMerge w:val="restart"/>
                  <w:shd w:val="clear" w:color="auto" w:fill="auto"/>
                  <w:vAlign w:val="center"/>
                </w:tcPr>
                <w:p w14:paraId="061FBA92">
                  <w:pPr>
                    <w:adjustRightInd w:val="0"/>
                    <w:snapToGrid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本项目使用环氧树脂改性固化剂占比为57%，使用时在密闭厂房内，配有集气罩收集废气，收集后的废气经二级活性炭处理后通过15m高的排气筒排放。</w:t>
                  </w:r>
                </w:p>
              </w:tc>
              <w:tc>
                <w:tcPr>
                  <w:tcW w:w="894" w:type="dxa"/>
                  <w:vMerge w:val="continue"/>
                  <w:vAlign w:val="center"/>
                </w:tcPr>
                <w:p w14:paraId="4EF149D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pPr>
                </w:p>
              </w:tc>
            </w:tr>
            <w:tr w14:paraId="579F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continue"/>
                  <w:shd w:val="clear" w:color="auto" w:fill="auto"/>
                  <w:vAlign w:val="center"/>
                </w:tcPr>
                <w:p w14:paraId="17E0AED5">
                  <w:pPr>
                    <w:adjustRightInd w:val="0"/>
                    <w:snapToGrid w:val="0"/>
                    <w:spacing w:line="320" w:lineRule="exact"/>
                    <w:jc w:val="center"/>
                    <w:rPr>
                      <w:rFonts w:hint="eastAsia"/>
                      <w:color w:val="000000" w:themeColor="text1"/>
                      <w:lang w:val="zh-CN" w:eastAsia="zh-CN"/>
                      <w14:textFill>
                        <w14:solidFill>
                          <w14:schemeClr w14:val="tx1"/>
                        </w14:solidFill>
                      </w14:textFill>
                    </w:rPr>
                  </w:pPr>
                </w:p>
              </w:tc>
              <w:tc>
                <w:tcPr>
                  <w:tcW w:w="3437" w:type="dxa"/>
                  <w:shd w:val="clear" w:color="auto" w:fill="auto"/>
                  <w:vAlign w:val="center"/>
                </w:tcPr>
                <w:p w14:paraId="542479F7">
                  <w:pPr>
                    <w:adjustRightInd w:val="0"/>
                    <w:snapToGrid w:val="0"/>
                    <w:spacing w:line="32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VOCs质量占比大于等于10%的含VOCs产品，其使用过程应采用密闭设备或在密闭空间内操作，废气应排至VOCs废气收集处理系统；无法密闭的，应采取局部气体收集措施，废气应排至 VOCs废气收集处理系统</w:t>
                  </w:r>
                </w:p>
              </w:tc>
              <w:tc>
                <w:tcPr>
                  <w:tcW w:w="1938" w:type="dxa"/>
                  <w:vMerge w:val="continue"/>
                  <w:shd w:val="clear" w:color="auto" w:fill="auto"/>
                  <w:vAlign w:val="center"/>
                </w:tcPr>
                <w:p w14:paraId="6120FF8F">
                  <w:pPr>
                    <w:adjustRightInd w:val="0"/>
                    <w:snapToGrid w:val="0"/>
                    <w:spacing w:line="32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94" w:type="dxa"/>
                  <w:vMerge w:val="continue"/>
                  <w:vAlign w:val="center"/>
                </w:tcPr>
                <w:p w14:paraId="6B0A5E3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pPr>
                </w:p>
              </w:tc>
            </w:tr>
            <w:tr w14:paraId="7D7A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continue"/>
                  <w:shd w:val="clear" w:color="auto" w:fill="auto"/>
                  <w:vAlign w:val="center"/>
                </w:tcPr>
                <w:p w14:paraId="44DD6AE1">
                  <w:pPr>
                    <w:adjustRightInd w:val="0"/>
                    <w:snapToGrid w:val="0"/>
                    <w:spacing w:line="320" w:lineRule="exact"/>
                    <w:jc w:val="center"/>
                    <w:rPr>
                      <w:rFonts w:hint="eastAsia"/>
                      <w:color w:val="000000" w:themeColor="text1"/>
                      <w:lang w:val="zh-CN" w:eastAsia="zh-CN"/>
                      <w14:textFill>
                        <w14:solidFill>
                          <w14:schemeClr w14:val="tx1"/>
                        </w14:solidFill>
                      </w14:textFill>
                    </w:rPr>
                  </w:pPr>
                </w:p>
              </w:tc>
              <w:tc>
                <w:tcPr>
                  <w:tcW w:w="3437" w:type="dxa"/>
                  <w:shd w:val="clear" w:color="auto" w:fill="auto"/>
                  <w:vAlign w:val="center"/>
                </w:tcPr>
                <w:p w14:paraId="0164CE82">
                  <w:pPr>
                    <w:adjustRightInd w:val="0"/>
                    <w:snapToGrid w:val="0"/>
                    <w:spacing w:line="32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企业应建立台账，记录含VOCs原辅材料和含VOCs产品的名称、使用量、回收量、废弃量、去向以及VOCs含量等信息。台账保存期限不少于3年。</w:t>
                  </w:r>
                </w:p>
              </w:tc>
              <w:tc>
                <w:tcPr>
                  <w:tcW w:w="1938" w:type="dxa"/>
                  <w:shd w:val="clear" w:color="auto" w:fill="auto"/>
                  <w:vAlign w:val="center"/>
                </w:tcPr>
                <w:p w14:paraId="2DB1BEF1">
                  <w:pPr>
                    <w:adjustRightInd w:val="0"/>
                    <w:snapToGrid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企业已建立VOCs原辅材料使用台账，详细记录VOCs原辅材料使用量、废气量以及去向等信息，台账保存期限不低于3年。</w:t>
                  </w:r>
                </w:p>
              </w:tc>
              <w:tc>
                <w:tcPr>
                  <w:tcW w:w="894" w:type="dxa"/>
                  <w:vMerge w:val="continue"/>
                  <w:vAlign w:val="center"/>
                </w:tcPr>
                <w:p w14:paraId="7290D0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pPr>
                </w:p>
              </w:tc>
            </w:tr>
            <w:tr w14:paraId="3DC0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9" w:type="dxa"/>
                  <w:vMerge w:val="restart"/>
                  <w:shd w:val="clear" w:color="auto" w:fill="auto"/>
                  <w:vAlign w:val="center"/>
                </w:tcPr>
                <w:p w14:paraId="73D2DFD5">
                  <w:pPr>
                    <w:spacing w:line="320" w:lineRule="exact"/>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《宝鸡市“十四五”生态环境保护规划》</w:t>
                  </w:r>
                </w:p>
              </w:tc>
              <w:tc>
                <w:tcPr>
                  <w:tcW w:w="3437" w:type="dxa"/>
                  <w:shd w:val="clear" w:color="auto" w:fill="auto"/>
                  <w:vAlign w:val="center"/>
                </w:tcPr>
                <w:p w14:paraId="0E34051F">
                  <w:pPr>
                    <w:pStyle w:val="26"/>
                    <w:spacing w:line="32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持续推进工业污水治理。引导工业企业污水近零排放，降低污染负荷。强化工业集聚区污染治理，推进工业园区污水处理设施分类管理、分期升级改造</w:t>
                  </w:r>
                  <w:r>
                    <w:rPr>
                      <w:rFonts w:hint="eastAsia" w:ascii="Times New Roman" w:hAnsi="Times New Roman" w:cs="Times New Roman"/>
                      <w:color w:val="000000" w:themeColor="text1"/>
                      <w:kern w:val="0"/>
                      <w:szCs w:val="21"/>
                      <w:lang w:eastAsia="zh-CN"/>
                      <w14:textFill>
                        <w14:solidFill>
                          <w14:schemeClr w14:val="tx1"/>
                        </w14:solidFill>
                      </w14:textFill>
                    </w:rPr>
                    <w:t>。</w:t>
                  </w:r>
                </w:p>
              </w:tc>
              <w:tc>
                <w:tcPr>
                  <w:tcW w:w="1938" w:type="dxa"/>
                  <w:shd w:val="clear" w:color="auto" w:fill="auto"/>
                  <w:vAlign w:val="center"/>
                </w:tcPr>
                <w:p w14:paraId="59908FE8">
                  <w:pPr>
                    <w:pStyle w:val="26"/>
                    <w:spacing w:line="320" w:lineRule="exact"/>
                    <w:jc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本项目运营期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生活污水经化粪池处理后排入市政管网，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运营期产品密封性检验废水循环使用定期补充不外排。</w:t>
                  </w:r>
                </w:p>
              </w:tc>
              <w:tc>
                <w:tcPr>
                  <w:tcW w:w="894" w:type="dxa"/>
                  <w:vMerge w:val="restart"/>
                  <w:vAlign w:val="center"/>
                </w:tcPr>
                <w:p w14:paraId="2973047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44F1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continue"/>
                  <w:shd w:val="clear" w:color="auto" w:fill="auto"/>
                  <w:vAlign w:val="center"/>
                </w:tcPr>
                <w:p w14:paraId="77EC2E7C">
                  <w:pPr>
                    <w:spacing w:line="320" w:lineRule="exact"/>
                    <w:rPr>
                      <w:rFonts w:hint="default" w:ascii="Times New Roman" w:hAnsi="Times New Roman" w:cs="Times New Roman"/>
                      <w:color w:val="000000" w:themeColor="text1"/>
                      <w:szCs w:val="21"/>
                      <w14:textFill>
                        <w14:solidFill>
                          <w14:schemeClr w14:val="tx1"/>
                        </w14:solidFill>
                      </w14:textFill>
                    </w:rPr>
                  </w:pPr>
                </w:p>
              </w:tc>
              <w:tc>
                <w:tcPr>
                  <w:tcW w:w="3437" w:type="dxa"/>
                  <w:shd w:val="clear" w:color="auto" w:fill="auto"/>
                  <w:vAlign w:val="center"/>
                </w:tcPr>
                <w:p w14:paraId="08868481">
                  <w:pPr>
                    <w:pStyle w:val="26"/>
                    <w:spacing w:line="3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en-US"/>
                      <w14:textFill>
                        <w14:solidFill>
                          <w14:schemeClr w14:val="tx1"/>
                        </w14:solidFill>
                      </w14:textFill>
                    </w:rPr>
                    <w:t>严格执行涂料、油墨、胶粘剂、清洗剂等产品质量标准VOCs含量限值。将全面使用符合国家要求的低VOCs含量原辅材料的企业纳入正面清单和政府绿色采购清单。推动生产、使用低(无)VOCs含量的涂料、油墨、胶粘剂和清洗剂。</w:t>
                  </w:r>
                </w:p>
              </w:tc>
              <w:tc>
                <w:tcPr>
                  <w:tcW w:w="1938" w:type="dxa"/>
                  <w:shd w:val="clear" w:color="auto" w:fill="auto"/>
                  <w:vAlign w:val="center"/>
                </w:tcPr>
                <w:p w14:paraId="45D2A9E3">
                  <w:pPr>
                    <w:pStyle w:val="26"/>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根据环氧树脂检测报告，本项目环氧树脂中VOC含量为3g/kg，符合《胶粘剂挥发性有机化合物限量》（GB33372-2020）中本体型胶黏剂VOC含量限值（≤100g/kg）。</w:t>
                  </w:r>
                </w:p>
              </w:tc>
              <w:tc>
                <w:tcPr>
                  <w:tcW w:w="894" w:type="dxa"/>
                  <w:vMerge w:val="continue"/>
                  <w:vAlign w:val="center"/>
                </w:tcPr>
                <w:p w14:paraId="3F785B2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pPr>
                </w:p>
              </w:tc>
            </w:tr>
            <w:tr w14:paraId="09BD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continue"/>
                  <w:shd w:val="clear" w:color="auto" w:fill="auto"/>
                  <w:vAlign w:val="center"/>
                </w:tcPr>
                <w:p w14:paraId="24DE34C3">
                  <w:pPr>
                    <w:spacing w:line="320" w:lineRule="exact"/>
                    <w:rPr>
                      <w:rFonts w:hint="default" w:ascii="Times New Roman" w:hAnsi="Times New Roman" w:cs="Times New Roman"/>
                      <w:color w:val="000000" w:themeColor="text1"/>
                      <w:szCs w:val="21"/>
                      <w14:textFill>
                        <w14:solidFill>
                          <w14:schemeClr w14:val="tx1"/>
                        </w14:solidFill>
                      </w14:textFill>
                    </w:rPr>
                  </w:pPr>
                </w:p>
              </w:tc>
              <w:tc>
                <w:tcPr>
                  <w:tcW w:w="3437" w:type="dxa"/>
                  <w:shd w:val="clear" w:color="auto" w:fill="auto"/>
                  <w:vAlign w:val="center"/>
                </w:tcPr>
                <w:p w14:paraId="260786B3">
                  <w:pPr>
                    <w:pStyle w:val="26"/>
                    <w:spacing w:line="320" w:lineRule="exact"/>
                    <w:jc w:val="center"/>
                    <w:rPr>
                      <w:rFonts w:hint="default" w:ascii="Times New Roman" w:hAnsi="Times New Roman" w:cs="Times New Roman"/>
                      <w:color w:val="000000" w:themeColor="text1"/>
                      <w:kern w:val="0"/>
                      <w:szCs w:val="21"/>
                      <w:lang w:val="en-US"/>
                      <w14:textFill>
                        <w14:solidFill>
                          <w14:schemeClr w14:val="tx1"/>
                        </w14:solidFill>
                      </w14:textFill>
                    </w:rPr>
                  </w:pPr>
                  <w:r>
                    <w:rPr>
                      <w:rFonts w:hint="default" w:ascii="Times New Roman" w:hAnsi="Times New Roman" w:cs="Times New Roman"/>
                      <w:color w:val="000000" w:themeColor="text1"/>
                      <w:kern w:val="0"/>
                      <w:szCs w:val="21"/>
                      <w:lang w:val="en-US"/>
                      <w14:textFill>
                        <w14:solidFill>
                          <w14:schemeClr w14:val="tx1"/>
                        </w14:solidFill>
                      </w14:textFill>
                    </w:rPr>
                    <w:t>企业新建和改造治污设施，应选择合理治理技术和设备，提高VOCs治理效率。加强无组织排放控制，深入实施精细化管控，提高VOCs治理的精准性、针对性和有效性。持续开展无组织排放排查整治工作，加强含VOCs物料全方位、全链条、全环节密闭管理。</w:t>
                  </w:r>
                </w:p>
              </w:tc>
              <w:tc>
                <w:tcPr>
                  <w:tcW w:w="1938" w:type="dxa"/>
                  <w:shd w:val="clear" w:color="auto" w:fill="auto"/>
                  <w:vAlign w:val="center"/>
                </w:tcPr>
                <w:p w14:paraId="52D2C4EA">
                  <w:pPr>
                    <w:pStyle w:val="26"/>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本项目有机废气采用治理技术（二级活性炭吸附）符合</w:t>
                  </w:r>
                  <w:r>
                    <w:rPr>
                      <w:rFonts w:hint="eastAsia" w:ascii="Times New Roman" w:hAnsi="Times New Roman" w:eastAsia="宋体" w:cs="Times New Roman"/>
                      <w:color w:val="000000" w:themeColor="text1"/>
                      <w:szCs w:val="21"/>
                      <w:lang w:val="en-US" w:eastAsia="zh-CN"/>
                      <w14:textFill>
                        <w14:solidFill>
                          <w14:schemeClr w14:val="tx1"/>
                        </w14:solidFill>
                      </w14:textFill>
                    </w:rPr>
                    <w:t>指南中有机废气处理技术要求，处理效率达到60%，本项目搅拌、缠绕工序在密闭厂房内，设有集气罩收集有机废气，涉VOCs物料均密闭贮存，定期开展VOCs监测工作。</w:t>
                  </w:r>
                </w:p>
              </w:tc>
              <w:tc>
                <w:tcPr>
                  <w:tcW w:w="894" w:type="dxa"/>
                  <w:vMerge w:val="continue"/>
                  <w:vAlign w:val="center"/>
                </w:tcPr>
                <w:p w14:paraId="7665F5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pPr>
                </w:p>
              </w:tc>
            </w:tr>
            <w:tr w14:paraId="7B26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shd w:val="clear" w:color="auto" w:fill="auto"/>
                  <w:vAlign w:val="center"/>
                </w:tcPr>
                <w:p w14:paraId="35AD5F4F">
                  <w:pPr>
                    <w:pStyle w:val="12"/>
                    <w:keepNext w:val="0"/>
                    <w:keepLines w:val="0"/>
                    <w:pageBreakBefore w:val="0"/>
                    <w:shd w:val="clear" w:color="auto" w:fill="FFFFFF"/>
                    <w:kinsoku/>
                    <w:wordWrap/>
                    <w:overflowPunct/>
                    <w:topLinePunct w:val="0"/>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《宝鸡市大气污染治理专项行动方案</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2023-2027年</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p>
              </w:tc>
              <w:tc>
                <w:tcPr>
                  <w:tcW w:w="3437" w:type="dxa"/>
                  <w:shd w:val="clear" w:color="auto" w:fill="auto"/>
                  <w:vAlign w:val="center"/>
                </w:tcPr>
                <w:p w14:paraId="3BF5077A">
                  <w:pPr>
                    <w:pStyle w:val="12"/>
                    <w:keepNext w:val="0"/>
                    <w:keepLines w:val="0"/>
                    <w:pageBreakBefore w:val="0"/>
                    <w:shd w:val="clear" w:color="auto" w:fill="FFFFFF"/>
                    <w:kinsoku/>
                    <w:wordWrap/>
                    <w:overflowPunct/>
                    <w:topLinePunct w:val="0"/>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产业发展结构调整。严禁新增钢铁、焦化、水泥熟料、平板玻璃</w:t>
                  </w:r>
                  <w:r>
                    <w:rPr>
                      <w:rFonts w:hint="eastAsia" w:ascii="Times New Roman" w:hAnsi="Times New Roman" w:eastAsia="宋体" w:cs="Times New Roman"/>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电解铝、氧化铝、煤化工产能，合理控制煤制油气产能规模，严格新增炼油产能</w:t>
                  </w: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w:t>
                  </w:r>
                </w:p>
              </w:tc>
              <w:tc>
                <w:tcPr>
                  <w:tcW w:w="1938" w:type="dxa"/>
                  <w:shd w:val="clear" w:color="auto" w:fill="auto"/>
                  <w:vAlign w:val="center"/>
                </w:tcPr>
                <w:p w14:paraId="2C6FA84D">
                  <w:pPr>
                    <w:pStyle w:val="12"/>
                    <w:keepNext w:val="0"/>
                    <w:keepLines w:val="0"/>
                    <w:pageBreakBefore w:val="0"/>
                    <w:shd w:val="clear" w:color="auto" w:fill="FFFFFF"/>
                    <w:kinsoku/>
                    <w:wordWrap/>
                    <w:overflowPunct/>
                    <w:topLinePunct w:val="0"/>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本项目不属于钢铁、焦化、水泥熟料</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平板玻璃、电解铝、氧化铝、煤化工等项目，属于《产业结构调整指导目录</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2024年本</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允许类项目。</w:t>
                  </w:r>
                </w:p>
              </w:tc>
              <w:tc>
                <w:tcPr>
                  <w:tcW w:w="894" w:type="dxa"/>
                  <w:vAlign w:val="center"/>
                </w:tcPr>
                <w:p w14:paraId="088E00C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7BA6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shd w:val="clear" w:color="auto" w:fill="auto"/>
                  <w:vAlign w:val="center"/>
                </w:tcPr>
                <w:p w14:paraId="4288CCE4">
                  <w:pPr>
                    <w:pStyle w:val="12"/>
                    <w:keepNext w:val="0"/>
                    <w:keepLines w:val="0"/>
                    <w:pageBreakBefore w:val="0"/>
                    <w:shd w:val="clear" w:color="auto" w:fill="FFFFFF"/>
                    <w:kinsoku/>
                    <w:wordWrap/>
                    <w:overflowPunct/>
                    <w:topLinePunct w:val="0"/>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陕西省噪声污染防治行动计划（2023-2025年）》</w:t>
                  </w:r>
                </w:p>
              </w:tc>
              <w:tc>
                <w:tcPr>
                  <w:tcW w:w="3437" w:type="dxa"/>
                  <w:shd w:val="clear" w:color="auto" w:fill="auto"/>
                  <w:vAlign w:val="center"/>
                </w:tcPr>
                <w:p w14:paraId="3D81CABC">
                  <w:pPr>
                    <w:pStyle w:val="12"/>
                    <w:keepNext w:val="0"/>
                    <w:keepLines w:val="0"/>
                    <w:pageBreakBefore w:val="0"/>
                    <w:shd w:val="clear" w:color="auto" w:fill="FFFFFF"/>
                    <w:kinsoku/>
                    <w:wordWrap/>
                    <w:overflowPunct/>
                    <w:topLinePunct w:val="0"/>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11.落实工业噪声过程控制。噪声排放工业企业切实落实噪声污染防治措施，开展工业噪声达标专项整治，严肃查处工业企业噪声超标排放行为，加强厂区内固定设备、运输工具、货物装卸和试车线等声源噪声管理，避免突发噪声扰民。</w:t>
                  </w:r>
                </w:p>
              </w:tc>
              <w:tc>
                <w:tcPr>
                  <w:tcW w:w="1938" w:type="dxa"/>
                  <w:shd w:val="clear" w:color="auto" w:fill="auto"/>
                  <w:vAlign w:val="center"/>
                </w:tcPr>
                <w:p w14:paraId="3FADC534">
                  <w:pPr>
                    <w:pStyle w:val="12"/>
                    <w:keepNext w:val="0"/>
                    <w:keepLines w:val="0"/>
                    <w:pageBreakBefore w:val="0"/>
                    <w:shd w:val="clear" w:color="auto" w:fill="FFFFFF"/>
                    <w:kinsoku/>
                    <w:wordWrap/>
                    <w:overflowPunct/>
                    <w:topLinePunct w:val="0"/>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主要生产设施均设置于厂房内，项目</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通过对风机加装隔声罩</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墙体隔声、距离衰减等减小对外环境的影响，本项目厂界四周噪声预测值均可达到《工业企业厂界环境噪声排放标准》（GB12348-2008）</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lang w:val="zh-TW" w:eastAsia="zh-CN"/>
                      <w14:textFill>
                        <w14:solidFill>
                          <w14:schemeClr w14:val="tx1"/>
                        </w14:solidFill>
                      </w14:textFill>
                    </w:rPr>
                    <w:t>类标准要求，</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因此本项目的产噪设备在经隔声、降噪后，噪声可做到达标排放，不会对周围声环境造成明显影响。</w:t>
                  </w:r>
                </w:p>
              </w:tc>
              <w:tc>
                <w:tcPr>
                  <w:tcW w:w="894" w:type="dxa"/>
                  <w:vAlign w:val="center"/>
                </w:tcPr>
                <w:p w14:paraId="0D4B35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7637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restart"/>
                  <w:vAlign w:val="center"/>
                </w:tcPr>
                <w:p w14:paraId="554816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陈仓区</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大气污染治理专项行动方案（2023-2027年）》</w:t>
                  </w:r>
                </w:p>
              </w:tc>
              <w:tc>
                <w:tcPr>
                  <w:tcW w:w="3437" w:type="dxa"/>
                  <w:vMerge w:val="restart"/>
                  <w:shd w:val="clear" w:color="auto" w:fill="auto"/>
                  <w:vAlign w:val="center"/>
                </w:tcPr>
                <w:p w14:paraId="54D081F8">
                  <w:pPr>
                    <w:pStyle w:val="12"/>
                    <w:keepNext w:val="0"/>
                    <w:keepLines w:val="0"/>
                    <w:pageBreakBefore w:val="0"/>
                    <w:shd w:val="clear" w:color="auto" w:fill="FFFFFF"/>
                    <w:kinsoku/>
                    <w:wordWrap/>
                    <w:overflowPunct/>
                    <w:topLinePunct w:val="0"/>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eastAsia" w:ascii="Levenim MT" w:hAnsi="Levenim MT" w:eastAsia="Levenim MT" w:cs="Levenim MT"/>
                      <w:i w:val="0"/>
                      <w:iCs w:val="0"/>
                      <w:caps w:val="0"/>
                      <w:color w:val="000000" w:themeColor="text1"/>
                      <w:spacing w:val="0"/>
                      <w:sz w:val="21"/>
                      <w:szCs w:val="21"/>
                      <w:shd w:val="clear" w:color="auto" w:fill="FFFFFF"/>
                      <w14:textFill>
                        <w14:solidFill>
                          <w14:schemeClr w14:val="tx1"/>
                        </w14:solidFill>
                      </w14:textFill>
                    </w:rPr>
                    <w:t>严格落实国家产业规划、产业政策、“三线一单”、规划环评以及产能置换、煤炭消费减量替代、区域污染物削减等要求，严禁不符合规定的项目建设。</w:t>
                  </w:r>
                </w:p>
              </w:tc>
              <w:tc>
                <w:tcPr>
                  <w:tcW w:w="1938" w:type="dxa"/>
                  <w:vAlign w:val="center"/>
                </w:tcPr>
                <w:p w14:paraId="6010C5A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本项目不在《市场准入负面清单》（2022年版）中的限制类和禁止类负面清单之列。根据《产业结构调整指导目录（202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年本）》，本项目属允许类，</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“宝鸡市生态环境准入清单”中禁止准入产业，符合管理要求</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94" w:type="dxa"/>
                  <w:vMerge w:val="restart"/>
                  <w:vAlign w:val="center"/>
                </w:tcPr>
                <w:p w14:paraId="194A63E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3A21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continue"/>
                  <w:vAlign w:val="center"/>
                </w:tcPr>
                <w:p w14:paraId="0F7CB1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3437" w:type="dxa"/>
                  <w:vMerge w:val="continue"/>
                  <w:shd w:val="clear" w:color="auto" w:fill="auto"/>
                  <w:vAlign w:val="center"/>
                </w:tcPr>
                <w:p w14:paraId="2F1A3912">
                  <w:pPr>
                    <w:pStyle w:val="12"/>
                    <w:keepNext w:val="0"/>
                    <w:keepLines w:val="0"/>
                    <w:pageBreakBefore w:val="0"/>
                    <w:shd w:val="clear" w:color="auto" w:fill="FFFFFF"/>
                    <w:kinsoku/>
                    <w:wordWrap/>
                    <w:overflowPunct/>
                    <w:topLinePunct w:val="0"/>
                    <w:bidi w:val="0"/>
                    <w:adjustRightInd/>
                    <w:snapToGrid/>
                    <w:spacing w:before="0" w:beforeAutospacing="0" w:after="0" w:afterAutospacing="0" w:line="320" w:lineRule="exact"/>
                    <w:ind w:firstLine="0" w:firstLineChars="0"/>
                    <w:jc w:val="center"/>
                    <w:textAlignment w:val="auto"/>
                    <w:rPr>
                      <w:rFonts w:hint="eastAsia" w:ascii="Levenim MT" w:hAnsi="Levenim MT" w:eastAsia="Levenim MT" w:cs="Levenim MT"/>
                      <w:i w:val="0"/>
                      <w:iCs w:val="0"/>
                      <w:caps w:val="0"/>
                      <w:color w:val="000000" w:themeColor="text1"/>
                      <w:spacing w:val="0"/>
                      <w:sz w:val="21"/>
                      <w:szCs w:val="21"/>
                      <w:shd w:val="clear" w:color="auto" w:fill="FFFFFF"/>
                      <w14:textFill>
                        <w14:solidFill>
                          <w14:schemeClr w14:val="tx1"/>
                        </w14:solidFill>
                      </w14:textFill>
                    </w:rPr>
                  </w:pPr>
                </w:p>
              </w:tc>
              <w:tc>
                <w:tcPr>
                  <w:tcW w:w="1938" w:type="dxa"/>
                  <w:vAlign w:val="center"/>
                </w:tcPr>
                <w:p w14:paraId="5C1BCF2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本项目建设内容以及生产运行符合《陕西陈仓经济技术开发区总体规划（2022-2035）》</w:t>
                  </w:r>
                  <w:r>
                    <w:rPr>
                      <w:rFonts w:hint="default"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环境影响报告书</w:t>
                  </w:r>
                  <w:r>
                    <w:rPr>
                      <w:rFonts w:hint="eastAsia"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以及审查意见相关要求。</w:t>
                  </w:r>
                </w:p>
              </w:tc>
              <w:tc>
                <w:tcPr>
                  <w:tcW w:w="894" w:type="dxa"/>
                  <w:vMerge w:val="continue"/>
                  <w:vAlign w:val="center"/>
                </w:tcPr>
                <w:p w14:paraId="0D5BEB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p>
              </w:tc>
            </w:tr>
            <w:tr w14:paraId="53A0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continue"/>
                  <w:vAlign w:val="center"/>
                </w:tcPr>
                <w:p w14:paraId="25A8D5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p>
              </w:tc>
              <w:tc>
                <w:tcPr>
                  <w:tcW w:w="3437" w:type="dxa"/>
                  <w:shd w:val="clear" w:color="auto" w:fill="auto"/>
                  <w:vAlign w:val="center"/>
                </w:tcPr>
                <w:p w14:paraId="5D53FFB0">
                  <w:pPr>
                    <w:pStyle w:val="12"/>
                    <w:keepNext w:val="0"/>
                    <w:keepLines w:val="0"/>
                    <w:pageBreakBefore w:val="0"/>
                    <w:shd w:val="clear" w:color="auto" w:fill="FFFFFF"/>
                    <w:kinsoku/>
                    <w:wordWrap/>
                    <w:overflowPunct/>
                    <w:topLinePunct w:val="0"/>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开发区范围内新、改、扩建涉气重点行业企业达到环保绩效A级、绩效引领性水平。</w:t>
                  </w:r>
                </w:p>
              </w:tc>
              <w:tc>
                <w:tcPr>
                  <w:tcW w:w="1938" w:type="dxa"/>
                  <w:vAlign w:val="center"/>
                </w:tcPr>
                <w:p w14:paraId="01089DE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位于</w:t>
                  </w:r>
                  <w:r>
                    <w:rPr>
                      <w:rFonts w:hint="eastAsia"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陕西陈仓经济技术开发区范围内</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属于重点行业</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，项目建设及生产运行严格执行</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环保绩效</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引领性指标相关规定。</w:t>
                  </w:r>
                </w:p>
              </w:tc>
              <w:tc>
                <w:tcPr>
                  <w:tcW w:w="894" w:type="dxa"/>
                  <w:vAlign w:val="center"/>
                </w:tcPr>
                <w:p w14:paraId="43697C7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0628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continue"/>
                  <w:vAlign w:val="center"/>
                </w:tcPr>
                <w:p w14:paraId="53390D3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p>
              </w:tc>
              <w:tc>
                <w:tcPr>
                  <w:tcW w:w="3437" w:type="dxa"/>
                  <w:shd w:val="clear" w:color="auto" w:fill="auto"/>
                  <w:vAlign w:val="center"/>
                </w:tcPr>
                <w:p w14:paraId="072B4AAF">
                  <w:pPr>
                    <w:pStyle w:val="12"/>
                    <w:keepNext w:val="0"/>
                    <w:keepLines w:val="0"/>
                    <w:pageBreakBefore w:val="0"/>
                    <w:shd w:val="clear" w:color="auto" w:fill="FFFFFF"/>
                    <w:kinsoku/>
                    <w:wordWrap/>
                    <w:overflowPunct/>
                    <w:topLinePunct w:val="0"/>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严格执行涂料、油墨、胶粘剂、清洗剂挥发性有机物含量限值标准</w:t>
                  </w:r>
                  <w:r>
                    <w:rPr>
                      <w:rFonts w:hint="eastAsia" w:ascii="Times New Roman" w:hAnsi="Times New Roman" w:eastAsia="宋体" w:cs="Times New Roman"/>
                      <w:color w:val="000000" w:themeColor="text1"/>
                      <w:sz w:val="21"/>
                      <w:szCs w:val="21"/>
                      <w:highlight w:val="none"/>
                      <w:u w:val="none"/>
                      <w:lang w:eastAsia="zh-CN"/>
                      <w14:textFill>
                        <w14:solidFill>
                          <w14:schemeClr w14:val="tx1"/>
                        </w14:solidFill>
                      </w14:textFill>
                    </w:rPr>
                    <w:t>。</w:t>
                  </w:r>
                </w:p>
              </w:tc>
              <w:tc>
                <w:tcPr>
                  <w:tcW w:w="1938" w:type="dxa"/>
                  <w:vAlign w:val="center"/>
                </w:tcPr>
                <w:p w14:paraId="7E1E47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根据环氧树脂检测报告，本项目环氧树脂中VOC含量为3g/kg，符合《胶粘剂挥发性有机化合物限量》（GB33372-2020）中本体型胶黏剂VOC含量限值（≤100g/kg）。</w:t>
                  </w:r>
                </w:p>
              </w:tc>
              <w:tc>
                <w:tcPr>
                  <w:tcW w:w="894" w:type="dxa"/>
                  <w:vAlign w:val="center"/>
                </w:tcPr>
                <w:p w14:paraId="7004FDB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r w14:paraId="34C1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Merge w:val="continue"/>
                  <w:vAlign w:val="center"/>
                </w:tcPr>
                <w:p w14:paraId="08B52D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p>
              </w:tc>
              <w:tc>
                <w:tcPr>
                  <w:tcW w:w="3437" w:type="dxa"/>
                  <w:shd w:val="clear" w:color="auto" w:fill="auto"/>
                  <w:vAlign w:val="center"/>
                </w:tcPr>
                <w:p w14:paraId="70BAB6D6">
                  <w:pPr>
                    <w:pStyle w:val="12"/>
                    <w:keepNext w:val="0"/>
                    <w:keepLines w:val="0"/>
                    <w:pageBreakBefore w:val="0"/>
                    <w:shd w:val="clear" w:color="auto" w:fill="FFFFFF"/>
                    <w:kinsoku/>
                    <w:wordWrap/>
                    <w:overflowPunct/>
                    <w:topLinePunct w:val="0"/>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新建挥发性有机物治理设施不再采用低温等离子、光氧化、光催化等治理技术，非水溶性挥发性有机物废气不再采用喷淋吸收方式处理。</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2025</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年完成使用溶剂型涂料、油墨、胶粘剂、清洗剂以及涉及有机化工生产企业的简易低效污染治理设施升级改造。</w:t>
                  </w:r>
                </w:p>
              </w:tc>
              <w:tc>
                <w:tcPr>
                  <w:tcW w:w="1938" w:type="dxa"/>
                  <w:vAlign w:val="center"/>
                </w:tcPr>
                <w:p w14:paraId="5DAC7CE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本项目有机废气采用治理技术（二级活性炭吸附）符合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《排污许可证申请与核发技术规范 橡胶和塑料制品工业》（HJ1122-2020）废气处理可行性技术要求，</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不属于</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简易低效污染治理设施。</w:t>
                  </w:r>
                </w:p>
              </w:tc>
              <w:tc>
                <w:tcPr>
                  <w:tcW w:w="894" w:type="dxa"/>
                  <w:vAlign w:val="center"/>
                </w:tcPr>
                <w:p w14:paraId="63AEE77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Cs w:val="21"/>
                      <w:vertAlign w:val="baseline"/>
                      <w:lang w:val="en-US" w:eastAsia="zh-CN"/>
                      <w14:textFill>
                        <w14:solidFill>
                          <w14:schemeClr w14:val="tx1"/>
                        </w14:solidFill>
                      </w14:textFill>
                    </w:rPr>
                    <w:t>符合</w:t>
                  </w:r>
                </w:p>
              </w:tc>
            </w:tr>
          </w:tbl>
          <w:p w14:paraId="7BDC2DAF">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3、选址合理性分析</w:t>
            </w:r>
          </w:p>
          <w:p w14:paraId="292D196C">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本项目选址位于</w:t>
            </w:r>
            <w:r>
              <w:rPr>
                <w:rFonts w:hint="default" w:ascii="Times New Roman" w:hAnsi="Times New Roman" w:cs="Times New Roman"/>
                <w:bCs/>
                <w:color w:val="000000" w:themeColor="text1"/>
                <w:sz w:val="24"/>
                <w:szCs w:val="24"/>
                <w:lang w:val="en-US" w:eastAsia="zh-CN"/>
                <w14:textFill>
                  <w14:solidFill>
                    <w14:schemeClr w14:val="tx1"/>
                  </w14:solidFill>
                </w14:textFill>
              </w:rPr>
              <w:t>陕西省宝鸡市陈仓区东关西虢大道27号（陕西机器人智能制造产业园）</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，属于陕西陈仓经济技术开发区</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科技工业园西区范围，项目符合科技工业园西区土地利用总体规划、产业定位及产业空间布局要求。</w:t>
            </w:r>
          </w:p>
          <w:p w14:paraId="5D520B48">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本项目所在区域环境管控单元为重点管控单元，不涉及生态保护红线及优先保护单元，符合该重点管控单元管控要求</w:t>
            </w:r>
            <w:r>
              <w:rPr>
                <w:rFonts w:hint="default" w:ascii="Times New Roman" w:hAnsi="Times New Roman" w:cs="Times New Roman"/>
                <w:bCs/>
                <w:color w:val="000000" w:themeColor="text1"/>
                <w:sz w:val="24"/>
                <w:szCs w:val="24"/>
                <w:lang w:val="en-US" w:eastAsia="zh-CN"/>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本项目</w:t>
            </w:r>
            <w:r>
              <w:rPr>
                <w:rFonts w:hint="default" w:ascii="Times New Roman" w:hAnsi="Times New Roman" w:cs="Times New Roman"/>
                <w:bCs/>
                <w:color w:val="000000" w:themeColor="text1"/>
                <w:sz w:val="24"/>
                <w:szCs w:val="24"/>
                <w:lang w:val="en-US" w:eastAsia="zh-CN"/>
                <w14:textFill>
                  <w14:solidFill>
                    <w14:schemeClr w14:val="tx1"/>
                  </w14:solidFill>
                </w14:textFill>
              </w:rPr>
              <w:t>在原租赁厂房内</w:t>
            </w:r>
            <w:r>
              <w:rPr>
                <w:rFonts w:hint="eastAsia" w:ascii="Times New Roman" w:hAnsi="Times New Roman" w:cs="Times New Roman"/>
                <w:bCs/>
                <w:color w:val="000000" w:themeColor="text1"/>
                <w:sz w:val="24"/>
                <w:szCs w:val="24"/>
                <w:lang w:val="en-US" w:eastAsia="zh-CN"/>
                <w14:textFill>
                  <w14:solidFill>
                    <w14:schemeClr w14:val="tx1"/>
                  </w14:solidFill>
                </w14:textFill>
              </w:rPr>
              <w:t>建设</w:t>
            </w:r>
            <w:r>
              <w:rPr>
                <w:rFonts w:hint="default" w:ascii="Times New Roman" w:hAnsi="Times New Roman" w:cs="Times New Roman"/>
                <w:bCs/>
                <w:color w:val="000000" w:themeColor="text1"/>
                <w:sz w:val="24"/>
                <w:szCs w:val="24"/>
                <w:lang w:val="en-US" w:eastAsia="zh-CN"/>
                <w14:textFill>
                  <w14:solidFill>
                    <w14:schemeClr w14:val="tx1"/>
                  </w14:solidFill>
                </w14:textFill>
              </w:rPr>
              <w:t>，不新增占地，</w:t>
            </w:r>
            <w:r>
              <w:rPr>
                <w:rFonts w:hint="default" w:ascii="Times New Roman" w:hAnsi="Times New Roman" w:cs="Times New Roman"/>
                <w:color w:val="000000" w:themeColor="text1"/>
                <w:sz w:val="24"/>
                <w14:textFill>
                  <w14:solidFill>
                    <w14:schemeClr w14:val="tx1"/>
                  </w14:solidFill>
                </w14:textFill>
              </w:rPr>
              <w:t>项目四邻均为工业企业</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本项目厂界周边500m范围内无</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自然保护区、风景名胜区等大气环境保护目标，</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厂界外50m范围内无声环境保护目标；厂界外</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500米范围内无地下水集中式饮用水水源和热水、矿泉水、温泉等特殊地下水资源，</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用地范围内无生态环境保护目标。</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项目周边为规划的园区范围，无相关制约因素。</w:t>
            </w:r>
          </w:p>
          <w:p w14:paraId="7530B77C">
            <w:pPr>
              <w:pStyle w:val="2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本项目废气和噪声均达标排放</w:t>
            </w:r>
            <w:r>
              <w:rPr>
                <w:rFonts w:hint="eastAsia"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，生产废水循环使用不外排</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，固体废物</w:t>
            </w:r>
            <w:r>
              <w:rPr>
                <w:rFonts w:hint="eastAsia"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均</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合理处置。</w:t>
            </w:r>
          </w:p>
          <w:p w14:paraId="4916C5F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综上，从环境影响角度分析，项目选址合理。</w:t>
            </w:r>
          </w:p>
          <w:p w14:paraId="7BBEBA4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4、项目环保绩效管理篇章</w:t>
            </w:r>
          </w:p>
          <w:p w14:paraId="146D51F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根据《宝鸡市大气污染治理专项行动方案（2023</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2027年）》《陈仓区大气污染治理专项行动方案（2023</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2027年）》文件要求，</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新、改、扩建涉气重点行业企业应达到环保绩效A级、绩效引领性水平。</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根据《重污染天气重点行业应急减排措施制定技术指南（2020年修订版）》（以下简称“指南”），</w:t>
            </w: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本项目</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属于</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重点行业中“</w:t>
            </w: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玻璃钢</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（纤维增强塑料制品）”。</w:t>
            </w: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本项目建设参照“重点行业玻璃钢（纤维增强塑料制品）绩效引领性指标”，</w:t>
            </w:r>
          </w:p>
          <w:p w14:paraId="6370366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表1-4  玻璃钢（纤维增强塑料制品）企业绩效引领性指标</w:t>
            </w:r>
          </w:p>
          <w:tbl>
            <w:tblPr>
              <w:tblStyle w:val="15"/>
              <w:tblW w:w="7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941"/>
              <w:gridCol w:w="2632"/>
              <w:gridCol w:w="1952"/>
            </w:tblGrid>
            <w:tr w14:paraId="34EC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Align w:val="center"/>
                </w:tcPr>
                <w:p w14:paraId="3A30675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差异化指标</w:t>
                  </w:r>
                </w:p>
              </w:tc>
              <w:tc>
                <w:tcPr>
                  <w:tcW w:w="3573" w:type="dxa"/>
                  <w:gridSpan w:val="2"/>
                  <w:vAlign w:val="center"/>
                </w:tcPr>
                <w:p w14:paraId="07D178C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引领性绩效要求</w:t>
                  </w:r>
                </w:p>
              </w:tc>
              <w:tc>
                <w:tcPr>
                  <w:tcW w:w="1952" w:type="dxa"/>
                  <w:vAlign w:val="center"/>
                </w:tcPr>
                <w:p w14:paraId="14AB56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符合性分析</w:t>
                  </w:r>
                </w:p>
              </w:tc>
            </w:tr>
            <w:tr w14:paraId="0D87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Align w:val="center"/>
                </w:tcPr>
                <w:p w14:paraId="7D112B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能源类型</w:t>
                  </w:r>
                </w:p>
              </w:tc>
              <w:tc>
                <w:tcPr>
                  <w:tcW w:w="3573" w:type="dxa"/>
                  <w:gridSpan w:val="2"/>
                  <w:vAlign w:val="center"/>
                </w:tcPr>
                <w:p w14:paraId="2A0FB4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全部使用电、天然气、外购蒸汽</w:t>
                  </w:r>
                </w:p>
              </w:tc>
              <w:tc>
                <w:tcPr>
                  <w:tcW w:w="1952" w:type="dxa"/>
                  <w:vAlign w:val="center"/>
                </w:tcPr>
                <w:p w14:paraId="13E6323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电能</w:t>
                  </w:r>
                </w:p>
              </w:tc>
            </w:tr>
            <w:tr w14:paraId="42FE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Align w:val="center"/>
                </w:tcPr>
                <w:p w14:paraId="2CF7BC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装备水平</w:t>
                  </w:r>
                </w:p>
              </w:tc>
              <w:tc>
                <w:tcPr>
                  <w:tcW w:w="3573" w:type="dxa"/>
                  <w:gridSpan w:val="2"/>
                  <w:vAlign w:val="center"/>
                </w:tcPr>
                <w:p w14:paraId="74874E0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热固型产品采取机械化生产(除手糊工艺外);热塑型产品采用自动化生产</w:t>
                  </w:r>
                </w:p>
              </w:tc>
              <w:tc>
                <w:tcPr>
                  <w:tcW w:w="1952" w:type="dxa"/>
                  <w:vAlign w:val="center"/>
                </w:tcPr>
                <w:p w14:paraId="026986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本项目产品为热固型产品，采用机械自动缠绕</w:t>
                  </w:r>
                </w:p>
              </w:tc>
            </w:tr>
            <w:tr w14:paraId="44A3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restart"/>
                  <w:vAlign w:val="center"/>
                </w:tcPr>
                <w:p w14:paraId="2B3E20C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污染治理技术</w:t>
                  </w:r>
                </w:p>
              </w:tc>
              <w:tc>
                <w:tcPr>
                  <w:tcW w:w="3573" w:type="dxa"/>
                  <w:gridSpan w:val="2"/>
                  <w:vAlign w:val="center"/>
                </w:tcPr>
                <w:p w14:paraId="3E5A7C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除尘采用袋式除尘等工艺</w:t>
                  </w:r>
                </w:p>
              </w:tc>
              <w:tc>
                <w:tcPr>
                  <w:tcW w:w="1952" w:type="dxa"/>
                  <w:vAlign w:val="center"/>
                </w:tcPr>
                <w:p w14:paraId="54C7DF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本项目颗粒物采用袋式除尘</w:t>
                  </w:r>
                </w:p>
              </w:tc>
            </w:tr>
            <w:tr w14:paraId="4BCA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continue"/>
                  <w:vAlign w:val="center"/>
                </w:tcPr>
                <w:p w14:paraId="3271EE2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573" w:type="dxa"/>
                  <w:gridSpan w:val="2"/>
                  <w:vAlign w:val="center"/>
                </w:tcPr>
                <w:p w14:paraId="34C489A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有机废气采用低温等离子体、吸附等组合工艺或燃烧等工艺</w:t>
                  </w:r>
                </w:p>
              </w:tc>
              <w:tc>
                <w:tcPr>
                  <w:tcW w:w="1952" w:type="dxa"/>
                  <w:vAlign w:val="center"/>
                </w:tcPr>
                <w:p w14:paraId="1DB106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有机废气采用二级活性炭吸附装置</w:t>
                  </w:r>
                </w:p>
              </w:tc>
            </w:tr>
            <w:tr w14:paraId="13AC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Align w:val="center"/>
                </w:tcPr>
                <w:p w14:paraId="68969A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排放限值</w:t>
                  </w:r>
                </w:p>
              </w:tc>
              <w:tc>
                <w:tcPr>
                  <w:tcW w:w="3573" w:type="dxa"/>
                  <w:gridSpan w:val="2"/>
                  <w:vAlign w:val="center"/>
                </w:tcPr>
                <w:p w14:paraId="0C27229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PM、NMHC排放浓度分别不高于10、60mg/m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，排放速率不高于3.0kg</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/h</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，本地排放标准严于该要求的，执行本地排放标准</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企业厂区内VOCs无组织排放监控点NMHC的小时平均浓度值不高于6mg/m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，监控点NMHC的任意一次浓度值不高于20mg/m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1952" w:type="dxa"/>
                  <w:vAlign w:val="center"/>
                </w:tcPr>
                <w:p w14:paraId="301753D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企业现有项目颗粒物和非甲烷总烃均为无组织排放，厂区内无组织排放小时浓度小于6</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mg/m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项目建成后非甲烷总烃经二级活性炭处理后通过15m排气筒有组织排放，颗粒物经布袋除尘器处理后无组织排放</w:t>
                  </w:r>
                </w:p>
              </w:tc>
            </w:tr>
            <w:tr w14:paraId="7429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restart"/>
                  <w:vAlign w:val="center"/>
                </w:tcPr>
                <w:p w14:paraId="1B32028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无组织排放</w:t>
                  </w:r>
                </w:p>
              </w:tc>
              <w:tc>
                <w:tcPr>
                  <w:tcW w:w="3573" w:type="dxa"/>
                  <w:gridSpan w:val="2"/>
                  <w:vAlign w:val="center"/>
                </w:tcPr>
                <w:p w14:paraId="0285BD0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生产车间采取封闭措施</w:t>
                  </w:r>
                </w:p>
              </w:tc>
              <w:tc>
                <w:tcPr>
                  <w:tcW w:w="1952" w:type="dxa"/>
                  <w:vAlign w:val="center"/>
                </w:tcPr>
                <w:p w14:paraId="13DACD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生产车间封闭</w:t>
                  </w:r>
                </w:p>
              </w:tc>
            </w:tr>
            <w:tr w14:paraId="0FF9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continue"/>
                  <w:vAlign w:val="center"/>
                </w:tcPr>
                <w:p w14:paraId="62E163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573" w:type="dxa"/>
                  <w:gridSpan w:val="2"/>
                  <w:vAlign w:val="center"/>
                </w:tcPr>
                <w:p w14:paraId="4CD0E6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涉VOCs排放工序采用密闭设备或在密闭空间内操作，废气排至VOCs废气收集处理系统</w:t>
                  </w:r>
                </w:p>
              </w:tc>
              <w:tc>
                <w:tcPr>
                  <w:tcW w:w="1952" w:type="dxa"/>
                  <w:vMerge w:val="restart"/>
                  <w:vAlign w:val="center"/>
                </w:tcPr>
                <w:p w14:paraId="2F9C2F8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本项目涉</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VOCs</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排放工序为搅拌工序、缠绕工序和固化工序；因工件需行车吊运，无法对工序进行密闭，故采用对生产设施局部设置集气罩收集废气，搅拌、缠绕工位侧边设置集气罩收集废气，固化炉出入口上方设置集气罩收集废气，收集到的废气通过废气管道引往二级活性炭处理装置处理后排放。</w:t>
                  </w:r>
                </w:p>
              </w:tc>
            </w:tr>
            <w:tr w14:paraId="410F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continue"/>
                  <w:vAlign w:val="center"/>
                </w:tcPr>
                <w:p w14:paraId="70D8CB6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573" w:type="dxa"/>
                  <w:gridSpan w:val="2"/>
                  <w:vAlign w:val="center"/>
                </w:tcPr>
                <w:p w14:paraId="5AF082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无法</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密闭</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工序在封闭车间内采取局部负压、局部收集装置(包括缠绕工序、手糊工艺、喷射工艺等，采用集气</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罩</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收集)，废气排至VOC</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s</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废气收集处理系统</w:t>
                  </w:r>
                </w:p>
              </w:tc>
              <w:tc>
                <w:tcPr>
                  <w:tcW w:w="1952" w:type="dxa"/>
                  <w:vMerge w:val="continue"/>
                  <w:vAlign w:val="center"/>
                </w:tcPr>
                <w:p w14:paraId="38224C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2E8B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continue"/>
                  <w:vAlign w:val="center"/>
                </w:tcPr>
                <w:p w14:paraId="42B7828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573" w:type="dxa"/>
                  <w:gridSpan w:val="2"/>
                  <w:vAlign w:val="center"/>
                </w:tcPr>
                <w:p w14:paraId="008483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含 VOCs 物料采用密闭容器存储，密闭管道输送，盛装 VOCs 物料的容器或包装袋应存放于</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室内</w:t>
                  </w:r>
                </w:p>
              </w:tc>
              <w:tc>
                <w:tcPr>
                  <w:tcW w:w="1952" w:type="dxa"/>
                  <w:vAlign w:val="center"/>
                </w:tcPr>
                <w:p w14:paraId="440CA83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项目环氧树脂在密封桶里储存，储存于原料储存区。</w:t>
                  </w:r>
                </w:p>
              </w:tc>
            </w:tr>
            <w:tr w14:paraId="76C2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continue"/>
                  <w:vAlign w:val="center"/>
                </w:tcPr>
                <w:p w14:paraId="732EEE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573" w:type="dxa"/>
                  <w:gridSpan w:val="2"/>
                  <w:vAlign w:val="center"/>
                </w:tcPr>
                <w:p w14:paraId="7D9D10C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产尘点及车间不得</w:t>
                  </w:r>
                </w:p>
                <w:p w14:paraId="4B87125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有可见烟粉尘外逸</w:t>
                  </w:r>
                </w:p>
              </w:tc>
              <w:tc>
                <w:tcPr>
                  <w:tcW w:w="1952" w:type="dxa"/>
                  <w:vAlign w:val="center"/>
                </w:tcPr>
                <w:p w14:paraId="403622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现有项目生产过程中无可见烟尘。</w:t>
                  </w:r>
                </w:p>
              </w:tc>
            </w:tr>
            <w:tr w14:paraId="13D8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Align w:val="center"/>
                </w:tcPr>
                <w:p w14:paraId="5BC4FE5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监测监控水平</w:t>
                  </w:r>
                </w:p>
              </w:tc>
              <w:tc>
                <w:tcPr>
                  <w:tcW w:w="3573" w:type="dxa"/>
                  <w:gridSpan w:val="2"/>
                  <w:vAlign w:val="center"/>
                </w:tcPr>
                <w:p w14:paraId="4DAD181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涉VOCs排放独立生产车间废气排放口，至少安装一套NMHC在线监测设施(FID检测器)</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监控数据保存一年以上</w:t>
                  </w:r>
                </w:p>
              </w:tc>
              <w:tc>
                <w:tcPr>
                  <w:tcW w:w="1952" w:type="dxa"/>
                  <w:vAlign w:val="center"/>
                </w:tcPr>
                <w:p w14:paraId="472FC4E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本项目涉VOCs排放工序不属于独立生产车间，因生产需行车吊运，无法将涉VOCs工序进行密闭，故本项目无需安装NMHC在线监测设施。</w:t>
                  </w:r>
                </w:p>
              </w:tc>
            </w:tr>
            <w:tr w14:paraId="6A71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restart"/>
                  <w:vAlign w:val="center"/>
                </w:tcPr>
                <w:p w14:paraId="79942F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环境管理水平</w:t>
                  </w:r>
                </w:p>
              </w:tc>
              <w:tc>
                <w:tcPr>
                  <w:tcW w:w="941" w:type="dxa"/>
                  <w:vMerge w:val="restart"/>
                  <w:vAlign w:val="center"/>
                </w:tcPr>
                <w:p w14:paraId="0E9EEF7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环保档案记录</w:t>
                  </w:r>
                </w:p>
              </w:tc>
              <w:tc>
                <w:tcPr>
                  <w:tcW w:w="2632" w:type="dxa"/>
                  <w:vAlign w:val="center"/>
                </w:tcPr>
                <w:p w14:paraId="675328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环评批复文件</w:t>
                  </w:r>
                </w:p>
              </w:tc>
              <w:tc>
                <w:tcPr>
                  <w:tcW w:w="1952" w:type="dxa"/>
                  <w:vMerge w:val="restart"/>
                  <w:vAlign w:val="center"/>
                </w:tcPr>
                <w:p w14:paraId="4A4348E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项目现有工程已取得环评批复并通过竣工环保验收，同时进行了排污许可证登记管理，并取得登记回执；企业相应资料完整，本项目建成后更严格环保档案记录和台账记录。</w:t>
                  </w:r>
                </w:p>
              </w:tc>
            </w:tr>
            <w:tr w14:paraId="0803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continue"/>
                  <w:vAlign w:val="center"/>
                </w:tcPr>
                <w:p w14:paraId="1F91282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941" w:type="dxa"/>
                  <w:vMerge w:val="continue"/>
                  <w:vAlign w:val="center"/>
                </w:tcPr>
                <w:p w14:paraId="3AE215F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632" w:type="dxa"/>
                  <w:vAlign w:val="center"/>
                </w:tcPr>
                <w:p w14:paraId="7FC354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竣工验收文件</w:t>
                  </w:r>
                </w:p>
              </w:tc>
              <w:tc>
                <w:tcPr>
                  <w:tcW w:w="1952" w:type="dxa"/>
                  <w:vMerge w:val="continue"/>
                  <w:vAlign w:val="center"/>
                </w:tcPr>
                <w:p w14:paraId="3771130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0E86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continue"/>
                  <w:vAlign w:val="center"/>
                </w:tcPr>
                <w:p w14:paraId="4C7F37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941" w:type="dxa"/>
                  <w:vMerge w:val="continue"/>
                  <w:vAlign w:val="center"/>
                </w:tcPr>
                <w:p w14:paraId="31B1E6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632" w:type="dxa"/>
                  <w:vAlign w:val="center"/>
                </w:tcPr>
                <w:p w14:paraId="2547C7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废气治理设施</w:t>
                  </w:r>
                </w:p>
                <w:p w14:paraId="395C536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运行管理规程</w:t>
                  </w:r>
                </w:p>
              </w:tc>
              <w:tc>
                <w:tcPr>
                  <w:tcW w:w="1952" w:type="dxa"/>
                  <w:vMerge w:val="continue"/>
                  <w:vAlign w:val="center"/>
                </w:tcPr>
                <w:p w14:paraId="70F78E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4215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continue"/>
                  <w:vAlign w:val="center"/>
                </w:tcPr>
                <w:p w14:paraId="0C377D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941" w:type="dxa"/>
                  <w:vMerge w:val="continue"/>
                  <w:vAlign w:val="center"/>
                </w:tcPr>
                <w:p w14:paraId="1489005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632" w:type="dxa"/>
                  <w:vAlign w:val="center"/>
                </w:tcPr>
                <w:p w14:paraId="2D4FB40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一年内第三方</w:t>
                  </w:r>
                </w:p>
                <w:p w14:paraId="3357D6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废气监测报告</w:t>
                  </w:r>
                </w:p>
              </w:tc>
              <w:tc>
                <w:tcPr>
                  <w:tcW w:w="1952" w:type="dxa"/>
                  <w:vMerge w:val="continue"/>
                  <w:vAlign w:val="center"/>
                </w:tcPr>
                <w:p w14:paraId="48EA64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0068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continue"/>
                  <w:vAlign w:val="center"/>
                </w:tcPr>
                <w:p w14:paraId="036BF1C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941" w:type="dxa"/>
                  <w:vMerge w:val="restart"/>
                  <w:vAlign w:val="center"/>
                </w:tcPr>
                <w:p w14:paraId="1FA725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台账</w:t>
                  </w:r>
                </w:p>
                <w:p w14:paraId="2D399E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记录</w:t>
                  </w:r>
                </w:p>
              </w:tc>
              <w:tc>
                <w:tcPr>
                  <w:tcW w:w="2632" w:type="dxa"/>
                  <w:vAlign w:val="center"/>
                </w:tcPr>
                <w:p w14:paraId="67DAB6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生产设施运行管理信息(生产时间、运行负荷、产品产量等)</w:t>
                  </w:r>
                </w:p>
              </w:tc>
              <w:tc>
                <w:tcPr>
                  <w:tcW w:w="1952" w:type="dxa"/>
                  <w:vMerge w:val="continue"/>
                  <w:vAlign w:val="center"/>
                </w:tcPr>
                <w:p w14:paraId="1A78397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6980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continue"/>
                  <w:vAlign w:val="center"/>
                </w:tcPr>
                <w:p w14:paraId="35AF1C2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941" w:type="dxa"/>
                  <w:vMerge w:val="continue"/>
                  <w:vAlign w:val="center"/>
                </w:tcPr>
                <w:p w14:paraId="3D4932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632" w:type="dxa"/>
                  <w:vAlign w:val="center"/>
                </w:tcPr>
                <w:p w14:paraId="5F43B4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废气污染治理设施运行管理信息(除尘滤料更换量和时间、燃烧室温度、解析温度、冷凝温度、</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过滤</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材料更换频次、吸附剂更换频次、催化剂更换频次、含烟气量和污染物出口浓度的月度DCS曲线图等)</w:t>
                  </w:r>
                </w:p>
              </w:tc>
              <w:tc>
                <w:tcPr>
                  <w:tcW w:w="1952" w:type="dxa"/>
                  <w:vMerge w:val="continue"/>
                  <w:vAlign w:val="center"/>
                </w:tcPr>
                <w:p w14:paraId="0CD16F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4B44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continue"/>
                  <w:vAlign w:val="center"/>
                </w:tcPr>
                <w:p w14:paraId="51153FD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941" w:type="dxa"/>
                  <w:vMerge w:val="continue"/>
                  <w:vAlign w:val="center"/>
                </w:tcPr>
                <w:p w14:paraId="10F118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632" w:type="dxa"/>
                  <w:vAlign w:val="center"/>
                </w:tcPr>
                <w:p w14:paraId="5580E6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监测记录信息(主要污染排放口废气排放记录(手工监测和在线监测)等)</w:t>
                  </w:r>
                </w:p>
              </w:tc>
              <w:tc>
                <w:tcPr>
                  <w:tcW w:w="1952" w:type="dxa"/>
                  <w:vMerge w:val="continue"/>
                  <w:vAlign w:val="center"/>
                </w:tcPr>
                <w:p w14:paraId="630758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773D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continue"/>
                  <w:vAlign w:val="center"/>
                </w:tcPr>
                <w:p w14:paraId="23E7046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941" w:type="dxa"/>
                  <w:vMerge w:val="continue"/>
                  <w:vAlign w:val="center"/>
                </w:tcPr>
                <w:p w14:paraId="2F2E327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632" w:type="dxa"/>
                  <w:vAlign w:val="center"/>
                </w:tcPr>
                <w:p w14:paraId="272FE5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主要原辅材料消耗记录</w:t>
                  </w:r>
                </w:p>
              </w:tc>
              <w:tc>
                <w:tcPr>
                  <w:tcW w:w="1952" w:type="dxa"/>
                  <w:vMerge w:val="continue"/>
                  <w:vAlign w:val="center"/>
                </w:tcPr>
                <w:p w14:paraId="32EF64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0112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continue"/>
                  <w:vAlign w:val="center"/>
                </w:tcPr>
                <w:p w14:paraId="2E5A2B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941" w:type="dxa"/>
                  <w:vMerge w:val="continue"/>
                  <w:vAlign w:val="center"/>
                </w:tcPr>
                <w:p w14:paraId="69759B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632" w:type="dxa"/>
                  <w:vAlign w:val="center"/>
                </w:tcPr>
                <w:p w14:paraId="74062E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燃料(天然气)消耗记录</w:t>
                  </w:r>
                </w:p>
              </w:tc>
              <w:tc>
                <w:tcPr>
                  <w:tcW w:w="1952" w:type="dxa"/>
                  <w:vMerge w:val="continue"/>
                  <w:vAlign w:val="center"/>
                </w:tcPr>
                <w:p w14:paraId="043F74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628D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553" w:type="dxa"/>
                  <w:vMerge w:val="continue"/>
                  <w:vAlign w:val="center"/>
                </w:tcPr>
                <w:p w14:paraId="4F3BF4B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941" w:type="dxa"/>
                  <w:vAlign w:val="center"/>
                </w:tcPr>
                <w:p w14:paraId="5BCA26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管理制度健全</w:t>
                  </w:r>
                </w:p>
              </w:tc>
              <w:tc>
                <w:tcPr>
                  <w:tcW w:w="2632" w:type="dxa"/>
                  <w:vAlign w:val="center"/>
                </w:tcPr>
                <w:p w14:paraId="1B52C2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设置</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环境保护管理岗位</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，配备专职环保人员，并具备相应的环境管理能力</w:t>
                  </w:r>
                </w:p>
              </w:tc>
              <w:tc>
                <w:tcPr>
                  <w:tcW w:w="1952" w:type="dxa"/>
                  <w:vAlign w:val="center"/>
                </w:tcPr>
                <w:p w14:paraId="78E1D2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公司设立了专职的环境保护管理岗位，并配备了专业的环保管理人员。</w:t>
                  </w:r>
                </w:p>
              </w:tc>
            </w:tr>
            <w:tr w14:paraId="79D5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1553" w:type="dxa"/>
                  <w:vMerge w:val="restart"/>
                  <w:shd w:val="clear" w:color="auto" w:fill="auto"/>
                  <w:vAlign w:val="center"/>
                </w:tcPr>
                <w:p w14:paraId="215BD33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运输方式</w:t>
                  </w:r>
                </w:p>
              </w:tc>
              <w:tc>
                <w:tcPr>
                  <w:tcW w:w="3573" w:type="dxa"/>
                  <w:gridSpan w:val="2"/>
                  <w:vAlign w:val="center"/>
                </w:tcPr>
                <w:p w14:paraId="6BC907E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物料公路运输全部使用达到国五及以上排放标准重型载货车辆(含燃气)或新能源车辆</w:t>
                  </w:r>
                </w:p>
              </w:tc>
              <w:tc>
                <w:tcPr>
                  <w:tcW w:w="1952" w:type="dxa"/>
                  <w:vAlign w:val="center"/>
                </w:tcPr>
                <w:p w14:paraId="0468D7B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hAnsi="宋体"/>
                      <w:color w:val="000000" w:themeColor="text1"/>
                      <w:spacing w:val="12"/>
                      <w:szCs w:val="21"/>
                      <w:lang w:val="en-US" w:eastAsia="zh-CN"/>
                      <w14:textFill>
                        <w14:solidFill>
                          <w14:schemeClr w14:val="tx1"/>
                        </w14:solidFill>
                      </w14:textFill>
                    </w:rPr>
                    <w:t>企业自身不配套运输车辆，</w:t>
                  </w:r>
                  <w:r>
                    <w:rPr>
                      <w:rFonts w:hAnsi="宋体"/>
                      <w:color w:val="000000" w:themeColor="text1"/>
                      <w:spacing w:val="12"/>
                      <w:szCs w:val="21"/>
                      <w14:textFill>
                        <w14:solidFill>
                          <w14:schemeClr w14:val="tx1"/>
                        </w14:solidFill>
                      </w14:textFill>
                    </w:rPr>
                    <w:t>全部物料均采用公路运输</w:t>
                  </w:r>
                  <w:r>
                    <w:rPr>
                      <w:rFonts w:hint="eastAsia" w:hAnsi="宋体"/>
                      <w:color w:val="000000" w:themeColor="text1"/>
                      <w:spacing w:val="12"/>
                      <w:szCs w:val="21"/>
                      <w:lang w:eastAsia="zh-CN"/>
                      <w14:textFill>
                        <w14:solidFill>
                          <w14:schemeClr w14:val="tx1"/>
                        </w14:solidFill>
                      </w14:textFill>
                    </w:rPr>
                    <w:t>。</w:t>
                  </w:r>
                </w:p>
              </w:tc>
            </w:tr>
            <w:tr w14:paraId="1F5E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continue"/>
                  <w:shd w:val="clear" w:color="auto" w:fill="auto"/>
                  <w:vAlign w:val="center"/>
                </w:tcPr>
                <w:p w14:paraId="5F077C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3573" w:type="dxa"/>
                  <w:gridSpan w:val="2"/>
                  <w:vAlign w:val="center"/>
                </w:tcPr>
                <w:p w14:paraId="19FC4FC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厂内运输车辆全部达到国五及以上排放标准(含燃气)或使用新能源车辆</w:t>
                  </w:r>
                </w:p>
              </w:tc>
              <w:tc>
                <w:tcPr>
                  <w:tcW w:w="1952" w:type="dxa"/>
                  <w:vAlign w:val="center"/>
                </w:tcPr>
                <w:p w14:paraId="13B8626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企业无厂</w:t>
                  </w:r>
                </w:p>
                <w:p w14:paraId="3697B95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内运输车。</w:t>
                  </w:r>
                </w:p>
              </w:tc>
            </w:tr>
            <w:tr w14:paraId="296F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Merge w:val="continue"/>
                  <w:shd w:val="clear" w:color="auto" w:fill="auto"/>
                  <w:vAlign w:val="center"/>
                </w:tcPr>
                <w:p w14:paraId="7233F1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3573" w:type="dxa"/>
                  <w:gridSpan w:val="2"/>
                  <w:vAlign w:val="center"/>
                </w:tcPr>
                <w:p w14:paraId="193F411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厂内非道路移动机械全部达到国三及以上排放标准或使用新能源机械</w:t>
                  </w:r>
                </w:p>
              </w:tc>
              <w:tc>
                <w:tcPr>
                  <w:tcW w:w="1952" w:type="dxa"/>
                  <w:vAlign w:val="center"/>
                </w:tcPr>
                <w:p w14:paraId="1DD0677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厂房内无非道路移动机械。</w:t>
                  </w:r>
                </w:p>
              </w:tc>
            </w:tr>
            <w:tr w14:paraId="1720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553" w:type="dxa"/>
                  <w:shd w:val="clear" w:color="auto" w:fill="auto"/>
                  <w:vAlign w:val="center"/>
                </w:tcPr>
                <w:p w14:paraId="5E98B46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运输监管</w:t>
                  </w:r>
                </w:p>
              </w:tc>
              <w:tc>
                <w:tcPr>
                  <w:tcW w:w="3573" w:type="dxa"/>
                  <w:gridSpan w:val="2"/>
                  <w:vAlign w:val="center"/>
                </w:tcPr>
                <w:p w14:paraId="76A0A8A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参照《重污染天气重点行业移动源应急管理技术指南》建立门禁系统和电子台账</w:t>
                  </w:r>
                </w:p>
              </w:tc>
              <w:tc>
                <w:tcPr>
                  <w:tcW w:w="1952" w:type="dxa"/>
                  <w:vAlign w:val="center"/>
                </w:tcPr>
                <w:p w14:paraId="3B4E19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陕西机器人工业园区已配备门禁和视频监控系统。</w:t>
                  </w:r>
                </w:p>
              </w:tc>
            </w:tr>
          </w:tbl>
          <w:p w14:paraId="2E9AFB7D">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p>
        </w:tc>
      </w:tr>
    </w:tbl>
    <w:p w14:paraId="7DB2D01B">
      <w:pPr>
        <w:spacing w:line="360" w:lineRule="auto"/>
        <w:outlineLvl w:val="0"/>
        <w:rPr>
          <w:rFonts w:eastAsia="黑体"/>
          <w:color w:val="000000" w:themeColor="text1"/>
          <w:sz w:val="30"/>
          <w14:textFill>
            <w14:solidFill>
              <w14:schemeClr w14:val="tx1"/>
            </w14:solidFill>
          </w14:textFill>
        </w:rPr>
        <w:sectPr>
          <w:footerReference r:id="rId3" w:type="default"/>
          <w:pgSz w:w="11906" w:h="16838"/>
          <w:pgMar w:top="1701" w:right="1531" w:bottom="1701" w:left="1531" w:header="851" w:footer="1077" w:gutter="0"/>
          <w:pgNumType w:fmt="decimal" w:start="1"/>
          <w:cols w:space="720" w:num="1"/>
          <w:docGrid w:linePitch="312" w:charSpace="0"/>
        </w:sectPr>
      </w:pPr>
    </w:p>
    <w:p w14:paraId="4DDBB740">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b/>
          <w:sz w:val="30"/>
          <w:szCs w:val="30"/>
        </w:rPr>
      </w:pPr>
      <w:bookmarkStart w:id="2" w:name="_Toc6260"/>
      <w:r>
        <w:rPr>
          <w:rFonts w:hint="eastAsia"/>
          <w:b/>
          <w:sz w:val="30"/>
          <w:szCs w:val="30"/>
        </w:rPr>
        <w:t>二、建设项目工程分析</w:t>
      </w:r>
      <w:bookmarkEnd w:id="2"/>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60862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823" w:type="dxa"/>
            <w:noWrap w:val="0"/>
            <w:vAlign w:val="center"/>
          </w:tcPr>
          <w:p w14:paraId="3D9EE936">
            <w:pPr>
              <w:pStyle w:val="12"/>
              <w:adjustRightInd w:val="0"/>
              <w:snapToGrid w:val="0"/>
              <w:spacing w:before="0" w:beforeAutospacing="0" w:after="0" w:afterAutospacing="0"/>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tc>
        <w:tc>
          <w:tcPr>
            <w:tcW w:w="8161" w:type="dxa"/>
            <w:noWrap w:val="0"/>
            <w:vAlign w:val="top"/>
          </w:tcPr>
          <w:p w14:paraId="5823460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宋体" w:hAnsi="宋体" w:cs="宋体"/>
                <w:b/>
                <w:bCs w:val="0"/>
                <w:color w:val="000000" w:themeColor="text1"/>
                <w:sz w:val="24"/>
                <w:szCs w:val="24"/>
                <w:lang w:val="en-US" w:eastAsia="zh-CN"/>
                <w14:textFill>
                  <w14:solidFill>
                    <w14:schemeClr w14:val="tx1"/>
                  </w14:solidFill>
                </w14:textFill>
              </w:rPr>
            </w:pPr>
            <w:r>
              <w:rPr>
                <w:rFonts w:hint="eastAsia" w:ascii="宋体" w:hAnsi="宋体" w:cs="宋体"/>
                <w:b/>
                <w:bCs w:val="0"/>
                <w:color w:val="000000" w:themeColor="text1"/>
                <w:sz w:val="24"/>
                <w:szCs w:val="24"/>
                <w:lang w:val="en-US" w:eastAsia="zh-CN"/>
                <w14:textFill>
                  <w14:solidFill>
                    <w14:schemeClr w14:val="tx1"/>
                  </w14:solidFill>
                </w14:textFill>
              </w:rPr>
              <w:t>1、项目由来</w:t>
            </w:r>
          </w:p>
          <w:p w14:paraId="69BC2339">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cs="Times New Roman" w:eastAsiaTheme="minorEastAsia"/>
                <w:color w:val="000000" w:themeColor="text1"/>
                <w:sz w:val="24"/>
                <w:szCs w:val="18"/>
                <w:lang w:val="en-US" w:eastAsia="zh-CN"/>
                <w14:textFill>
                  <w14:solidFill>
                    <w14:schemeClr w14:val="tx1"/>
                  </w14:solidFill>
                </w14:textFill>
              </w:rPr>
            </w:pPr>
            <w:r>
              <w:rPr>
                <w:rFonts w:hint="eastAsia" w:ascii="宋体" w:hAnsi="宋体" w:eastAsia="宋体" w:cs="Times New Roman"/>
                <w:color w:val="000000" w:themeColor="text1"/>
                <w:sz w:val="24"/>
                <w:szCs w:val="18"/>
                <w:lang w:val="en-US" w:eastAsia="zh-CN"/>
                <w14:textFill>
                  <w14:solidFill>
                    <w14:schemeClr w14:val="tx1"/>
                  </w14:solidFill>
                </w14:textFill>
              </w:rPr>
              <w:t>陕西柯尔斯复合材料科技有限公司现有《复合材料生产加工项目》于2019年取得环评批复（宝环陈函[2019]176号），并于2021年2月完成分期自主验收。目前，项目已形成年产玻璃纤维制品3800个、碳纤维制品800台的生产能力，但部分生产设备未按原环评要求建设，计划另行验收。截至2025年，该部分设备仍未建设，且原环评批复已超过5年建设期限。为适应高端装备制造及新材料产业的市场需求，公司拟在现有厂房内新增1条复合材料生产线，实施产能提升扩建工程，并计划在本次扩建环评中一并纳入原项目未建设的设施，确保整体合规性。</w:t>
            </w:r>
          </w:p>
          <w:p w14:paraId="0F9D01B2">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Times New Roman"/>
                <w:color w:val="000000" w:themeColor="text1"/>
                <w:sz w:val="24"/>
                <w:szCs w:val="18"/>
                <w:lang w:val="en-US" w:eastAsia="zh-CN"/>
                <w14:textFill>
                  <w14:solidFill>
                    <w14:schemeClr w14:val="tx1"/>
                  </w14:solidFill>
                </w14:textFill>
              </w:rPr>
            </w:pPr>
            <w:r>
              <w:rPr>
                <w:rFonts w:hint="eastAsia" w:ascii="宋体" w:hAnsi="宋体" w:eastAsia="宋体" w:cs="Times New Roman"/>
                <w:color w:val="000000" w:themeColor="text1"/>
                <w:sz w:val="24"/>
                <w:szCs w:val="18"/>
                <w:lang w:val="en-US" w:eastAsia="zh-CN"/>
                <w14:textFill>
                  <w14:solidFill>
                    <w14:schemeClr w14:val="tx1"/>
                  </w14:solidFill>
                </w14:textFill>
              </w:rPr>
              <w:t>根据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《中华人民共和国环境影响评价法》《建设项目环境保护管理条例》《建设项目环境影响评价分类管理名录》及其修改单（2021版）的有关规定</w:t>
            </w:r>
            <w:r>
              <w:rPr>
                <w:rFonts w:hint="eastAsia" w:ascii="宋体" w:hAnsi="宋体" w:eastAsia="宋体" w:cs="Times New Roman"/>
                <w:color w:val="000000" w:themeColor="text1"/>
                <w:sz w:val="24"/>
                <w:szCs w:val="18"/>
                <w:lang w:val="en-US" w:eastAsia="zh-CN"/>
                <w14:textFill>
                  <w14:solidFill>
                    <w14:schemeClr w14:val="tx1"/>
                  </w14:solidFill>
                </w14:textFill>
              </w:rPr>
              <w:t>，</w:t>
            </w:r>
            <w:r>
              <w:rPr>
                <w:rFonts w:hint="eastAsia" w:eastAsia="宋体" w:cs="Times New Roman"/>
                <w:color w:val="000000" w:themeColor="text1"/>
                <w:sz w:val="24"/>
                <w:szCs w:val="18"/>
                <w:lang w:val="en-US" w:eastAsia="zh-CN"/>
                <w14:textFill>
                  <w14:solidFill>
                    <w14:schemeClr w14:val="tx1"/>
                  </w14:solidFill>
                </w14:textFill>
              </w:rPr>
              <w:t>本项目属于“二十七、非金属矿物制品业 玻璃纤维和玻璃纤维增强塑料制品制造306”、“二十七、非金属矿物制品业 石墨及其他非金属矿物制品制造309”，故应编制环境影响报告表，本项目判定依据见表2-1。</w:t>
            </w:r>
          </w:p>
          <w:p w14:paraId="0DC48554">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Times New Roman"/>
                <w:b/>
                <w:bCs/>
                <w:color w:val="000000" w:themeColor="text1"/>
                <w:sz w:val="21"/>
                <w:szCs w:val="15"/>
                <w:lang w:val="en-US" w:eastAsia="zh-CN"/>
                <w14:textFill>
                  <w14:solidFill>
                    <w14:schemeClr w14:val="tx1"/>
                  </w14:solidFill>
                </w14:textFill>
              </w:rPr>
            </w:pPr>
            <w:r>
              <w:rPr>
                <w:rFonts w:hint="eastAsia" w:eastAsia="宋体" w:cs="Times New Roman"/>
                <w:b/>
                <w:bCs/>
                <w:color w:val="000000" w:themeColor="text1"/>
                <w:sz w:val="21"/>
                <w:szCs w:val="15"/>
                <w:lang w:val="en-US" w:eastAsia="zh-CN"/>
                <w14:textFill>
                  <w14:solidFill>
                    <w14:schemeClr w14:val="tx1"/>
                  </w14:solidFill>
                </w14:textFill>
              </w:rPr>
              <w:t>表2-1  项目类别划分判定依据</w:t>
            </w:r>
          </w:p>
          <w:tbl>
            <w:tblPr>
              <w:tblStyle w:val="15"/>
              <w:tblW w:w="7918"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1"/>
              <w:gridCol w:w="2392"/>
              <w:gridCol w:w="2281"/>
              <w:gridCol w:w="904"/>
            </w:tblGrid>
            <w:tr w14:paraId="400D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341" w:type="dxa"/>
                  <w:tcBorders>
                    <w:top w:val="single" w:color="auto" w:sz="4" w:space="0"/>
                    <w:left w:val="single" w:color="auto" w:sz="4" w:space="0"/>
                    <w:bottom w:val="single" w:color="auto" w:sz="4" w:space="0"/>
                    <w:right w:val="single" w:color="auto" w:sz="4" w:space="0"/>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7661711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themeColor="text1"/>
                      <w:sz w:val="21"/>
                      <w:szCs w:val="21"/>
                      <w:vertAlign w:val="baseline"/>
                      <w:lang w:eastAsia="zh-CN"/>
                      <w14:textFill>
                        <w14:solidFill>
                          <w14:schemeClr w14:val="tx1"/>
                        </w14:solidFill>
                      </w14:textFill>
                    </w:rPr>
                  </w:pPr>
                </w:p>
                <w:p w14:paraId="5C9C569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mc:AlternateContent>
                      <mc:Choice Requires="wpsCustomData">
                        <wpsCustomData:diagonalParaType/>
                      </mc:Choice>
                    </mc:AlternateContent>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eastAsia="zh-CN"/>
                      <w14:textFill>
                        <w14:solidFill>
                          <w14:schemeClr w14:val="tx1"/>
                        </w14:solidFill>
                      </w14:textFill>
                    </w:rPr>
                    <w:t>项目类别</w:t>
                  </w:r>
                </w:p>
                <w:p w14:paraId="7022F73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环评依据</w:t>
                  </w:r>
                </w:p>
              </w:tc>
              <w:tc>
                <w:tcPr>
                  <w:tcW w:w="2392" w:type="dxa"/>
                  <w:tcBorders>
                    <w:left w:val="single" w:color="auto" w:sz="4" w:space="0"/>
                    <w:tl2br w:val="nil"/>
                    <w:tr2bl w:val="nil"/>
                  </w:tcBorders>
                  <w:noWrap w:val="0"/>
                  <w:vAlign w:val="center"/>
                </w:tcPr>
                <w:p w14:paraId="409B34B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eastAsia="zh-CN"/>
                      <w14:textFill>
                        <w14:solidFill>
                          <w14:schemeClr w14:val="tx1"/>
                        </w14:solidFill>
                      </w14:textFill>
                    </w:rPr>
                    <w:t>报告书</w:t>
                  </w:r>
                </w:p>
              </w:tc>
              <w:tc>
                <w:tcPr>
                  <w:tcW w:w="2281" w:type="dxa"/>
                  <w:tcBorders>
                    <w:tl2br w:val="nil"/>
                    <w:tr2bl w:val="nil"/>
                  </w:tcBorders>
                  <w:noWrap w:val="0"/>
                  <w:vAlign w:val="center"/>
                </w:tcPr>
                <w:p w14:paraId="5B545A8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eastAsia="zh-CN"/>
                      <w14:textFill>
                        <w14:solidFill>
                          <w14:schemeClr w14:val="tx1"/>
                        </w14:solidFill>
                      </w14:textFill>
                    </w:rPr>
                    <w:t>报告表</w:t>
                  </w:r>
                </w:p>
              </w:tc>
              <w:tc>
                <w:tcPr>
                  <w:tcW w:w="904" w:type="dxa"/>
                  <w:tcBorders>
                    <w:tl2br w:val="nil"/>
                    <w:tr2bl w:val="nil"/>
                  </w:tcBorders>
                  <w:noWrap w:val="0"/>
                  <w:vAlign w:val="center"/>
                </w:tcPr>
                <w:p w14:paraId="4B9A97F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eastAsia="zh-CN"/>
                      <w14:textFill>
                        <w14:solidFill>
                          <w14:schemeClr w14:val="tx1"/>
                        </w14:solidFill>
                      </w14:textFill>
                    </w:rPr>
                    <w:t>登记表</w:t>
                  </w:r>
                </w:p>
              </w:tc>
            </w:tr>
            <w:tr w14:paraId="1ADE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918" w:type="dxa"/>
                  <w:gridSpan w:val="4"/>
                  <w:tcBorders>
                    <w:tl2br w:val="nil"/>
                    <w:tr2bl w:val="nil"/>
                  </w:tcBorders>
                  <w:noWrap w:val="0"/>
                  <w:vAlign w:val="center"/>
                </w:tcPr>
                <w:p w14:paraId="41C8C30D">
                  <w:pPr>
                    <w:spacing w:line="240" w:lineRule="auto"/>
                    <w:jc w:val="cente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二十七、非金属矿物制品业30</w:t>
                  </w:r>
                </w:p>
              </w:tc>
            </w:tr>
            <w:tr w14:paraId="09E1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2341" w:type="dxa"/>
                  <w:tcBorders>
                    <w:tl2br w:val="nil"/>
                    <w:tr2bl w:val="nil"/>
                  </w:tcBorders>
                  <w:noWrap w:val="0"/>
                  <w:vAlign w:val="center"/>
                </w:tcPr>
                <w:p w14:paraId="79062241">
                  <w:pPr>
                    <w:keepNext w:val="0"/>
                    <w:keepLines w:val="0"/>
                    <w:widowControl/>
                    <w:suppressLineNumbers w:val="0"/>
                    <w:jc w:val="cente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玻璃纤维和玻璃纤维增强塑料制品制造306</w:t>
                  </w:r>
                </w:p>
              </w:tc>
              <w:tc>
                <w:tcPr>
                  <w:tcW w:w="2392" w:type="dxa"/>
                  <w:tcBorders>
                    <w:tl2br w:val="nil"/>
                    <w:tr2bl w:val="nil"/>
                  </w:tcBorders>
                  <w:noWrap w:val="0"/>
                  <w:vAlign w:val="center"/>
                </w:tcPr>
                <w:p w14:paraId="4334073C">
                  <w:pPr>
                    <w:keepNext w:val="0"/>
                    <w:keepLines w:val="0"/>
                    <w:widowControl/>
                    <w:suppressLineNumbers w:val="0"/>
                    <w:jc w:val="cente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2281" w:type="dxa"/>
                  <w:tcBorders>
                    <w:tl2br w:val="nil"/>
                    <w:tr2bl w:val="nil"/>
                  </w:tcBorders>
                  <w:noWrap w:val="0"/>
                  <w:vAlign w:val="center"/>
                </w:tcPr>
                <w:p w14:paraId="3EDCB6CE">
                  <w:pPr>
                    <w:keepNext w:val="0"/>
                    <w:keepLines w:val="0"/>
                    <w:widowControl/>
                    <w:suppressLineNumbers w:val="0"/>
                    <w:jc w:val="cente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全部</w:t>
                  </w:r>
                </w:p>
              </w:tc>
              <w:tc>
                <w:tcPr>
                  <w:tcW w:w="904" w:type="dxa"/>
                  <w:tcBorders>
                    <w:tl2br w:val="nil"/>
                    <w:tr2bl w:val="nil"/>
                  </w:tcBorders>
                  <w:noWrap w:val="0"/>
                  <w:vAlign w:val="center"/>
                </w:tcPr>
                <w:p w14:paraId="401DC648">
                  <w:pPr>
                    <w:keepNext w:val="0"/>
                    <w:keepLines w:val="0"/>
                    <w:widowControl/>
                    <w:suppressLineNumbers w:val="0"/>
                    <w:jc w:val="cente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14:paraId="1490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918" w:type="dxa"/>
                  <w:gridSpan w:val="4"/>
                  <w:tcBorders>
                    <w:tl2br w:val="nil"/>
                    <w:tr2bl w:val="nil"/>
                  </w:tcBorders>
                  <w:noWrap w:val="0"/>
                  <w:vAlign w:val="center"/>
                </w:tcPr>
                <w:p w14:paraId="1F8274D1">
                  <w:pPr>
                    <w:keepNext w:val="0"/>
                    <w:keepLines w:val="0"/>
                    <w:widowControl/>
                    <w:suppressLineNumbers w:val="0"/>
                    <w:jc w:val="cente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二十七、非金属矿物制品业30</w:t>
                  </w:r>
                </w:p>
              </w:tc>
            </w:tr>
            <w:tr w14:paraId="10F4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2341" w:type="dxa"/>
                  <w:tcBorders>
                    <w:tl2br w:val="nil"/>
                    <w:tr2bl w:val="nil"/>
                  </w:tcBorders>
                  <w:noWrap w:val="0"/>
                  <w:vAlign w:val="center"/>
                </w:tcPr>
                <w:p w14:paraId="1DC48EB7">
                  <w:pPr>
                    <w:keepNext w:val="0"/>
                    <w:keepLines w:val="0"/>
                    <w:widowControl/>
                    <w:suppressLineNumbers w:val="0"/>
                    <w:jc w:val="cente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石墨及其他非金属矿物制品制造309</w:t>
                  </w:r>
                </w:p>
              </w:tc>
              <w:tc>
                <w:tcPr>
                  <w:tcW w:w="2392" w:type="dxa"/>
                  <w:tcBorders>
                    <w:tl2br w:val="nil"/>
                    <w:tr2bl w:val="nil"/>
                  </w:tcBorders>
                  <w:noWrap w:val="0"/>
                  <w:vAlign w:val="center"/>
                </w:tcPr>
                <w:p w14:paraId="66ECD36B">
                  <w:pPr>
                    <w:keepNext w:val="0"/>
                    <w:keepLines w:val="0"/>
                    <w:widowControl/>
                    <w:suppressLineNumbers w:val="0"/>
                    <w:jc w:val="cente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石棉制品；含焙烧的石墨、碳素制品</w:t>
                  </w:r>
                </w:p>
              </w:tc>
              <w:tc>
                <w:tcPr>
                  <w:tcW w:w="2281" w:type="dxa"/>
                  <w:tcBorders>
                    <w:tl2br w:val="nil"/>
                    <w:tr2bl w:val="nil"/>
                  </w:tcBorders>
                  <w:noWrap w:val="0"/>
                  <w:vAlign w:val="center"/>
                </w:tcPr>
                <w:p w14:paraId="23CEFEF7">
                  <w:pPr>
                    <w:keepNext w:val="0"/>
                    <w:keepLines w:val="0"/>
                    <w:widowControl/>
                    <w:suppressLineNumbers w:val="0"/>
                    <w:jc w:val="cente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其他</w:t>
                  </w:r>
                </w:p>
              </w:tc>
              <w:tc>
                <w:tcPr>
                  <w:tcW w:w="904" w:type="dxa"/>
                  <w:tcBorders>
                    <w:tl2br w:val="nil"/>
                    <w:tr2bl w:val="nil"/>
                  </w:tcBorders>
                  <w:noWrap w:val="0"/>
                  <w:vAlign w:val="center"/>
                </w:tcPr>
                <w:p w14:paraId="347C8509">
                  <w:pPr>
                    <w:keepNext w:val="0"/>
                    <w:keepLines w:val="0"/>
                    <w:widowControl/>
                    <w:suppressLineNumbers w:val="0"/>
                    <w:jc w:val="cente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14:paraId="6264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918" w:type="dxa"/>
                  <w:gridSpan w:val="4"/>
                  <w:tcBorders>
                    <w:tl2br w:val="nil"/>
                    <w:tr2bl w:val="nil"/>
                  </w:tcBorders>
                  <w:noWrap w:val="0"/>
                  <w:vAlign w:val="center"/>
                </w:tcPr>
                <w:p w14:paraId="114D280C">
                  <w:pPr>
                    <w:spacing w:line="240" w:lineRule="auto"/>
                    <w:jc w:val="both"/>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备注：本项目固化炉固化温度为</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150-180℃，</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碳纤维制品不会石墨化和碳化，不属于石墨、碳素制品，因此编制环境影响报告表。</w:t>
                  </w:r>
                </w:p>
              </w:tc>
            </w:tr>
          </w:tbl>
          <w:p w14:paraId="3FAACBAC">
            <w:pPr>
              <w:keepNext w:val="0"/>
              <w:keepLines w:val="0"/>
              <w:pageBreakBefore w:val="0"/>
              <w:widowControl w:val="0"/>
              <w:kinsoku/>
              <w:wordWrap/>
              <w:overflowPunct/>
              <w:topLinePunct w:val="0"/>
              <w:autoSpaceDE/>
              <w:autoSpaceDN/>
              <w:bidi w:val="0"/>
              <w:adjustRightInd w:val="0"/>
              <w:snapToGrid w:val="0"/>
              <w:ind w:firstLine="482" w:firstLineChars="200"/>
              <w:jc w:val="both"/>
              <w:textAlignment w:val="auto"/>
              <w:rPr>
                <w:rFonts w:hint="default" w:ascii="宋体" w:hAnsi="宋体" w:cs="宋体"/>
                <w:b/>
                <w:bCs w:val="0"/>
                <w:color w:val="000000" w:themeColor="text1"/>
                <w:sz w:val="24"/>
                <w:szCs w:val="24"/>
                <w:lang w:val="en-US" w:eastAsia="zh-CN"/>
                <w14:textFill>
                  <w14:solidFill>
                    <w14:schemeClr w14:val="tx1"/>
                  </w14:solidFill>
                </w14:textFill>
              </w:rPr>
            </w:pPr>
            <w:r>
              <w:rPr>
                <w:rFonts w:hint="eastAsia" w:ascii="宋体" w:hAnsi="宋体" w:cs="宋体"/>
                <w:b/>
                <w:bCs w:val="0"/>
                <w:color w:val="000000" w:themeColor="text1"/>
                <w:sz w:val="24"/>
                <w:szCs w:val="24"/>
                <w:lang w:val="en-US" w:eastAsia="zh-CN"/>
                <w14:textFill>
                  <w14:solidFill>
                    <w14:schemeClr w14:val="tx1"/>
                  </w14:solidFill>
                </w14:textFill>
              </w:rPr>
              <w:t>2、主要产品及产能</w:t>
            </w:r>
          </w:p>
          <w:p w14:paraId="0D075D6B">
            <w:pPr>
              <w:spacing w:line="440" w:lineRule="exact"/>
              <w:ind w:firstLine="480" w:firstLineChars="200"/>
              <w:jc w:val="left"/>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r>
              <w:rPr>
                <w:rFonts w:hint="eastAsia" w:ascii="宋体" w:hAnsi="宋体" w:eastAsia="宋体" w:cs="Times New Roman"/>
                <w:color w:val="000000" w:themeColor="text1"/>
                <w:sz w:val="24"/>
                <w:szCs w:val="18"/>
                <w:lang w:val="en-US" w:eastAsia="zh-CN"/>
                <w14:textFill>
                  <w14:solidFill>
                    <w14:schemeClr w14:val="tx1"/>
                  </w14:solidFill>
                </w14:textFill>
              </w:rPr>
              <w:t>《复合材料生产加工项目》（原有项目）</w:t>
            </w:r>
            <w:r>
              <w:rPr>
                <w:rFonts w:hint="default" w:ascii="Times New Roman" w:hAnsi="Times New Roman" w:cs="Times New Roman"/>
                <w:bCs/>
                <w:color w:val="000000" w:themeColor="text1"/>
                <w:sz w:val="24"/>
                <w14:textFill>
                  <w14:solidFill>
                    <w14:schemeClr w14:val="tx1"/>
                  </w14:solidFill>
                </w14:textFill>
              </w:rPr>
              <w:t>产品是</w:t>
            </w:r>
            <w:r>
              <w:rPr>
                <w:rFonts w:hint="default" w:ascii="Times New Roman" w:hAnsi="Times New Roman" w:cs="Times New Roman"/>
                <w:color w:val="000000" w:themeColor="text1"/>
                <w:sz w:val="24"/>
                <w14:textFill>
                  <w14:solidFill>
                    <w14:schemeClr w14:val="tx1"/>
                  </w14:solidFill>
                </w14:textFill>
              </w:rPr>
              <w:t>树脂基纤维缠绕复合材料制品</w:t>
            </w:r>
            <w:r>
              <w:rPr>
                <w:rFonts w:hint="default" w:ascii="Times New Roman" w:hAnsi="Times New Roman" w:cs="Times New Roman"/>
                <w:color w:val="000000" w:themeColor="text1"/>
                <w:szCs w:val="28"/>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环氧树脂裹覆在玻璃纤维表面为</w:t>
            </w:r>
            <w:r>
              <w:rPr>
                <w:rFonts w:hint="default" w:ascii="Times New Roman" w:hAnsi="Times New Roman" w:cs="Times New Roman"/>
                <w:color w:val="000000" w:themeColor="text1"/>
                <w:sz w:val="24"/>
                <w:lang w:val="zh-CN"/>
                <w14:textFill>
                  <w14:solidFill>
                    <w14:schemeClr w14:val="tx1"/>
                  </w14:solidFill>
                </w14:textFill>
              </w:rPr>
              <w:t>玻璃纤维制品，年产5000个</w:t>
            </w:r>
            <w:r>
              <w:rPr>
                <w:rFonts w:hint="default" w:ascii="Times New Roman" w:hAnsi="Times New Roman" w:cs="Times New Roman"/>
                <w:bCs/>
                <w:color w:val="000000" w:themeColor="text1"/>
                <w:sz w:val="24"/>
                <w14:textFill>
                  <w14:solidFill>
                    <w14:schemeClr w14:val="tx1"/>
                  </w14:solidFill>
                </w14:textFill>
              </w:rPr>
              <w:t>；环氧树脂裹覆在碳纤维表面为</w:t>
            </w:r>
            <w:r>
              <w:rPr>
                <w:rFonts w:hint="default" w:ascii="Times New Roman" w:hAnsi="Times New Roman" w:cs="Times New Roman"/>
                <w:color w:val="000000" w:themeColor="text1"/>
                <w:kern w:val="0"/>
                <w:sz w:val="24"/>
                <w14:textFill>
                  <w14:solidFill>
                    <w14:schemeClr w14:val="tx1"/>
                  </w14:solidFill>
                </w14:textFill>
              </w:rPr>
              <w:t>碳纤维制品，年产1000台，</w:t>
            </w:r>
            <w:r>
              <w:rPr>
                <w:rFonts w:hint="eastAsia" w:ascii="Times New Roman" w:hAnsi="Times New Roman" w:cs="Times New Roman"/>
                <w:color w:val="000000" w:themeColor="text1"/>
                <w:kern w:val="0"/>
                <w:sz w:val="24"/>
                <w:lang w:val="en-US" w:eastAsia="zh-CN"/>
                <w14:textFill>
                  <w14:solidFill>
                    <w14:schemeClr w14:val="tx1"/>
                  </w14:solidFill>
                </w14:textFill>
              </w:rPr>
              <w:t>目前已验收</w:t>
            </w:r>
            <w:r>
              <w:rPr>
                <w:rFonts w:hint="eastAsia" w:ascii="宋体" w:hAnsi="宋体" w:eastAsia="宋体" w:cs="Times New Roman"/>
                <w:color w:val="000000" w:themeColor="text1"/>
                <w:sz w:val="24"/>
                <w:szCs w:val="18"/>
                <w:lang w:val="en-US" w:eastAsia="zh-CN"/>
                <w14:textFill>
                  <w14:solidFill>
                    <w14:schemeClr w14:val="tx1"/>
                  </w14:solidFill>
                </w14:textFill>
              </w:rPr>
              <w:t>年产玻璃纤维制品3800个、碳纤维制品800台的生产能力。</w:t>
            </w:r>
          </w:p>
          <w:p w14:paraId="64BC3CDF">
            <w:pPr>
              <w:spacing w:line="440" w:lineRule="exact"/>
              <w:ind w:firstLine="480" w:firstLineChars="200"/>
              <w:jc w:val="left"/>
              <w:rPr>
                <w:rFonts w:hint="eastAsia" w:ascii="Times New Roman" w:hAnsi="Times New Roman" w:cs="Times New Roman"/>
                <w:color w:val="000000" w:themeColor="text1"/>
                <w:kern w:val="0"/>
                <w:sz w:val="24"/>
                <w:lang w:eastAsia="zh-CN"/>
                <w14:textFill>
                  <w14:solidFill>
                    <w14:schemeClr w14:val="tx1"/>
                  </w14:solidFill>
                </w14:textFill>
              </w:rPr>
            </w:pPr>
            <w:r>
              <w:rPr>
                <w:rFonts w:hint="eastAsia"/>
                <w:bCs/>
                <w:color w:val="000000" w:themeColor="text1"/>
                <w:sz w:val="24"/>
                <w14:textFill>
                  <w14:solidFill>
                    <w14:schemeClr w14:val="tx1"/>
                  </w14:solidFill>
                </w14:textFill>
              </w:rPr>
              <w:t>本项目产品</w:t>
            </w:r>
            <w:r>
              <w:rPr>
                <w:rFonts w:hint="eastAsia"/>
                <w:bCs/>
                <w:color w:val="000000" w:themeColor="text1"/>
                <w:sz w:val="24"/>
                <w:lang w:val="en-US" w:eastAsia="zh-CN"/>
                <w14:textFill>
                  <w14:solidFill>
                    <w14:schemeClr w14:val="tx1"/>
                  </w14:solidFill>
                </w14:textFill>
              </w:rPr>
              <w:t>类型与原有项目一致</w:t>
            </w:r>
            <w:r>
              <w:rPr>
                <w:rFonts w:hint="eastAsia" w:ascii="宋体" w:hAnsi="宋体" w:cs="宋体"/>
                <w:color w:val="000000" w:themeColor="text1"/>
                <w:szCs w:val="28"/>
                <w14:textFill>
                  <w14:solidFill>
                    <w14:schemeClr w14:val="tx1"/>
                  </w14:solidFill>
                </w14:textFill>
              </w:rPr>
              <w:t>，</w:t>
            </w:r>
            <w:r>
              <w:rPr>
                <w:rFonts w:hint="eastAsia" w:hAnsi="宋体"/>
                <w:color w:val="000000" w:themeColor="text1"/>
                <w:sz w:val="24"/>
                <w:lang w:val="zh-CN"/>
                <w14:textFill>
                  <w14:solidFill>
                    <w14:schemeClr w14:val="tx1"/>
                  </w14:solidFill>
                </w14:textFill>
              </w:rPr>
              <w:t>玻璃</w:t>
            </w:r>
            <w:r>
              <w:rPr>
                <w:rFonts w:hAnsi="宋体"/>
                <w:color w:val="000000" w:themeColor="text1"/>
                <w:sz w:val="24"/>
                <w:lang w:val="zh-CN"/>
                <w14:textFill>
                  <w14:solidFill>
                    <w14:schemeClr w14:val="tx1"/>
                  </w14:solidFill>
                </w14:textFill>
              </w:rPr>
              <w:t>纤维制品</w:t>
            </w:r>
            <w:r>
              <w:rPr>
                <w:rFonts w:hint="default" w:ascii="Times New Roman" w:hAnsi="Times New Roman" w:cs="Times New Roman"/>
                <w:color w:val="000000" w:themeColor="text1"/>
                <w:sz w:val="24"/>
                <w:lang w:val="zh-CN"/>
                <w14:textFill>
                  <w14:solidFill>
                    <w14:schemeClr w14:val="tx1"/>
                  </w14:solidFill>
                </w14:textFill>
              </w:rPr>
              <w:t>年产</w:t>
            </w:r>
            <w:r>
              <w:rPr>
                <w:rFonts w:hint="default" w:ascii="Times New Roman" w:hAnsi="Times New Roman" w:cs="Times New Roman"/>
                <w:color w:val="000000" w:themeColor="text1"/>
                <w:sz w:val="24"/>
                <w:lang w:val="en-US" w:eastAsia="zh-CN"/>
                <w14:textFill>
                  <w14:solidFill>
                    <w14:schemeClr w14:val="tx1"/>
                  </w14:solidFill>
                </w14:textFill>
              </w:rPr>
              <w:t>10200</w:t>
            </w:r>
            <w:r>
              <w:rPr>
                <w:rFonts w:hint="default" w:ascii="Times New Roman" w:hAnsi="Times New Roman" w:cs="Times New Roman"/>
                <w:color w:val="000000" w:themeColor="text1"/>
                <w:sz w:val="24"/>
                <w:lang w:val="zh-CN"/>
                <w14:textFill>
                  <w14:solidFill>
                    <w14:schemeClr w14:val="tx1"/>
                  </w14:solidFill>
                </w14:textFill>
              </w:rPr>
              <w:t>个</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碳纤维制品年产</w:t>
            </w:r>
            <w:r>
              <w:rPr>
                <w:rFonts w:hint="default" w:ascii="Times New Roman" w:hAnsi="Times New Roman" w:cs="Times New Roman"/>
                <w:color w:val="000000" w:themeColor="text1"/>
                <w:kern w:val="0"/>
                <w:sz w:val="24"/>
                <w:lang w:val="en-US" w:eastAsia="zh-CN"/>
                <w14:textFill>
                  <w14:solidFill>
                    <w14:schemeClr w14:val="tx1"/>
                  </w14:solidFill>
                </w14:textFill>
              </w:rPr>
              <w:t>200</w:t>
            </w:r>
            <w:r>
              <w:rPr>
                <w:rFonts w:hint="default" w:ascii="Times New Roman" w:hAnsi="Times New Roman" w:cs="Times New Roman"/>
                <w:color w:val="000000" w:themeColor="text1"/>
                <w:kern w:val="0"/>
                <w:sz w:val="24"/>
                <w14:textFill>
                  <w14:solidFill>
                    <w14:schemeClr w14:val="tx1"/>
                  </w14:solidFill>
                </w14:textFill>
              </w:rPr>
              <w:t>台</w:t>
            </w:r>
            <w:r>
              <w:rPr>
                <w:rFonts w:hint="eastAsia" w:ascii="Times New Roman" w:hAnsi="Times New Roman" w:cs="Times New Roman"/>
                <w:color w:val="000000" w:themeColor="text1"/>
                <w:kern w:val="0"/>
                <w:sz w:val="24"/>
                <w:lang w:eastAsia="zh-CN"/>
                <w14:textFill>
                  <w14:solidFill>
                    <w14:schemeClr w14:val="tx1"/>
                  </w14:solidFill>
                </w14:textFill>
              </w:rPr>
              <w:t>。</w:t>
            </w:r>
          </w:p>
          <w:p w14:paraId="143CA230">
            <w:pPr>
              <w:spacing w:line="440" w:lineRule="exact"/>
              <w:ind w:firstLine="480" w:firstLineChars="200"/>
              <w:jc w:val="left"/>
              <w:rPr>
                <w:b/>
                <w:color w:val="000000" w:themeColor="text1"/>
                <w:sz w:val="24"/>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本项目建成后与原有项目可形成年产玻璃纤维制品14000个、碳纤维制品1000台生产能力，</w:t>
            </w:r>
            <w:r>
              <w:rPr>
                <w:rFonts w:hint="default" w:ascii="Times New Roman" w:hAnsi="Times New Roman" w:cs="Times New Roman"/>
                <w:bCs/>
                <w:color w:val="000000" w:themeColor="text1"/>
                <w:sz w:val="24"/>
                <w14:textFill>
                  <w14:solidFill>
                    <w14:schemeClr w14:val="tx1"/>
                  </w14:solidFill>
                </w14:textFill>
              </w:rPr>
              <w:t>产品方案一览表见表</w:t>
            </w:r>
            <w:r>
              <w:rPr>
                <w:rFonts w:hint="eastAsia" w:ascii="Times New Roman" w:hAnsi="Times New Roman" w:cs="Times New Roman"/>
                <w:bCs/>
                <w:color w:val="000000" w:themeColor="text1"/>
                <w:sz w:val="24"/>
                <w:lang w:val="en-US" w:eastAsia="zh-CN"/>
                <w14:textFill>
                  <w14:solidFill>
                    <w14:schemeClr w14:val="tx1"/>
                  </w14:solidFill>
                </w14:textFill>
              </w:rPr>
              <w:t>2-2</w:t>
            </w:r>
            <w:r>
              <w:rPr>
                <w:rFonts w:hint="default" w:ascii="Times New Roman" w:hAnsi="Times New Roman" w:cs="Times New Roman"/>
                <w:bCs/>
                <w:color w:val="000000" w:themeColor="text1"/>
                <w:sz w:val="24"/>
                <w14:textFill>
                  <w14:solidFill>
                    <w14:schemeClr w14:val="tx1"/>
                  </w14:solidFill>
                </w14:textFill>
              </w:rPr>
              <w:t>。</w:t>
            </w:r>
          </w:p>
          <w:p w14:paraId="2680A7A6">
            <w:pPr>
              <w:spacing w:line="44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w:t>
            </w:r>
            <w:r>
              <w:rPr>
                <w:rFonts w:hint="eastAsia" w:ascii="Times New Roman" w:hAnsi="Times New Roman" w:cs="Times New Roman"/>
                <w:b/>
                <w:bCs/>
                <w:color w:val="000000" w:themeColor="text1"/>
                <w:szCs w:val="21"/>
                <w:lang w:val="en-US" w:eastAsia="zh-CN"/>
                <w14:textFill>
                  <w14:solidFill>
                    <w14:schemeClr w14:val="tx1"/>
                  </w14:solidFill>
                </w14:textFill>
              </w:rPr>
              <w:t>2-2</w:t>
            </w:r>
            <w:r>
              <w:rPr>
                <w:rFonts w:hint="default" w:ascii="Times New Roman" w:hAnsi="Times New Roman" w:cs="Times New Roman"/>
                <w:b/>
                <w:bCs/>
                <w:color w:val="000000" w:themeColor="text1"/>
                <w:szCs w:val="21"/>
                <w14:textFill>
                  <w14:solidFill>
                    <w14:schemeClr w14:val="tx1"/>
                  </w14:solidFill>
                </w14:textFill>
              </w:rPr>
              <w:t xml:space="preserve">  产品方案一览表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926"/>
              <w:gridCol w:w="1069"/>
              <w:gridCol w:w="1069"/>
              <w:gridCol w:w="1424"/>
              <w:gridCol w:w="1423"/>
            </w:tblGrid>
            <w:tr w14:paraId="0F24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645" w:type="pct"/>
                  <w:vMerge w:val="restart"/>
                  <w:noWrap w:val="0"/>
                  <w:vAlign w:val="center"/>
                </w:tcPr>
                <w:p w14:paraId="6CB2515A">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产品</w:t>
                  </w:r>
                </w:p>
                <w:p w14:paraId="1B8D0061">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名称</w:t>
                  </w:r>
                </w:p>
              </w:tc>
              <w:tc>
                <w:tcPr>
                  <w:tcW w:w="1213" w:type="pct"/>
                  <w:vMerge w:val="restart"/>
                  <w:noWrap w:val="0"/>
                  <w:vAlign w:val="center"/>
                </w:tcPr>
                <w:p w14:paraId="0BE378F2">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规格</w:t>
                  </w:r>
                </w:p>
              </w:tc>
              <w:tc>
                <w:tcPr>
                  <w:tcW w:w="1347" w:type="pct"/>
                  <w:gridSpan w:val="2"/>
                  <w:noWrap w:val="0"/>
                  <w:vAlign w:val="center"/>
                </w:tcPr>
                <w:p w14:paraId="104B3E20">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年产量</w:t>
                  </w:r>
                </w:p>
              </w:tc>
              <w:tc>
                <w:tcPr>
                  <w:tcW w:w="897" w:type="pct"/>
                  <w:vMerge w:val="restart"/>
                  <w:noWrap w:val="0"/>
                  <w:vAlign w:val="center"/>
                </w:tcPr>
                <w:p w14:paraId="7216DC59">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扩建后</w:t>
                  </w:r>
                  <w:r>
                    <w:rPr>
                      <w:rFonts w:hint="default" w:ascii="Times New Roman" w:hAnsi="Times New Roman" w:cs="Times New Roman"/>
                      <w:bCs/>
                      <w:color w:val="000000" w:themeColor="text1"/>
                      <w:szCs w:val="21"/>
                      <w14:textFill>
                        <w14:solidFill>
                          <w14:schemeClr w14:val="tx1"/>
                        </w14:solidFill>
                      </w14:textFill>
                    </w:rPr>
                    <w:t>合计</w:t>
                  </w:r>
                </w:p>
              </w:tc>
              <w:tc>
                <w:tcPr>
                  <w:tcW w:w="896" w:type="pct"/>
                  <w:vMerge w:val="restart"/>
                  <w:noWrap w:val="0"/>
                  <w:vAlign w:val="center"/>
                </w:tcPr>
                <w:p w14:paraId="2554CC93">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备注</w:t>
                  </w:r>
                </w:p>
              </w:tc>
            </w:tr>
            <w:tr w14:paraId="1EDB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45" w:type="pct"/>
                  <w:vMerge w:val="continue"/>
                  <w:noWrap w:val="0"/>
                  <w:vAlign w:val="center"/>
                </w:tcPr>
                <w:p w14:paraId="24980269">
                  <w:pPr>
                    <w:spacing w:line="320" w:lineRule="exact"/>
                    <w:jc w:val="center"/>
                    <w:rPr>
                      <w:color w:val="000000" w:themeColor="text1"/>
                      <w14:textFill>
                        <w14:solidFill>
                          <w14:schemeClr w14:val="tx1"/>
                        </w14:solidFill>
                      </w14:textFill>
                    </w:rPr>
                  </w:pPr>
                </w:p>
              </w:tc>
              <w:tc>
                <w:tcPr>
                  <w:tcW w:w="1213" w:type="pct"/>
                  <w:vMerge w:val="continue"/>
                  <w:noWrap w:val="0"/>
                  <w:vAlign w:val="center"/>
                </w:tcPr>
                <w:p w14:paraId="349CB43A">
                  <w:pPr>
                    <w:spacing w:line="320" w:lineRule="exact"/>
                    <w:jc w:val="center"/>
                    <w:rPr>
                      <w:color w:val="000000" w:themeColor="text1"/>
                      <w14:textFill>
                        <w14:solidFill>
                          <w14:schemeClr w14:val="tx1"/>
                        </w14:solidFill>
                      </w14:textFill>
                    </w:rPr>
                  </w:pPr>
                </w:p>
              </w:tc>
              <w:tc>
                <w:tcPr>
                  <w:tcW w:w="673" w:type="pct"/>
                  <w:noWrap w:val="0"/>
                  <w:vAlign w:val="center"/>
                </w:tcPr>
                <w:p w14:paraId="33157CE4">
                  <w:pPr>
                    <w:spacing w:line="320" w:lineRule="exact"/>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原有项目</w:t>
                  </w:r>
                </w:p>
              </w:tc>
              <w:tc>
                <w:tcPr>
                  <w:tcW w:w="673" w:type="pct"/>
                  <w:noWrap w:val="0"/>
                  <w:vAlign w:val="center"/>
                </w:tcPr>
                <w:p w14:paraId="56871E6E">
                  <w:pPr>
                    <w:spacing w:line="320" w:lineRule="exact"/>
                    <w:jc w:val="cente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本项目</w:t>
                  </w:r>
                </w:p>
              </w:tc>
              <w:tc>
                <w:tcPr>
                  <w:tcW w:w="897" w:type="pct"/>
                  <w:vMerge w:val="continue"/>
                  <w:noWrap w:val="0"/>
                  <w:vAlign w:val="center"/>
                </w:tcPr>
                <w:p w14:paraId="6C0610D6">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896" w:type="pct"/>
                  <w:vMerge w:val="continue"/>
                  <w:noWrap w:val="0"/>
                  <w:vAlign w:val="center"/>
                </w:tcPr>
                <w:p w14:paraId="41EE1EB6">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r>
            <w:tr w14:paraId="6171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645" w:type="pct"/>
                  <w:vMerge w:val="restart"/>
                  <w:noWrap w:val="0"/>
                  <w:vAlign w:val="center"/>
                </w:tcPr>
                <w:p w14:paraId="2D34B794">
                  <w:pPr>
                    <w:spacing w:line="320" w:lineRule="exact"/>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高端复合</w:t>
                  </w:r>
                </w:p>
                <w:p w14:paraId="66F325F8">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材料制品</w:t>
                  </w:r>
                </w:p>
              </w:tc>
              <w:tc>
                <w:tcPr>
                  <w:tcW w:w="1213" w:type="pct"/>
                  <w:noWrap w:val="0"/>
                  <w:vAlign w:val="center"/>
                </w:tcPr>
                <w:p w14:paraId="3C194CFE">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4kg</w:t>
                  </w:r>
                </w:p>
              </w:tc>
              <w:tc>
                <w:tcPr>
                  <w:tcW w:w="673" w:type="pct"/>
                  <w:noWrap w:val="0"/>
                  <w:vAlign w:val="center"/>
                </w:tcPr>
                <w:p w14:paraId="2897A14C">
                  <w:pPr>
                    <w:spacing w:line="320" w:lineRule="exact"/>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1800</w:t>
                  </w:r>
                  <w:r>
                    <w:rPr>
                      <w:rFonts w:hint="default" w:ascii="Times New Roman" w:hAnsi="Times New Roman" w:cs="Times New Roman"/>
                      <w:bCs/>
                      <w:color w:val="000000" w:themeColor="text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个）</w:t>
                  </w:r>
                </w:p>
              </w:tc>
              <w:tc>
                <w:tcPr>
                  <w:tcW w:w="673" w:type="pct"/>
                  <w:noWrap w:val="0"/>
                  <w:vAlign w:val="center"/>
                </w:tcPr>
                <w:p w14:paraId="3DE3DC4F">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4200</w:t>
                  </w:r>
                  <w:r>
                    <w:rPr>
                      <w:rFonts w:hint="default" w:ascii="Times New Roman" w:hAnsi="Times New Roman" w:cs="Times New Roman"/>
                      <w:bCs/>
                      <w:color w:val="000000" w:themeColor="text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个）</w:t>
                  </w:r>
                </w:p>
              </w:tc>
              <w:tc>
                <w:tcPr>
                  <w:tcW w:w="897" w:type="pct"/>
                  <w:vMerge w:val="restart"/>
                  <w:noWrap w:val="0"/>
                  <w:vAlign w:val="center"/>
                </w:tcPr>
                <w:p w14:paraId="1D10F244">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14000</w:t>
                  </w:r>
                  <w:r>
                    <w:rPr>
                      <w:rFonts w:hint="default" w:ascii="Times New Roman" w:hAnsi="Times New Roman" w:cs="Times New Roman"/>
                      <w:bCs/>
                      <w:color w:val="000000" w:themeColor="text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个）</w:t>
                  </w:r>
                </w:p>
              </w:tc>
              <w:tc>
                <w:tcPr>
                  <w:tcW w:w="896" w:type="pct"/>
                  <w:vMerge w:val="restart"/>
                  <w:noWrap w:val="0"/>
                  <w:vAlign w:val="center"/>
                </w:tcPr>
                <w:p w14:paraId="05973D84">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玻璃纤维</w:t>
                  </w:r>
                </w:p>
              </w:tc>
            </w:tr>
            <w:tr w14:paraId="1209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645" w:type="pct"/>
                  <w:vMerge w:val="continue"/>
                  <w:noWrap w:val="0"/>
                  <w:vAlign w:val="center"/>
                </w:tcPr>
                <w:p w14:paraId="3D0FF9FE">
                  <w:pPr>
                    <w:spacing w:line="320" w:lineRule="exact"/>
                    <w:jc w:val="center"/>
                    <w:rPr>
                      <w:rFonts w:hint="default" w:ascii="Times New Roman" w:hAnsi="Times New Roman" w:cs="Times New Roman"/>
                      <w:color w:val="000000" w:themeColor="text1"/>
                      <w:szCs w:val="21"/>
                      <w:lang w:val="zh-CN"/>
                      <w14:textFill>
                        <w14:solidFill>
                          <w14:schemeClr w14:val="tx1"/>
                        </w14:solidFill>
                      </w14:textFill>
                    </w:rPr>
                  </w:pPr>
                </w:p>
              </w:tc>
              <w:tc>
                <w:tcPr>
                  <w:tcW w:w="1213" w:type="pct"/>
                  <w:noWrap w:val="0"/>
                  <w:vAlign w:val="center"/>
                </w:tcPr>
                <w:p w14:paraId="2917AE97">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2.5kg</w:t>
                  </w:r>
                </w:p>
              </w:tc>
              <w:tc>
                <w:tcPr>
                  <w:tcW w:w="673" w:type="pct"/>
                  <w:noWrap w:val="0"/>
                  <w:vAlign w:val="center"/>
                </w:tcPr>
                <w:p w14:paraId="7E38D94A">
                  <w:pPr>
                    <w:spacing w:line="320" w:lineRule="exact"/>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2000</w:t>
                  </w:r>
                  <w:r>
                    <w:rPr>
                      <w:rFonts w:hint="default" w:ascii="Times New Roman" w:hAnsi="Times New Roman" w:cs="Times New Roman"/>
                      <w:bCs/>
                      <w:color w:val="000000" w:themeColor="text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个）</w:t>
                  </w:r>
                </w:p>
              </w:tc>
              <w:tc>
                <w:tcPr>
                  <w:tcW w:w="673" w:type="pct"/>
                  <w:noWrap w:val="0"/>
                  <w:vAlign w:val="center"/>
                </w:tcPr>
                <w:p w14:paraId="6C92001C">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6000</w:t>
                  </w:r>
                  <w:r>
                    <w:rPr>
                      <w:rFonts w:hint="default" w:ascii="Times New Roman" w:hAnsi="Times New Roman" w:cs="Times New Roman"/>
                      <w:bCs/>
                      <w:color w:val="000000" w:themeColor="text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个）</w:t>
                  </w:r>
                </w:p>
              </w:tc>
              <w:tc>
                <w:tcPr>
                  <w:tcW w:w="897" w:type="pct"/>
                  <w:vMerge w:val="continue"/>
                  <w:noWrap w:val="0"/>
                  <w:vAlign w:val="center"/>
                </w:tcPr>
                <w:p w14:paraId="666FE127">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896" w:type="pct"/>
                  <w:vMerge w:val="continue"/>
                  <w:noWrap w:val="0"/>
                  <w:vAlign w:val="center"/>
                </w:tcPr>
                <w:p w14:paraId="7B6DE027">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r>
            <w:tr w14:paraId="0F5F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exact"/>
                <w:jc w:val="center"/>
              </w:trPr>
              <w:tc>
                <w:tcPr>
                  <w:tcW w:w="645" w:type="pct"/>
                  <w:vMerge w:val="continue"/>
                  <w:noWrap w:val="0"/>
                  <w:vAlign w:val="center"/>
                </w:tcPr>
                <w:p w14:paraId="1A2ACB73">
                  <w:pPr>
                    <w:spacing w:line="320" w:lineRule="exact"/>
                    <w:jc w:val="center"/>
                    <w:rPr>
                      <w:rFonts w:hint="default" w:ascii="Times New Roman" w:hAnsi="Times New Roman" w:cs="Times New Roman"/>
                      <w:color w:val="000000" w:themeColor="text1"/>
                      <w:szCs w:val="21"/>
                      <w:lang w:val="zh-CN"/>
                      <w14:textFill>
                        <w14:solidFill>
                          <w14:schemeClr w14:val="tx1"/>
                        </w14:solidFill>
                      </w14:textFill>
                    </w:rPr>
                  </w:pPr>
                </w:p>
              </w:tc>
              <w:tc>
                <w:tcPr>
                  <w:tcW w:w="1213" w:type="pct"/>
                  <w:noWrap w:val="0"/>
                  <w:vAlign w:val="center"/>
                </w:tcPr>
                <w:p w14:paraId="16F3A507">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2kg~30kg（平均18kg）</w:t>
                  </w:r>
                </w:p>
              </w:tc>
              <w:tc>
                <w:tcPr>
                  <w:tcW w:w="673" w:type="pct"/>
                  <w:noWrap w:val="0"/>
                  <w:vAlign w:val="center"/>
                </w:tcPr>
                <w:p w14:paraId="4F471BC5">
                  <w:pPr>
                    <w:spacing w:line="320" w:lineRule="exact"/>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800</w:t>
                  </w:r>
                  <w:r>
                    <w:rPr>
                      <w:rFonts w:hint="default" w:ascii="Times New Roman" w:hAnsi="Times New Roman" w:cs="Times New Roman"/>
                      <w:bCs/>
                      <w:color w:val="000000" w:themeColor="text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台）</w:t>
                  </w:r>
                </w:p>
              </w:tc>
              <w:tc>
                <w:tcPr>
                  <w:tcW w:w="673" w:type="pct"/>
                  <w:noWrap w:val="0"/>
                  <w:vAlign w:val="center"/>
                </w:tcPr>
                <w:p w14:paraId="39D187C2">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200</w:t>
                  </w:r>
                  <w:r>
                    <w:rPr>
                      <w:rFonts w:hint="default" w:ascii="Times New Roman" w:hAnsi="Times New Roman" w:cs="Times New Roman"/>
                      <w:bCs/>
                      <w:color w:val="000000" w:themeColor="text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台）</w:t>
                  </w:r>
                </w:p>
              </w:tc>
              <w:tc>
                <w:tcPr>
                  <w:tcW w:w="897" w:type="pct"/>
                  <w:noWrap w:val="0"/>
                  <w:vAlign w:val="center"/>
                </w:tcPr>
                <w:p w14:paraId="46A1A2A7">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1000</w:t>
                  </w:r>
                  <w:r>
                    <w:rPr>
                      <w:rFonts w:hint="default" w:ascii="Times New Roman" w:hAnsi="Times New Roman" w:cs="Times New Roman"/>
                      <w:bCs/>
                      <w:color w:val="000000" w:themeColor="text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台）</w:t>
                  </w:r>
                </w:p>
              </w:tc>
              <w:tc>
                <w:tcPr>
                  <w:tcW w:w="896" w:type="pct"/>
                  <w:noWrap w:val="0"/>
                  <w:vAlign w:val="center"/>
                </w:tcPr>
                <w:p w14:paraId="61212FAD">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碳纤维</w:t>
                  </w:r>
                </w:p>
              </w:tc>
            </w:tr>
          </w:tbl>
          <w:p w14:paraId="794793D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宋体" w:hAnsi="宋体" w:cs="宋体"/>
                <w:b/>
                <w:bCs w:val="0"/>
                <w:color w:val="000000" w:themeColor="text1"/>
                <w:sz w:val="24"/>
                <w:szCs w:val="24"/>
                <w:lang w:val="en-US" w:eastAsia="zh-CN"/>
                <w14:textFill>
                  <w14:solidFill>
                    <w14:schemeClr w14:val="tx1"/>
                  </w14:solidFill>
                </w14:textFill>
              </w:rPr>
            </w:pPr>
            <w:r>
              <w:rPr>
                <w:rFonts w:hint="eastAsia" w:ascii="宋体" w:hAnsi="宋体" w:cs="宋体"/>
                <w:b/>
                <w:bCs w:val="0"/>
                <w:color w:val="000000" w:themeColor="text1"/>
                <w:sz w:val="24"/>
                <w:szCs w:val="24"/>
                <w:lang w:val="en-US" w:eastAsia="zh-CN"/>
                <w14:textFill>
                  <w14:solidFill>
                    <w14:schemeClr w14:val="tx1"/>
                  </w14:solidFill>
                </w14:textFill>
              </w:rPr>
              <w:t>3、建设内容</w:t>
            </w:r>
          </w:p>
          <w:p w14:paraId="2C931084">
            <w:pPr>
              <w:pStyle w:val="6"/>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本次扩建在原租赁钢结构厂房内（共1层）进行，仅增加设备，不新增占地。</w:t>
            </w:r>
            <w:r>
              <w:rPr>
                <w:rFonts w:hint="default" w:ascii="Times New Roman" w:hAnsi="Times New Roman" w:cs="Times New Roman"/>
                <w:color w:val="000000" w:themeColor="text1"/>
                <w:sz w:val="24"/>
                <w14:textFill>
                  <w14:solidFill>
                    <w14:schemeClr w14:val="tx1"/>
                  </w14:solidFill>
                </w14:textFill>
              </w:rPr>
              <w:t>厂房占地面积1780m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、高度12m</w:t>
            </w:r>
            <w:r>
              <w:rPr>
                <w:rFonts w:hint="default" w:ascii="Times New Roman" w:hAnsi="Times New Roman" w:cs="Times New Roman"/>
                <w:color w:val="000000" w:themeColor="text1"/>
                <w:sz w:val="24"/>
                <w:lang w:eastAsia="zh-CN"/>
                <w14:textFill>
                  <w14:solidFill>
                    <w14:schemeClr w14:val="tx1"/>
                  </w14:solidFill>
                </w14:textFill>
              </w:rPr>
              <w:t>。</w:t>
            </w:r>
          </w:p>
          <w:p w14:paraId="76A4CBF7">
            <w:pPr>
              <w:pStyle w:val="6"/>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公司现有</w:t>
            </w:r>
            <w:r>
              <w:rPr>
                <w:rFonts w:hint="default" w:ascii="Times New Roman" w:hAnsi="Times New Roman" w:cs="Times New Roman"/>
                <w:color w:val="000000" w:themeColor="text1"/>
                <w:sz w:val="24"/>
                <w14:textFill>
                  <w14:solidFill>
                    <w14:schemeClr w14:val="tx1"/>
                  </w14:solidFill>
                </w14:textFill>
              </w:rPr>
              <w:t>机械加工</w:t>
            </w:r>
            <w:r>
              <w:rPr>
                <w:rFonts w:hint="default" w:ascii="Times New Roman" w:hAnsi="Times New Roman" w:cs="Times New Roman"/>
                <w:color w:val="000000" w:themeColor="text1"/>
                <w:sz w:val="24"/>
                <w:lang w:val="en-US" w:eastAsia="zh-CN"/>
                <w14:textFill>
                  <w14:solidFill>
                    <w14:schemeClr w14:val="tx1"/>
                  </w14:solidFill>
                </w14:textFill>
              </w:rPr>
              <w:t>区</w:t>
            </w:r>
            <w:r>
              <w:rPr>
                <w:rFonts w:hint="default" w:ascii="Times New Roman" w:hAnsi="Times New Roman" w:cs="Times New Roman"/>
                <w:color w:val="000000" w:themeColor="text1"/>
                <w:sz w:val="24"/>
                <w14:textFill>
                  <w14:solidFill>
                    <w14:schemeClr w14:val="tx1"/>
                  </w14:solidFill>
                </w14:textFill>
              </w:rPr>
              <w:t>、固化区域、脱模区与装配区、缠绕工位</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位、检验室、废料收集区等；租赁办公楼内1间办公室，办公室面积260m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vertAlign w:val="baseline"/>
                <w:lang w:eastAsia="zh-CN"/>
                <w14:textFill>
                  <w14:solidFill>
                    <w14:schemeClr w14:val="tx1"/>
                  </w14:solidFill>
                </w14:textFill>
              </w:rPr>
              <w:t>。</w:t>
            </w:r>
          </w:p>
          <w:p w14:paraId="032D90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公司计划增加1个缠绕工位，配套增加1套多轴智能位纤维缠绕机等设施设备；固化区域增加4台中温固化炉（电炉）；脱模区与装配区增加1台车床、3台数控车床、1套200吨热压机、1台加工中心等设施设备，配套增加环保处置设施及相关设备，组建新增完成一条生产线，项目建成后预计实现年产玻璃纤维制品10200件（套）、碳纤维制品200台（套）生产能力。本项目主要建设内容见表2-3，生产设施及设施参数见表2-4。</w:t>
            </w:r>
          </w:p>
          <w:p w14:paraId="6C3738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表2-3  项目主要工程内容一览表</w:t>
            </w:r>
          </w:p>
          <w:tbl>
            <w:tblPr>
              <w:tblStyle w:val="14"/>
              <w:tblpPr w:leftFromText="181" w:rightFromText="181" w:vertAnchor="text" w:horzAnchor="page" w:tblpX="80"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30"/>
              <w:gridCol w:w="2770"/>
              <w:gridCol w:w="3705"/>
            </w:tblGrid>
            <w:tr w14:paraId="2BDF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Align w:val="center"/>
                </w:tcPr>
                <w:p w14:paraId="58D87213">
                  <w:pPr>
                    <w:pStyle w:val="33"/>
                    <w:widowControl w:val="0"/>
                    <w:adjustRightInd/>
                    <w:snapToGrid/>
                    <w:spacing w:line="240" w:lineRule="auto"/>
                    <w:rPr>
                      <w:rFonts w:hint="default" w:ascii="Times New Roman" w:hAnsi="Times New Roman" w:cs="Times New Roman" w:eastAsiaTheme="minorEastAsia"/>
                      <w:b/>
                      <w:color w:val="000000" w:themeColor="text1"/>
                      <w:spacing w:val="4"/>
                      <w:kern w:val="2"/>
                      <w:sz w:val="21"/>
                      <w:szCs w:val="21"/>
                      <w14:textFill>
                        <w14:solidFill>
                          <w14:schemeClr w14:val="tx1"/>
                        </w14:solidFill>
                      </w14:textFill>
                    </w:rPr>
                  </w:pPr>
                  <w:r>
                    <w:rPr>
                      <w:rFonts w:hint="default" w:ascii="Times New Roman" w:hAnsi="Times New Roman" w:cs="Times New Roman" w:eastAsiaTheme="minorEastAsia"/>
                      <w:b/>
                      <w:color w:val="000000" w:themeColor="text1"/>
                      <w:spacing w:val="4"/>
                      <w:kern w:val="2"/>
                      <w:sz w:val="21"/>
                      <w:szCs w:val="21"/>
                      <w14:textFill>
                        <w14:solidFill>
                          <w14:schemeClr w14:val="tx1"/>
                        </w14:solidFill>
                      </w14:textFill>
                    </w:rPr>
                    <w:t>类别</w:t>
                  </w:r>
                </w:p>
              </w:tc>
              <w:tc>
                <w:tcPr>
                  <w:tcW w:w="459" w:type="pct"/>
                  <w:vAlign w:val="center"/>
                </w:tcPr>
                <w:p w14:paraId="03936E89">
                  <w:pPr>
                    <w:adjustRightInd/>
                    <w:snapToGrid/>
                    <w:spacing w:after="0" w:line="240" w:lineRule="auto"/>
                    <w:jc w:val="center"/>
                    <w:rPr>
                      <w:rFonts w:hint="default" w:ascii="Times New Roman" w:hAnsi="Times New Roman" w:cs="Times New Roman" w:eastAsiaTheme="minorEastAsia"/>
                      <w:b/>
                      <w:color w:val="000000" w:themeColor="text1"/>
                      <w:spacing w:val="4"/>
                      <w:sz w:val="21"/>
                      <w:szCs w:val="21"/>
                      <w14:textFill>
                        <w14:solidFill>
                          <w14:schemeClr w14:val="tx1"/>
                        </w14:solidFill>
                      </w14:textFill>
                    </w:rPr>
                  </w:pPr>
                  <w:r>
                    <w:rPr>
                      <w:rFonts w:hint="default" w:ascii="Times New Roman" w:hAnsi="Times New Roman" w:cs="Times New Roman" w:eastAsiaTheme="minorEastAsia"/>
                      <w:b/>
                      <w:color w:val="000000" w:themeColor="text1"/>
                      <w:spacing w:val="4"/>
                      <w:sz w:val="21"/>
                      <w:szCs w:val="21"/>
                      <w14:textFill>
                        <w14:solidFill>
                          <w14:schemeClr w14:val="tx1"/>
                        </w14:solidFill>
                      </w14:textFill>
                    </w:rPr>
                    <w:t>项目名称</w:t>
                  </w:r>
                </w:p>
              </w:tc>
              <w:tc>
                <w:tcPr>
                  <w:tcW w:w="1745" w:type="pct"/>
                  <w:vAlign w:val="center"/>
                </w:tcPr>
                <w:p w14:paraId="461A4FC5">
                  <w:pPr>
                    <w:adjustRightInd/>
                    <w:snapToGrid/>
                    <w:spacing w:after="0" w:line="240" w:lineRule="auto"/>
                    <w:jc w:val="center"/>
                    <w:rPr>
                      <w:rFonts w:hint="default" w:ascii="Times New Roman" w:hAnsi="Times New Roman" w:cs="Times New Roman" w:eastAsiaTheme="minorEastAsia"/>
                      <w:b/>
                      <w:color w:val="000000" w:themeColor="text1"/>
                      <w:spacing w:val="4"/>
                      <w:sz w:val="21"/>
                      <w:szCs w:val="21"/>
                      <w:lang w:val="en-US" w:eastAsia="zh-CN"/>
                      <w14:textFill>
                        <w14:solidFill>
                          <w14:schemeClr w14:val="tx1"/>
                        </w14:solidFill>
                      </w14:textFill>
                    </w:rPr>
                  </w:pPr>
                  <w:r>
                    <w:rPr>
                      <w:rFonts w:hint="default" w:ascii="Times New Roman" w:hAnsi="Times New Roman" w:cs="Times New Roman" w:eastAsiaTheme="minorEastAsia"/>
                      <w:b/>
                      <w:color w:val="000000" w:themeColor="text1"/>
                      <w:spacing w:val="4"/>
                      <w:sz w:val="21"/>
                      <w:szCs w:val="21"/>
                      <w:lang w:val="en-US" w:eastAsia="zh-CN"/>
                      <w14:textFill>
                        <w14:solidFill>
                          <w14:schemeClr w14:val="tx1"/>
                        </w14:solidFill>
                      </w14:textFill>
                    </w:rPr>
                    <w:t>原有项目</w:t>
                  </w:r>
                </w:p>
              </w:tc>
              <w:tc>
                <w:tcPr>
                  <w:tcW w:w="2334" w:type="pct"/>
                  <w:vAlign w:val="center"/>
                </w:tcPr>
                <w:p w14:paraId="242A0BA1">
                  <w:pPr>
                    <w:adjustRightInd/>
                    <w:snapToGrid/>
                    <w:spacing w:after="0" w:line="240" w:lineRule="auto"/>
                    <w:jc w:val="center"/>
                    <w:rPr>
                      <w:rFonts w:hint="default" w:ascii="Times New Roman" w:hAnsi="Times New Roman" w:cs="Times New Roman" w:eastAsiaTheme="minorEastAsia"/>
                      <w:b/>
                      <w:color w:val="000000" w:themeColor="text1"/>
                      <w:spacing w:val="4"/>
                      <w:sz w:val="21"/>
                      <w:szCs w:val="21"/>
                      <w14:textFill>
                        <w14:solidFill>
                          <w14:schemeClr w14:val="tx1"/>
                        </w14:solidFill>
                      </w14:textFill>
                    </w:rPr>
                  </w:pPr>
                  <w:r>
                    <w:rPr>
                      <w:rFonts w:hint="default" w:ascii="Times New Roman" w:hAnsi="Times New Roman" w:cs="Times New Roman" w:eastAsiaTheme="minorEastAsia"/>
                      <w:b/>
                      <w:color w:val="000000" w:themeColor="text1"/>
                      <w:spacing w:val="4"/>
                      <w:sz w:val="21"/>
                      <w:szCs w:val="21"/>
                      <w14:textFill>
                        <w14:solidFill>
                          <w14:schemeClr w14:val="tx1"/>
                        </w14:solidFill>
                      </w14:textFill>
                    </w:rPr>
                    <w:t>本次建设内容</w:t>
                  </w:r>
                </w:p>
              </w:tc>
            </w:tr>
            <w:tr w14:paraId="1A5E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restart"/>
                  <w:vAlign w:val="center"/>
                </w:tcPr>
                <w:p w14:paraId="679AE7B7">
                  <w:pPr>
                    <w:adjustRightInd/>
                    <w:snapToGrid/>
                    <w:spacing w:after="0" w:line="240" w:lineRule="auto"/>
                    <w:jc w:val="center"/>
                    <w:rPr>
                      <w:rFonts w:hint="default" w:ascii="Times New Roman" w:hAnsi="Times New Roman" w:cs="Times New Roman" w:eastAsiaTheme="minorEastAsia"/>
                      <w:color w:val="000000" w:themeColor="text1"/>
                      <w:spacing w:val="4"/>
                      <w:sz w:val="21"/>
                      <w:szCs w:val="21"/>
                      <w14:textFill>
                        <w14:solidFill>
                          <w14:schemeClr w14:val="tx1"/>
                        </w14:solidFill>
                      </w14:textFill>
                    </w:rPr>
                  </w:pPr>
                  <w:r>
                    <w:rPr>
                      <w:rFonts w:hint="default" w:ascii="Times New Roman" w:hAnsi="Times New Roman" w:cs="Times New Roman" w:eastAsiaTheme="minorEastAsia"/>
                      <w:color w:val="000000" w:themeColor="text1"/>
                      <w:spacing w:val="4"/>
                      <w:sz w:val="21"/>
                      <w:szCs w:val="21"/>
                      <w14:textFill>
                        <w14:solidFill>
                          <w14:schemeClr w14:val="tx1"/>
                        </w14:solidFill>
                      </w14:textFill>
                    </w:rPr>
                    <w:t>主体</w:t>
                  </w:r>
                </w:p>
                <w:p w14:paraId="6622E426">
                  <w:pPr>
                    <w:adjustRightInd/>
                    <w:snapToGrid/>
                    <w:spacing w:after="0" w:line="240" w:lineRule="auto"/>
                    <w:jc w:val="center"/>
                    <w:rPr>
                      <w:rFonts w:hint="default" w:ascii="Times New Roman" w:hAnsi="Times New Roman" w:cs="Times New Roman" w:eastAsiaTheme="minorEastAsia"/>
                      <w:color w:val="000000" w:themeColor="text1"/>
                      <w:spacing w:val="4"/>
                      <w:sz w:val="21"/>
                      <w:szCs w:val="21"/>
                      <w14:textFill>
                        <w14:solidFill>
                          <w14:schemeClr w14:val="tx1"/>
                        </w14:solidFill>
                      </w14:textFill>
                    </w:rPr>
                  </w:pPr>
                  <w:r>
                    <w:rPr>
                      <w:rFonts w:hint="default" w:ascii="Times New Roman" w:hAnsi="Times New Roman" w:cs="Times New Roman" w:eastAsiaTheme="minorEastAsia"/>
                      <w:color w:val="000000" w:themeColor="text1"/>
                      <w:spacing w:val="4"/>
                      <w:sz w:val="21"/>
                      <w:szCs w:val="21"/>
                      <w14:textFill>
                        <w14:solidFill>
                          <w14:schemeClr w14:val="tx1"/>
                        </w14:solidFill>
                      </w14:textFill>
                    </w:rPr>
                    <w:t>工程</w:t>
                  </w:r>
                </w:p>
              </w:tc>
              <w:tc>
                <w:tcPr>
                  <w:tcW w:w="459" w:type="pct"/>
                  <w:vAlign w:val="center"/>
                </w:tcPr>
                <w:p w14:paraId="70C5A39B">
                  <w:pPr>
                    <w:adjustRightInd/>
                    <w:snapToGrid/>
                    <w:spacing w:after="0" w:line="240" w:lineRule="auto"/>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机械加工</w:t>
                  </w:r>
                  <w:r>
                    <w:rPr>
                      <w:rFonts w:hint="eastAsia" w:ascii="Times New Roman" w:hAnsi="Times New Roman" w:cs="Times New Roman"/>
                      <w:color w:val="000000" w:themeColor="text1"/>
                      <w:sz w:val="21"/>
                      <w:szCs w:val="21"/>
                      <w:lang w:val="en-US" w:eastAsia="zh-CN"/>
                      <w14:textFill>
                        <w14:solidFill>
                          <w14:schemeClr w14:val="tx1"/>
                        </w14:solidFill>
                      </w14:textFill>
                    </w:rPr>
                    <w:t>区</w:t>
                  </w:r>
                </w:p>
              </w:tc>
              <w:tc>
                <w:tcPr>
                  <w:tcW w:w="1745" w:type="pct"/>
                  <w:shd w:val="clear" w:color="auto" w:fill="auto"/>
                  <w:vAlign w:val="center"/>
                </w:tcPr>
                <w:p w14:paraId="3AF8A7A2">
                  <w:pPr>
                    <w:adjustRightInd/>
                    <w:snapToGrid/>
                    <w:spacing w:after="0" w:line="240" w:lineRule="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长30m×宽11m</w:t>
                  </w:r>
                </w:p>
              </w:tc>
              <w:tc>
                <w:tcPr>
                  <w:tcW w:w="2334" w:type="pct"/>
                  <w:vAlign w:val="center"/>
                </w:tcPr>
                <w:p w14:paraId="0452DDF3">
                  <w:pPr>
                    <w:adjustRightInd/>
                    <w:snapToGrid/>
                    <w:spacing w:after="0"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依托原有机械加工</w:t>
                  </w:r>
                  <w:r>
                    <w:rPr>
                      <w:rFonts w:hint="eastAsia" w:ascii="Times New Roman" w:hAnsi="Times New Roman" w:cs="Times New Roman"/>
                      <w:color w:val="000000" w:themeColor="text1"/>
                      <w:sz w:val="21"/>
                      <w:szCs w:val="21"/>
                      <w:lang w:val="en-US" w:eastAsia="zh-CN"/>
                      <w14:textFill>
                        <w14:solidFill>
                          <w14:schemeClr w14:val="tx1"/>
                        </w14:solidFill>
                      </w14:textFill>
                    </w:rPr>
                    <w:t>区</w:t>
                  </w:r>
                </w:p>
              </w:tc>
            </w:tr>
            <w:tr w14:paraId="2F69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vAlign w:val="center"/>
                </w:tcPr>
                <w:p w14:paraId="6403DB1A">
                  <w:pPr>
                    <w:adjustRightInd/>
                    <w:snapToGrid/>
                    <w:spacing w:after="0" w:line="240" w:lineRule="auto"/>
                    <w:jc w:val="center"/>
                    <w:rPr>
                      <w:rFonts w:hint="default" w:ascii="Times New Roman" w:hAnsi="Times New Roman" w:cs="Times New Roman" w:eastAsiaTheme="minorEastAsia"/>
                      <w:color w:val="000000" w:themeColor="text1"/>
                      <w:spacing w:val="4"/>
                      <w:sz w:val="21"/>
                      <w:szCs w:val="21"/>
                      <w14:textFill>
                        <w14:solidFill>
                          <w14:schemeClr w14:val="tx1"/>
                        </w14:solidFill>
                      </w14:textFill>
                    </w:rPr>
                  </w:pPr>
                </w:p>
              </w:tc>
              <w:tc>
                <w:tcPr>
                  <w:tcW w:w="459" w:type="pct"/>
                  <w:vAlign w:val="center"/>
                </w:tcPr>
                <w:p w14:paraId="3A887181">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固化</w:t>
                  </w:r>
                </w:p>
                <w:p w14:paraId="64B937F6">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区域</w:t>
                  </w:r>
                </w:p>
              </w:tc>
              <w:tc>
                <w:tcPr>
                  <w:tcW w:w="1745" w:type="pct"/>
                  <w:shd w:val="clear" w:color="auto" w:fill="auto"/>
                  <w:vAlign w:val="center"/>
                </w:tcPr>
                <w:p w14:paraId="04C789C7">
                  <w:pPr>
                    <w:adjustRightInd/>
                    <w:snapToGrid/>
                    <w:spacing w:after="0" w:line="240" w:lineRule="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位于机械加工</w:t>
                  </w:r>
                  <w:r>
                    <w:rPr>
                      <w:rFonts w:hint="eastAsia" w:ascii="Times New Roman" w:hAnsi="Times New Roman" w:cs="Times New Roman"/>
                      <w:color w:val="000000" w:themeColor="text1"/>
                      <w:sz w:val="21"/>
                      <w:szCs w:val="21"/>
                      <w:lang w:val="en-US" w:eastAsia="zh-CN"/>
                      <w14:textFill>
                        <w14:solidFill>
                          <w14:schemeClr w14:val="tx1"/>
                        </w14:solidFill>
                      </w14:textFill>
                    </w:rPr>
                    <w:t>区北</w:t>
                  </w:r>
                  <w:r>
                    <w:rPr>
                      <w:rFonts w:hint="default" w:ascii="Times New Roman" w:hAnsi="Times New Roman" w:cs="Times New Roman" w:eastAsiaTheme="minorEastAsia"/>
                      <w:color w:val="000000" w:themeColor="text1"/>
                      <w:sz w:val="21"/>
                      <w:szCs w:val="21"/>
                      <w14:textFill>
                        <w14:solidFill>
                          <w14:schemeClr w14:val="tx1"/>
                        </w14:solidFill>
                      </w14:textFill>
                    </w:rPr>
                    <w:t>侧，长15.6 m×宽9.5 m，布置3台固化炉。</w:t>
                  </w:r>
                </w:p>
              </w:tc>
              <w:tc>
                <w:tcPr>
                  <w:tcW w:w="2334" w:type="pct"/>
                  <w:vAlign w:val="center"/>
                </w:tcPr>
                <w:p w14:paraId="720ED813">
                  <w:pPr>
                    <w:adjustRightInd/>
                    <w:snapToGrid/>
                    <w:spacing w:after="0"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在原有固化区域进行布局调整，本次增加4台固化炉。</w:t>
                  </w:r>
                </w:p>
              </w:tc>
            </w:tr>
            <w:tr w14:paraId="5662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vAlign w:val="center"/>
                </w:tcPr>
                <w:p w14:paraId="5912A3EE">
                  <w:pPr>
                    <w:adjustRightInd/>
                    <w:snapToGrid/>
                    <w:spacing w:after="0" w:line="240" w:lineRule="auto"/>
                    <w:jc w:val="center"/>
                    <w:rPr>
                      <w:rFonts w:hint="default" w:ascii="Times New Roman" w:hAnsi="Times New Roman" w:cs="Times New Roman" w:eastAsiaTheme="minorEastAsia"/>
                      <w:color w:val="000000" w:themeColor="text1"/>
                      <w:spacing w:val="4"/>
                      <w:sz w:val="21"/>
                      <w:szCs w:val="21"/>
                      <w14:textFill>
                        <w14:solidFill>
                          <w14:schemeClr w14:val="tx1"/>
                        </w14:solidFill>
                      </w14:textFill>
                    </w:rPr>
                  </w:pPr>
                </w:p>
              </w:tc>
              <w:tc>
                <w:tcPr>
                  <w:tcW w:w="459" w:type="pct"/>
                  <w:vAlign w:val="center"/>
                </w:tcPr>
                <w:p w14:paraId="341347D5">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脱模区与装配区</w:t>
                  </w:r>
                </w:p>
              </w:tc>
              <w:tc>
                <w:tcPr>
                  <w:tcW w:w="1745" w:type="pct"/>
                  <w:shd w:val="clear" w:color="auto" w:fill="auto"/>
                  <w:vAlign w:val="center"/>
                </w:tcPr>
                <w:p w14:paraId="0A32C9F4">
                  <w:pPr>
                    <w:adjustRightInd/>
                    <w:snapToGrid/>
                    <w:spacing w:after="0" w:line="240" w:lineRule="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位于固化区域南侧，长7.7m×宽9 m，布置脱模设备。</w:t>
                  </w:r>
                </w:p>
              </w:tc>
              <w:tc>
                <w:tcPr>
                  <w:tcW w:w="2334" w:type="pct"/>
                  <w:vAlign w:val="center"/>
                </w:tcPr>
                <w:p w14:paraId="7A979F78">
                  <w:pPr>
                    <w:adjustRightInd/>
                    <w:snapToGrid/>
                    <w:spacing w:after="0"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依托原有</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14:paraId="2AF4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vAlign w:val="center"/>
                </w:tcPr>
                <w:p w14:paraId="5B7494D3">
                  <w:pPr>
                    <w:adjustRightInd/>
                    <w:snapToGrid/>
                    <w:spacing w:after="0" w:line="240" w:lineRule="auto"/>
                    <w:jc w:val="center"/>
                    <w:rPr>
                      <w:rFonts w:hint="default" w:ascii="Times New Roman" w:hAnsi="Times New Roman" w:cs="Times New Roman" w:eastAsiaTheme="minorEastAsia"/>
                      <w:color w:val="000000" w:themeColor="text1"/>
                      <w:spacing w:val="4"/>
                      <w:sz w:val="21"/>
                      <w:szCs w:val="21"/>
                      <w14:textFill>
                        <w14:solidFill>
                          <w14:schemeClr w14:val="tx1"/>
                        </w14:solidFill>
                      </w14:textFill>
                    </w:rPr>
                  </w:pPr>
                </w:p>
              </w:tc>
              <w:tc>
                <w:tcPr>
                  <w:tcW w:w="459" w:type="pct"/>
                  <w:vAlign w:val="center"/>
                </w:tcPr>
                <w:p w14:paraId="78DDABD8">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缠绕</w:t>
                  </w:r>
                </w:p>
                <w:p w14:paraId="329DFC8B">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工位</w:t>
                  </w:r>
                </w:p>
              </w:tc>
              <w:tc>
                <w:tcPr>
                  <w:tcW w:w="1745" w:type="pct"/>
                  <w:shd w:val="clear" w:color="auto" w:fill="auto"/>
                  <w:vAlign w:val="center"/>
                </w:tcPr>
                <w:p w14:paraId="6325515E">
                  <w:pPr>
                    <w:adjustRightInd/>
                    <w:snapToGrid/>
                    <w:spacing w:after="0" w:line="240" w:lineRule="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共2位，位于厂房东北角，均为长11m×宽13m，布置1台缠绕设备。</w:t>
                  </w:r>
                </w:p>
              </w:tc>
              <w:tc>
                <w:tcPr>
                  <w:tcW w:w="2334" w:type="pct"/>
                  <w:vAlign w:val="center"/>
                </w:tcPr>
                <w:p w14:paraId="2EAF7F7A">
                  <w:pPr>
                    <w:adjustRightInd/>
                    <w:snapToGrid/>
                    <w:spacing w:after="0"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本次增加</w:t>
                  </w:r>
                  <w:r>
                    <w:rPr>
                      <w:rFonts w:hint="eastAsia" w:ascii="Times New Roman" w:hAnsi="Times New Roman" w:cs="Times New Roman"/>
                      <w:color w:val="000000" w:themeColor="text1"/>
                      <w:sz w:val="21"/>
                      <w:szCs w:val="21"/>
                      <w:lang w:val="en-US" w:eastAsia="zh-CN"/>
                      <w14:textFill>
                        <w14:solidFill>
                          <w14:schemeClr w14:val="tx1"/>
                        </w14:solidFill>
                      </w14:textFill>
                    </w:rPr>
                    <w:t>在厂房东南角增加1个缠绕工位</w:t>
                  </w:r>
                  <w:r>
                    <w:rPr>
                      <w:rFonts w:hint="default" w:ascii="Times New Roman" w:hAnsi="Times New Roman" w:cs="Times New Roman" w:eastAsiaTheme="minorEastAsia"/>
                      <w:color w:val="000000" w:themeColor="text1"/>
                      <w:sz w:val="21"/>
                      <w:szCs w:val="21"/>
                      <w14:textFill>
                        <w14:solidFill>
                          <w14:schemeClr w14:val="tx1"/>
                        </w14:solidFill>
                      </w14:textFill>
                    </w:rPr>
                    <w:t>长13m×宽</w:t>
                  </w:r>
                  <w:r>
                    <w:rPr>
                      <w:rFonts w:hint="eastAsia" w:ascii="Times New Roman" w:hAnsi="Times New Roman" w:cs="Times New Roman"/>
                      <w:color w:val="000000" w:themeColor="text1"/>
                      <w:sz w:val="21"/>
                      <w:szCs w:val="21"/>
                      <w:lang w:val="en-US" w:eastAsia="zh-CN"/>
                      <w14:textFill>
                        <w14:solidFill>
                          <w14:schemeClr w14:val="tx1"/>
                        </w14:solidFill>
                      </w14:textFill>
                    </w:rPr>
                    <w:t>7.5</w:t>
                  </w:r>
                  <w:r>
                    <w:rPr>
                      <w:rFonts w:hint="default" w:ascii="Times New Roman" w:hAnsi="Times New Roman" w:cs="Times New Roman" w:eastAsiaTheme="minorEastAsia"/>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lang w:val="en-US" w:eastAsia="zh-CN"/>
                      <w14:textFill>
                        <w14:solidFill>
                          <w14:schemeClr w14:val="tx1"/>
                        </w14:solidFill>
                      </w14:textFill>
                    </w:rPr>
                    <w:t>，布置1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台缠绕设备</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14:paraId="4969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restart"/>
                  <w:vAlign w:val="center"/>
                </w:tcPr>
                <w:p w14:paraId="660CD7EF">
                  <w:pPr>
                    <w:adjustRightInd/>
                    <w:snapToGrid/>
                    <w:spacing w:after="0" w:line="240" w:lineRule="auto"/>
                    <w:jc w:val="center"/>
                    <w:rPr>
                      <w:rFonts w:hint="default" w:ascii="Times New Roman" w:hAnsi="Times New Roman" w:cs="Times New Roman" w:eastAsiaTheme="minorEastAsia"/>
                      <w:color w:val="000000" w:themeColor="text1"/>
                      <w:spacing w:val="4"/>
                      <w:sz w:val="21"/>
                      <w:szCs w:val="21"/>
                      <w14:textFill>
                        <w14:solidFill>
                          <w14:schemeClr w14:val="tx1"/>
                        </w14:solidFill>
                      </w14:textFill>
                    </w:rPr>
                  </w:pPr>
                  <w:r>
                    <w:rPr>
                      <w:rFonts w:hint="default" w:ascii="Times New Roman" w:hAnsi="Times New Roman" w:cs="Times New Roman" w:eastAsiaTheme="minorEastAsia"/>
                      <w:color w:val="000000" w:themeColor="text1"/>
                      <w:spacing w:val="4"/>
                      <w:sz w:val="21"/>
                      <w:szCs w:val="21"/>
                      <w14:textFill>
                        <w14:solidFill>
                          <w14:schemeClr w14:val="tx1"/>
                        </w14:solidFill>
                      </w14:textFill>
                    </w:rPr>
                    <w:t>辅助工程</w:t>
                  </w:r>
                </w:p>
              </w:tc>
              <w:tc>
                <w:tcPr>
                  <w:tcW w:w="459" w:type="pct"/>
                  <w:vAlign w:val="center"/>
                </w:tcPr>
                <w:p w14:paraId="4801AAD8">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办公休息区</w:t>
                  </w:r>
                </w:p>
              </w:tc>
              <w:tc>
                <w:tcPr>
                  <w:tcW w:w="1745" w:type="pct"/>
                  <w:shd w:val="clear" w:color="auto" w:fill="auto"/>
                  <w:vAlign w:val="center"/>
                </w:tcPr>
                <w:p w14:paraId="350D71B4">
                  <w:pPr>
                    <w:adjustRightInd/>
                    <w:snapToGrid/>
                    <w:spacing w:after="0" w:line="240" w:lineRule="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位于机械加工</w:t>
                  </w:r>
                  <w:r>
                    <w:rPr>
                      <w:rFonts w:hint="eastAsia" w:ascii="Times New Roman" w:hAnsi="Times New Roman" w:cs="Times New Roman"/>
                      <w:color w:val="000000" w:themeColor="text1"/>
                      <w:sz w:val="21"/>
                      <w:szCs w:val="21"/>
                      <w:lang w:val="en-US" w:eastAsia="zh-CN"/>
                      <w14:textFill>
                        <w14:solidFill>
                          <w14:schemeClr w14:val="tx1"/>
                        </w14:solidFill>
                      </w14:textFill>
                    </w:rPr>
                    <w:t>区</w:t>
                  </w:r>
                  <w:r>
                    <w:rPr>
                      <w:rFonts w:hint="default" w:ascii="Times New Roman" w:hAnsi="Times New Roman" w:cs="Times New Roman" w:eastAsiaTheme="minorEastAsia"/>
                      <w:color w:val="000000" w:themeColor="text1"/>
                      <w:sz w:val="21"/>
                      <w:szCs w:val="21"/>
                      <w14:textFill>
                        <w14:solidFill>
                          <w14:schemeClr w14:val="tx1"/>
                        </w14:solidFill>
                      </w14:textFill>
                    </w:rPr>
                    <w:t>西侧，长5.7m×宽3.9m。</w:t>
                  </w:r>
                </w:p>
              </w:tc>
              <w:tc>
                <w:tcPr>
                  <w:tcW w:w="2334" w:type="pct"/>
                  <w:vAlign w:val="center"/>
                </w:tcPr>
                <w:p w14:paraId="7E43C14D">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依托原有</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14:paraId="5919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vAlign w:val="center"/>
                </w:tcPr>
                <w:p w14:paraId="486FC5D2">
                  <w:pPr>
                    <w:adjustRightInd/>
                    <w:snapToGrid/>
                    <w:spacing w:after="0" w:line="240" w:lineRule="auto"/>
                    <w:jc w:val="center"/>
                    <w:rPr>
                      <w:rFonts w:hint="default" w:ascii="Times New Roman" w:hAnsi="Times New Roman" w:cs="Times New Roman" w:eastAsiaTheme="minorEastAsia"/>
                      <w:color w:val="000000" w:themeColor="text1"/>
                      <w:spacing w:val="4"/>
                      <w:sz w:val="21"/>
                      <w:szCs w:val="21"/>
                      <w14:textFill>
                        <w14:solidFill>
                          <w14:schemeClr w14:val="tx1"/>
                        </w14:solidFill>
                      </w14:textFill>
                    </w:rPr>
                  </w:pPr>
                </w:p>
              </w:tc>
              <w:tc>
                <w:tcPr>
                  <w:tcW w:w="459" w:type="pct"/>
                  <w:vAlign w:val="center"/>
                </w:tcPr>
                <w:p w14:paraId="1BE13B2B">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检验室</w:t>
                  </w:r>
                </w:p>
              </w:tc>
              <w:tc>
                <w:tcPr>
                  <w:tcW w:w="1745" w:type="pct"/>
                  <w:shd w:val="clear" w:color="auto" w:fill="auto"/>
                  <w:vAlign w:val="center"/>
                </w:tcPr>
                <w:p w14:paraId="52CDD043">
                  <w:pPr>
                    <w:adjustRightInd/>
                    <w:snapToGrid/>
                    <w:spacing w:after="0" w:line="240" w:lineRule="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位于机械加工</w:t>
                  </w:r>
                  <w:r>
                    <w:rPr>
                      <w:rFonts w:hint="eastAsia" w:ascii="Times New Roman" w:hAnsi="Times New Roman" w:cs="Times New Roman"/>
                      <w:color w:val="000000" w:themeColor="text1"/>
                      <w:sz w:val="21"/>
                      <w:szCs w:val="21"/>
                      <w:lang w:val="en-US" w:eastAsia="zh-CN"/>
                      <w14:textFill>
                        <w14:solidFill>
                          <w14:schemeClr w14:val="tx1"/>
                        </w14:solidFill>
                      </w14:textFill>
                    </w:rPr>
                    <w:t>区</w:t>
                  </w:r>
                  <w:r>
                    <w:rPr>
                      <w:rFonts w:hint="default" w:ascii="Times New Roman" w:hAnsi="Times New Roman" w:cs="Times New Roman" w:eastAsiaTheme="minorEastAsia"/>
                      <w:color w:val="000000" w:themeColor="text1"/>
                      <w:sz w:val="21"/>
                      <w:szCs w:val="21"/>
                      <w14:textFill>
                        <w14:solidFill>
                          <w14:schemeClr w14:val="tx1"/>
                        </w14:solidFill>
                      </w14:textFill>
                    </w:rPr>
                    <w:t>西北，长4m×宽5m。</w:t>
                  </w:r>
                </w:p>
              </w:tc>
              <w:tc>
                <w:tcPr>
                  <w:tcW w:w="2334" w:type="pct"/>
                  <w:vAlign w:val="center"/>
                </w:tcPr>
                <w:p w14:paraId="28BE8D0A">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依托原</w:t>
                  </w:r>
                  <w:r>
                    <w:rPr>
                      <w:rFonts w:hint="eastAsia" w:ascii="Times New Roman" w:hAnsi="Times New Roman" w:cs="Times New Roman"/>
                      <w:color w:val="000000" w:themeColor="text1"/>
                      <w:sz w:val="21"/>
                      <w:szCs w:val="21"/>
                      <w:lang w:val="en-US" w:eastAsia="zh-CN"/>
                      <w14:textFill>
                        <w14:solidFill>
                          <w14:schemeClr w14:val="tx1"/>
                        </w14:solidFill>
                      </w14:textFill>
                    </w:rPr>
                    <w:t>有。</w:t>
                  </w:r>
                </w:p>
              </w:tc>
            </w:tr>
            <w:tr w14:paraId="49E1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vAlign w:val="center"/>
                </w:tcPr>
                <w:p w14:paraId="21E75A8D">
                  <w:pPr>
                    <w:adjustRightInd/>
                    <w:snapToGrid/>
                    <w:spacing w:after="0" w:line="240" w:lineRule="auto"/>
                    <w:jc w:val="center"/>
                    <w:rPr>
                      <w:rFonts w:hint="default" w:ascii="Times New Roman" w:hAnsi="Times New Roman" w:cs="Times New Roman" w:eastAsiaTheme="minorEastAsia"/>
                      <w:color w:val="000000" w:themeColor="text1"/>
                      <w:spacing w:val="4"/>
                      <w:sz w:val="21"/>
                      <w:szCs w:val="21"/>
                      <w14:textFill>
                        <w14:solidFill>
                          <w14:schemeClr w14:val="tx1"/>
                        </w14:solidFill>
                      </w14:textFill>
                    </w:rPr>
                  </w:pPr>
                </w:p>
              </w:tc>
              <w:tc>
                <w:tcPr>
                  <w:tcW w:w="459" w:type="pct"/>
                  <w:vAlign w:val="center"/>
                </w:tcPr>
                <w:p w14:paraId="448E1FA7">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办公室</w:t>
                  </w:r>
                </w:p>
              </w:tc>
              <w:tc>
                <w:tcPr>
                  <w:tcW w:w="1745" w:type="pct"/>
                  <w:shd w:val="clear" w:color="auto" w:fill="auto"/>
                  <w:vAlign w:val="center"/>
                </w:tcPr>
                <w:p w14:paraId="07E501C5">
                  <w:pPr>
                    <w:adjustRightInd/>
                    <w:snapToGrid/>
                    <w:spacing w:after="0" w:line="240" w:lineRule="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位于园区内办公楼，面积260m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2334" w:type="pct"/>
                  <w:vAlign w:val="center"/>
                </w:tcPr>
                <w:p w14:paraId="4E5B5CD1">
                  <w:pPr>
                    <w:adjustRightInd/>
                    <w:snapToGrid/>
                    <w:spacing w:after="0" w:line="240" w:lineRule="auto"/>
                    <w:jc w:val="center"/>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依托原有</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14:paraId="29E5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vAlign w:val="center"/>
                </w:tcPr>
                <w:p w14:paraId="59DC36DD">
                  <w:pPr>
                    <w:adjustRightInd/>
                    <w:snapToGrid/>
                    <w:spacing w:after="0" w:line="240" w:lineRule="auto"/>
                    <w:jc w:val="center"/>
                    <w:rPr>
                      <w:rFonts w:hint="default" w:ascii="Times New Roman" w:hAnsi="Times New Roman" w:cs="Times New Roman" w:eastAsiaTheme="minorEastAsia"/>
                      <w:color w:val="000000" w:themeColor="text1"/>
                      <w:spacing w:val="4"/>
                      <w:sz w:val="21"/>
                      <w:szCs w:val="21"/>
                      <w14:textFill>
                        <w14:solidFill>
                          <w14:schemeClr w14:val="tx1"/>
                        </w14:solidFill>
                      </w14:textFill>
                    </w:rPr>
                  </w:pPr>
                </w:p>
              </w:tc>
              <w:tc>
                <w:tcPr>
                  <w:tcW w:w="459" w:type="pct"/>
                  <w:vAlign w:val="center"/>
                </w:tcPr>
                <w:p w14:paraId="3E5A78F6">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供电</w:t>
                  </w:r>
                </w:p>
              </w:tc>
              <w:tc>
                <w:tcPr>
                  <w:tcW w:w="1745" w:type="pct"/>
                  <w:shd w:val="clear" w:color="auto" w:fill="auto"/>
                  <w:vAlign w:val="center"/>
                </w:tcPr>
                <w:p w14:paraId="492ED10B">
                  <w:pPr>
                    <w:adjustRightInd/>
                    <w:snapToGrid/>
                    <w:spacing w:after="0" w:line="240" w:lineRule="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由园区供电系统供给。</w:t>
                  </w:r>
                </w:p>
              </w:tc>
              <w:tc>
                <w:tcPr>
                  <w:tcW w:w="2334" w:type="pct"/>
                  <w:vAlign w:val="center"/>
                </w:tcPr>
                <w:p w14:paraId="50CACC87">
                  <w:pPr>
                    <w:adjustRightInd/>
                    <w:snapToGrid/>
                    <w:spacing w:after="0" w:line="240" w:lineRule="auto"/>
                    <w:jc w:val="center"/>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依托原有</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14:paraId="7944E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tcBorders>
                    <w:bottom w:val="single" w:color="auto" w:sz="4" w:space="0"/>
                  </w:tcBorders>
                  <w:vAlign w:val="center"/>
                </w:tcPr>
                <w:p w14:paraId="11AA5108">
                  <w:pPr>
                    <w:adjustRightInd/>
                    <w:snapToGrid/>
                    <w:spacing w:after="0" w:line="240" w:lineRule="auto"/>
                    <w:jc w:val="center"/>
                    <w:rPr>
                      <w:rFonts w:hint="default" w:ascii="Times New Roman" w:hAnsi="Times New Roman" w:cs="Times New Roman" w:eastAsiaTheme="minorEastAsia"/>
                      <w:color w:val="000000" w:themeColor="text1"/>
                      <w:spacing w:val="4"/>
                      <w:sz w:val="21"/>
                      <w:szCs w:val="21"/>
                      <w14:textFill>
                        <w14:solidFill>
                          <w14:schemeClr w14:val="tx1"/>
                        </w14:solidFill>
                      </w14:textFill>
                    </w:rPr>
                  </w:pPr>
                </w:p>
              </w:tc>
              <w:tc>
                <w:tcPr>
                  <w:tcW w:w="459" w:type="pct"/>
                  <w:vAlign w:val="center"/>
                </w:tcPr>
                <w:p w14:paraId="76419B70">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供水</w:t>
                  </w:r>
                </w:p>
              </w:tc>
              <w:tc>
                <w:tcPr>
                  <w:tcW w:w="1745" w:type="pct"/>
                  <w:shd w:val="clear" w:color="auto" w:fill="auto"/>
                  <w:vAlign w:val="center"/>
                </w:tcPr>
                <w:p w14:paraId="762661C1">
                  <w:pPr>
                    <w:adjustRightInd/>
                    <w:snapToGrid/>
                    <w:spacing w:after="0" w:line="240" w:lineRule="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由园区供水系统供给。</w:t>
                  </w:r>
                </w:p>
              </w:tc>
              <w:tc>
                <w:tcPr>
                  <w:tcW w:w="2334" w:type="pct"/>
                  <w:vAlign w:val="center"/>
                </w:tcPr>
                <w:p w14:paraId="09E42A9D">
                  <w:pPr>
                    <w:adjustRightInd/>
                    <w:snapToGrid/>
                    <w:spacing w:after="0" w:line="240" w:lineRule="auto"/>
                    <w:jc w:val="center"/>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依托原有</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14:paraId="35A0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restart"/>
                  <w:tcBorders>
                    <w:bottom w:val="nil"/>
                  </w:tcBorders>
                  <w:vAlign w:val="center"/>
                </w:tcPr>
                <w:p w14:paraId="5895BF3B">
                  <w:pPr>
                    <w:adjustRightInd/>
                    <w:snapToGrid/>
                    <w:spacing w:after="0" w:line="240" w:lineRule="auto"/>
                    <w:jc w:val="center"/>
                    <w:rPr>
                      <w:rFonts w:hint="default" w:ascii="Times New Roman" w:hAnsi="Times New Roman" w:cs="Times New Roman" w:eastAsiaTheme="minorEastAsia"/>
                      <w:color w:val="000000" w:themeColor="text1"/>
                      <w:spacing w:val="4"/>
                      <w:sz w:val="21"/>
                      <w:szCs w:val="21"/>
                      <w14:textFill>
                        <w14:solidFill>
                          <w14:schemeClr w14:val="tx1"/>
                        </w14:solidFill>
                      </w14:textFill>
                    </w:rPr>
                  </w:pPr>
                  <w:r>
                    <w:rPr>
                      <w:rFonts w:hint="default" w:ascii="Times New Roman" w:hAnsi="Times New Roman" w:cs="Times New Roman" w:eastAsiaTheme="minorEastAsia"/>
                      <w:color w:val="000000" w:themeColor="text1"/>
                      <w:spacing w:val="4"/>
                      <w:sz w:val="21"/>
                      <w:szCs w:val="21"/>
                      <w14:textFill>
                        <w14:solidFill>
                          <w14:schemeClr w14:val="tx1"/>
                        </w14:solidFill>
                      </w14:textFill>
                    </w:rPr>
                    <w:t>储运工程</w:t>
                  </w:r>
                </w:p>
              </w:tc>
              <w:tc>
                <w:tcPr>
                  <w:tcW w:w="459" w:type="pct"/>
                  <w:vAlign w:val="center"/>
                </w:tcPr>
                <w:p w14:paraId="2F7AB36B">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原材</w:t>
                  </w:r>
                </w:p>
                <w:p w14:paraId="73CB4CB8">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料库</w:t>
                  </w:r>
                </w:p>
              </w:tc>
              <w:tc>
                <w:tcPr>
                  <w:tcW w:w="1745" w:type="pct"/>
                  <w:shd w:val="clear" w:color="auto" w:fill="auto"/>
                  <w:vAlign w:val="center"/>
                </w:tcPr>
                <w:p w14:paraId="7F63BAF2">
                  <w:pPr>
                    <w:adjustRightInd/>
                    <w:snapToGrid/>
                    <w:spacing w:after="0" w:line="240" w:lineRule="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位于车间西南角，长6 m×宽6m，用于原料存放。</w:t>
                  </w:r>
                </w:p>
              </w:tc>
              <w:tc>
                <w:tcPr>
                  <w:tcW w:w="2334" w:type="pct"/>
                  <w:vAlign w:val="center"/>
                </w:tcPr>
                <w:p w14:paraId="4BED2E3B">
                  <w:pPr>
                    <w:adjustRightInd/>
                    <w:snapToGrid/>
                    <w:spacing w:after="0"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本次拓宽原材料库，位置不变，面积增大，6m×10m.。</w:t>
                  </w:r>
                </w:p>
              </w:tc>
            </w:tr>
            <w:tr w14:paraId="22A91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tcBorders>
                    <w:bottom w:val="nil"/>
                  </w:tcBorders>
                  <w:vAlign w:val="center"/>
                </w:tcPr>
                <w:p w14:paraId="4BD887C2">
                  <w:pPr>
                    <w:adjustRightInd/>
                    <w:snapToGrid/>
                    <w:spacing w:after="0" w:line="240" w:lineRule="auto"/>
                    <w:jc w:val="center"/>
                    <w:rPr>
                      <w:rFonts w:hint="default" w:ascii="Times New Roman" w:hAnsi="Times New Roman" w:cs="Times New Roman" w:eastAsiaTheme="minorEastAsia"/>
                      <w:color w:val="000000" w:themeColor="text1"/>
                      <w:spacing w:val="4"/>
                      <w:sz w:val="21"/>
                      <w:szCs w:val="21"/>
                      <w14:textFill>
                        <w14:solidFill>
                          <w14:schemeClr w14:val="tx1"/>
                        </w14:solidFill>
                      </w14:textFill>
                    </w:rPr>
                  </w:pPr>
                </w:p>
              </w:tc>
              <w:tc>
                <w:tcPr>
                  <w:tcW w:w="459" w:type="pct"/>
                  <w:vAlign w:val="center"/>
                </w:tcPr>
                <w:p w14:paraId="60771F91">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成品库</w:t>
                  </w:r>
                </w:p>
              </w:tc>
              <w:tc>
                <w:tcPr>
                  <w:tcW w:w="1745" w:type="pct"/>
                  <w:shd w:val="clear" w:color="auto" w:fill="auto"/>
                  <w:vAlign w:val="center"/>
                </w:tcPr>
                <w:p w14:paraId="6FA8DC17">
                  <w:pPr>
                    <w:adjustRightInd/>
                    <w:snapToGrid/>
                    <w:spacing w:after="0" w:line="240" w:lineRule="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位于原材料库北侧，长7.2m×宽4m，用于产品存放。</w:t>
                  </w:r>
                </w:p>
              </w:tc>
              <w:tc>
                <w:tcPr>
                  <w:tcW w:w="2334" w:type="pct"/>
                  <w:vAlign w:val="center"/>
                </w:tcPr>
                <w:p w14:paraId="6C39955D">
                  <w:pPr>
                    <w:adjustRightInd/>
                    <w:snapToGrid/>
                    <w:spacing w:after="0"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新建一个成品库，规格为</w:t>
                  </w:r>
                  <w:r>
                    <w:rPr>
                      <w:rFonts w:hint="default" w:ascii="Times New Roman" w:hAnsi="Times New Roman" w:cs="Times New Roman" w:eastAsiaTheme="minorEastAsia"/>
                      <w:color w:val="000000" w:themeColor="text1"/>
                      <w:sz w:val="21"/>
                      <w:szCs w:val="21"/>
                      <w14:textFill>
                        <w14:solidFill>
                          <w14:schemeClr w14:val="tx1"/>
                        </w14:solidFill>
                      </w14:textFill>
                    </w:rPr>
                    <w:t>长7.2m×宽4m</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位于原料库北侧。</w:t>
                  </w:r>
                </w:p>
              </w:tc>
            </w:tr>
            <w:tr w14:paraId="156D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restart"/>
                  <w:vAlign w:val="center"/>
                </w:tcPr>
                <w:p w14:paraId="34333324">
                  <w:pPr>
                    <w:adjustRightInd/>
                    <w:snapToGrid/>
                    <w:spacing w:after="0" w:line="240" w:lineRule="auto"/>
                    <w:jc w:val="center"/>
                    <w:rPr>
                      <w:rFonts w:hint="default" w:ascii="Times New Roman" w:hAnsi="Times New Roman" w:cs="Times New Roman" w:eastAsiaTheme="minorEastAsia"/>
                      <w:color w:val="000000" w:themeColor="text1"/>
                      <w:spacing w:val="4"/>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环保工程</w:t>
                  </w:r>
                </w:p>
              </w:tc>
              <w:tc>
                <w:tcPr>
                  <w:tcW w:w="459" w:type="pct"/>
                  <w:vAlign w:val="center"/>
                </w:tcPr>
                <w:p w14:paraId="79A03749">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废气</w:t>
                  </w:r>
                </w:p>
                <w:p w14:paraId="3477418F">
                  <w:pPr>
                    <w:adjustRightInd/>
                    <w:snapToGrid/>
                    <w:spacing w:after="0" w:line="240" w:lineRule="auto"/>
                    <w:jc w:val="center"/>
                    <w:rPr>
                      <w:rFonts w:hint="default" w:ascii="Times New Roman" w:hAnsi="Times New Roman" w:cs="Times New Roman" w:eastAsiaTheme="minorEastAsia"/>
                      <w:color w:val="000000" w:themeColor="text1"/>
                      <w:sz w:val="21"/>
                      <w:szCs w:val="21"/>
                      <w:highlight w:val="yellow"/>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处理</w:t>
                  </w:r>
                </w:p>
              </w:tc>
              <w:tc>
                <w:tcPr>
                  <w:tcW w:w="1745" w:type="pct"/>
                  <w:shd w:val="clear" w:color="auto" w:fill="auto"/>
                  <w:vAlign w:val="center"/>
                </w:tcPr>
                <w:p w14:paraId="75578B28">
                  <w:pPr>
                    <w:pStyle w:val="11"/>
                    <w:spacing w:line="240" w:lineRule="auto"/>
                    <w:ind w:left="0" w:lef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切割废气设置移动式烟尘净化器，车间内无组织排放。</w:t>
                  </w:r>
                </w:p>
              </w:tc>
              <w:tc>
                <w:tcPr>
                  <w:tcW w:w="2334" w:type="pct"/>
                  <w:vAlign w:val="center"/>
                </w:tcPr>
                <w:p w14:paraId="49C5B0E6">
                  <w:pPr>
                    <w:pStyle w:val="11"/>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切割废气处理设施改为布袋除尘，处理后车间内无组织排放。</w:t>
                  </w:r>
                </w:p>
              </w:tc>
            </w:tr>
            <w:tr w14:paraId="20A2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vAlign w:val="center"/>
                </w:tcPr>
                <w:p w14:paraId="2DAA15A6">
                  <w:pPr>
                    <w:adjustRightInd/>
                    <w:snapToGrid/>
                    <w:spacing w:after="0" w:line="240" w:lineRule="auto"/>
                    <w:jc w:val="center"/>
                    <w:rPr>
                      <w:rFonts w:hint="default" w:ascii="Times New Roman" w:hAnsi="Times New Roman" w:cs="Times New Roman" w:eastAsiaTheme="minorEastAsia"/>
                      <w:color w:val="000000" w:themeColor="text1"/>
                      <w:spacing w:val="4"/>
                      <w:sz w:val="21"/>
                      <w:szCs w:val="21"/>
                      <w14:textFill>
                        <w14:solidFill>
                          <w14:schemeClr w14:val="tx1"/>
                        </w14:solidFill>
                      </w14:textFill>
                    </w:rPr>
                  </w:pPr>
                </w:p>
              </w:tc>
              <w:tc>
                <w:tcPr>
                  <w:tcW w:w="459" w:type="pct"/>
                  <w:vAlign w:val="center"/>
                </w:tcPr>
                <w:p w14:paraId="3A13C2FF">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废水</w:t>
                  </w:r>
                </w:p>
                <w:p w14:paraId="40EDF6CE">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处理</w:t>
                  </w:r>
                </w:p>
              </w:tc>
              <w:tc>
                <w:tcPr>
                  <w:tcW w:w="1745" w:type="pct"/>
                  <w:shd w:val="clear" w:color="auto" w:fill="auto"/>
                  <w:vAlign w:val="center"/>
                </w:tcPr>
                <w:p w14:paraId="2C6345B0">
                  <w:pPr>
                    <w:adjustRightInd/>
                    <w:snapToGrid/>
                    <w:spacing w:after="0" w:line="240" w:lineRule="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生产车间内不设置厕所，生产工艺不使用水，不产生</w:t>
                  </w:r>
                  <w:r>
                    <w:rPr>
                      <w:rFonts w:hint="eastAsia" w:ascii="Times New Roman" w:hAnsi="Times New Roman" w:cs="Times New Roman"/>
                      <w:color w:val="000000" w:themeColor="text1"/>
                      <w:sz w:val="21"/>
                      <w:szCs w:val="21"/>
                      <w:lang w:eastAsia="zh-CN"/>
                      <w14:textFill>
                        <w14:solidFill>
                          <w14:schemeClr w14:val="tx1"/>
                        </w14:solidFill>
                      </w14:textFill>
                    </w:rPr>
                    <w:t>污水</w:t>
                  </w:r>
                  <w:r>
                    <w:rPr>
                      <w:rFonts w:hint="default" w:ascii="Times New Roman" w:hAnsi="Times New Roman" w:cs="Times New Roman" w:eastAsiaTheme="minorEastAsia"/>
                      <w:color w:val="000000" w:themeColor="text1"/>
                      <w:sz w:val="21"/>
                      <w:szCs w:val="21"/>
                      <w14:textFill>
                        <w14:solidFill>
                          <w14:schemeClr w14:val="tx1"/>
                        </w14:solidFill>
                      </w14:textFill>
                    </w:rPr>
                    <w:t>、废水；员工依托园区公用卫生间。</w:t>
                  </w:r>
                </w:p>
              </w:tc>
              <w:tc>
                <w:tcPr>
                  <w:tcW w:w="2334" w:type="pct"/>
                  <w:vAlign w:val="center"/>
                </w:tcPr>
                <w:p w14:paraId="065E3F97">
                  <w:pPr>
                    <w:pStyle w:val="11"/>
                    <w:spacing w:line="240" w:lineRule="auto"/>
                    <w:ind w:left="0" w:lef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员工</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生活污水经化粪池处理后排入市政管网。</w:t>
                  </w:r>
                </w:p>
              </w:tc>
            </w:tr>
            <w:tr w14:paraId="2415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vAlign w:val="center"/>
                </w:tcPr>
                <w:p w14:paraId="3D1F9565">
                  <w:pPr>
                    <w:adjustRightInd/>
                    <w:snapToGrid/>
                    <w:spacing w:after="0" w:line="240" w:lineRule="auto"/>
                    <w:jc w:val="center"/>
                    <w:rPr>
                      <w:rFonts w:hint="default" w:ascii="Times New Roman" w:hAnsi="Times New Roman" w:cs="Times New Roman" w:eastAsiaTheme="minorEastAsia"/>
                      <w:color w:val="000000" w:themeColor="text1"/>
                      <w:spacing w:val="4"/>
                      <w:sz w:val="21"/>
                      <w:szCs w:val="21"/>
                      <w14:textFill>
                        <w14:solidFill>
                          <w14:schemeClr w14:val="tx1"/>
                        </w14:solidFill>
                      </w14:textFill>
                    </w:rPr>
                  </w:pPr>
                </w:p>
              </w:tc>
              <w:tc>
                <w:tcPr>
                  <w:tcW w:w="459" w:type="pct"/>
                  <w:vAlign w:val="center"/>
                </w:tcPr>
                <w:p w14:paraId="33D0772E">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噪声</w:t>
                  </w:r>
                </w:p>
                <w:p w14:paraId="5D8DC191">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处理</w:t>
                  </w:r>
                </w:p>
              </w:tc>
              <w:tc>
                <w:tcPr>
                  <w:tcW w:w="1745" w:type="pct"/>
                  <w:shd w:val="clear" w:color="auto" w:fill="auto"/>
                  <w:vAlign w:val="center"/>
                </w:tcPr>
                <w:p w14:paraId="63022C90">
                  <w:pPr>
                    <w:adjustRightInd/>
                    <w:snapToGrid/>
                    <w:spacing w:after="0" w:line="240" w:lineRule="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车间内设置基础减振、加装减振垫、墙体隔声等减振降噪措施。</w:t>
                  </w:r>
                </w:p>
              </w:tc>
              <w:tc>
                <w:tcPr>
                  <w:tcW w:w="2334" w:type="pct"/>
                  <w:vAlign w:val="center"/>
                </w:tcPr>
                <w:p w14:paraId="1448029A">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车间内设置基础减振、加装减振垫、墙体隔声等减振降噪措施。</w:t>
                  </w:r>
                </w:p>
              </w:tc>
            </w:tr>
            <w:tr w14:paraId="65E2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vAlign w:val="center"/>
                </w:tcPr>
                <w:p w14:paraId="2693F6E6">
                  <w:pPr>
                    <w:adjustRightInd/>
                    <w:snapToGrid/>
                    <w:spacing w:after="0" w:line="240" w:lineRule="auto"/>
                    <w:jc w:val="center"/>
                    <w:rPr>
                      <w:rFonts w:hint="default" w:ascii="Times New Roman" w:hAnsi="Times New Roman" w:cs="Times New Roman" w:eastAsiaTheme="minorEastAsia"/>
                      <w:color w:val="000000" w:themeColor="text1"/>
                      <w:spacing w:val="4"/>
                      <w:sz w:val="21"/>
                      <w:szCs w:val="21"/>
                      <w14:textFill>
                        <w14:solidFill>
                          <w14:schemeClr w14:val="tx1"/>
                        </w14:solidFill>
                      </w14:textFill>
                    </w:rPr>
                  </w:pPr>
                </w:p>
              </w:tc>
              <w:tc>
                <w:tcPr>
                  <w:tcW w:w="459" w:type="pct"/>
                  <w:vAlign w:val="center"/>
                </w:tcPr>
                <w:p w14:paraId="2F4B2D7A">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固体</w:t>
                  </w:r>
                </w:p>
                <w:p w14:paraId="6FA9C494">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废物</w:t>
                  </w:r>
                </w:p>
              </w:tc>
              <w:tc>
                <w:tcPr>
                  <w:tcW w:w="1745" w:type="pct"/>
                  <w:shd w:val="clear" w:color="auto" w:fill="auto"/>
                  <w:vAlign w:val="center"/>
                </w:tcPr>
                <w:p w14:paraId="59384004">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生活垃圾设置垃圾桶收集，由环卫部门统一清运处理；</w:t>
                  </w:r>
                </w:p>
                <w:p w14:paraId="00D873CF">
                  <w:pPr>
                    <w:adjustRightInd/>
                    <w:snapToGrid/>
                    <w:spacing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建设一般固废暂存间，位于西北角，面积12m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w:t>
                  </w:r>
                </w:p>
                <w:p w14:paraId="783078B0">
                  <w:pPr>
                    <w:adjustRightInd/>
                    <w:snapToGrid/>
                    <w:spacing w:after="0" w:line="240" w:lineRule="auto"/>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建设危废间，位于厂区西南角，面积11.76m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2334" w:type="pct"/>
                  <w:vAlign w:val="center"/>
                </w:tcPr>
                <w:p w14:paraId="7AC02DC0">
                  <w:pPr>
                    <w:adjustRightInd/>
                    <w:snapToGrid/>
                    <w:spacing w:after="0"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生活垃圾依托园区垃圾桶收集后由环卫部门统一清运处理；危险废物贮存依托原有危废间。在厂房西南角新建一处一般固废暂存区，规格4.1m×13m。</w:t>
                  </w:r>
                </w:p>
              </w:tc>
            </w:tr>
          </w:tbl>
          <w:p w14:paraId="5B2490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cs="宋体"/>
                <w:b/>
                <w:bCs w:val="0"/>
                <w:color w:val="000000" w:themeColor="text1"/>
                <w:sz w:val="21"/>
                <w:szCs w:val="21"/>
                <w:lang w:val="en-US" w:eastAsia="zh-CN"/>
                <w14:textFill>
                  <w14:solidFill>
                    <w14:schemeClr w14:val="tx1"/>
                  </w14:solidFill>
                </w14:textFill>
              </w:rPr>
            </w:pPr>
            <w:r>
              <w:rPr>
                <w:rFonts w:hint="eastAsia" w:ascii="宋体" w:hAnsi="宋体" w:cs="宋体"/>
                <w:b/>
                <w:bCs w:val="0"/>
                <w:color w:val="000000" w:themeColor="text1"/>
                <w:sz w:val="21"/>
                <w:szCs w:val="21"/>
                <w:lang w:val="en-US" w:eastAsia="zh-CN"/>
                <w14:textFill>
                  <w14:solidFill>
                    <w14:schemeClr w14:val="tx1"/>
                  </w14:solidFill>
                </w14:textFill>
              </w:rPr>
              <w:t>表2-4  主要生产设施及设施参数表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977"/>
              <w:gridCol w:w="2236"/>
              <w:gridCol w:w="1400"/>
              <w:gridCol w:w="1201"/>
            </w:tblGrid>
            <w:tr w14:paraId="5A3A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blHeader/>
                <w:jc w:val="center"/>
              </w:trPr>
              <w:tc>
                <w:tcPr>
                  <w:tcW w:w="1952" w:type="pct"/>
                  <w:gridSpan w:val="2"/>
                  <w:vMerge w:val="restart"/>
                  <w:noWrap w:val="0"/>
                  <w:vAlign w:val="center"/>
                </w:tcPr>
                <w:p w14:paraId="5844B5F4">
                  <w:pPr>
                    <w:jc w:val="center"/>
                    <w:rPr>
                      <w:b/>
                      <w:bCs/>
                      <w:color w:val="000000" w:themeColor="text1"/>
                      <w:szCs w:val="21"/>
                      <w14:textFill>
                        <w14:solidFill>
                          <w14:schemeClr w14:val="tx1"/>
                        </w14:solidFill>
                      </w14:textFill>
                    </w:rPr>
                  </w:pPr>
                  <w:r>
                    <w:rPr>
                      <w:rFonts w:hAnsi="宋体"/>
                      <w:b/>
                      <w:bCs/>
                      <w:color w:val="000000" w:themeColor="text1"/>
                      <w:szCs w:val="21"/>
                      <w14:textFill>
                        <w14:solidFill>
                          <w14:schemeClr w14:val="tx1"/>
                        </w14:solidFill>
                      </w14:textFill>
                    </w:rPr>
                    <w:t>设备名称</w:t>
                  </w:r>
                </w:p>
              </w:tc>
              <w:tc>
                <w:tcPr>
                  <w:tcW w:w="1408" w:type="pct"/>
                  <w:vMerge w:val="restart"/>
                  <w:noWrap w:val="0"/>
                  <w:vAlign w:val="center"/>
                </w:tcPr>
                <w:p w14:paraId="6B74865D">
                  <w:pPr>
                    <w:jc w:val="center"/>
                    <w:rPr>
                      <w:b/>
                      <w:bCs/>
                      <w:color w:val="000000" w:themeColor="text1"/>
                      <w:szCs w:val="21"/>
                      <w14:textFill>
                        <w14:solidFill>
                          <w14:schemeClr w14:val="tx1"/>
                        </w14:solidFill>
                      </w14:textFill>
                    </w:rPr>
                  </w:pPr>
                  <w:r>
                    <w:rPr>
                      <w:rFonts w:hAnsi="宋体"/>
                      <w:b/>
                      <w:bCs/>
                      <w:color w:val="000000" w:themeColor="text1"/>
                      <w:szCs w:val="21"/>
                      <w14:textFill>
                        <w14:solidFill>
                          <w14:schemeClr w14:val="tx1"/>
                        </w14:solidFill>
                      </w14:textFill>
                    </w:rPr>
                    <w:t>主要技术规格</w:t>
                  </w:r>
                </w:p>
              </w:tc>
              <w:tc>
                <w:tcPr>
                  <w:tcW w:w="1638" w:type="pct"/>
                  <w:gridSpan w:val="2"/>
                  <w:noWrap w:val="0"/>
                  <w:vAlign w:val="center"/>
                </w:tcPr>
                <w:p w14:paraId="4CC61BC9">
                  <w:pPr>
                    <w:jc w:val="center"/>
                    <w:rPr>
                      <w:b/>
                      <w:bCs/>
                      <w:color w:val="000000" w:themeColor="text1"/>
                      <w:szCs w:val="21"/>
                      <w14:textFill>
                        <w14:solidFill>
                          <w14:schemeClr w14:val="tx1"/>
                        </w14:solidFill>
                      </w14:textFill>
                    </w:rPr>
                  </w:pPr>
                  <w:r>
                    <w:rPr>
                      <w:rFonts w:hAnsi="宋体"/>
                      <w:b/>
                      <w:bCs/>
                      <w:color w:val="000000" w:themeColor="text1"/>
                      <w:szCs w:val="21"/>
                      <w14:textFill>
                        <w14:solidFill>
                          <w14:schemeClr w14:val="tx1"/>
                        </w14:solidFill>
                      </w14:textFill>
                    </w:rPr>
                    <w:t>数量</w:t>
                  </w:r>
                </w:p>
              </w:tc>
            </w:tr>
            <w:tr w14:paraId="56C9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blHeader/>
                <w:jc w:val="center"/>
              </w:trPr>
              <w:tc>
                <w:tcPr>
                  <w:tcW w:w="1952" w:type="pct"/>
                  <w:gridSpan w:val="2"/>
                  <w:vMerge w:val="continue"/>
                  <w:noWrap w:val="0"/>
                  <w:vAlign w:val="center"/>
                </w:tcPr>
                <w:p w14:paraId="2A0822CD">
                  <w:pPr>
                    <w:jc w:val="center"/>
                    <w:rPr>
                      <w:color w:val="000000" w:themeColor="text1"/>
                      <w14:textFill>
                        <w14:solidFill>
                          <w14:schemeClr w14:val="tx1"/>
                        </w14:solidFill>
                      </w14:textFill>
                    </w:rPr>
                  </w:pPr>
                </w:p>
              </w:tc>
              <w:tc>
                <w:tcPr>
                  <w:tcW w:w="1408" w:type="pct"/>
                  <w:vMerge w:val="continue"/>
                  <w:noWrap w:val="0"/>
                  <w:vAlign w:val="center"/>
                </w:tcPr>
                <w:p w14:paraId="631179A2">
                  <w:pPr>
                    <w:jc w:val="center"/>
                    <w:rPr>
                      <w:color w:val="000000" w:themeColor="text1"/>
                      <w14:textFill>
                        <w14:solidFill>
                          <w14:schemeClr w14:val="tx1"/>
                        </w14:solidFill>
                      </w14:textFill>
                    </w:rPr>
                  </w:pPr>
                </w:p>
              </w:tc>
              <w:tc>
                <w:tcPr>
                  <w:tcW w:w="882" w:type="pct"/>
                  <w:noWrap w:val="0"/>
                  <w:vAlign w:val="center"/>
                </w:tcPr>
                <w:p w14:paraId="77243DDC">
                  <w:pPr>
                    <w:jc w:val="center"/>
                    <w:rPr>
                      <w:rFonts w:hint="default" w:eastAsiaTheme="minorEastAsia"/>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原有设备</w:t>
                  </w:r>
                </w:p>
              </w:tc>
              <w:tc>
                <w:tcPr>
                  <w:tcW w:w="756" w:type="pct"/>
                  <w:noWrap w:val="0"/>
                  <w:vAlign w:val="center"/>
                </w:tcPr>
                <w:p w14:paraId="3CB43313">
                  <w:pPr>
                    <w:jc w:val="center"/>
                    <w:rPr>
                      <w:rFonts w:hint="eastAsia" w:eastAsiaTheme="minorEastAsia"/>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本项目</w:t>
                  </w:r>
                </w:p>
              </w:tc>
            </w:tr>
            <w:tr w14:paraId="67EC6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Merge w:val="restart"/>
                  <w:noWrap w:val="0"/>
                  <w:vAlign w:val="center"/>
                </w:tcPr>
                <w:p w14:paraId="13046932">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bookmarkStart w:id="3" w:name="OLE_LINK5" w:colFirst="6" w:colLast="6"/>
                  <w:bookmarkStart w:id="4" w:name="OLE_LINK2" w:colFirst="1" w:colLast="1"/>
                  <w:r>
                    <w:rPr>
                      <w:rFonts w:hint="eastAsia" w:ascii="Times New Roman" w:hAnsi="Times New Roman" w:cs="Times New Roman"/>
                      <w:color w:val="000000" w:themeColor="text1"/>
                      <w:szCs w:val="21"/>
                      <w:lang w:val="en-US" w:eastAsia="zh-CN"/>
                      <w14:textFill>
                        <w14:solidFill>
                          <w14:schemeClr w14:val="tx1"/>
                        </w14:solidFill>
                      </w14:textFill>
                    </w:rPr>
                    <w:t>缠绕工序</w:t>
                  </w:r>
                </w:p>
              </w:tc>
              <w:tc>
                <w:tcPr>
                  <w:tcW w:w="1245" w:type="pct"/>
                  <w:shd w:val="clear" w:color="auto" w:fill="auto"/>
                  <w:noWrap w:val="0"/>
                  <w:vAlign w:val="center"/>
                </w:tcPr>
                <w:p w14:paraId="0A47A813">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多轴智能位纤维缠绕机</w:t>
                  </w:r>
                </w:p>
              </w:tc>
              <w:tc>
                <w:tcPr>
                  <w:tcW w:w="1408" w:type="pct"/>
                  <w:noWrap w:val="0"/>
                  <w:vAlign w:val="center"/>
                </w:tcPr>
                <w:p w14:paraId="751ACF9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Φ1000×6000</w:t>
                  </w:r>
                </w:p>
              </w:tc>
              <w:tc>
                <w:tcPr>
                  <w:tcW w:w="882" w:type="pct"/>
                  <w:noWrap w:val="0"/>
                  <w:vAlign w:val="center"/>
                </w:tcPr>
                <w:p w14:paraId="5428BC9C">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1套</w:t>
                  </w:r>
                </w:p>
              </w:tc>
              <w:tc>
                <w:tcPr>
                  <w:tcW w:w="756" w:type="pct"/>
                  <w:noWrap w:val="0"/>
                  <w:vAlign w:val="center"/>
                </w:tcPr>
                <w:p w14:paraId="4EEBE61D">
                  <w:pPr>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套</w:t>
                  </w:r>
                </w:p>
              </w:tc>
            </w:tr>
            <w:tr w14:paraId="4A1A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Merge w:val="continue"/>
                  <w:shd w:val="clear" w:color="auto" w:fill="auto"/>
                  <w:noWrap w:val="0"/>
                  <w:vAlign w:val="center"/>
                </w:tcPr>
                <w:p w14:paraId="4A923796">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p>
              </w:tc>
              <w:tc>
                <w:tcPr>
                  <w:tcW w:w="1245" w:type="pct"/>
                  <w:shd w:val="clear" w:color="auto" w:fill="auto"/>
                  <w:noWrap w:val="0"/>
                  <w:vAlign w:val="center"/>
                </w:tcPr>
                <w:p w14:paraId="219BCFE6">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纤维布数控切割机</w:t>
                  </w:r>
                </w:p>
              </w:tc>
              <w:tc>
                <w:tcPr>
                  <w:tcW w:w="1408" w:type="pct"/>
                  <w:shd w:val="clear" w:color="auto" w:fill="auto"/>
                  <w:noWrap w:val="0"/>
                  <w:vAlign w:val="center"/>
                </w:tcPr>
                <w:p w14:paraId="6DDBF578">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1800×1500×3000</w:t>
                  </w:r>
                </w:p>
              </w:tc>
              <w:tc>
                <w:tcPr>
                  <w:tcW w:w="882" w:type="pct"/>
                  <w:shd w:val="clear" w:color="auto" w:fill="auto"/>
                  <w:noWrap w:val="0"/>
                  <w:vAlign w:val="center"/>
                </w:tcPr>
                <w:p w14:paraId="0054EC2B">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756" w:type="pct"/>
                  <w:shd w:val="clear" w:color="auto" w:fill="auto"/>
                  <w:noWrap w:val="0"/>
                  <w:vAlign w:val="center"/>
                </w:tcPr>
                <w:p w14:paraId="59A5D0C5">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1台</w:t>
                  </w:r>
                </w:p>
              </w:tc>
            </w:tr>
            <w:tr w14:paraId="159C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Merge w:val="restart"/>
                  <w:shd w:val="clear" w:color="auto" w:fill="auto"/>
                  <w:noWrap w:val="0"/>
                  <w:vAlign w:val="center"/>
                </w:tcPr>
                <w:p w14:paraId="4D27E868">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固化工序</w:t>
                  </w:r>
                </w:p>
              </w:tc>
              <w:tc>
                <w:tcPr>
                  <w:tcW w:w="1245" w:type="pct"/>
                  <w:shd w:val="clear" w:color="auto" w:fill="auto"/>
                  <w:noWrap w:val="0"/>
                  <w:vAlign w:val="center"/>
                </w:tcPr>
                <w:p w14:paraId="1C39F596">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中温固化炉（电炉）</w:t>
                  </w:r>
                </w:p>
              </w:tc>
              <w:tc>
                <w:tcPr>
                  <w:tcW w:w="1408" w:type="pct"/>
                  <w:shd w:val="clear" w:color="auto" w:fill="auto"/>
                  <w:noWrap w:val="0"/>
                  <w:vAlign w:val="center"/>
                </w:tcPr>
                <w:p w14:paraId="01BA48A5">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2000×2500×1350</w:t>
                  </w:r>
                </w:p>
              </w:tc>
              <w:tc>
                <w:tcPr>
                  <w:tcW w:w="882" w:type="pct"/>
                  <w:shd w:val="clear" w:color="auto" w:fill="auto"/>
                  <w:noWrap w:val="0"/>
                  <w:vAlign w:val="center"/>
                </w:tcPr>
                <w:p w14:paraId="67C4807F">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3台</w:t>
                  </w:r>
                </w:p>
              </w:tc>
              <w:tc>
                <w:tcPr>
                  <w:tcW w:w="756" w:type="pct"/>
                  <w:shd w:val="clear" w:color="auto" w:fill="auto"/>
                  <w:noWrap w:val="0"/>
                  <w:vAlign w:val="center"/>
                </w:tcPr>
                <w:p w14:paraId="6E38B8A5">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1台</w:t>
                  </w:r>
                </w:p>
              </w:tc>
            </w:tr>
            <w:tr w14:paraId="5640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Merge w:val="continue"/>
                  <w:noWrap w:val="0"/>
                  <w:vAlign w:val="center"/>
                </w:tcPr>
                <w:p w14:paraId="555626A0">
                  <w:pPr>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p>
              </w:tc>
              <w:tc>
                <w:tcPr>
                  <w:tcW w:w="1245" w:type="pct"/>
                  <w:shd w:val="clear" w:color="auto" w:fill="auto"/>
                  <w:noWrap w:val="0"/>
                  <w:vAlign w:val="center"/>
                </w:tcPr>
                <w:p w14:paraId="76EC1F6D">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中温固化炉（电炉）</w:t>
                  </w:r>
                </w:p>
              </w:tc>
              <w:tc>
                <w:tcPr>
                  <w:tcW w:w="1408" w:type="pct"/>
                  <w:shd w:val="clear" w:color="auto" w:fill="auto"/>
                  <w:noWrap w:val="0"/>
                  <w:vAlign w:val="center"/>
                </w:tcPr>
                <w:p w14:paraId="04FC745C">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1800×3000×1350</w:t>
                  </w:r>
                </w:p>
              </w:tc>
              <w:tc>
                <w:tcPr>
                  <w:tcW w:w="882" w:type="pct"/>
                  <w:shd w:val="clear" w:color="auto" w:fill="auto"/>
                  <w:noWrap w:val="0"/>
                  <w:vAlign w:val="center"/>
                </w:tcPr>
                <w:p w14:paraId="3B1500FA">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756" w:type="pct"/>
                  <w:shd w:val="clear" w:color="auto" w:fill="auto"/>
                  <w:noWrap w:val="0"/>
                  <w:vAlign w:val="center"/>
                </w:tcPr>
                <w:p w14:paraId="51DEEA07">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3台</w:t>
                  </w:r>
                </w:p>
              </w:tc>
            </w:tr>
            <w:tr w14:paraId="5F4F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Merge w:val="restart"/>
                  <w:noWrap w:val="0"/>
                  <w:vAlign w:val="center"/>
                </w:tcPr>
                <w:p w14:paraId="67CBC9F4">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机加工序</w:t>
                  </w:r>
                </w:p>
              </w:tc>
              <w:tc>
                <w:tcPr>
                  <w:tcW w:w="1245" w:type="pct"/>
                  <w:shd w:val="clear" w:color="auto" w:fill="auto"/>
                  <w:noWrap w:val="0"/>
                  <w:vAlign w:val="center"/>
                </w:tcPr>
                <w:p w14:paraId="666836AF">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脱模机</w:t>
                  </w:r>
                </w:p>
              </w:tc>
              <w:tc>
                <w:tcPr>
                  <w:tcW w:w="1408" w:type="pct"/>
                  <w:shd w:val="clear" w:color="auto" w:fill="auto"/>
                  <w:noWrap w:val="0"/>
                  <w:vAlign w:val="center"/>
                </w:tcPr>
                <w:p w14:paraId="67A34A7E">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882" w:type="pct"/>
                  <w:shd w:val="clear" w:color="auto" w:fill="auto"/>
                  <w:noWrap w:val="0"/>
                  <w:vAlign w:val="center"/>
                </w:tcPr>
                <w:p w14:paraId="243116B3">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1台</w:t>
                  </w:r>
                </w:p>
              </w:tc>
              <w:tc>
                <w:tcPr>
                  <w:tcW w:w="756" w:type="pct"/>
                  <w:shd w:val="clear" w:color="auto" w:fill="auto"/>
                  <w:noWrap w:val="0"/>
                  <w:vAlign w:val="center"/>
                </w:tcPr>
                <w:p w14:paraId="1674FF98">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14:paraId="5611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Merge w:val="continue"/>
                  <w:noWrap w:val="0"/>
                  <w:vAlign w:val="center"/>
                </w:tcPr>
                <w:p w14:paraId="449CF889">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p>
              </w:tc>
              <w:tc>
                <w:tcPr>
                  <w:tcW w:w="1245" w:type="pct"/>
                  <w:shd w:val="clear" w:color="auto" w:fill="auto"/>
                  <w:noWrap w:val="0"/>
                  <w:vAlign w:val="center"/>
                </w:tcPr>
                <w:p w14:paraId="2A6AE238">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加工中心</w:t>
                  </w:r>
                </w:p>
              </w:tc>
              <w:tc>
                <w:tcPr>
                  <w:tcW w:w="1408" w:type="pct"/>
                  <w:shd w:val="clear" w:color="auto" w:fill="auto"/>
                  <w:noWrap w:val="0"/>
                  <w:vAlign w:val="center"/>
                </w:tcPr>
                <w:p w14:paraId="506559F0">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882" w:type="pct"/>
                  <w:shd w:val="clear" w:color="auto" w:fill="auto"/>
                  <w:noWrap w:val="0"/>
                  <w:vAlign w:val="center"/>
                </w:tcPr>
                <w:p w14:paraId="676C873A">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756" w:type="pct"/>
                  <w:shd w:val="clear" w:color="auto" w:fill="auto"/>
                  <w:noWrap w:val="0"/>
                  <w:vAlign w:val="center"/>
                </w:tcPr>
                <w:p w14:paraId="430DAC7F">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2台</w:t>
                  </w:r>
                </w:p>
              </w:tc>
            </w:tr>
            <w:tr w14:paraId="08EC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Merge w:val="continue"/>
                  <w:noWrap w:val="0"/>
                  <w:vAlign w:val="center"/>
                </w:tcPr>
                <w:p w14:paraId="147A7ADB">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p>
              </w:tc>
              <w:tc>
                <w:tcPr>
                  <w:tcW w:w="1245" w:type="pct"/>
                  <w:shd w:val="clear" w:color="auto" w:fill="auto"/>
                  <w:noWrap w:val="0"/>
                  <w:vAlign w:val="center"/>
                </w:tcPr>
                <w:p w14:paraId="2365C111">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车床</w:t>
                  </w:r>
                </w:p>
              </w:tc>
              <w:tc>
                <w:tcPr>
                  <w:tcW w:w="1408" w:type="pct"/>
                  <w:shd w:val="clear" w:color="auto" w:fill="auto"/>
                  <w:noWrap w:val="0"/>
                  <w:vAlign w:val="center"/>
                </w:tcPr>
                <w:p w14:paraId="30B891D1">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882" w:type="pct"/>
                  <w:shd w:val="clear" w:color="auto" w:fill="auto"/>
                  <w:noWrap w:val="0"/>
                  <w:vAlign w:val="center"/>
                </w:tcPr>
                <w:p w14:paraId="29B597AE">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756" w:type="pct"/>
                  <w:shd w:val="clear" w:color="auto" w:fill="auto"/>
                  <w:noWrap w:val="0"/>
                  <w:vAlign w:val="center"/>
                </w:tcPr>
                <w:p w14:paraId="7521A2D7">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1台</w:t>
                  </w:r>
                </w:p>
              </w:tc>
            </w:tr>
            <w:tr w14:paraId="6EB3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Merge w:val="continue"/>
                  <w:noWrap w:val="0"/>
                  <w:vAlign w:val="center"/>
                </w:tcPr>
                <w:p w14:paraId="64ED1FB9">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p>
              </w:tc>
              <w:tc>
                <w:tcPr>
                  <w:tcW w:w="1245" w:type="pct"/>
                  <w:shd w:val="clear" w:color="auto" w:fill="auto"/>
                  <w:noWrap w:val="0"/>
                  <w:vAlign w:val="center"/>
                </w:tcPr>
                <w:p w14:paraId="3208E382">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移动式烟尘净化器</w:t>
                  </w:r>
                </w:p>
              </w:tc>
              <w:tc>
                <w:tcPr>
                  <w:tcW w:w="1408" w:type="pct"/>
                  <w:shd w:val="clear" w:color="auto" w:fill="auto"/>
                  <w:noWrap w:val="0"/>
                  <w:vAlign w:val="center"/>
                </w:tcPr>
                <w:p w14:paraId="3B7AD877">
                  <w:pPr>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882" w:type="pct"/>
                  <w:shd w:val="clear" w:color="auto" w:fill="auto"/>
                  <w:noWrap w:val="0"/>
                  <w:vAlign w:val="center"/>
                </w:tcPr>
                <w:p w14:paraId="3C0B1074">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1台</w:t>
                  </w:r>
                </w:p>
              </w:tc>
              <w:tc>
                <w:tcPr>
                  <w:tcW w:w="756" w:type="pct"/>
                  <w:shd w:val="clear" w:color="auto" w:fill="auto"/>
                  <w:noWrap w:val="0"/>
                  <w:vAlign w:val="center"/>
                </w:tcPr>
                <w:p w14:paraId="0DE855FF">
                  <w:pPr>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14:paraId="141B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Merge w:val="continue"/>
                  <w:shd w:val="clear" w:color="auto" w:fill="auto"/>
                  <w:noWrap w:val="0"/>
                  <w:vAlign w:val="center"/>
                </w:tcPr>
                <w:p w14:paraId="445C49E1">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p>
              </w:tc>
              <w:tc>
                <w:tcPr>
                  <w:tcW w:w="1245" w:type="pct"/>
                  <w:shd w:val="clear" w:color="auto" w:fill="auto"/>
                  <w:noWrap w:val="0"/>
                  <w:vAlign w:val="center"/>
                </w:tcPr>
                <w:p w14:paraId="58CDDC0F">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200</w:t>
                  </w:r>
                  <w:r>
                    <w:rPr>
                      <w:rFonts w:hint="default" w:ascii="Times New Roman" w:hAnsi="Times New Roman" w:cs="Times New Roman"/>
                      <w:color w:val="000000" w:themeColor="text1"/>
                      <w:szCs w:val="21"/>
                      <w14:textFill>
                        <w14:solidFill>
                          <w14:schemeClr w14:val="tx1"/>
                        </w14:solidFill>
                      </w14:textFill>
                    </w:rPr>
                    <w:t>吨热压机</w:t>
                  </w:r>
                </w:p>
              </w:tc>
              <w:tc>
                <w:tcPr>
                  <w:tcW w:w="1408" w:type="pct"/>
                  <w:shd w:val="clear" w:color="auto" w:fill="auto"/>
                  <w:noWrap w:val="0"/>
                  <w:vAlign w:val="center"/>
                </w:tcPr>
                <w:p w14:paraId="66F9A047">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882" w:type="pct"/>
                  <w:shd w:val="clear" w:color="auto" w:fill="auto"/>
                  <w:noWrap w:val="0"/>
                  <w:vAlign w:val="center"/>
                </w:tcPr>
                <w:p w14:paraId="05D60BB6">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1套</w:t>
                  </w:r>
                </w:p>
              </w:tc>
              <w:tc>
                <w:tcPr>
                  <w:tcW w:w="756" w:type="pct"/>
                  <w:shd w:val="clear" w:color="auto" w:fill="auto"/>
                  <w:noWrap w:val="0"/>
                  <w:vAlign w:val="center"/>
                </w:tcPr>
                <w:p w14:paraId="290C1808">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套</w:t>
                  </w:r>
                </w:p>
              </w:tc>
            </w:tr>
            <w:tr w14:paraId="7C58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Merge w:val="continue"/>
                  <w:shd w:val="clear" w:color="auto" w:fill="auto"/>
                  <w:noWrap w:val="0"/>
                  <w:vAlign w:val="center"/>
                </w:tcPr>
                <w:p w14:paraId="4E8D6FAD">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p>
              </w:tc>
              <w:tc>
                <w:tcPr>
                  <w:tcW w:w="1245" w:type="pct"/>
                  <w:shd w:val="clear" w:color="auto" w:fill="auto"/>
                  <w:noWrap w:val="0"/>
                  <w:vAlign w:val="center"/>
                </w:tcPr>
                <w:p w14:paraId="6CFB41FF">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数控机床</w:t>
                  </w:r>
                </w:p>
              </w:tc>
              <w:tc>
                <w:tcPr>
                  <w:tcW w:w="1408" w:type="pct"/>
                  <w:shd w:val="clear" w:color="auto" w:fill="auto"/>
                  <w:noWrap w:val="0"/>
                  <w:vAlign w:val="center"/>
                </w:tcPr>
                <w:p w14:paraId="0BB8E324">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1100×900×850</w:t>
                  </w:r>
                </w:p>
              </w:tc>
              <w:tc>
                <w:tcPr>
                  <w:tcW w:w="882" w:type="pct"/>
                  <w:shd w:val="clear" w:color="auto" w:fill="auto"/>
                  <w:noWrap w:val="0"/>
                  <w:vAlign w:val="center"/>
                </w:tcPr>
                <w:p w14:paraId="118EAE7A">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1套</w:t>
                  </w:r>
                </w:p>
              </w:tc>
              <w:tc>
                <w:tcPr>
                  <w:tcW w:w="756" w:type="pct"/>
                  <w:shd w:val="clear" w:color="auto" w:fill="auto"/>
                  <w:noWrap w:val="0"/>
                  <w:vAlign w:val="center"/>
                </w:tcPr>
                <w:p w14:paraId="37787F99">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3套</w:t>
                  </w:r>
                </w:p>
              </w:tc>
            </w:tr>
            <w:tr w14:paraId="1BE9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Merge w:val="restart"/>
                  <w:shd w:val="clear" w:color="auto" w:fill="auto"/>
                  <w:noWrap w:val="0"/>
                  <w:vAlign w:val="center"/>
                </w:tcPr>
                <w:p w14:paraId="3E286CEE">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打磨</w:t>
                  </w:r>
                </w:p>
              </w:tc>
              <w:tc>
                <w:tcPr>
                  <w:tcW w:w="1245" w:type="pct"/>
                  <w:shd w:val="clear" w:color="auto" w:fill="auto"/>
                  <w:noWrap w:val="0"/>
                  <w:vAlign w:val="center"/>
                </w:tcPr>
                <w:p w14:paraId="0B72BF2D">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除尘柜</w:t>
                  </w:r>
                </w:p>
              </w:tc>
              <w:tc>
                <w:tcPr>
                  <w:tcW w:w="1408" w:type="pct"/>
                  <w:shd w:val="clear" w:color="auto" w:fill="auto"/>
                  <w:noWrap w:val="0"/>
                  <w:vAlign w:val="center"/>
                </w:tcPr>
                <w:p w14:paraId="703C72C2">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882" w:type="pct"/>
                  <w:shd w:val="clear" w:color="auto" w:fill="auto"/>
                  <w:noWrap w:val="0"/>
                  <w:vAlign w:val="center"/>
                </w:tcPr>
                <w:p w14:paraId="5F749138">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756" w:type="pct"/>
                  <w:shd w:val="clear" w:color="auto" w:fill="auto"/>
                  <w:noWrap w:val="0"/>
                  <w:vAlign w:val="center"/>
                </w:tcPr>
                <w:p w14:paraId="76F60962">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1台</w:t>
                  </w:r>
                </w:p>
              </w:tc>
            </w:tr>
            <w:tr w14:paraId="5C4C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Merge w:val="continue"/>
                  <w:shd w:val="clear" w:color="auto" w:fill="auto"/>
                  <w:noWrap w:val="0"/>
                  <w:vAlign w:val="center"/>
                </w:tcPr>
                <w:p w14:paraId="749C9665">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p>
              </w:tc>
              <w:tc>
                <w:tcPr>
                  <w:tcW w:w="1245" w:type="pct"/>
                  <w:shd w:val="clear" w:color="auto" w:fill="auto"/>
                  <w:noWrap w:val="0"/>
                  <w:vAlign w:val="center"/>
                </w:tcPr>
                <w:p w14:paraId="40357EC4">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除尘打磨平台</w:t>
                  </w:r>
                </w:p>
              </w:tc>
              <w:tc>
                <w:tcPr>
                  <w:tcW w:w="1408" w:type="pct"/>
                  <w:shd w:val="clear" w:color="auto" w:fill="auto"/>
                  <w:noWrap w:val="0"/>
                  <w:vAlign w:val="center"/>
                </w:tcPr>
                <w:p w14:paraId="25182C6D">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882" w:type="pct"/>
                  <w:shd w:val="clear" w:color="auto" w:fill="auto"/>
                  <w:noWrap w:val="0"/>
                  <w:vAlign w:val="center"/>
                </w:tcPr>
                <w:p w14:paraId="0F1B4788">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756" w:type="pct"/>
                  <w:shd w:val="clear" w:color="auto" w:fill="auto"/>
                  <w:noWrap w:val="0"/>
                  <w:vAlign w:val="center"/>
                </w:tcPr>
                <w:p w14:paraId="7B3DE4EF">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1台</w:t>
                  </w:r>
                </w:p>
              </w:tc>
            </w:tr>
            <w:tr w14:paraId="75A5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Merge w:val="continue"/>
                  <w:noWrap w:val="0"/>
                  <w:vAlign w:val="center"/>
                </w:tcPr>
                <w:p w14:paraId="28C377E3">
                  <w:pPr>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p>
              </w:tc>
              <w:tc>
                <w:tcPr>
                  <w:tcW w:w="1245" w:type="pct"/>
                  <w:shd w:val="clear" w:color="auto" w:fill="auto"/>
                  <w:noWrap w:val="0"/>
                  <w:vAlign w:val="center"/>
                </w:tcPr>
                <w:p w14:paraId="6DFCF80E">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无尘脉冲喷砂机</w:t>
                  </w:r>
                </w:p>
              </w:tc>
              <w:tc>
                <w:tcPr>
                  <w:tcW w:w="1408" w:type="pct"/>
                  <w:shd w:val="clear" w:color="auto" w:fill="auto"/>
                  <w:noWrap w:val="0"/>
                  <w:vAlign w:val="center"/>
                </w:tcPr>
                <w:p w14:paraId="6743C7B9">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882" w:type="pct"/>
                  <w:shd w:val="clear" w:color="auto" w:fill="auto"/>
                  <w:noWrap w:val="0"/>
                  <w:vAlign w:val="center"/>
                </w:tcPr>
                <w:p w14:paraId="367C92AD">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756" w:type="pct"/>
                  <w:shd w:val="clear" w:color="auto" w:fill="auto"/>
                  <w:noWrap w:val="0"/>
                  <w:vAlign w:val="center"/>
                </w:tcPr>
                <w:p w14:paraId="2350BE72">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1台</w:t>
                  </w:r>
                </w:p>
              </w:tc>
            </w:tr>
            <w:tr w14:paraId="06CE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Merge w:val="continue"/>
                  <w:noWrap w:val="0"/>
                  <w:vAlign w:val="center"/>
                </w:tcPr>
                <w:p w14:paraId="2E3A56F9">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p>
              </w:tc>
              <w:tc>
                <w:tcPr>
                  <w:tcW w:w="1245" w:type="pct"/>
                  <w:shd w:val="clear" w:color="auto" w:fill="auto"/>
                  <w:noWrap w:val="0"/>
                  <w:vAlign w:val="center"/>
                </w:tcPr>
                <w:p w14:paraId="6A96D29F">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管带式砂光机</w:t>
                  </w:r>
                </w:p>
              </w:tc>
              <w:tc>
                <w:tcPr>
                  <w:tcW w:w="1408" w:type="pct"/>
                  <w:noWrap w:val="0"/>
                  <w:vAlign w:val="center"/>
                </w:tcPr>
                <w:p w14:paraId="40389092">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MY-3016</w:t>
                  </w:r>
                </w:p>
              </w:tc>
              <w:tc>
                <w:tcPr>
                  <w:tcW w:w="882" w:type="pct"/>
                  <w:noWrap w:val="0"/>
                  <w:vAlign w:val="center"/>
                </w:tcPr>
                <w:p w14:paraId="25AEE6D7">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c>
                <w:tcPr>
                  <w:tcW w:w="756" w:type="pct"/>
                  <w:noWrap w:val="0"/>
                  <w:vAlign w:val="center"/>
                </w:tcPr>
                <w:p w14:paraId="7CAC6CA2">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1台</w:t>
                  </w:r>
                </w:p>
              </w:tc>
            </w:tr>
            <w:bookmarkEnd w:id="3"/>
            <w:bookmarkEnd w:id="4"/>
          </w:tbl>
          <w:p w14:paraId="2D79FA4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宋体" w:hAnsi="宋体" w:cs="宋体"/>
                <w:b/>
                <w:bCs w:val="0"/>
                <w:color w:val="000000" w:themeColor="text1"/>
                <w:sz w:val="24"/>
                <w:szCs w:val="24"/>
                <w:lang w:val="en-US" w:eastAsia="zh-CN"/>
                <w14:textFill>
                  <w14:solidFill>
                    <w14:schemeClr w14:val="tx1"/>
                  </w14:solidFill>
                </w14:textFill>
              </w:rPr>
            </w:pPr>
            <w:r>
              <w:rPr>
                <w:rFonts w:hint="eastAsia" w:ascii="宋体" w:hAnsi="宋体" w:cs="宋体"/>
                <w:b/>
                <w:bCs w:val="0"/>
                <w:color w:val="000000" w:themeColor="text1"/>
                <w:sz w:val="24"/>
                <w:szCs w:val="24"/>
                <w:lang w:val="en-US" w:eastAsia="zh-CN"/>
                <w14:textFill>
                  <w14:solidFill>
                    <w14:schemeClr w14:val="tx1"/>
                  </w14:solidFill>
                </w14:textFill>
              </w:rPr>
              <w:t>4、主要原辅材料及能源消耗</w:t>
            </w:r>
          </w:p>
          <w:p w14:paraId="380F5A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本项目主要原辅材料及能源消耗年用量见下表。</w:t>
            </w:r>
          </w:p>
          <w:p w14:paraId="7B663F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cs="宋体"/>
                <w:b/>
                <w:bCs w:val="0"/>
                <w:color w:val="000000" w:themeColor="text1"/>
                <w:sz w:val="21"/>
                <w:szCs w:val="21"/>
                <w:lang w:val="en-US" w:eastAsia="zh-CN"/>
                <w14:textFill>
                  <w14:solidFill>
                    <w14:schemeClr w14:val="tx1"/>
                  </w14:solidFill>
                </w14:textFill>
              </w:rPr>
            </w:pPr>
            <w:r>
              <w:rPr>
                <w:rFonts w:hint="eastAsia" w:ascii="宋体" w:hAnsi="宋体" w:cs="宋体"/>
                <w:b/>
                <w:bCs w:val="0"/>
                <w:color w:val="000000" w:themeColor="text1"/>
                <w:sz w:val="21"/>
                <w:szCs w:val="21"/>
                <w:lang w:val="en-US" w:eastAsia="zh-CN"/>
                <w14:textFill>
                  <w14:solidFill>
                    <w14:schemeClr w14:val="tx1"/>
                  </w14:solidFill>
                </w14:textFill>
              </w:rPr>
              <w:t>表2-5  主要原辅材料及能源年用量一览表</w:t>
            </w:r>
          </w:p>
          <w:tbl>
            <w:tblPr>
              <w:tblStyle w:val="14"/>
              <w:tblW w:w="7937" w:type="dxa"/>
              <w:tblInd w:w="0" w:type="dxa"/>
              <w:tblLayout w:type="fixed"/>
              <w:tblCellMar>
                <w:top w:w="0" w:type="dxa"/>
                <w:left w:w="0" w:type="dxa"/>
                <w:bottom w:w="0" w:type="dxa"/>
                <w:right w:w="0" w:type="dxa"/>
              </w:tblCellMar>
            </w:tblPr>
            <w:tblGrid>
              <w:gridCol w:w="773"/>
              <w:gridCol w:w="1176"/>
              <w:gridCol w:w="1317"/>
              <w:gridCol w:w="1168"/>
              <w:gridCol w:w="2008"/>
              <w:gridCol w:w="1495"/>
            </w:tblGrid>
            <w:tr w14:paraId="134AC2B6">
              <w:tblPrEx>
                <w:tblCellMar>
                  <w:top w:w="0" w:type="dxa"/>
                  <w:left w:w="0" w:type="dxa"/>
                  <w:bottom w:w="0" w:type="dxa"/>
                  <w:right w:w="0" w:type="dxa"/>
                </w:tblCellMar>
              </w:tblPrEx>
              <w:trPr>
                <w:trHeight w:val="274" w:hRule="atLeast"/>
              </w:trPr>
              <w:tc>
                <w:tcPr>
                  <w:tcW w:w="773" w:type="dxa"/>
                  <w:vMerge w:val="restart"/>
                  <w:tcBorders>
                    <w:top w:val="single" w:color="000000" w:sz="8" w:space="0"/>
                    <w:left w:val="single" w:color="000000" w:sz="8" w:space="0"/>
                    <w:right w:val="single" w:color="000000" w:sz="4" w:space="0"/>
                  </w:tcBorders>
                  <w:noWrap/>
                  <w:tcMar>
                    <w:top w:w="15" w:type="dxa"/>
                    <w:left w:w="15" w:type="dxa"/>
                    <w:right w:w="15" w:type="dxa"/>
                  </w:tcMar>
                  <w:vAlign w:val="center"/>
                </w:tcPr>
                <w:p w14:paraId="1EC856E9">
                  <w:pPr>
                    <w:widowControl/>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序号</w:t>
                  </w:r>
                </w:p>
              </w:tc>
              <w:tc>
                <w:tcPr>
                  <w:tcW w:w="1176" w:type="dxa"/>
                  <w:vMerge w:val="restart"/>
                  <w:tcBorders>
                    <w:top w:val="single" w:color="000000" w:sz="8" w:space="0"/>
                    <w:left w:val="single" w:color="000000" w:sz="4" w:space="0"/>
                    <w:right w:val="single" w:color="000000" w:sz="4" w:space="0"/>
                  </w:tcBorders>
                  <w:noWrap/>
                  <w:tcMar>
                    <w:top w:w="15" w:type="dxa"/>
                    <w:left w:w="15" w:type="dxa"/>
                    <w:right w:w="15" w:type="dxa"/>
                  </w:tcMar>
                  <w:vAlign w:val="center"/>
                </w:tcPr>
                <w:p w14:paraId="0CAFA190">
                  <w:pPr>
                    <w:widowControl/>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名称</w:t>
                  </w:r>
                </w:p>
              </w:tc>
              <w:tc>
                <w:tcPr>
                  <w:tcW w:w="2485" w:type="dxa"/>
                  <w:gridSpan w:val="2"/>
                  <w:tcBorders>
                    <w:top w:val="single" w:color="000000" w:sz="8" w:space="0"/>
                    <w:left w:val="single" w:color="000000" w:sz="4" w:space="0"/>
                    <w:bottom w:val="single" w:color="000000" w:sz="4" w:space="0"/>
                    <w:right w:val="single" w:color="000000" w:sz="4" w:space="0"/>
                  </w:tcBorders>
                  <w:noWrap/>
                  <w:tcMar>
                    <w:top w:w="15" w:type="dxa"/>
                    <w:left w:w="15" w:type="dxa"/>
                    <w:right w:w="15" w:type="dxa"/>
                  </w:tcMar>
                  <w:vAlign w:val="center"/>
                </w:tcPr>
                <w:p w14:paraId="05A0F65B">
                  <w:pPr>
                    <w:widowControl/>
                    <w:jc w:val="center"/>
                    <w:textAlignment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年用量（t/a）</w:t>
                  </w:r>
                </w:p>
              </w:tc>
              <w:tc>
                <w:tcPr>
                  <w:tcW w:w="2008" w:type="dxa"/>
                  <w:vMerge w:val="restart"/>
                  <w:tcBorders>
                    <w:top w:val="single" w:color="000000" w:sz="8" w:space="0"/>
                    <w:left w:val="single" w:color="000000" w:sz="4" w:space="0"/>
                    <w:right w:val="single" w:color="000000" w:sz="4" w:space="0"/>
                  </w:tcBorders>
                  <w:noWrap/>
                  <w:tcMar>
                    <w:top w:w="15" w:type="dxa"/>
                    <w:left w:w="15" w:type="dxa"/>
                    <w:right w:w="15" w:type="dxa"/>
                  </w:tcMar>
                  <w:vAlign w:val="center"/>
                </w:tcPr>
                <w:p w14:paraId="59192E05">
                  <w:pPr>
                    <w:widowControl/>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储存方式</w:t>
                  </w:r>
                </w:p>
              </w:tc>
              <w:tc>
                <w:tcPr>
                  <w:tcW w:w="1495" w:type="dxa"/>
                  <w:vMerge w:val="restart"/>
                  <w:tcBorders>
                    <w:top w:val="single" w:color="000000" w:sz="8" w:space="0"/>
                    <w:left w:val="single" w:color="000000" w:sz="4" w:space="0"/>
                    <w:right w:val="single" w:color="000000" w:sz="8" w:space="0"/>
                  </w:tcBorders>
                  <w:noWrap/>
                  <w:tcMar>
                    <w:top w:w="15" w:type="dxa"/>
                    <w:left w:w="15" w:type="dxa"/>
                    <w:right w:w="15" w:type="dxa"/>
                  </w:tcMar>
                  <w:vAlign w:val="center"/>
                </w:tcPr>
                <w:p w14:paraId="52011904">
                  <w:pPr>
                    <w:widowControl/>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来源</w:t>
                  </w:r>
                </w:p>
              </w:tc>
            </w:tr>
            <w:tr w14:paraId="03C2FC3F">
              <w:tblPrEx>
                <w:tblCellMar>
                  <w:top w:w="0" w:type="dxa"/>
                  <w:left w:w="0" w:type="dxa"/>
                  <w:bottom w:w="0" w:type="dxa"/>
                  <w:right w:w="0" w:type="dxa"/>
                </w:tblCellMar>
              </w:tblPrEx>
              <w:trPr>
                <w:trHeight w:val="274" w:hRule="atLeast"/>
              </w:trPr>
              <w:tc>
                <w:tcPr>
                  <w:tcW w:w="773" w:type="dxa"/>
                  <w:vMerge w:val="continue"/>
                  <w:tcBorders>
                    <w:left w:val="single" w:color="000000" w:sz="8" w:space="0"/>
                    <w:bottom w:val="single" w:color="000000" w:sz="4" w:space="0"/>
                    <w:right w:val="single" w:color="000000" w:sz="4" w:space="0"/>
                  </w:tcBorders>
                  <w:noWrap/>
                  <w:tcMar>
                    <w:top w:w="15" w:type="dxa"/>
                    <w:left w:w="15" w:type="dxa"/>
                    <w:right w:w="15" w:type="dxa"/>
                  </w:tcMar>
                  <w:vAlign w:val="center"/>
                </w:tcPr>
                <w:p w14:paraId="569D54F9">
                  <w:pPr>
                    <w:widowControl/>
                    <w:jc w:val="center"/>
                    <w:textAlignment w:val="center"/>
                    <w:rPr>
                      <w:rFonts w:hint="default" w:ascii="Times New Roman" w:hAnsi="Times New Roman" w:cs="Times New Roman"/>
                      <w:color w:val="000000" w:themeColor="text1"/>
                      <w14:textFill>
                        <w14:solidFill>
                          <w14:schemeClr w14:val="tx1"/>
                        </w14:solidFill>
                      </w14:textFill>
                    </w:rPr>
                  </w:pPr>
                </w:p>
              </w:tc>
              <w:tc>
                <w:tcPr>
                  <w:tcW w:w="1176"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14:paraId="45C52E73">
                  <w:pPr>
                    <w:widowControl/>
                    <w:jc w:val="center"/>
                    <w:textAlignment w:val="center"/>
                    <w:rPr>
                      <w:rFonts w:hint="default" w:ascii="Times New Roman" w:hAnsi="Times New Roman" w:cs="Times New Roman"/>
                      <w:color w:val="000000" w:themeColor="text1"/>
                      <w14:textFill>
                        <w14:solidFill>
                          <w14:schemeClr w14:val="tx1"/>
                        </w14:solidFill>
                      </w14:textFill>
                    </w:rPr>
                  </w:pPr>
                </w:p>
              </w:tc>
              <w:tc>
                <w:tcPr>
                  <w:tcW w:w="1317" w:type="dxa"/>
                  <w:tcBorders>
                    <w:top w:val="single" w:color="000000" w:sz="8" w:space="0"/>
                    <w:left w:val="single" w:color="000000" w:sz="4" w:space="0"/>
                    <w:bottom w:val="single" w:color="000000" w:sz="4" w:space="0"/>
                    <w:right w:val="single" w:color="000000" w:sz="4" w:space="0"/>
                  </w:tcBorders>
                  <w:noWrap/>
                  <w:tcMar>
                    <w:top w:w="15" w:type="dxa"/>
                    <w:left w:w="15" w:type="dxa"/>
                    <w:right w:w="15" w:type="dxa"/>
                  </w:tcMar>
                  <w:vAlign w:val="center"/>
                </w:tcPr>
                <w:p w14:paraId="1CF74183">
                  <w:pPr>
                    <w:widowControl/>
                    <w:jc w:val="center"/>
                    <w:textAlignment w:val="center"/>
                    <w:rPr>
                      <w:rFonts w:hint="default" w:ascii="Times New Roman" w:hAnsi="Times New Roman" w:cs="Times New Roman" w:eastAsiaTheme="minorEastAsia"/>
                      <w:b/>
                      <w:bCs/>
                      <w:color w:val="000000" w:themeColor="text1"/>
                      <w:kern w:val="0"/>
                      <w:szCs w:val="21"/>
                      <w:lang w:val="en-US" w:eastAsia="zh-CN"/>
                      <w14:textFill>
                        <w14:solidFill>
                          <w14:schemeClr w14:val="tx1"/>
                        </w14:solidFill>
                      </w14:textFill>
                    </w:rPr>
                  </w:pPr>
                  <w:r>
                    <w:rPr>
                      <w:rFonts w:hint="default" w:ascii="Times New Roman" w:hAnsi="Times New Roman" w:cs="Times New Roman"/>
                      <w:b/>
                      <w:bCs/>
                      <w:color w:val="000000" w:themeColor="text1"/>
                      <w:kern w:val="0"/>
                      <w:szCs w:val="21"/>
                      <w:lang w:val="en-US" w:eastAsia="zh-CN"/>
                      <w14:textFill>
                        <w14:solidFill>
                          <w14:schemeClr w14:val="tx1"/>
                        </w14:solidFill>
                      </w14:textFill>
                    </w:rPr>
                    <w:t>原有项目</w:t>
                  </w:r>
                </w:p>
              </w:tc>
              <w:tc>
                <w:tcPr>
                  <w:tcW w:w="1168" w:type="dxa"/>
                  <w:tcBorders>
                    <w:top w:val="single" w:color="000000" w:sz="8" w:space="0"/>
                    <w:left w:val="single" w:color="000000" w:sz="4" w:space="0"/>
                    <w:bottom w:val="single" w:color="000000" w:sz="4" w:space="0"/>
                    <w:right w:val="single" w:color="000000" w:sz="4" w:space="0"/>
                  </w:tcBorders>
                  <w:noWrap/>
                  <w:tcMar>
                    <w:top w:w="15" w:type="dxa"/>
                    <w:left w:w="15" w:type="dxa"/>
                    <w:right w:w="15" w:type="dxa"/>
                  </w:tcMar>
                  <w:vAlign w:val="center"/>
                </w:tcPr>
                <w:p w14:paraId="037D95E5">
                  <w:pPr>
                    <w:widowControl/>
                    <w:jc w:val="center"/>
                    <w:textAlignment w:val="center"/>
                    <w:rPr>
                      <w:rFonts w:hint="default" w:ascii="Times New Roman" w:hAnsi="Times New Roman" w:cs="Times New Roman" w:eastAsiaTheme="minorEastAsia"/>
                      <w:b/>
                      <w:bCs/>
                      <w:color w:val="000000" w:themeColor="text1"/>
                      <w:kern w:val="0"/>
                      <w:szCs w:val="21"/>
                      <w:lang w:val="en-US" w:eastAsia="zh-CN"/>
                      <w14:textFill>
                        <w14:solidFill>
                          <w14:schemeClr w14:val="tx1"/>
                        </w14:solidFill>
                      </w14:textFill>
                    </w:rPr>
                  </w:pPr>
                  <w:r>
                    <w:rPr>
                      <w:rFonts w:hint="default" w:ascii="Times New Roman" w:hAnsi="Times New Roman" w:cs="Times New Roman"/>
                      <w:b/>
                      <w:bCs/>
                      <w:color w:val="000000" w:themeColor="text1"/>
                      <w:kern w:val="0"/>
                      <w:szCs w:val="21"/>
                      <w:lang w:val="en-US" w:eastAsia="zh-CN"/>
                      <w14:textFill>
                        <w14:solidFill>
                          <w14:schemeClr w14:val="tx1"/>
                        </w14:solidFill>
                      </w14:textFill>
                    </w:rPr>
                    <w:t>本项目</w:t>
                  </w:r>
                </w:p>
              </w:tc>
              <w:tc>
                <w:tcPr>
                  <w:tcW w:w="2008"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14:paraId="7534ABCF">
                  <w:pPr>
                    <w:widowControl/>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1495" w:type="dxa"/>
                  <w:vMerge w:val="continue"/>
                  <w:tcBorders>
                    <w:left w:val="single" w:color="000000" w:sz="4" w:space="0"/>
                    <w:bottom w:val="single" w:color="000000" w:sz="4" w:space="0"/>
                    <w:right w:val="single" w:color="000000" w:sz="8" w:space="0"/>
                  </w:tcBorders>
                  <w:noWrap/>
                  <w:tcMar>
                    <w:top w:w="15" w:type="dxa"/>
                    <w:left w:w="15" w:type="dxa"/>
                    <w:right w:w="15" w:type="dxa"/>
                  </w:tcMar>
                  <w:vAlign w:val="center"/>
                </w:tcPr>
                <w:p w14:paraId="2F1F6412">
                  <w:pPr>
                    <w:widowControl/>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r>
            <w:tr w14:paraId="13342EE8">
              <w:tblPrEx>
                <w:tblCellMar>
                  <w:top w:w="0" w:type="dxa"/>
                  <w:left w:w="0" w:type="dxa"/>
                  <w:bottom w:w="0" w:type="dxa"/>
                  <w:right w:w="0" w:type="dxa"/>
                </w:tblCellMar>
              </w:tblPrEx>
              <w:trPr>
                <w:trHeight w:val="236" w:hRule="atLeast"/>
              </w:trPr>
              <w:tc>
                <w:tcPr>
                  <w:tcW w:w="773" w:type="dxa"/>
                  <w:tcBorders>
                    <w:top w:val="single" w:color="000000" w:sz="4" w:space="0"/>
                    <w:left w:val="single" w:color="000000" w:sz="8" w:space="0"/>
                    <w:bottom w:val="single" w:color="000000" w:sz="4" w:space="0"/>
                    <w:right w:val="single" w:color="000000" w:sz="4" w:space="0"/>
                  </w:tcBorders>
                  <w:noWrap/>
                  <w:tcMar>
                    <w:top w:w="15" w:type="dxa"/>
                    <w:left w:w="15" w:type="dxa"/>
                    <w:right w:w="15" w:type="dxa"/>
                  </w:tcMar>
                  <w:vAlign w:val="center"/>
                </w:tcPr>
                <w:p w14:paraId="666B2F38">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w:t>
                  </w:r>
                </w:p>
              </w:tc>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6C83F">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环氧树脂</w:t>
                  </w:r>
                </w:p>
              </w:tc>
              <w:tc>
                <w:tcPr>
                  <w:tcW w:w="13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E47789">
                  <w:pPr>
                    <w:widowControl/>
                    <w:jc w:val="center"/>
                    <w:textAlignment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2.2</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CF8B2E">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5.7</w:t>
                  </w:r>
                </w:p>
              </w:tc>
              <w:tc>
                <w:tcPr>
                  <w:tcW w:w="20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27855F">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桶装，25kg/桶</w:t>
                  </w:r>
                </w:p>
              </w:tc>
              <w:tc>
                <w:tcPr>
                  <w:tcW w:w="1495" w:type="dxa"/>
                  <w:tcBorders>
                    <w:top w:val="single" w:color="000000" w:sz="4" w:space="0"/>
                    <w:left w:val="single" w:color="000000" w:sz="4" w:space="0"/>
                    <w:bottom w:val="single" w:color="000000" w:sz="4" w:space="0"/>
                    <w:right w:val="single" w:color="000000" w:sz="8" w:space="0"/>
                  </w:tcBorders>
                  <w:noWrap/>
                  <w:tcMar>
                    <w:top w:w="15" w:type="dxa"/>
                    <w:left w:w="15" w:type="dxa"/>
                    <w:right w:w="15" w:type="dxa"/>
                  </w:tcMar>
                  <w:vAlign w:val="center"/>
                </w:tcPr>
                <w:p w14:paraId="10F36650">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外购</w:t>
                  </w:r>
                </w:p>
              </w:tc>
            </w:tr>
            <w:tr w14:paraId="5D3BEF01">
              <w:tblPrEx>
                <w:tblCellMar>
                  <w:top w:w="0" w:type="dxa"/>
                  <w:left w:w="0" w:type="dxa"/>
                  <w:bottom w:w="0" w:type="dxa"/>
                  <w:right w:w="0" w:type="dxa"/>
                </w:tblCellMar>
              </w:tblPrEx>
              <w:trPr>
                <w:trHeight w:val="184" w:hRule="atLeast"/>
              </w:trPr>
              <w:tc>
                <w:tcPr>
                  <w:tcW w:w="773" w:type="dxa"/>
                  <w:tcBorders>
                    <w:top w:val="single" w:color="000000" w:sz="4" w:space="0"/>
                    <w:left w:val="single" w:color="000000" w:sz="8" w:space="0"/>
                    <w:bottom w:val="single" w:color="000000" w:sz="4" w:space="0"/>
                    <w:right w:val="single" w:color="000000" w:sz="4" w:space="0"/>
                  </w:tcBorders>
                  <w:noWrap/>
                  <w:tcMar>
                    <w:top w:w="15" w:type="dxa"/>
                    <w:left w:w="15" w:type="dxa"/>
                    <w:right w:w="15" w:type="dxa"/>
                  </w:tcMar>
                  <w:vAlign w:val="center"/>
                </w:tcPr>
                <w:p w14:paraId="6171A254">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w:t>
                  </w:r>
                </w:p>
              </w:tc>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E936A">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玻璃纤维</w:t>
                  </w:r>
                </w:p>
              </w:tc>
              <w:tc>
                <w:tcPr>
                  <w:tcW w:w="13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E918ED">
                  <w:pPr>
                    <w:widowControl/>
                    <w:jc w:val="center"/>
                    <w:textAlignment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28DA3E">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20.1</w:t>
                  </w:r>
                </w:p>
              </w:tc>
              <w:tc>
                <w:tcPr>
                  <w:tcW w:w="20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3B5928">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495" w:type="dxa"/>
                  <w:tcBorders>
                    <w:top w:val="single" w:color="000000" w:sz="4" w:space="0"/>
                    <w:left w:val="single" w:color="000000" w:sz="4" w:space="0"/>
                    <w:bottom w:val="single" w:color="000000" w:sz="4" w:space="0"/>
                    <w:right w:val="single" w:color="000000" w:sz="8" w:space="0"/>
                  </w:tcBorders>
                  <w:noWrap/>
                  <w:tcMar>
                    <w:top w:w="15" w:type="dxa"/>
                    <w:left w:w="15" w:type="dxa"/>
                    <w:right w:w="15" w:type="dxa"/>
                  </w:tcMar>
                  <w:vAlign w:val="center"/>
                </w:tcPr>
                <w:p w14:paraId="0B2B9F02">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外购</w:t>
                  </w:r>
                </w:p>
              </w:tc>
            </w:tr>
            <w:tr w14:paraId="131FCEB1">
              <w:tblPrEx>
                <w:tblCellMar>
                  <w:top w:w="0" w:type="dxa"/>
                  <w:left w:w="0" w:type="dxa"/>
                  <w:bottom w:w="0" w:type="dxa"/>
                  <w:right w:w="0" w:type="dxa"/>
                </w:tblCellMar>
              </w:tblPrEx>
              <w:trPr>
                <w:trHeight w:val="184" w:hRule="atLeast"/>
              </w:trPr>
              <w:tc>
                <w:tcPr>
                  <w:tcW w:w="773" w:type="dxa"/>
                  <w:tcBorders>
                    <w:top w:val="single" w:color="000000" w:sz="4" w:space="0"/>
                    <w:left w:val="single" w:color="000000" w:sz="8" w:space="0"/>
                    <w:bottom w:val="single" w:color="000000" w:sz="4" w:space="0"/>
                    <w:right w:val="single" w:color="000000" w:sz="4" w:space="0"/>
                  </w:tcBorders>
                  <w:noWrap/>
                  <w:tcMar>
                    <w:top w:w="15" w:type="dxa"/>
                    <w:left w:w="15" w:type="dxa"/>
                    <w:right w:w="15" w:type="dxa"/>
                  </w:tcMar>
                  <w:vAlign w:val="center"/>
                </w:tcPr>
                <w:p w14:paraId="0C6DF6D7">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3</w:t>
                  </w:r>
                </w:p>
              </w:tc>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C0A13A">
                  <w:pPr>
                    <w:widowControl/>
                    <w:jc w:val="center"/>
                    <w:textAlignment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碳纤维</w:t>
                  </w:r>
                </w:p>
              </w:tc>
              <w:tc>
                <w:tcPr>
                  <w:tcW w:w="13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9F38C5">
                  <w:pPr>
                    <w:widowControl/>
                    <w:jc w:val="center"/>
                    <w:textAlignment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3</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154F38">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0.75</w:t>
                  </w:r>
                </w:p>
              </w:tc>
              <w:tc>
                <w:tcPr>
                  <w:tcW w:w="20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8F1829">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495" w:type="dxa"/>
                  <w:tcBorders>
                    <w:top w:val="single" w:color="000000" w:sz="4" w:space="0"/>
                    <w:left w:val="single" w:color="000000" w:sz="4" w:space="0"/>
                    <w:bottom w:val="single" w:color="000000" w:sz="4" w:space="0"/>
                    <w:right w:val="single" w:color="000000" w:sz="8" w:space="0"/>
                  </w:tcBorders>
                  <w:noWrap/>
                  <w:tcMar>
                    <w:top w:w="15" w:type="dxa"/>
                    <w:left w:w="15" w:type="dxa"/>
                    <w:right w:w="15" w:type="dxa"/>
                  </w:tcMar>
                  <w:vAlign w:val="center"/>
                </w:tcPr>
                <w:p w14:paraId="3C1021BD">
                  <w:pPr>
                    <w:widowControl/>
                    <w:jc w:val="center"/>
                    <w:textAlignment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外购</w:t>
                  </w:r>
                </w:p>
              </w:tc>
            </w:tr>
            <w:tr w14:paraId="6222C0BA">
              <w:tblPrEx>
                <w:tblCellMar>
                  <w:top w:w="0" w:type="dxa"/>
                  <w:left w:w="0" w:type="dxa"/>
                  <w:bottom w:w="0" w:type="dxa"/>
                  <w:right w:w="0" w:type="dxa"/>
                </w:tblCellMar>
              </w:tblPrEx>
              <w:trPr>
                <w:trHeight w:val="260" w:hRule="atLeast"/>
              </w:trPr>
              <w:tc>
                <w:tcPr>
                  <w:tcW w:w="773" w:type="dxa"/>
                  <w:tcBorders>
                    <w:top w:val="single" w:color="000000" w:sz="4" w:space="0"/>
                    <w:left w:val="single" w:color="000000" w:sz="8" w:space="0"/>
                    <w:bottom w:val="single" w:color="000000" w:sz="4" w:space="0"/>
                    <w:right w:val="single" w:color="000000" w:sz="4" w:space="0"/>
                  </w:tcBorders>
                  <w:noWrap/>
                  <w:tcMar>
                    <w:top w:w="15" w:type="dxa"/>
                    <w:left w:w="15" w:type="dxa"/>
                    <w:right w:w="15" w:type="dxa"/>
                  </w:tcMar>
                  <w:vAlign w:val="center"/>
                </w:tcPr>
                <w:p w14:paraId="201B15A4">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4</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4FEBCF">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机油</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ACB713">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3</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0L</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252AB3">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334</w:t>
                  </w:r>
                  <w:r>
                    <w:rPr>
                      <w:rFonts w:hint="default" w:ascii="Times New Roman" w:hAnsi="Times New Roman" w:cs="Times New Roman"/>
                      <w:color w:val="000000" w:themeColor="text1"/>
                      <w:szCs w:val="21"/>
                      <w14:textFill>
                        <w14:solidFill>
                          <w14:schemeClr w14:val="tx1"/>
                        </w14:solidFill>
                      </w14:textFill>
                    </w:rPr>
                    <w:t>L</w:t>
                  </w:r>
                </w:p>
              </w:tc>
              <w:tc>
                <w:tcPr>
                  <w:tcW w:w="2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E475E8">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桶装</w:t>
                  </w:r>
                </w:p>
              </w:tc>
              <w:tc>
                <w:tcPr>
                  <w:tcW w:w="1495"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14:paraId="47292C39">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外购</w:t>
                  </w:r>
                </w:p>
              </w:tc>
            </w:tr>
            <w:tr w14:paraId="685F7F70">
              <w:tblPrEx>
                <w:tblCellMar>
                  <w:top w:w="0" w:type="dxa"/>
                  <w:left w:w="0" w:type="dxa"/>
                  <w:bottom w:w="0" w:type="dxa"/>
                  <w:right w:w="0" w:type="dxa"/>
                </w:tblCellMar>
              </w:tblPrEx>
              <w:trPr>
                <w:trHeight w:val="260" w:hRule="atLeast"/>
              </w:trPr>
              <w:tc>
                <w:tcPr>
                  <w:tcW w:w="773"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14:paraId="029E5DF1">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5</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999139">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固化剂</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FB2CDB">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2.6</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5026E8">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7.41</w:t>
                  </w:r>
                </w:p>
              </w:tc>
              <w:tc>
                <w:tcPr>
                  <w:tcW w:w="2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19C297">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桶装</w:t>
                  </w:r>
                </w:p>
              </w:tc>
              <w:tc>
                <w:tcPr>
                  <w:tcW w:w="1495"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14:paraId="12FC02AA">
                  <w:pPr>
                    <w:widowControl/>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外购</w:t>
                  </w:r>
                </w:p>
              </w:tc>
            </w:tr>
            <w:tr w14:paraId="4E786FB1">
              <w:tblPrEx>
                <w:tblCellMar>
                  <w:top w:w="0" w:type="dxa"/>
                  <w:left w:w="0" w:type="dxa"/>
                  <w:bottom w:w="0" w:type="dxa"/>
                  <w:right w:w="0" w:type="dxa"/>
                </w:tblCellMar>
              </w:tblPrEx>
              <w:trPr>
                <w:trHeight w:val="260" w:hRule="atLeast"/>
              </w:trPr>
              <w:tc>
                <w:tcPr>
                  <w:tcW w:w="773"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14:paraId="78771983">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D1EAEC">
                  <w:pPr>
                    <w:widowControl/>
                    <w:jc w:val="center"/>
                    <w:textAlignment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活性炭</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77076A">
                  <w:pPr>
                    <w:widowControl/>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936E43">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0.4</w:t>
                  </w:r>
                </w:p>
              </w:tc>
              <w:tc>
                <w:tcPr>
                  <w:tcW w:w="2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61118C">
                  <w:pPr>
                    <w:widowControl/>
                    <w:jc w:val="center"/>
                    <w:textAlignment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纸箱装</w:t>
                  </w:r>
                </w:p>
              </w:tc>
              <w:tc>
                <w:tcPr>
                  <w:tcW w:w="1495"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14:paraId="3F4B3824">
                  <w:pPr>
                    <w:widowControl/>
                    <w:jc w:val="center"/>
                    <w:textAlignment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外购</w:t>
                  </w:r>
                </w:p>
              </w:tc>
            </w:tr>
            <w:tr w14:paraId="7A8DD135">
              <w:tblPrEx>
                <w:tblCellMar>
                  <w:top w:w="0" w:type="dxa"/>
                  <w:left w:w="0" w:type="dxa"/>
                  <w:bottom w:w="0" w:type="dxa"/>
                  <w:right w:w="0" w:type="dxa"/>
                </w:tblCellMar>
              </w:tblPrEx>
              <w:trPr>
                <w:trHeight w:val="260" w:hRule="atLeast"/>
              </w:trPr>
              <w:tc>
                <w:tcPr>
                  <w:tcW w:w="773"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14:paraId="2E6DB594">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842764">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水</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73F8E9">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230.4m³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8955F8">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567</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p>
              </w:tc>
              <w:tc>
                <w:tcPr>
                  <w:tcW w:w="2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68E565">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1495"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14:paraId="715A8BD0">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外购</w:t>
                  </w:r>
                </w:p>
              </w:tc>
            </w:tr>
            <w:tr w14:paraId="039A6F30">
              <w:tblPrEx>
                <w:tblCellMar>
                  <w:top w:w="0" w:type="dxa"/>
                  <w:left w:w="0" w:type="dxa"/>
                  <w:bottom w:w="0" w:type="dxa"/>
                  <w:right w:w="0" w:type="dxa"/>
                </w:tblCellMar>
              </w:tblPrEx>
              <w:trPr>
                <w:trHeight w:val="363" w:hRule="atLeast"/>
              </w:trPr>
              <w:tc>
                <w:tcPr>
                  <w:tcW w:w="773"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14:paraId="6C614DB5">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A129E6">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电</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94EA7">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100000</w:t>
                  </w:r>
                  <w:r>
                    <w:rPr>
                      <w:rFonts w:hint="default" w:ascii="Times New Roman" w:hAnsi="Times New Roman" w:cs="Times New Roman"/>
                      <w:color w:val="000000" w:themeColor="text1"/>
                      <w:szCs w:val="21"/>
                      <w14:textFill>
                        <w14:solidFill>
                          <w14:schemeClr w14:val="tx1"/>
                        </w14:solidFill>
                      </w14:textFill>
                    </w:rPr>
                    <w:t>kW·h</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620253">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00000kW·h</w:t>
                  </w:r>
                </w:p>
              </w:tc>
              <w:tc>
                <w:tcPr>
                  <w:tcW w:w="20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FC079C">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1495"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14:paraId="3C11D5E0">
                  <w:pPr>
                    <w:widowControl/>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外购</w:t>
                  </w:r>
                </w:p>
              </w:tc>
            </w:tr>
          </w:tbl>
          <w:p w14:paraId="023332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主要原辅材料理化性质及成分：</w:t>
            </w:r>
          </w:p>
          <w:p w14:paraId="0153565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center"/>
              <w:rPr>
                <w:rFonts w:hint="default" w:ascii="Times New Roman" w:hAnsi="Times New Roman" w:cs="Times New Roman"/>
                <w:color w:val="000000" w:themeColor="text1"/>
                <w:sz w:val="24"/>
                <w:shd w:val="clear" w:color="auto" w:fill="FFFFFF"/>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①环氧树脂</w:t>
            </w:r>
            <w:r>
              <w:rPr>
                <w:rFonts w:hint="default" w:ascii="Times New Roman" w:hAnsi="Times New Roman" w:cs="Times New Roman"/>
                <w:bCs/>
                <w:color w:val="000000" w:themeColor="text1"/>
                <w:sz w:val="24"/>
                <w:szCs w:val="24"/>
                <w:lang w:val="en-US" w:eastAsia="zh-CN"/>
                <w14:textFill>
                  <w14:solidFill>
                    <w14:schemeClr w14:val="tx1"/>
                  </w14:solidFill>
                </w14:textFill>
              </w:rPr>
              <w:t>（环氧树脂：固化剂=100:120）：在缠绕工序将玻璃纤维或碳纤维</w:t>
            </w:r>
            <w:r>
              <w:rPr>
                <w:rFonts w:hint="default" w:ascii="Times New Roman" w:hAnsi="Times New Roman" w:cs="Times New Roman"/>
                <w:color w:val="000000" w:themeColor="text1"/>
                <w:sz w:val="24"/>
                <w14:textFill>
                  <w14:solidFill>
                    <w14:schemeClr w14:val="tx1"/>
                  </w14:solidFill>
                </w14:textFill>
              </w:rPr>
              <w:t>浸入环氧树脂</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使纤维表面涂敷一层环氧树脂，便于纤维定型并增强产品结构。</w:t>
            </w:r>
            <w:r>
              <w:rPr>
                <w:rFonts w:hint="default" w:ascii="Times New Roman" w:hAnsi="Times New Roman" w:cs="Times New Roman"/>
                <w:color w:val="000000" w:themeColor="text1"/>
                <w:sz w:val="24"/>
                <w:shd w:val="clear" w:color="auto" w:fill="FFFFFF"/>
                <w14:textFill>
                  <w14:solidFill>
                    <w14:schemeClr w14:val="tx1"/>
                  </w14:solidFill>
                </w14:textFill>
              </w:rPr>
              <w:t>环氧树脂是环氧氯丙烷与双酚A或多元醇的聚合物，</w:t>
            </w:r>
            <w:r>
              <w:rPr>
                <w:rFonts w:hint="default" w:ascii="Times New Roman" w:hAnsi="Times New Roman" w:cs="Times New Roman"/>
                <w:color w:val="000000" w:themeColor="text1"/>
                <w:kern w:val="0"/>
                <w:sz w:val="24"/>
                <w:lang w:val="zh-TW" w:eastAsia="zh-TW"/>
                <w14:textFill>
                  <w14:solidFill>
                    <w14:schemeClr w14:val="tx1"/>
                  </w14:solidFill>
                </w14:textFill>
              </w:rPr>
              <w:t>分解</w:t>
            </w:r>
            <w:r>
              <w:rPr>
                <w:rFonts w:hint="default" w:ascii="Times New Roman" w:hAnsi="Times New Roman" w:cs="Times New Roman"/>
                <w:color w:val="000000" w:themeColor="text1"/>
                <w:kern w:val="0"/>
                <w:sz w:val="24"/>
                <w:lang w:val="zh-TW"/>
                <w14:textFill>
                  <w14:solidFill>
                    <w14:schemeClr w14:val="tx1"/>
                  </w14:solidFill>
                </w14:textFill>
              </w:rPr>
              <w:t>温</w:t>
            </w:r>
            <w:r>
              <w:rPr>
                <w:rFonts w:hint="default" w:ascii="Times New Roman" w:hAnsi="Times New Roman" w:cs="Times New Roman"/>
                <w:color w:val="000000" w:themeColor="text1"/>
                <w:kern w:val="0"/>
                <w:sz w:val="24"/>
                <w:lang w:val="zh-TW" w:eastAsia="zh-TW"/>
                <w14:textFill>
                  <w14:solidFill>
                    <w14:schemeClr w14:val="tx1"/>
                  </w14:solidFill>
                </w14:textFill>
              </w:rPr>
              <w:t>度在</w:t>
            </w:r>
            <w:r>
              <w:rPr>
                <w:rFonts w:hint="default" w:ascii="Times New Roman" w:hAnsi="Times New Roman" w:cs="Times New Roman"/>
                <w:color w:val="000000" w:themeColor="text1"/>
                <w:kern w:val="0"/>
                <w:sz w:val="24"/>
                <w14:textFill>
                  <w14:solidFill>
                    <w14:schemeClr w14:val="tx1"/>
                  </w14:solidFill>
                </w14:textFill>
              </w:rPr>
              <w:t>300°C</w:t>
            </w:r>
            <w:r>
              <w:rPr>
                <w:rFonts w:hint="default" w:ascii="Times New Roman" w:hAnsi="Times New Roman" w:cs="Times New Roman"/>
                <w:color w:val="000000" w:themeColor="text1"/>
                <w:kern w:val="0"/>
                <w:sz w:val="24"/>
                <w:lang w:val="zh-TW" w:eastAsia="zh-TW"/>
                <w14:textFill>
                  <w14:solidFill>
                    <w14:schemeClr w14:val="tx1"/>
                  </w14:solidFill>
                </w14:textFill>
              </w:rPr>
              <w:t>以上。</w:t>
            </w:r>
            <w:r>
              <w:rPr>
                <w:rFonts w:hint="default" w:ascii="Times New Roman" w:hAnsi="Times New Roman" w:cs="Times New Roman"/>
                <w:color w:val="000000" w:themeColor="text1"/>
                <w:sz w:val="24"/>
                <w:shd w:val="clear" w:color="auto" w:fill="FFFFFF"/>
                <w14:textFill>
                  <w14:solidFill>
                    <w14:schemeClr w14:val="tx1"/>
                  </w14:solidFill>
                </w14:textFill>
              </w:rPr>
              <w:t>无毒，可与多种类型的固化剂发生</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HYPERLINK "https://www.baidu.com/s?wd=%E4%BA%A4%E8%81%94%E5%8F%8D%E5%BA%94&amp;tn=SE_PcZhidaonwhc_ngpagmjz&amp;rsv_dl=gh_pc_zhidao" \t "_blank"</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sz w:val="24"/>
                <w14:textFill>
                  <w14:solidFill>
                    <w14:schemeClr w14:val="tx1"/>
                  </w14:solidFill>
                </w14:textFill>
              </w:rPr>
              <w:t>交联反应</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 w:val="24"/>
                <w:shd w:val="clear" w:color="auto" w:fill="FFFFFF"/>
                <w14:textFill>
                  <w14:solidFill>
                    <w14:schemeClr w14:val="tx1"/>
                  </w14:solidFill>
                </w14:textFill>
              </w:rPr>
              <w:t>而形成不溶、不熔的具有三向网状结构的高分子聚合物。</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HYPERLINK "https://baike.baidu.com/item/%E7%8E%AF%E6%B0%A7%E6%A0%91%E8%84%82%E8%83%B6%E7%B2%98%E5%89%82" \t "_blank"</w:instrText>
            </w:r>
            <w:r>
              <w:rPr>
                <w:rFonts w:hint="default" w:ascii="Times New Roman" w:hAnsi="Times New Roman" w:cs="Times New Roman"/>
                <w:color w:val="000000" w:themeColor="text1"/>
                <w14:textFill>
                  <w14:solidFill>
                    <w14:schemeClr w14:val="tx1"/>
                  </w14:solidFill>
                </w14:textFill>
              </w:rPr>
              <w:fldChar w:fldCharType="separate"/>
            </w:r>
            <w:r>
              <w:rPr>
                <w:rStyle w:val="18"/>
                <w:rFonts w:hint="default" w:ascii="Times New Roman" w:hAnsi="Times New Roman" w:cs="Times New Roman"/>
                <w:color w:val="000000" w:themeColor="text1"/>
                <w:sz w:val="24"/>
                <w:u w:val="none"/>
                <w:shd w:val="clear" w:color="auto" w:fill="FFFFFF"/>
                <w14:textFill>
                  <w14:solidFill>
                    <w14:schemeClr w14:val="tx1"/>
                  </w14:solidFill>
                </w14:textFill>
              </w:rPr>
              <w:t>环氧树脂</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 w:val="24"/>
                <w:shd w:val="clear" w:color="auto" w:fill="FFFFFF"/>
                <w14:textFill>
                  <w14:solidFill>
                    <w14:schemeClr w14:val="tx1"/>
                  </w14:solidFill>
                </w14:textFill>
              </w:rPr>
              <w:t>本身无毒，但由于</w:t>
            </w:r>
            <w:r>
              <w:rPr>
                <w:rFonts w:hint="default" w:ascii="Times New Roman" w:hAnsi="Times New Roman" w:cs="Times New Roman"/>
                <w:color w:val="000000" w:themeColor="text1"/>
                <w:sz w:val="24"/>
                <w:shd w:val="clear" w:color="auto" w:fill="FFFFFF"/>
                <w:lang w:val="en-US" w:eastAsia="zh-CN"/>
                <w14:textFill>
                  <w14:solidFill>
                    <w14:schemeClr w14:val="tx1"/>
                  </w14:solidFill>
                </w14:textFill>
              </w:rPr>
              <w:t>原料</w:t>
            </w:r>
            <w:r>
              <w:rPr>
                <w:rFonts w:hint="default" w:ascii="Times New Roman" w:hAnsi="Times New Roman" w:cs="Times New Roman"/>
                <w:color w:val="000000" w:themeColor="text1"/>
                <w:sz w:val="24"/>
                <w:shd w:val="clear" w:color="auto" w:fill="FFFFFF"/>
                <w14:textFill>
                  <w14:solidFill>
                    <w14:schemeClr w14:val="tx1"/>
                  </w14:solidFill>
                </w14:textFill>
              </w:rPr>
              <w:t>在制备过程中添加了</w:t>
            </w:r>
            <w:r>
              <w:rPr>
                <w:rFonts w:hint="eastAsia" w:ascii="Times New Roman" w:hAnsi="Times New Roman" w:cs="Times New Roman"/>
                <w:color w:val="000000" w:themeColor="text1"/>
                <w:sz w:val="24"/>
                <w:shd w:val="clear" w:color="auto" w:fill="FFFFFF"/>
                <w:lang w:val="en-US" w:eastAsia="zh-CN"/>
                <w14:textFill>
                  <w14:solidFill>
                    <w14:schemeClr w14:val="tx1"/>
                  </w14:solidFill>
                </w14:textFill>
              </w:rPr>
              <w:t>改性固化剂</w:t>
            </w:r>
            <w:r>
              <w:rPr>
                <w:rFonts w:hint="default" w:ascii="Times New Roman" w:hAnsi="Times New Roman" w:cs="Times New Roman"/>
                <w:color w:val="000000" w:themeColor="text1"/>
                <w:sz w:val="24"/>
                <w:shd w:val="clear" w:color="auto" w:fill="FFFFFF"/>
                <w14:textFill>
                  <w14:solidFill>
                    <w14:schemeClr w14:val="tx1"/>
                  </w14:solidFill>
                </w14:textFill>
              </w:rPr>
              <w:t>，</w:t>
            </w:r>
            <w:r>
              <w:rPr>
                <w:rFonts w:hint="eastAsia" w:ascii="Times New Roman" w:hAnsi="Times New Roman" w:cs="Times New Roman"/>
                <w:color w:val="000000" w:themeColor="text1"/>
                <w:sz w:val="24"/>
                <w:shd w:val="clear" w:color="auto" w:fill="FFFFFF"/>
                <w:lang w:val="en-US" w:eastAsia="zh-CN"/>
                <w14:textFill>
                  <w14:solidFill>
                    <w14:schemeClr w14:val="tx1"/>
                  </w14:solidFill>
                </w14:textFill>
              </w:rPr>
              <w:t>在常温及高温下有少量挥发，改性固化剂主要成分为改性甲基六氢苯酐（MHHPA），是一种淡黄色透明液体，其分子量约为168-178g/mol，沸点通常在290-330℃，作为环氧树脂的常用酸酐固化剂，它表现出高反应活性，需在加热条件下（1</w:t>
            </w:r>
            <w:r>
              <w:rPr>
                <w:rFonts w:hint="default" w:ascii="Times New Roman" w:hAnsi="Times New Roman" w:cs="Times New Roman"/>
                <w:color w:val="000000" w:themeColor="text1"/>
                <w:sz w:val="24"/>
                <w:shd w:val="clear" w:color="auto" w:fill="FFFFFF"/>
                <w:lang w:val="en-US" w:eastAsia="zh-CN"/>
                <w14:textFill>
                  <w14:solidFill>
                    <w14:schemeClr w14:val="tx1"/>
                  </w14:solidFill>
                </w14:textFill>
              </w:rPr>
              <w:t>20-180℃）与</w:t>
            </w:r>
            <w:r>
              <w:rPr>
                <w:rFonts w:hint="eastAsia" w:ascii="Times New Roman" w:hAnsi="Times New Roman" w:cs="Times New Roman"/>
                <w:color w:val="000000" w:themeColor="text1"/>
                <w:sz w:val="24"/>
                <w:shd w:val="clear" w:color="auto" w:fill="FFFFFF"/>
                <w:lang w:val="en-US" w:eastAsia="zh-CN"/>
                <w14:textFill>
                  <w14:solidFill>
                    <w14:schemeClr w14:val="tx1"/>
                  </w14:solidFill>
                </w14:textFill>
              </w:rPr>
              <w:t>环氧基团发生开环聚合，形成致密的交联网络。该物质易溶于丙酮、甲苯等有机溶剂，难溶于水，水解后生成相应的二羧酸。</w:t>
            </w:r>
            <w:r>
              <w:rPr>
                <w:rFonts w:hint="default" w:ascii="Times New Roman" w:hAnsi="Times New Roman" w:cs="Times New Roman"/>
                <w:color w:val="000000" w:themeColor="text1"/>
                <w:sz w:val="24"/>
                <w:shd w:val="clear" w:color="auto" w:fill="FFFFFF"/>
                <w:lang w:val="en-US" w:eastAsia="zh-CN"/>
                <w14:textFill>
                  <w14:solidFill>
                    <w14:schemeClr w14:val="tx1"/>
                  </w14:solidFill>
                </w14:textFill>
              </w:rPr>
              <w:t>产品安全技术使用说明书见附件。</w:t>
            </w:r>
          </w:p>
          <w:p w14:paraId="269027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eastAsia" w:ascii="宋体" w:hAnsi="宋体" w:cs="宋体"/>
                <w:bCs/>
                <w:color w:val="000000" w:themeColor="text1"/>
                <w:sz w:val="24"/>
                <w:szCs w:val="24"/>
                <w:highlight w:val="none"/>
                <w:lang w:val="en-US" w:eastAsia="zh-CN"/>
                <w14:textFill>
                  <w14:solidFill>
                    <w14:schemeClr w14:val="tx1"/>
                  </w14:solidFill>
                </w14:textFill>
              </w:rPr>
              <w:t>根据环氧树脂检测报告，本项</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目环氧树脂中VOC含量为</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3g</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/kg，符合《胶粘剂挥发性有机化合物限量》（GB33372-2020）中本体型胶黏剂VOC含量限值（≤100g/kg），检测报告见附件。</w:t>
            </w:r>
          </w:p>
          <w:p w14:paraId="473D509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center"/>
              <w:rPr>
                <w:rFonts w:hint="eastAsia"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②玻璃纤维：</w:t>
            </w:r>
            <w:r>
              <w:rPr>
                <w:rFonts w:hint="eastAsia" w:ascii="宋体" w:hAnsi="宋体" w:cs="宋体"/>
                <w:bCs/>
                <w:color w:val="000000" w:themeColor="text1"/>
                <w:sz w:val="24"/>
                <w:szCs w:val="24"/>
                <w:lang w:val="en-US" w:eastAsia="zh-CN"/>
                <w14:textFill>
                  <w14:solidFill>
                    <w14:schemeClr w14:val="tx1"/>
                  </w14:solidFill>
                </w14:textFill>
              </w:rPr>
              <w:fldChar w:fldCharType="begin"/>
            </w:r>
            <w:r>
              <w:rPr>
                <w:rFonts w:hint="eastAsia" w:ascii="宋体" w:hAnsi="宋体" w:cs="宋体"/>
                <w:bCs/>
                <w:color w:val="000000" w:themeColor="text1"/>
                <w:sz w:val="24"/>
                <w:szCs w:val="24"/>
                <w:lang w:val="en-US" w:eastAsia="zh-CN"/>
                <w14:textFill>
                  <w14:solidFill>
                    <w14:schemeClr w14:val="tx1"/>
                  </w14:solidFill>
                </w14:textFill>
              </w:rPr>
              <w:instrText xml:space="preserve">HYPERLINK "https://baike.baidu.com/item/%E6%97%A0%E6%9C%BA%E9%9D%9E%E9%87%91%E5%B1%9E%E6%9D%90%E6%96%99/2502765" \t "_blank"</w:instrText>
            </w:r>
            <w:r>
              <w:rPr>
                <w:rFonts w:hint="eastAsia" w:ascii="宋体" w:hAnsi="宋体" w:cs="宋体"/>
                <w:bCs/>
                <w:color w:val="000000" w:themeColor="text1"/>
                <w:sz w:val="24"/>
                <w:szCs w:val="24"/>
                <w:lang w:val="en-US" w:eastAsia="zh-CN"/>
                <w14:textFill>
                  <w14:solidFill>
                    <w14:schemeClr w14:val="tx1"/>
                  </w14:solidFill>
                </w14:textFill>
              </w:rPr>
              <w:fldChar w:fldCharType="separate"/>
            </w:r>
            <w:r>
              <w:rPr>
                <w:rFonts w:hint="eastAsia" w:ascii="宋体" w:hAnsi="宋体" w:cs="宋体"/>
                <w:bCs/>
                <w:color w:val="000000" w:themeColor="text1"/>
                <w:sz w:val="24"/>
                <w:szCs w:val="24"/>
                <w:lang w:val="en-US" w:eastAsia="zh-CN"/>
                <w14:textFill>
                  <w14:solidFill>
                    <w14:schemeClr w14:val="tx1"/>
                  </w14:solidFill>
                </w14:textFill>
              </w:rPr>
              <w:t>无机非金属材料</w:t>
            </w:r>
            <w:r>
              <w:rPr>
                <w:rFonts w:hint="eastAsia" w:ascii="宋体" w:hAnsi="宋体" w:cs="宋体"/>
                <w:bCs/>
                <w:color w:val="000000" w:themeColor="text1"/>
                <w:sz w:val="24"/>
                <w:szCs w:val="24"/>
                <w:lang w:val="en-US" w:eastAsia="zh-CN"/>
                <w14:textFill>
                  <w14:solidFill>
                    <w14:schemeClr w14:val="tx1"/>
                  </w14:solidFill>
                </w14:textFill>
              </w:rPr>
              <w:fldChar w:fldCharType="end"/>
            </w:r>
            <w:r>
              <w:rPr>
                <w:rFonts w:hint="eastAsia" w:ascii="宋体" w:hAnsi="宋体" w:cs="宋体"/>
                <w:bCs/>
                <w:color w:val="000000" w:themeColor="text1"/>
                <w:sz w:val="24"/>
                <w:szCs w:val="24"/>
                <w:lang w:val="en-US" w:eastAsia="zh-CN"/>
                <w14:textFill>
                  <w14:solidFill>
                    <w14:schemeClr w14:val="tx1"/>
                  </w14:solidFill>
                </w14:textFill>
              </w:rPr>
              <w:t>，软化点为</w:t>
            </w:r>
            <w:r>
              <w:rPr>
                <w:rFonts w:hint="default" w:ascii="Times New Roman" w:hAnsi="Times New Roman" w:cs="Times New Roman"/>
                <w:bCs/>
                <w:color w:val="000000" w:themeColor="text1"/>
                <w:sz w:val="24"/>
                <w:szCs w:val="24"/>
                <w:lang w:val="en-US" w:eastAsia="zh-CN"/>
                <w14:textFill>
                  <w14:solidFill>
                    <w14:schemeClr w14:val="tx1"/>
                  </w14:solidFill>
                </w14:textFill>
              </w:rPr>
              <w:t>500~750℃，沸点 1000 ℃</w:t>
            </w:r>
            <w:r>
              <w:rPr>
                <w:rFonts w:hint="eastAsia" w:ascii="宋体" w:hAnsi="宋体" w:cs="宋体"/>
                <w:bCs/>
                <w:color w:val="000000" w:themeColor="text1"/>
                <w:sz w:val="24"/>
                <w:szCs w:val="24"/>
                <w:lang w:val="en-US" w:eastAsia="zh-CN"/>
                <w14:textFill>
                  <w14:solidFill>
                    <w14:schemeClr w14:val="tx1"/>
                  </w14:solidFill>
                </w14:textFill>
              </w:rPr>
              <w:t>，主要成分为</w:t>
            </w:r>
            <w:r>
              <w:rPr>
                <w:rFonts w:hint="eastAsia" w:ascii="宋体" w:hAnsi="宋体" w:cs="宋体"/>
                <w:bCs/>
                <w:color w:val="000000" w:themeColor="text1"/>
                <w:sz w:val="24"/>
                <w:szCs w:val="24"/>
                <w:lang w:val="en-US" w:eastAsia="zh-CN"/>
                <w14:textFill>
                  <w14:solidFill>
                    <w14:schemeClr w14:val="tx1"/>
                  </w14:solidFill>
                </w14:textFill>
              </w:rPr>
              <w:fldChar w:fldCharType="begin"/>
            </w:r>
            <w:r>
              <w:rPr>
                <w:rFonts w:hint="eastAsia" w:ascii="宋体" w:hAnsi="宋体" w:cs="宋体"/>
                <w:bCs/>
                <w:color w:val="000000" w:themeColor="text1"/>
                <w:sz w:val="24"/>
                <w:szCs w:val="24"/>
                <w:lang w:val="en-US" w:eastAsia="zh-CN"/>
                <w14:textFill>
                  <w14:solidFill>
                    <w14:schemeClr w14:val="tx1"/>
                  </w14:solidFill>
                </w14:textFill>
              </w:rPr>
              <w:instrText xml:space="preserve">HYPERLINK "https://baike.baidu.com/item/%E4%BA%8C%E6%B0%A7%E5%8C%96%E7%A1%85" \t "_blank"</w:instrText>
            </w:r>
            <w:r>
              <w:rPr>
                <w:rFonts w:hint="eastAsia" w:ascii="宋体" w:hAnsi="宋体" w:cs="宋体"/>
                <w:bCs/>
                <w:color w:val="000000" w:themeColor="text1"/>
                <w:sz w:val="24"/>
                <w:szCs w:val="24"/>
                <w:lang w:val="en-US" w:eastAsia="zh-CN"/>
                <w14:textFill>
                  <w14:solidFill>
                    <w14:schemeClr w14:val="tx1"/>
                  </w14:solidFill>
                </w14:textFill>
              </w:rPr>
              <w:fldChar w:fldCharType="separate"/>
            </w:r>
            <w:r>
              <w:rPr>
                <w:rFonts w:hint="eastAsia" w:ascii="宋体" w:hAnsi="宋体" w:cs="宋体"/>
                <w:bCs/>
                <w:color w:val="000000" w:themeColor="text1"/>
                <w:sz w:val="24"/>
                <w:szCs w:val="24"/>
                <w:lang w:val="en-US" w:eastAsia="zh-CN"/>
                <w14:textFill>
                  <w14:solidFill>
                    <w14:schemeClr w14:val="tx1"/>
                  </w14:solidFill>
                </w14:textFill>
              </w:rPr>
              <w:t>二氧化硅</w:t>
            </w:r>
            <w:r>
              <w:rPr>
                <w:rFonts w:hint="eastAsia" w:ascii="宋体" w:hAnsi="宋体" w:cs="宋体"/>
                <w:bCs/>
                <w:color w:val="000000" w:themeColor="text1"/>
                <w:sz w:val="24"/>
                <w:szCs w:val="24"/>
                <w:lang w:val="en-US" w:eastAsia="zh-CN"/>
                <w14:textFill>
                  <w14:solidFill>
                    <w14:schemeClr w14:val="tx1"/>
                  </w14:solidFill>
                </w14:textFill>
              </w:rPr>
              <w:fldChar w:fldCharType="end"/>
            </w:r>
            <w:r>
              <w:rPr>
                <w:rFonts w:hint="eastAsia" w:ascii="宋体" w:hAnsi="宋体" w:cs="宋体"/>
                <w:bCs/>
                <w:color w:val="000000" w:themeColor="text1"/>
                <w:sz w:val="24"/>
                <w:szCs w:val="24"/>
                <w:lang w:val="en-US"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fldChar w:fldCharType="begin"/>
            </w:r>
            <w:r>
              <w:rPr>
                <w:rFonts w:hint="eastAsia" w:ascii="宋体" w:hAnsi="宋体" w:cs="宋体"/>
                <w:bCs/>
                <w:color w:val="000000" w:themeColor="text1"/>
                <w:sz w:val="24"/>
                <w:szCs w:val="24"/>
                <w:lang w:val="en-US" w:eastAsia="zh-CN"/>
                <w14:textFill>
                  <w14:solidFill>
                    <w14:schemeClr w14:val="tx1"/>
                  </w14:solidFill>
                </w14:textFill>
              </w:rPr>
              <w:instrText xml:space="preserve">HYPERLINK "https://baike.baidu.com/item/%E6%B0%A7%E5%8C%96%E9%93%9D" \t "_blank"</w:instrText>
            </w:r>
            <w:r>
              <w:rPr>
                <w:rFonts w:hint="eastAsia" w:ascii="宋体" w:hAnsi="宋体" w:cs="宋体"/>
                <w:bCs/>
                <w:color w:val="000000" w:themeColor="text1"/>
                <w:sz w:val="24"/>
                <w:szCs w:val="24"/>
                <w:lang w:val="en-US" w:eastAsia="zh-CN"/>
                <w14:textFill>
                  <w14:solidFill>
                    <w14:schemeClr w14:val="tx1"/>
                  </w14:solidFill>
                </w14:textFill>
              </w:rPr>
              <w:fldChar w:fldCharType="separate"/>
            </w:r>
            <w:r>
              <w:rPr>
                <w:rFonts w:hint="eastAsia" w:ascii="宋体" w:hAnsi="宋体" w:cs="宋体"/>
                <w:bCs/>
                <w:color w:val="000000" w:themeColor="text1"/>
                <w:sz w:val="24"/>
                <w:szCs w:val="24"/>
                <w:lang w:val="en-US" w:eastAsia="zh-CN"/>
                <w14:textFill>
                  <w14:solidFill>
                    <w14:schemeClr w14:val="tx1"/>
                  </w14:solidFill>
                </w14:textFill>
              </w:rPr>
              <w:t>氧化铝</w:t>
            </w:r>
            <w:r>
              <w:rPr>
                <w:rFonts w:hint="eastAsia" w:ascii="宋体" w:hAnsi="宋体" w:cs="宋体"/>
                <w:bCs/>
                <w:color w:val="000000" w:themeColor="text1"/>
                <w:sz w:val="24"/>
                <w:szCs w:val="24"/>
                <w:lang w:val="en-US" w:eastAsia="zh-CN"/>
                <w14:textFill>
                  <w14:solidFill>
                    <w14:schemeClr w14:val="tx1"/>
                  </w14:solidFill>
                </w14:textFill>
              </w:rPr>
              <w:fldChar w:fldCharType="end"/>
            </w:r>
            <w:r>
              <w:rPr>
                <w:rFonts w:hint="eastAsia" w:ascii="宋体" w:hAnsi="宋体" w:cs="宋体"/>
                <w:bCs/>
                <w:color w:val="000000" w:themeColor="text1"/>
                <w:sz w:val="24"/>
                <w:szCs w:val="24"/>
                <w:lang w:val="en-US"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fldChar w:fldCharType="begin"/>
            </w:r>
            <w:r>
              <w:rPr>
                <w:rFonts w:hint="eastAsia" w:ascii="宋体" w:hAnsi="宋体" w:cs="宋体"/>
                <w:bCs/>
                <w:color w:val="000000" w:themeColor="text1"/>
                <w:sz w:val="24"/>
                <w:szCs w:val="24"/>
                <w:lang w:val="en-US" w:eastAsia="zh-CN"/>
                <w14:textFill>
                  <w14:solidFill>
                    <w14:schemeClr w14:val="tx1"/>
                  </w14:solidFill>
                </w14:textFill>
              </w:rPr>
              <w:instrText xml:space="preserve">HYPERLINK "https://baike.baidu.com/item/%E6%B0%A7%E5%8C%96%E9%92%99" \t "_blank"</w:instrText>
            </w:r>
            <w:r>
              <w:rPr>
                <w:rFonts w:hint="eastAsia" w:ascii="宋体" w:hAnsi="宋体" w:cs="宋体"/>
                <w:bCs/>
                <w:color w:val="000000" w:themeColor="text1"/>
                <w:sz w:val="24"/>
                <w:szCs w:val="24"/>
                <w:lang w:val="en-US" w:eastAsia="zh-CN"/>
                <w14:textFill>
                  <w14:solidFill>
                    <w14:schemeClr w14:val="tx1"/>
                  </w14:solidFill>
                </w14:textFill>
              </w:rPr>
              <w:fldChar w:fldCharType="separate"/>
            </w:r>
            <w:r>
              <w:rPr>
                <w:rFonts w:hint="eastAsia" w:ascii="宋体" w:hAnsi="宋体" w:cs="宋体"/>
                <w:bCs/>
                <w:color w:val="000000" w:themeColor="text1"/>
                <w:sz w:val="24"/>
                <w:szCs w:val="24"/>
                <w:lang w:val="en-US" w:eastAsia="zh-CN"/>
                <w14:textFill>
                  <w14:solidFill>
                    <w14:schemeClr w14:val="tx1"/>
                  </w14:solidFill>
                </w14:textFill>
              </w:rPr>
              <w:t>氧化钙</w:t>
            </w:r>
            <w:r>
              <w:rPr>
                <w:rFonts w:hint="eastAsia" w:ascii="宋体" w:hAnsi="宋体" w:cs="宋体"/>
                <w:bCs/>
                <w:color w:val="000000" w:themeColor="text1"/>
                <w:sz w:val="24"/>
                <w:szCs w:val="24"/>
                <w:lang w:val="en-US" w:eastAsia="zh-CN"/>
                <w14:textFill>
                  <w14:solidFill>
                    <w14:schemeClr w14:val="tx1"/>
                  </w14:solidFill>
                </w14:textFill>
              </w:rPr>
              <w:fldChar w:fldCharType="end"/>
            </w:r>
            <w:r>
              <w:rPr>
                <w:rFonts w:hint="eastAsia" w:ascii="宋体" w:hAnsi="宋体" w:cs="宋体"/>
                <w:bCs/>
                <w:color w:val="000000" w:themeColor="text1"/>
                <w:sz w:val="24"/>
                <w:szCs w:val="24"/>
                <w:lang w:val="en-US"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fldChar w:fldCharType="begin"/>
            </w:r>
            <w:r>
              <w:rPr>
                <w:rFonts w:hint="eastAsia" w:ascii="宋体" w:hAnsi="宋体" w:cs="宋体"/>
                <w:bCs/>
                <w:color w:val="000000" w:themeColor="text1"/>
                <w:sz w:val="24"/>
                <w:szCs w:val="24"/>
                <w:lang w:val="en-US" w:eastAsia="zh-CN"/>
                <w14:textFill>
                  <w14:solidFill>
                    <w14:schemeClr w14:val="tx1"/>
                  </w14:solidFill>
                </w14:textFill>
              </w:rPr>
              <w:instrText xml:space="preserve">HYPERLINK "https://baike.baidu.com/item/%E6%B0%A7%E5%8C%96%E7%A1%BC" \t "_blank"</w:instrText>
            </w:r>
            <w:r>
              <w:rPr>
                <w:rFonts w:hint="eastAsia" w:ascii="宋体" w:hAnsi="宋体" w:cs="宋体"/>
                <w:bCs/>
                <w:color w:val="000000" w:themeColor="text1"/>
                <w:sz w:val="24"/>
                <w:szCs w:val="24"/>
                <w:lang w:val="en-US" w:eastAsia="zh-CN"/>
                <w14:textFill>
                  <w14:solidFill>
                    <w14:schemeClr w14:val="tx1"/>
                  </w14:solidFill>
                </w14:textFill>
              </w:rPr>
              <w:fldChar w:fldCharType="separate"/>
            </w:r>
            <w:r>
              <w:rPr>
                <w:rFonts w:hint="eastAsia" w:ascii="宋体" w:hAnsi="宋体" w:cs="宋体"/>
                <w:bCs/>
                <w:color w:val="000000" w:themeColor="text1"/>
                <w:sz w:val="24"/>
                <w:szCs w:val="24"/>
                <w:lang w:val="en-US" w:eastAsia="zh-CN"/>
                <w14:textFill>
                  <w14:solidFill>
                    <w14:schemeClr w14:val="tx1"/>
                  </w14:solidFill>
                </w14:textFill>
              </w:rPr>
              <w:t>氧化硼</w:t>
            </w:r>
            <w:r>
              <w:rPr>
                <w:rFonts w:hint="eastAsia" w:ascii="宋体" w:hAnsi="宋体" w:cs="宋体"/>
                <w:bCs/>
                <w:color w:val="000000" w:themeColor="text1"/>
                <w:sz w:val="24"/>
                <w:szCs w:val="24"/>
                <w:lang w:val="en-US" w:eastAsia="zh-CN"/>
                <w14:textFill>
                  <w14:solidFill>
                    <w14:schemeClr w14:val="tx1"/>
                  </w14:solidFill>
                </w14:textFill>
              </w:rPr>
              <w:fldChar w:fldCharType="end"/>
            </w:r>
            <w:r>
              <w:rPr>
                <w:rFonts w:hint="eastAsia" w:ascii="宋体" w:hAnsi="宋体" w:cs="宋体"/>
                <w:bCs/>
                <w:color w:val="000000" w:themeColor="text1"/>
                <w:sz w:val="24"/>
                <w:szCs w:val="24"/>
                <w:lang w:val="en-US"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fldChar w:fldCharType="begin"/>
            </w:r>
            <w:r>
              <w:rPr>
                <w:rFonts w:hint="eastAsia" w:ascii="宋体" w:hAnsi="宋体" w:cs="宋体"/>
                <w:bCs/>
                <w:color w:val="000000" w:themeColor="text1"/>
                <w:sz w:val="24"/>
                <w:szCs w:val="24"/>
                <w:lang w:val="en-US" w:eastAsia="zh-CN"/>
                <w14:textFill>
                  <w14:solidFill>
                    <w14:schemeClr w14:val="tx1"/>
                  </w14:solidFill>
                </w14:textFill>
              </w:rPr>
              <w:instrText xml:space="preserve">HYPERLINK "https://baike.baidu.com/item/%E6%B0%A7%E5%8C%96%E9%95%81" \t "_blank"</w:instrText>
            </w:r>
            <w:r>
              <w:rPr>
                <w:rFonts w:hint="eastAsia" w:ascii="宋体" w:hAnsi="宋体" w:cs="宋体"/>
                <w:bCs/>
                <w:color w:val="000000" w:themeColor="text1"/>
                <w:sz w:val="24"/>
                <w:szCs w:val="24"/>
                <w:lang w:val="en-US" w:eastAsia="zh-CN"/>
                <w14:textFill>
                  <w14:solidFill>
                    <w14:schemeClr w14:val="tx1"/>
                  </w14:solidFill>
                </w14:textFill>
              </w:rPr>
              <w:fldChar w:fldCharType="separate"/>
            </w:r>
            <w:r>
              <w:rPr>
                <w:rFonts w:hint="eastAsia" w:ascii="宋体" w:hAnsi="宋体" w:cs="宋体"/>
                <w:bCs/>
                <w:color w:val="000000" w:themeColor="text1"/>
                <w:sz w:val="24"/>
                <w:szCs w:val="24"/>
                <w:lang w:val="en-US" w:eastAsia="zh-CN"/>
                <w14:textFill>
                  <w14:solidFill>
                    <w14:schemeClr w14:val="tx1"/>
                  </w14:solidFill>
                </w14:textFill>
              </w:rPr>
              <w:t>氧化镁</w:t>
            </w:r>
            <w:r>
              <w:rPr>
                <w:rFonts w:hint="eastAsia" w:ascii="宋体" w:hAnsi="宋体" w:cs="宋体"/>
                <w:bCs/>
                <w:color w:val="000000" w:themeColor="text1"/>
                <w:sz w:val="24"/>
                <w:szCs w:val="24"/>
                <w:lang w:val="en-US" w:eastAsia="zh-CN"/>
                <w14:textFill>
                  <w14:solidFill>
                    <w14:schemeClr w14:val="tx1"/>
                  </w14:solidFill>
                </w14:textFill>
              </w:rPr>
              <w:fldChar w:fldCharType="end"/>
            </w:r>
            <w:r>
              <w:rPr>
                <w:rFonts w:hint="eastAsia" w:ascii="宋体" w:hAnsi="宋体" w:cs="宋体"/>
                <w:bCs/>
                <w:color w:val="000000" w:themeColor="text1"/>
                <w:sz w:val="24"/>
                <w:szCs w:val="24"/>
                <w:lang w:val="en-US"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fldChar w:fldCharType="begin"/>
            </w:r>
            <w:r>
              <w:rPr>
                <w:rFonts w:hint="eastAsia" w:ascii="宋体" w:hAnsi="宋体" w:cs="宋体"/>
                <w:bCs/>
                <w:color w:val="000000" w:themeColor="text1"/>
                <w:sz w:val="24"/>
                <w:szCs w:val="24"/>
                <w:lang w:val="en-US" w:eastAsia="zh-CN"/>
                <w14:textFill>
                  <w14:solidFill>
                    <w14:schemeClr w14:val="tx1"/>
                  </w14:solidFill>
                </w14:textFill>
              </w:rPr>
              <w:instrText xml:space="preserve">HYPERLINK "https://baike.baidu.com/item/%E6%B0%A7%E5%8C%96%E9%92%A0" \t "_blank"</w:instrText>
            </w:r>
            <w:r>
              <w:rPr>
                <w:rFonts w:hint="eastAsia" w:ascii="宋体" w:hAnsi="宋体" w:cs="宋体"/>
                <w:bCs/>
                <w:color w:val="000000" w:themeColor="text1"/>
                <w:sz w:val="24"/>
                <w:szCs w:val="24"/>
                <w:lang w:val="en-US" w:eastAsia="zh-CN"/>
                <w14:textFill>
                  <w14:solidFill>
                    <w14:schemeClr w14:val="tx1"/>
                  </w14:solidFill>
                </w14:textFill>
              </w:rPr>
              <w:fldChar w:fldCharType="separate"/>
            </w:r>
            <w:r>
              <w:rPr>
                <w:rFonts w:hint="eastAsia" w:ascii="宋体" w:hAnsi="宋体" w:cs="宋体"/>
                <w:bCs/>
                <w:color w:val="000000" w:themeColor="text1"/>
                <w:sz w:val="24"/>
                <w:szCs w:val="24"/>
                <w:lang w:val="en-US" w:eastAsia="zh-CN"/>
                <w14:textFill>
                  <w14:solidFill>
                    <w14:schemeClr w14:val="tx1"/>
                  </w14:solidFill>
                </w14:textFill>
              </w:rPr>
              <w:t>氧化钠</w:t>
            </w:r>
            <w:r>
              <w:rPr>
                <w:rFonts w:hint="eastAsia" w:ascii="宋体" w:hAnsi="宋体" w:cs="宋体"/>
                <w:bCs/>
                <w:color w:val="000000" w:themeColor="text1"/>
                <w:sz w:val="24"/>
                <w:szCs w:val="24"/>
                <w:lang w:val="en-US" w:eastAsia="zh-CN"/>
                <w14:textFill>
                  <w14:solidFill>
                    <w14:schemeClr w14:val="tx1"/>
                  </w14:solidFill>
                </w14:textFill>
              </w:rPr>
              <w:fldChar w:fldCharType="end"/>
            </w:r>
            <w:r>
              <w:rPr>
                <w:rFonts w:hint="eastAsia" w:ascii="宋体" w:hAnsi="宋体" w:cs="宋体"/>
                <w:bCs/>
                <w:color w:val="000000" w:themeColor="text1"/>
                <w:sz w:val="24"/>
                <w:szCs w:val="24"/>
                <w:lang w:val="en-US" w:eastAsia="zh-CN"/>
                <w14:textFill>
                  <w14:solidFill>
                    <w14:schemeClr w14:val="tx1"/>
                  </w14:solidFill>
                </w14:textFill>
              </w:rPr>
              <w:t>等。</w:t>
            </w:r>
          </w:p>
          <w:p w14:paraId="4BE3CB5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center"/>
              <w:rPr>
                <w:rFonts w:hint="eastAsia"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③碳纤维：由碳元素组成的一种特种纤维。具有耐高温、抗摩擦、导电、导热及耐腐蚀等特性，含炭量在90%以上的高强度高模量纤维。是制造航天航空等高技术器材的优良材料。</w:t>
            </w:r>
          </w:p>
          <w:p w14:paraId="524E8D7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center"/>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④机油：在本项目扩建各机械设备内部使用，其作用是减少零部件的摩擦，冷却摩擦产生的热量，防止零部件产生锈蚀。淡黄色粘稠液体，闪点：120-340℃，沸点-252.8摄氏度，溶解于苯、乙醇等有机溶剂，遇明火、高热可燃。</w:t>
            </w:r>
          </w:p>
          <w:p w14:paraId="7C8D09B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宋体" w:hAnsi="宋体" w:cs="宋体"/>
                <w:b/>
                <w:bCs w:val="0"/>
                <w:color w:val="000000" w:themeColor="text1"/>
                <w:sz w:val="24"/>
                <w:szCs w:val="24"/>
                <w:lang w:val="en-US" w:eastAsia="zh-CN"/>
                <w14:textFill>
                  <w14:solidFill>
                    <w14:schemeClr w14:val="tx1"/>
                  </w14:solidFill>
                </w14:textFill>
              </w:rPr>
            </w:pPr>
            <w:r>
              <w:rPr>
                <w:rFonts w:hint="eastAsia" w:ascii="宋体" w:hAnsi="宋体" w:cs="宋体"/>
                <w:b/>
                <w:bCs w:val="0"/>
                <w:color w:val="000000" w:themeColor="text1"/>
                <w:sz w:val="24"/>
                <w:szCs w:val="24"/>
                <w:lang w:val="en-US" w:eastAsia="zh-CN"/>
                <w14:textFill>
                  <w14:solidFill>
                    <w14:schemeClr w14:val="tx1"/>
                  </w14:solidFill>
                </w14:textFill>
              </w:rPr>
              <w:t>5、水平衡</w:t>
            </w:r>
          </w:p>
          <w:p w14:paraId="4D8FE5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（1）供水</w:t>
            </w:r>
          </w:p>
          <w:p w14:paraId="0C6EA2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本项目供水由市政管网供给，本项目用水包括生产用水和生活用水。</w:t>
            </w:r>
          </w:p>
          <w:p w14:paraId="76AB70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①生产用水</w:t>
            </w:r>
          </w:p>
          <w:p w14:paraId="4C6322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cs="宋体"/>
                <w:bCs/>
                <w:color w:val="000000" w:themeColor="text1"/>
                <w:sz w:val="24"/>
                <w:szCs w:val="24"/>
                <w:highlight w:val="none"/>
                <w:lang w:val="en-US" w:eastAsia="zh-CN"/>
                <w14:textFill>
                  <w14:solidFill>
                    <w14:schemeClr w14:val="tx1"/>
                  </w14:solidFill>
                </w14:textFill>
              </w:rPr>
            </w:pPr>
            <w:r>
              <w:rPr>
                <w:rFonts w:hint="eastAsia" w:ascii="宋体" w:hAnsi="宋体" w:cs="宋体"/>
                <w:bCs/>
                <w:color w:val="000000" w:themeColor="text1"/>
                <w:sz w:val="24"/>
                <w:szCs w:val="24"/>
                <w:highlight w:val="none"/>
                <w:lang w:val="en-US" w:eastAsia="zh-CN"/>
                <w14:textFill>
                  <w14:solidFill>
                    <w14:schemeClr w14:val="tx1"/>
                  </w14:solidFill>
                </w14:textFill>
              </w:rPr>
              <w:t>本项目生产用水主要为产品检验工序，根据建设单位提供的原辅材料用量，本项目产品密封性检验用水约5L/个，检测用水循环使用不外排，循环水箱1m³。</w:t>
            </w:r>
          </w:p>
          <w:p w14:paraId="71BA65B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center"/>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②生活用水</w:t>
            </w:r>
          </w:p>
          <w:p w14:paraId="06A113B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center"/>
              <w:rPr>
                <w:rFonts w:hint="eastAsia"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本项</w:t>
            </w:r>
            <w:r>
              <w:rPr>
                <w:rFonts w:hint="default" w:ascii="Times New Roman" w:hAnsi="Times New Roman" w:cs="Times New Roman"/>
                <w:bCs/>
                <w:color w:val="000000" w:themeColor="text1"/>
                <w:sz w:val="24"/>
                <w:szCs w:val="24"/>
                <w:lang w:val="en-US" w:eastAsia="zh-CN"/>
                <w14:textFill>
                  <w14:solidFill>
                    <w14:schemeClr w14:val="tx1"/>
                  </w14:solidFill>
                </w14:textFill>
              </w:rPr>
              <w:t>目厂内不提供食宿，生活用水主要为职工日常盥洗用水和厕所冲水，生产车间新增员工20人，根据《行业用水定额》（DB61/T943-2020）表B.17行政办公及科研院所定额先进值规定，工作人员生活用水按30L/人d计，年工作330天，则员工生活用水总量为198m</w:t>
            </w:r>
            <w:r>
              <w:rPr>
                <w:rFonts w:hint="default" w:ascii="Times New Roman" w:hAnsi="Times New Roman"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bCs/>
                <w:color w:val="000000" w:themeColor="text1"/>
                <w:sz w:val="24"/>
                <w:szCs w:val="24"/>
                <w:lang w:val="en-US" w:eastAsia="zh-CN"/>
                <w14:textFill>
                  <w14:solidFill>
                    <w14:schemeClr w14:val="tx1"/>
                  </w14:solidFill>
                </w14:textFill>
              </w:rPr>
              <w:t>/a。</w:t>
            </w:r>
          </w:p>
          <w:p w14:paraId="50646A8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center"/>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（2）排水</w:t>
            </w:r>
          </w:p>
          <w:p w14:paraId="4C2A9EE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center"/>
              <w:rPr>
                <w:rFonts w:hint="eastAsia"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生产工艺用水循环使用，运营期仅排放循环水箱排污水，用于厂区地面清洁；员工生活污水经化粪池处理后排入市政管网。</w:t>
            </w:r>
          </w:p>
          <w:p w14:paraId="1D479A0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center"/>
              <w:rPr>
                <w:rFonts w:hint="eastAsia" w:ascii="宋体" w:hAnsi="宋体" w:cs="宋体"/>
                <w:bCs/>
                <w:color w:val="000000" w:themeColor="text1"/>
                <w:sz w:val="24"/>
                <w:szCs w:val="24"/>
                <w:lang w:val="en-US" w:eastAsia="zh-CN"/>
                <w14:textFill>
                  <w14:solidFill>
                    <w14:schemeClr w14:val="tx1"/>
                  </w14:solidFill>
                </w14:textFill>
              </w:rPr>
            </w:pPr>
          </w:p>
          <w:p w14:paraId="75D891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bCs w:val="0"/>
                <w:color w:val="000000" w:themeColor="text1"/>
                <w:sz w:val="21"/>
                <w:szCs w:val="21"/>
                <w:lang w:val="en-US" w:eastAsia="zh-CN"/>
                <w14:textFill>
                  <w14:solidFill>
                    <w14:schemeClr w14:val="tx1"/>
                  </w14:solidFill>
                </w14:textFill>
              </w:rPr>
            </w:pPr>
            <w:r>
              <w:rPr>
                <w:rFonts w:hint="eastAsia" w:ascii="宋体" w:hAnsi="宋体" w:cs="宋体"/>
                <w:b/>
                <w:bCs w:val="0"/>
                <w:color w:val="000000" w:themeColor="text1"/>
                <w:sz w:val="21"/>
                <w:szCs w:val="21"/>
                <w:lang w:val="en-US" w:eastAsia="zh-CN"/>
                <w14:textFill>
                  <w14:solidFill>
                    <w14:schemeClr w14:val="tx1"/>
                  </w14:solidFill>
                </w14:textFill>
              </w:rPr>
              <w:drawing>
                <wp:inline distT="0" distB="0" distL="114300" distR="114300">
                  <wp:extent cx="4158615" cy="1155700"/>
                  <wp:effectExtent l="0" t="0" r="0" b="0"/>
                  <wp:docPr id="24" name="ECB019B1-382A-4266-B25C-5B523AA43C14-1" descr="C:/Users/Administrator/AppData/Local/Temp/wps.ElqzI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B019B1-382A-4266-B25C-5B523AA43C14-1" descr="C:/Users/Administrator/AppData/Local/Temp/wps.ElqzIqwps"/>
                          <pic:cNvPicPr>
                            <a:picLocks noChangeAspect="1"/>
                          </pic:cNvPicPr>
                        </pic:nvPicPr>
                        <pic:blipFill>
                          <a:blip r:embed="rId10"/>
                          <a:stretch>
                            <a:fillRect/>
                          </a:stretch>
                        </pic:blipFill>
                        <pic:spPr>
                          <a:xfrm>
                            <a:off x="0" y="0"/>
                            <a:ext cx="4158615" cy="1155700"/>
                          </a:xfrm>
                          <a:prstGeom prst="rect">
                            <a:avLst/>
                          </a:prstGeom>
                        </pic:spPr>
                      </pic:pic>
                    </a:graphicData>
                  </a:graphic>
                </wp:inline>
              </w:drawing>
            </w:r>
          </w:p>
          <w:p w14:paraId="535BC5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z w:val="21"/>
                <w:szCs w:val="21"/>
                <w:lang w:val="en-US" w:eastAsia="zh-CN"/>
                <w14:textFill>
                  <w14:solidFill>
                    <w14:schemeClr w14:val="tx1"/>
                  </w14:solidFill>
                </w14:textFill>
              </w:rPr>
            </w:pPr>
            <w:r>
              <w:rPr>
                <w:rFonts w:hint="eastAsia" w:ascii="宋体" w:hAnsi="宋体" w:cs="宋体"/>
                <w:b/>
                <w:bCs w:val="0"/>
                <w:color w:val="000000" w:themeColor="text1"/>
                <w:sz w:val="21"/>
                <w:szCs w:val="21"/>
                <w:lang w:val="en-US" w:eastAsia="zh-CN"/>
                <w14:textFill>
                  <w14:solidFill>
                    <w14:schemeClr w14:val="tx1"/>
                  </w14:solidFill>
                </w14:textFill>
              </w:rPr>
              <w:t>图2-1  本项目水平衡图（t/d）</w:t>
            </w:r>
          </w:p>
          <w:p w14:paraId="0439740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val="0"/>
                <w:color w:val="000000" w:themeColor="text1"/>
                <w:sz w:val="24"/>
                <w:szCs w:val="24"/>
                <w:lang w:val="en-US" w:eastAsia="zh-CN"/>
                <w14:textFill>
                  <w14:solidFill>
                    <w14:schemeClr w14:val="tx1"/>
                  </w14:solidFill>
                </w14:textFill>
              </w:rPr>
            </w:pPr>
            <w:r>
              <w:rPr>
                <w:rFonts w:hint="default" w:ascii="Times New Roman" w:hAnsi="Times New Roman" w:cs="Times New Roman"/>
                <w:b/>
                <w:bCs w:val="0"/>
                <w:color w:val="000000" w:themeColor="text1"/>
                <w:sz w:val="24"/>
                <w:szCs w:val="24"/>
                <w:lang w:val="en-US" w:eastAsia="zh-CN"/>
                <w14:textFill>
                  <w14:solidFill>
                    <w14:schemeClr w14:val="tx1"/>
                  </w14:solidFill>
                </w14:textFill>
              </w:rPr>
              <w:t>6、劳动定员及工作制度</w:t>
            </w:r>
          </w:p>
          <w:p w14:paraId="28EBC3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劳动定员：本项目生产车间新增员工20人。</w:t>
            </w:r>
          </w:p>
          <w:p w14:paraId="31BB55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工作制度：年工作330天，两班制，1班8小时。</w:t>
            </w:r>
          </w:p>
          <w:p w14:paraId="0491605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val="0"/>
                <w:color w:val="000000" w:themeColor="text1"/>
                <w:sz w:val="24"/>
                <w:szCs w:val="24"/>
                <w:lang w:val="en-US" w:eastAsia="zh-CN"/>
                <w14:textFill>
                  <w14:solidFill>
                    <w14:schemeClr w14:val="tx1"/>
                  </w14:solidFill>
                </w14:textFill>
              </w:rPr>
            </w:pPr>
            <w:r>
              <w:rPr>
                <w:rFonts w:hint="default" w:ascii="Times New Roman" w:hAnsi="Times New Roman" w:cs="Times New Roman"/>
                <w:b/>
                <w:bCs w:val="0"/>
                <w:color w:val="000000" w:themeColor="text1"/>
                <w:sz w:val="24"/>
                <w:szCs w:val="24"/>
                <w:lang w:val="en-US" w:eastAsia="zh-CN"/>
                <w14:textFill>
                  <w14:solidFill>
                    <w14:schemeClr w14:val="tx1"/>
                  </w14:solidFill>
                </w14:textFill>
              </w:rPr>
              <w:t>7、厂区平面布置</w:t>
            </w:r>
          </w:p>
          <w:p w14:paraId="33EB78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color w:val="000000" w:themeColor="text1"/>
                <w:sz w:val="24"/>
                <w:szCs w:val="24"/>
                <w:highlight w:val="none"/>
                <w:lang w:val="zh-CN"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本项目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平面布置</w:t>
            </w:r>
            <w:r>
              <w:rPr>
                <w:rFonts w:hint="default" w:ascii="Times New Roman" w:hAnsi="Times New Roman" w:cs="Times New Roman"/>
                <w:color w:val="000000" w:themeColor="text1"/>
                <w:sz w:val="24"/>
                <w:szCs w:val="24"/>
                <w:highlight w:val="none"/>
                <w:lang w:val="zh-CN" w:eastAsia="zh-CN"/>
                <w14:textFill>
                  <w14:solidFill>
                    <w14:schemeClr w14:val="tx1"/>
                  </w14:solidFill>
                </w14:textFill>
              </w:rPr>
              <w:t>生产厂房为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东西</w:t>
            </w:r>
            <w:r>
              <w:rPr>
                <w:rFonts w:hint="default" w:ascii="Times New Roman" w:hAnsi="Times New Roman" w:cs="Times New Roman"/>
                <w:color w:val="000000" w:themeColor="text1"/>
                <w:sz w:val="24"/>
                <w:szCs w:val="24"/>
                <w:highlight w:val="none"/>
                <w:lang w:val="zh-CN" w:eastAsia="zh-CN"/>
                <w14:textFill>
                  <w14:solidFill>
                    <w14:schemeClr w14:val="tx1"/>
                  </w14:solidFill>
                </w14:textFill>
              </w:rPr>
              <w:t>走向的矩形厂房，办公楼位于厂房南侧，</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处于生产区侧风向，厂区主</w:t>
            </w:r>
            <w:r>
              <w:rPr>
                <w:rFonts w:hint="default" w:ascii="Times New Roman" w:hAnsi="Times New Roman" w:cs="Times New Roman"/>
                <w:color w:val="000000" w:themeColor="text1"/>
                <w:sz w:val="24"/>
                <w:szCs w:val="24"/>
                <w:highlight w:val="none"/>
                <w:lang w:val="zh-CN" w:eastAsia="zh-CN"/>
                <w14:textFill>
                  <w14:solidFill>
                    <w14:schemeClr w14:val="tx1"/>
                  </w14:solidFill>
                </w14:textFill>
              </w:rPr>
              <w:t>入口位于项目南侧。</w:t>
            </w:r>
          </w:p>
          <w:p w14:paraId="40CF75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zh-CN" w:eastAsia="zh-CN"/>
                <w14:textFill>
                  <w14:solidFill>
                    <w14:schemeClr w14:val="tx1"/>
                  </w14:solidFill>
                </w14:textFill>
              </w:rPr>
              <w:t>根据现场勘查，</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项目厂区划分合理，</w:t>
            </w:r>
            <w:r>
              <w:rPr>
                <w:rFonts w:hint="default" w:ascii="Times New Roman" w:hAnsi="Times New Roman" w:cs="Times New Roman"/>
                <w:color w:val="000000" w:themeColor="text1"/>
                <w:sz w:val="24"/>
                <w14:textFill>
                  <w14:solidFill>
                    <w14:schemeClr w14:val="tx1"/>
                  </w14:solidFill>
                </w14:textFill>
              </w:rPr>
              <w:t>符合规划、城建、消防、绿化等基本条件，生产工艺流程紧凑、各功能区相互独立</w:t>
            </w:r>
            <w:r>
              <w:rPr>
                <w:rFonts w:hint="default" w:ascii="Times New Roman" w:hAnsi="Times New Roman" w:cs="Times New Roman"/>
                <w:color w:val="000000" w:themeColor="text1"/>
                <w:sz w:val="24"/>
                <w:lang w:eastAsia="zh-CN"/>
                <w14:textFill>
                  <w14:solidFill>
                    <w14:schemeClr w14:val="tx1"/>
                  </w14:solidFill>
                </w14:textFill>
              </w:rPr>
              <w:t>，因此</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从方便生产、安全管理、保护环境角度考虑，符合防火、安全、卫生等有关规范的要求。</w:t>
            </w:r>
            <w:r>
              <w:rPr>
                <w:rFonts w:hint="default" w:ascii="Times New Roman" w:hAnsi="Times New Roman" w:cs="Times New Roman"/>
                <w:color w:val="000000" w:themeColor="text1"/>
                <w:sz w:val="24"/>
                <w:szCs w:val="24"/>
                <w:highlight w:val="none"/>
                <w14:textFill>
                  <w14:solidFill>
                    <w14:schemeClr w14:val="tx1"/>
                  </w14:solidFill>
                </w14:textFill>
              </w:rPr>
              <w:t>同时本项目周边道路、电、气、给水、排水等市政设施完善，有利于项目的实施以及物料运输。</w:t>
            </w:r>
          </w:p>
          <w:p w14:paraId="33F3D1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宋体" w:hAnsi="宋体" w:cs="宋体"/>
                <w:bCs/>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综上所述，</w:t>
            </w:r>
            <w:r>
              <w:rPr>
                <w:rFonts w:hint="default" w:ascii="Times New Roman" w:hAnsi="Times New Roman" w:cs="Times New Roman"/>
                <w:color w:val="000000" w:themeColor="text1"/>
                <w:sz w:val="24"/>
                <w:szCs w:val="24"/>
                <w:highlight w:val="none"/>
                <w14:textFill>
                  <w14:solidFill>
                    <w14:schemeClr w14:val="tx1"/>
                  </w14:solidFill>
                </w14:textFill>
              </w:rPr>
              <w:t>从方便生产、安全管理、保护环境角度考虑</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因此本项目与周边外环境相容</w:t>
            </w:r>
            <w:r>
              <w:rPr>
                <w:rFonts w:hint="eastAsia" w:ascii="Times New Roman" w:hAnsi="Times New Roman" w:cs="Times New Roman"/>
                <w:color w:val="000000" w:themeColor="text1"/>
                <w:sz w:val="24"/>
                <w:szCs w:val="24"/>
                <w:highlight w:val="none"/>
                <w:lang w:eastAsia="zh-CN"/>
                <w14:textFill>
                  <w14:solidFill>
                    <w14:schemeClr w14:val="tx1"/>
                  </w14:solidFill>
                </w14:textFill>
              </w:rPr>
              <w:t>，其</w:t>
            </w:r>
            <w:r>
              <w:rPr>
                <w:rFonts w:hint="default" w:ascii="Times New Roman" w:hAnsi="Times New Roman" w:cs="Times New Roman"/>
                <w:color w:val="000000" w:themeColor="text1"/>
                <w:sz w:val="24"/>
                <w:szCs w:val="24"/>
                <w:highlight w:val="none"/>
                <w14:textFill>
                  <w14:solidFill>
                    <w14:schemeClr w14:val="tx1"/>
                  </w14:solidFill>
                </w14:textFill>
              </w:rPr>
              <w:t>平面布置</w:t>
            </w:r>
            <w:r>
              <w:rPr>
                <w:rFonts w:hint="default" w:ascii="Times New Roman" w:hAnsi="Times New Roman" w:cs="Times New Roman"/>
                <w:color w:val="000000" w:themeColor="text1"/>
                <w:sz w:val="24"/>
                <w:szCs w:val="24"/>
                <w:highlight w:val="none"/>
                <w:lang w:eastAsia="zh-CN"/>
                <w14:textFill>
                  <w14:solidFill>
                    <w14:schemeClr w14:val="tx1"/>
                  </w14:solidFill>
                </w14:textFill>
              </w:rPr>
              <w:t>基本</w:t>
            </w:r>
            <w:r>
              <w:rPr>
                <w:rFonts w:hint="default" w:ascii="Times New Roman" w:hAnsi="Times New Roman" w:cs="Times New Roman"/>
                <w:color w:val="000000" w:themeColor="text1"/>
                <w:sz w:val="24"/>
                <w:szCs w:val="24"/>
                <w:highlight w:val="none"/>
                <w14:textFill>
                  <w14:solidFill>
                    <w14:schemeClr w14:val="tx1"/>
                  </w14:solidFill>
                </w14:textFill>
              </w:rPr>
              <w:t>合理</w:t>
            </w:r>
            <w:r>
              <w:rPr>
                <w:rFonts w:hint="default" w:ascii="Times New Roman" w:hAnsi="Times New Roman" w:cs="Times New Roman"/>
                <w:color w:val="000000" w:themeColor="text1"/>
                <w:sz w:val="24"/>
                <w:szCs w:val="24"/>
                <w:highlight w:val="none"/>
                <w:lang w:eastAsia="zh-CN"/>
                <w14:textFill>
                  <w14:solidFill>
                    <w14:schemeClr w14:val="tx1"/>
                  </w14:solidFill>
                </w14:textFill>
              </w:rPr>
              <w:t>可行</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p>
        </w:tc>
      </w:tr>
      <w:tr w14:paraId="3B70C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noWrap w:val="0"/>
            <w:vAlign w:val="center"/>
          </w:tcPr>
          <w:p w14:paraId="6C8733D1">
            <w:pPr>
              <w:pStyle w:val="12"/>
              <w:adjustRightInd w:val="0"/>
              <w:snapToGrid w:val="0"/>
              <w:spacing w:before="0" w:beforeAutospacing="0" w:after="0" w:afterAutospacing="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工艺流程和产排污环节</w:t>
            </w:r>
          </w:p>
        </w:tc>
        <w:tc>
          <w:tcPr>
            <w:tcW w:w="8161" w:type="dxa"/>
            <w:noWrap w:val="0"/>
            <w:vAlign w:val="top"/>
          </w:tcPr>
          <w:p w14:paraId="341CFDB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b/>
                <w:bCs w:val="0"/>
                <w:color w:val="000000" w:themeColor="text1"/>
                <w:sz w:val="24"/>
                <w:szCs w:val="24"/>
                <w:lang w:val="en-US" w:eastAsia="zh-CN"/>
                <w14:textFill>
                  <w14:solidFill>
                    <w14:schemeClr w14:val="tx1"/>
                  </w14:solidFill>
                </w14:textFill>
              </w:rPr>
            </w:pPr>
            <w:r>
              <w:rPr>
                <w:rFonts w:hint="eastAsia" w:ascii="宋体" w:hAnsi="宋体"/>
                <w:b/>
                <w:bCs w:val="0"/>
                <w:color w:val="000000" w:themeColor="text1"/>
                <w:sz w:val="24"/>
                <w:szCs w:val="24"/>
                <w:lang w:val="en-US" w:eastAsia="zh-CN"/>
                <w14:textFill>
                  <w14:solidFill>
                    <w14:schemeClr w14:val="tx1"/>
                  </w14:solidFill>
                </w14:textFill>
              </w:rPr>
              <w:t>主要污染工序及源强分析：</w:t>
            </w:r>
          </w:p>
          <w:p w14:paraId="09E9E540">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b/>
                <w:bCs w:val="0"/>
                <w:color w:val="000000" w:themeColor="text1"/>
                <w:sz w:val="24"/>
                <w:szCs w:val="24"/>
                <w:lang w:val="en-US" w:eastAsia="zh-CN"/>
                <w14:textFill>
                  <w14:solidFill>
                    <w14:schemeClr w14:val="tx1"/>
                  </w14:solidFill>
                </w14:textFill>
              </w:rPr>
            </w:pPr>
            <w:r>
              <w:rPr>
                <w:rFonts w:hint="eastAsia" w:ascii="宋体" w:hAnsi="宋体"/>
                <w:b/>
                <w:bCs w:val="0"/>
                <w:color w:val="000000" w:themeColor="text1"/>
                <w:sz w:val="24"/>
                <w:szCs w:val="24"/>
                <w:lang w:val="en-US" w:eastAsia="zh-CN"/>
                <w14:textFill>
                  <w14:solidFill>
                    <w14:schemeClr w14:val="tx1"/>
                  </w14:solidFill>
                </w14:textFill>
              </w:rPr>
              <w:t>1、施工期工艺流程和产排污环节</w:t>
            </w:r>
          </w:p>
          <w:p w14:paraId="49ED9B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Cs/>
                <w:color w:val="000000" w:themeColor="text1"/>
                <w:sz w:val="24"/>
                <w:szCs w:val="24"/>
                <w:lang w:val="en-US" w:eastAsia="zh-CN"/>
                <w14:textFill>
                  <w14:solidFill>
                    <w14:schemeClr w14:val="tx1"/>
                  </w14:solidFill>
                </w14:textFill>
              </w:rPr>
            </w:pPr>
            <w:r>
              <w:rPr>
                <w:rFonts w:hint="eastAsia" w:ascii="宋体" w:hAnsi="宋体"/>
                <w:bCs/>
                <w:color w:val="000000" w:themeColor="text1"/>
                <w:sz w:val="24"/>
                <w:szCs w:val="24"/>
                <w:lang w:val="en-US" w:eastAsia="zh-CN"/>
                <w14:textFill>
                  <w14:solidFill>
                    <w14:schemeClr w14:val="tx1"/>
                  </w14:solidFill>
                </w14:textFill>
              </w:rPr>
              <w:t>本项目施工期主要施工内容为设备的安装，施工期主要产污环节为施工噪声、固体废物和施工人员产生的生活污水。</w:t>
            </w:r>
          </w:p>
          <w:p w14:paraId="4E6ECDCC">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宋体" w:hAnsi="宋体"/>
                <w:b/>
                <w:bCs w:val="0"/>
                <w:color w:val="000000" w:themeColor="text1"/>
                <w:sz w:val="24"/>
                <w:szCs w:val="24"/>
                <w:lang w:val="en-US" w:eastAsia="zh-CN"/>
                <w14:textFill>
                  <w14:solidFill>
                    <w14:schemeClr w14:val="tx1"/>
                  </w14:solidFill>
                </w14:textFill>
              </w:rPr>
            </w:pPr>
            <w:r>
              <w:rPr>
                <w:rFonts w:hint="eastAsia" w:ascii="宋体" w:hAnsi="宋体"/>
                <w:b/>
                <w:bCs w:val="0"/>
                <w:color w:val="000000" w:themeColor="text1"/>
                <w:sz w:val="24"/>
                <w:szCs w:val="24"/>
                <w:lang w:val="en-US" w:eastAsia="zh-CN"/>
                <w14:textFill>
                  <w14:solidFill>
                    <w14:schemeClr w14:val="tx1"/>
                  </w14:solidFill>
                </w14:textFill>
              </w:rPr>
              <w:t>2、运营期工艺流程和产排污环节</w:t>
            </w:r>
          </w:p>
          <w:p w14:paraId="14D0E1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bCs/>
                <w:color w:val="000000" w:themeColor="text1"/>
                <w:sz w:val="24"/>
                <w:szCs w:val="24"/>
                <w:lang w:val="en-US" w:eastAsia="zh-CN"/>
                <w14:textFill>
                  <w14:solidFill>
                    <w14:schemeClr w14:val="tx1"/>
                  </w14:solidFill>
                </w14:textFill>
              </w:rPr>
            </w:pPr>
            <w:r>
              <w:rPr>
                <w:rFonts w:hint="eastAsia" w:ascii="宋体" w:hAnsi="宋体"/>
                <w:bCs/>
                <w:color w:val="000000" w:themeColor="text1"/>
                <w:sz w:val="24"/>
                <w:szCs w:val="24"/>
                <w:lang w:val="en-US" w:eastAsia="zh-CN"/>
                <w14:textFill>
                  <w14:solidFill>
                    <w14:schemeClr w14:val="tx1"/>
                  </w14:solidFill>
                </w14:textFill>
              </w:rPr>
              <w:t>本项目树脂基纤维缠绕复合材料制品分为玻璃纤维和碳纤维两种，均采用机械搅拌和缠绕的方法，整体加工成型。具体生产工艺如下：</w:t>
            </w:r>
          </w:p>
          <w:p w14:paraId="06380F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bCs/>
                <w:color w:val="000000" w:themeColor="text1"/>
                <w:sz w:val="24"/>
                <w:szCs w:val="24"/>
                <w:lang w:val="en-US" w:eastAsia="zh-CN"/>
                <w14:textFill>
                  <w14:solidFill>
                    <w14:schemeClr w14:val="tx1"/>
                  </w14:solidFill>
                </w14:textFill>
              </w:rPr>
            </w:pPr>
            <w:r>
              <w:rPr>
                <w:rFonts w:hint="default" w:ascii="宋体" w:hAnsi="宋体"/>
                <w:bCs/>
                <w:color w:val="000000" w:themeColor="text1"/>
                <w:sz w:val="24"/>
                <w:szCs w:val="24"/>
                <w:lang w:val="en-US" w:eastAsia="zh-CN"/>
                <w14:textFill>
                  <w14:solidFill>
                    <w14:schemeClr w14:val="tx1"/>
                  </w14:solidFill>
                </w14:textFill>
              </w:rPr>
              <w:drawing>
                <wp:inline distT="0" distB="0" distL="114300" distR="114300">
                  <wp:extent cx="4270375" cy="1770380"/>
                  <wp:effectExtent l="0" t="0" r="0" b="0"/>
                  <wp:docPr id="2" name="ECB019B1-382A-4266-B25C-5B523AA43C14-2" descr="C:/Users/Administrator/AppData/Local/Temp/wps.IlCue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Administrator/AppData/Local/Temp/wps.IlCueOwps"/>
                          <pic:cNvPicPr>
                            <a:picLocks noChangeAspect="1"/>
                          </pic:cNvPicPr>
                        </pic:nvPicPr>
                        <pic:blipFill>
                          <a:blip r:embed="rId11"/>
                          <a:stretch>
                            <a:fillRect/>
                          </a:stretch>
                        </pic:blipFill>
                        <pic:spPr>
                          <a:xfrm>
                            <a:off x="0" y="0"/>
                            <a:ext cx="4270375" cy="1770380"/>
                          </a:xfrm>
                          <a:prstGeom prst="rect">
                            <a:avLst/>
                          </a:prstGeom>
                        </pic:spPr>
                      </pic:pic>
                    </a:graphicData>
                  </a:graphic>
                </wp:inline>
              </w:drawing>
            </w:r>
          </w:p>
          <w:p w14:paraId="1721C51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b/>
                <w:bCs w:val="0"/>
                <w:color w:val="000000" w:themeColor="text1"/>
                <w:sz w:val="21"/>
                <w:szCs w:val="21"/>
                <w:lang w:val="en-US" w:eastAsia="zh-CN"/>
                <w14:textFill>
                  <w14:solidFill>
                    <w14:schemeClr w14:val="tx1"/>
                  </w14:solidFill>
                </w14:textFill>
              </w:rPr>
            </w:pPr>
            <w:r>
              <w:rPr>
                <w:rFonts w:hint="eastAsia" w:ascii="宋体" w:hAnsi="宋体"/>
                <w:b/>
                <w:bCs w:val="0"/>
                <w:color w:val="000000" w:themeColor="text1"/>
                <w:sz w:val="21"/>
                <w:szCs w:val="21"/>
                <w:lang w:val="en-US" w:eastAsia="zh-CN"/>
                <w14:textFill>
                  <w14:solidFill>
                    <w14:schemeClr w14:val="tx1"/>
                  </w14:solidFill>
                </w14:textFill>
              </w:rPr>
              <w:t>图2-1  玻璃纤维/碳纤维制品工艺流程及产污环节图</w:t>
            </w:r>
          </w:p>
          <w:p w14:paraId="027C11A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Cs/>
                <w:color w:val="000000" w:themeColor="text1"/>
                <w:sz w:val="24"/>
                <w:szCs w:val="24"/>
                <w:lang w:val="en-US" w:eastAsia="zh-CN"/>
                <w14:textFill>
                  <w14:solidFill>
                    <w14:schemeClr w14:val="tx1"/>
                  </w14:solidFill>
                </w14:textFill>
              </w:rPr>
            </w:pPr>
            <w:r>
              <w:rPr>
                <w:rFonts w:hint="eastAsia" w:ascii="宋体" w:hAnsi="宋体"/>
                <w:bCs/>
                <w:color w:val="000000" w:themeColor="text1"/>
                <w:sz w:val="24"/>
                <w:szCs w:val="24"/>
                <w:lang w:val="en-US" w:eastAsia="zh-CN"/>
                <w14:textFill>
                  <w14:solidFill>
                    <w14:schemeClr w14:val="tx1"/>
                  </w14:solidFill>
                </w14:textFill>
              </w:rPr>
              <w:t>工艺流程及产污环节简述：</w:t>
            </w:r>
          </w:p>
          <w:p w14:paraId="33663B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（1）缠绕：</w:t>
            </w:r>
            <w:r>
              <w:rPr>
                <w:rFonts w:hint="eastAsia" w:ascii="Times New Roman" w:hAnsi="Times New Roman" w:cs="Times New Roman"/>
                <w:bCs/>
                <w:color w:val="000000" w:themeColor="text1"/>
                <w:sz w:val="24"/>
                <w:szCs w:val="24"/>
                <w:lang w:val="en-US" w:eastAsia="zh-CN"/>
                <w14:textFill>
                  <w14:solidFill>
                    <w14:schemeClr w14:val="tx1"/>
                  </w14:solidFill>
                </w14:textFill>
              </w:rPr>
              <w:t>本项目缠绕工序在密闭车间（房中房）内，</w:t>
            </w:r>
            <w:r>
              <w:rPr>
                <w:rFonts w:hint="default" w:ascii="Times New Roman" w:hAnsi="Times New Roman" w:cs="Times New Roman"/>
                <w:bCs/>
                <w:color w:val="000000" w:themeColor="text1"/>
                <w:sz w:val="24"/>
                <w:szCs w:val="24"/>
                <w:lang w:val="en-US" w:eastAsia="zh-CN"/>
                <w14:textFill>
                  <w14:solidFill>
                    <w14:schemeClr w14:val="tx1"/>
                  </w14:solidFill>
                </w14:textFill>
              </w:rPr>
              <w:t>人工将环氧树脂</w:t>
            </w:r>
            <w:r>
              <w:rPr>
                <w:rFonts w:hint="eastAsia" w:ascii="Times New Roman" w:hAnsi="Times New Roman" w:cs="Times New Roman"/>
                <w:bCs/>
                <w:color w:val="000000" w:themeColor="text1"/>
                <w:sz w:val="24"/>
                <w:szCs w:val="24"/>
                <w:lang w:val="en-US" w:eastAsia="zh-CN"/>
                <w14:textFill>
                  <w14:solidFill>
                    <w14:schemeClr w14:val="tx1"/>
                  </w14:solidFill>
                </w14:textFill>
              </w:rPr>
              <w:t>置</w:t>
            </w:r>
            <w:r>
              <w:rPr>
                <w:rFonts w:hint="default" w:ascii="Times New Roman" w:hAnsi="Times New Roman" w:cs="Times New Roman"/>
                <w:bCs/>
                <w:color w:val="000000" w:themeColor="text1"/>
                <w:sz w:val="24"/>
                <w:szCs w:val="24"/>
                <w:lang w:val="en-US" w:eastAsia="zh-CN"/>
                <w14:textFill>
                  <w14:solidFill>
                    <w14:schemeClr w14:val="tx1"/>
                  </w14:solidFill>
                </w14:textFill>
              </w:rPr>
              <w:t>于搅拌</w:t>
            </w:r>
            <w:r>
              <w:rPr>
                <w:rFonts w:hint="eastAsia" w:ascii="Times New Roman" w:hAnsi="Times New Roman" w:cs="Times New Roman"/>
                <w:bCs/>
                <w:color w:val="000000" w:themeColor="text1"/>
                <w:sz w:val="24"/>
                <w:szCs w:val="24"/>
                <w:lang w:val="en-US" w:eastAsia="zh-CN"/>
                <w14:textFill>
                  <w14:solidFill>
                    <w14:schemeClr w14:val="tx1"/>
                  </w14:solidFill>
                </w14:textFill>
              </w:rPr>
              <w:t>桶内搅拌</w:t>
            </w:r>
            <w:r>
              <w:rPr>
                <w:rFonts w:hint="default" w:ascii="Times New Roman" w:hAnsi="Times New Roman" w:cs="Times New Roman"/>
                <w:bCs/>
                <w:color w:val="000000" w:themeColor="text1"/>
                <w:sz w:val="24"/>
                <w:szCs w:val="24"/>
                <w:lang w:val="en-US" w:eastAsia="zh-CN"/>
                <w14:textFill>
                  <w14:solidFill>
                    <w14:schemeClr w14:val="tx1"/>
                  </w14:solidFill>
                </w14:textFill>
              </w:rPr>
              <w:t>，密闭常温搅拌后，将玻璃纤维或碳纤维浸入，使纤维表面涂覆一层环氧树脂，而后在</w:t>
            </w:r>
            <w:r>
              <w:rPr>
                <w:rFonts w:hint="eastAsia" w:ascii="Times New Roman" w:hAnsi="Times New Roman" w:cs="Times New Roman"/>
                <w:bCs/>
                <w:color w:val="000000" w:themeColor="text1"/>
                <w:sz w:val="24"/>
                <w:szCs w:val="24"/>
                <w:lang w:val="en-US" w:eastAsia="zh-CN"/>
                <w14:textFill>
                  <w14:solidFill>
                    <w14:schemeClr w14:val="tx1"/>
                  </w14:solidFill>
                </w14:textFill>
              </w:rPr>
              <w:t>多轴智能位纤维</w:t>
            </w:r>
            <w:r>
              <w:rPr>
                <w:rFonts w:hint="default" w:ascii="Times New Roman" w:hAnsi="Times New Roman" w:cs="Times New Roman"/>
                <w:bCs/>
                <w:color w:val="000000" w:themeColor="text1"/>
                <w:sz w:val="24"/>
                <w:szCs w:val="24"/>
                <w:lang w:val="en-US" w:eastAsia="zh-CN"/>
                <w14:textFill>
                  <w14:solidFill>
                    <w14:schemeClr w14:val="tx1"/>
                  </w14:solidFill>
                </w14:textFill>
              </w:rPr>
              <w:t>缠绕机上的模具进行缠绕</w:t>
            </w:r>
            <w:r>
              <w:rPr>
                <w:rFonts w:hint="eastAsia" w:ascii="Times New Roman" w:hAnsi="Times New Roman" w:cs="Times New Roman"/>
                <w:bCs/>
                <w:color w:val="000000" w:themeColor="text1"/>
                <w:sz w:val="24"/>
                <w:szCs w:val="24"/>
                <w:lang w:val="en-US" w:eastAsia="zh-CN"/>
                <w14:textFill>
                  <w14:solidFill>
                    <w14:schemeClr w14:val="tx1"/>
                  </w14:solidFill>
                </w14:textFill>
              </w:rPr>
              <w:t>，此工序搅拌和缠绕均会产生自然挥发的挥发性有机物，在缠绕机侧边设置集气罩收集挥发废气；</w:t>
            </w:r>
          </w:p>
          <w:p w14:paraId="246B8D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（2）固化：缠绕完毕后进入密闭固化炉固化，固化温度150~180℃，固化时间</w:t>
            </w:r>
            <w:r>
              <w:rPr>
                <w:rFonts w:hint="eastAsia" w:ascii="Times New Roman" w:hAnsi="Times New Roman" w:cs="Times New Roman"/>
                <w:bCs/>
                <w:color w:val="000000" w:themeColor="text1"/>
                <w:sz w:val="24"/>
                <w:szCs w:val="24"/>
                <w:lang w:val="en-US" w:eastAsia="zh-CN"/>
                <w14:textFill>
                  <w14:solidFill>
                    <w14:schemeClr w14:val="tx1"/>
                  </w14:solidFill>
                </w14:textFill>
              </w:rPr>
              <w:t>8</w:t>
            </w:r>
            <w:r>
              <w:rPr>
                <w:rFonts w:hint="default" w:ascii="Times New Roman" w:hAnsi="Times New Roman" w:cs="Times New Roman"/>
                <w:bCs/>
                <w:color w:val="000000" w:themeColor="text1"/>
                <w:sz w:val="24"/>
                <w:szCs w:val="24"/>
                <w:lang w:val="en-US" w:eastAsia="zh-CN"/>
                <w14:textFill>
                  <w14:solidFill>
                    <w14:schemeClr w14:val="tx1"/>
                  </w14:solidFill>
                </w14:textFill>
              </w:rPr>
              <w:t>h，固化剂在此温度下将环氧树脂及其内部的玻璃纤维硬化成型，固化后在炉内自然冷却4h</w:t>
            </w:r>
            <w:r>
              <w:rPr>
                <w:rFonts w:hint="eastAsia" w:ascii="Times New Roman" w:hAnsi="Times New Roman" w:cs="Times New Roman"/>
                <w:bCs/>
                <w:color w:val="000000" w:themeColor="text1"/>
                <w:sz w:val="24"/>
                <w:szCs w:val="24"/>
                <w:lang w:val="en-US" w:eastAsia="zh-CN"/>
                <w14:textFill>
                  <w14:solidFill>
                    <w14:schemeClr w14:val="tx1"/>
                  </w14:solidFill>
                </w14:textFill>
              </w:rPr>
              <w:t>，固化工序加热时会产生设备噪声和挥发性有机物，企业拟在固化炉出入口上方设置集气罩收集废气；</w:t>
            </w:r>
          </w:p>
          <w:p w14:paraId="45FEAC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（3）</w:t>
            </w:r>
            <w:r>
              <w:rPr>
                <w:rFonts w:hint="eastAsia" w:ascii="Times New Roman" w:hAnsi="Times New Roman" w:cs="Times New Roman"/>
                <w:bCs/>
                <w:color w:val="000000" w:themeColor="text1"/>
                <w:sz w:val="24"/>
                <w:szCs w:val="24"/>
                <w:lang w:val="en-US" w:eastAsia="zh-CN"/>
                <w14:textFill>
                  <w14:solidFill>
                    <w14:schemeClr w14:val="tx1"/>
                  </w14:solidFill>
                </w14:textFill>
              </w:rPr>
              <w:t>机加</w:t>
            </w:r>
            <w:r>
              <w:rPr>
                <w:rFonts w:hint="default" w:ascii="Times New Roman" w:hAnsi="Times New Roman" w:cs="Times New Roman"/>
                <w:bCs/>
                <w:color w:val="000000" w:themeColor="text1"/>
                <w:sz w:val="24"/>
                <w:szCs w:val="24"/>
                <w:lang w:val="en-US" w:eastAsia="zh-CN"/>
                <w14:textFill>
                  <w14:solidFill>
                    <w14:schemeClr w14:val="tx1"/>
                  </w14:solidFill>
                </w14:textFill>
              </w:rPr>
              <w:t>：在复合材料的生产过程中，脱模后的工件需经过热压机校正处理，以确保其尺寸稳定性。随后，工件进入机加工阶段：首先通过车床进行简单切割，再使用数控机床和加工中心进行精密加工</w:t>
            </w:r>
            <w:r>
              <w:rPr>
                <w:rFonts w:hint="eastAsia" w:ascii="Times New Roman" w:hAnsi="Times New Roman" w:cs="Times New Roman"/>
                <w:bCs/>
                <w:color w:val="000000" w:themeColor="text1"/>
                <w:sz w:val="24"/>
                <w:szCs w:val="24"/>
                <w:lang w:val="en-US" w:eastAsia="zh-CN"/>
                <w14:textFill>
                  <w14:solidFill>
                    <w14:schemeClr w14:val="tx1"/>
                  </w14:solidFill>
                </w14:textFill>
              </w:rPr>
              <w:t>，机加工序会产生废气（颗粒物）和噪声、废机油，颗粒物经集气罩收集后经布袋除尘器处理；</w:t>
            </w:r>
          </w:p>
          <w:p w14:paraId="3291A0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（4）</w:t>
            </w:r>
            <w:r>
              <w:rPr>
                <w:rFonts w:hint="eastAsia" w:ascii="Times New Roman" w:hAnsi="Times New Roman" w:cs="Times New Roman"/>
                <w:bCs/>
                <w:color w:val="000000" w:themeColor="text1"/>
                <w:sz w:val="24"/>
                <w:szCs w:val="24"/>
                <w:lang w:val="en-US" w:eastAsia="zh-CN"/>
                <w14:textFill>
                  <w14:solidFill>
                    <w14:schemeClr w14:val="tx1"/>
                  </w14:solidFill>
                </w14:textFill>
              </w:rPr>
              <w:t>打磨（玻璃纤维制品无此工序）：</w:t>
            </w:r>
            <w:r>
              <w:rPr>
                <w:rFonts w:hint="default" w:ascii="Times New Roman" w:hAnsi="Times New Roman" w:cs="Times New Roman"/>
                <w:bCs/>
                <w:color w:val="000000" w:themeColor="text1"/>
                <w:sz w:val="24"/>
                <w:szCs w:val="24"/>
                <w:lang w:val="en-US" w:eastAsia="zh-CN"/>
                <w14:textFill>
                  <w14:solidFill>
                    <w14:schemeClr w14:val="tx1"/>
                  </w14:solidFill>
                </w14:textFill>
              </w:rPr>
              <w:t>为了满足产品重量要求，机加工后的工件需进行打磨处理以去除毛刺并减重，该工序采用除尘打磨平台、密闭式无尘脉冲喷砂机和管带式砂光机等设备。除尘打磨平台采用格栅设计并通过底部抽气收集废气，喷砂机自带布袋除尘装置，砂光机产生的颗粒物则通过集气罩收集后经布袋除尘器处理。打磨过程主要产生颗粒物、噪声及废边角料等污染物，需采取相应环保措施进行控制。</w:t>
            </w:r>
          </w:p>
          <w:p w14:paraId="3F64F2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本项目玻璃纤维和碳纤维分别缠绕加工，固化时间相同。</w:t>
            </w:r>
          </w:p>
          <w:p w14:paraId="340D66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b/>
                <w:bCs w:val="0"/>
                <w:color w:val="000000" w:themeColor="text1"/>
                <w:sz w:val="21"/>
                <w:szCs w:val="21"/>
                <w:lang w:val="en-US" w:eastAsia="zh-CN"/>
                <w14:textFill>
                  <w14:solidFill>
                    <w14:schemeClr w14:val="tx1"/>
                  </w14:solidFill>
                </w14:textFill>
              </w:rPr>
            </w:pPr>
          </w:p>
          <w:p w14:paraId="315F5E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b/>
                <w:bCs w:val="0"/>
                <w:color w:val="000000" w:themeColor="text1"/>
                <w:sz w:val="21"/>
                <w:szCs w:val="21"/>
                <w:lang w:val="en-US" w:eastAsia="zh-CN"/>
                <w14:textFill>
                  <w14:solidFill>
                    <w14:schemeClr w14:val="tx1"/>
                  </w14:solidFill>
                </w14:textFill>
              </w:rPr>
            </w:pPr>
            <w:r>
              <w:rPr>
                <w:rFonts w:hint="eastAsia" w:ascii="宋体" w:hAnsi="宋体"/>
                <w:b/>
                <w:bCs w:val="0"/>
                <w:color w:val="000000" w:themeColor="text1"/>
                <w:sz w:val="21"/>
                <w:szCs w:val="21"/>
                <w:lang w:val="en-US" w:eastAsia="zh-CN"/>
                <w14:textFill>
                  <w14:solidFill>
                    <w14:schemeClr w14:val="tx1"/>
                  </w14:solidFill>
                </w14:textFill>
              </w:rPr>
              <w:t>表2-6  本项目主要产污工序、污染物及治理措施汇总表</w:t>
            </w:r>
          </w:p>
          <w:tbl>
            <w:tblPr>
              <w:tblStyle w:val="15"/>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268"/>
              <w:gridCol w:w="1118"/>
              <w:gridCol w:w="1366"/>
              <w:gridCol w:w="3288"/>
            </w:tblGrid>
            <w:tr w14:paraId="4585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Align w:val="center"/>
                </w:tcPr>
                <w:p w14:paraId="6B9763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污染源</w:t>
                  </w:r>
                </w:p>
              </w:tc>
              <w:tc>
                <w:tcPr>
                  <w:tcW w:w="1268" w:type="dxa"/>
                  <w:vAlign w:val="center"/>
                </w:tcPr>
                <w:p w14:paraId="1D1550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产污环节</w:t>
                  </w:r>
                </w:p>
              </w:tc>
              <w:tc>
                <w:tcPr>
                  <w:tcW w:w="1118" w:type="dxa"/>
                  <w:vAlign w:val="center"/>
                </w:tcPr>
                <w:p w14:paraId="2D738C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编号</w:t>
                  </w:r>
                </w:p>
              </w:tc>
              <w:tc>
                <w:tcPr>
                  <w:tcW w:w="1366" w:type="dxa"/>
                  <w:vAlign w:val="center"/>
                </w:tcPr>
                <w:p w14:paraId="4F5A8B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污染物</w:t>
                  </w:r>
                </w:p>
              </w:tc>
              <w:tc>
                <w:tcPr>
                  <w:tcW w:w="3288" w:type="dxa"/>
                  <w:vAlign w:val="center"/>
                </w:tcPr>
                <w:p w14:paraId="0B7A15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处理措施</w:t>
                  </w:r>
                </w:p>
              </w:tc>
            </w:tr>
            <w:tr w14:paraId="4882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restart"/>
                  <w:vAlign w:val="center"/>
                </w:tcPr>
                <w:p w14:paraId="665119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废气</w:t>
                  </w:r>
                </w:p>
              </w:tc>
              <w:tc>
                <w:tcPr>
                  <w:tcW w:w="1268" w:type="dxa"/>
                  <w:vAlign w:val="center"/>
                </w:tcPr>
                <w:p w14:paraId="13BCE3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搅拌工序</w:t>
                  </w:r>
                </w:p>
              </w:tc>
              <w:tc>
                <w:tcPr>
                  <w:tcW w:w="1118" w:type="dxa"/>
                  <w:vAlign w:val="center"/>
                </w:tcPr>
                <w:p w14:paraId="72F85E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G1</w:t>
                  </w:r>
                </w:p>
              </w:tc>
              <w:tc>
                <w:tcPr>
                  <w:tcW w:w="1366" w:type="dxa"/>
                  <w:vAlign w:val="center"/>
                </w:tcPr>
                <w:p w14:paraId="62F583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非甲烷总烃</w:t>
                  </w:r>
                </w:p>
              </w:tc>
              <w:tc>
                <w:tcPr>
                  <w:tcW w:w="3288" w:type="dxa"/>
                  <w:vMerge w:val="restart"/>
                  <w:vAlign w:val="center"/>
                </w:tcPr>
                <w:p w14:paraId="18B768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局部负压收集，集气罩+两级活性炭吸附后处理后由15m排气筒排放（DA001）</w:t>
                  </w:r>
                </w:p>
              </w:tc>
            </w:tr>
            <w:tr w14:paraId="6C36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2ECD1C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vAlign w:val="center"/>
                </w:tcPr>
                <w:p w14:paraId="2D440C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缠绕机</w:t>
                  </w:r>
                </w:p>
              </w:tc>
              <w:tc>
                <w:tcPr>
                  <w:tcW w:w="1118" w:type="dxa"/>
                  <w:vAlign w:val="center"/>
                </w:tcPr>
                <w:p w14:paraId="39B6E8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G2</w:t>
                  </w:r>
                </w:p>
              </w:tc>
              <w:tc>
                <w:tcPr>
                  <w:tcW w:w="1366" w:type="dxa"/>
                  <w:vAlign w:val="center"/>
                </w:tcPr>
                <w:p w14:paraId="135CF1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非甲烷总烃</w:t>
                  </w:r>
                </w:p>
              </w:tc>
              <w:tc>
                <w:tcPr>
                  <w:tcW w:w="3288" w:type="dxa"/>
                  <w:vMerge w:val="continue"/>
                  <w:vAlign w:val="center"/>
                </w:tcPr>
                <w:p w14:paraId="724897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r>
            <w:tr w14:paraId="50A69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13C951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vAlign w:val="center"/>
                </w:tcPr>
                <w:p w14:paraId="6F4187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固化炉</w:t>
                  </w:r>
                </w:p>
              </w:tc>
              <w:tc>
                <w:tcPr>
                  <w:tcW w:w="1118" w:type="dxa"/>
                  <w:vAlign w:val="center"/>
                </w:tcPr>
                <w:p w14:paraId="79C2B7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G3</w:t>
                  </w:r>
                </w:p>
              </w:tc>
              <w:tc>
                <w:tcPr>
                  <w:tcW w:w="1366" w:type="dxa"/>
                  <w:vAlign w:val="center"/>
                </w:tcPr>
                <w:p w14:paraId="490F4F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非甲烷总烃</w:t>
                  </w:r>
                </w:p>
              </w:tc>
              <w:tc>
                <w:tcPr>
                  <w:tcW w:w="3288" w:type="dxa"/>
                  <w:vMerge w:val="continue"/>
                  <w:vAlign w:val="center"/>
                </w:tcPr>
                <w:p w14:paraId="549EE9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r>
            <w:tr w14:paraId="61F4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587530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shd w:val="clear" w:color="auto" w:fill="auto"/>
                  <w:vAlign w:val="center"/>
                </w:tcPr>
                <w:p w14:paraId="211BF4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cstheme="minorBidi"/>
                      <w:bCs/>
                      <w:color w:val="000000" w:themeColor="text1"/>
                      <w:kern w:val="2"/>
                      <w:sz w:val="21"/>
                      <w:szCs w:val="21"/>
                      <w:vertAlign w:val="baseline"/>
                      <w:lang w:val="en-US" w:eastAsia="zh-CN" w:bidi="ar-SA"/>
                      <w14:textFill>
                        <w14:solidFill>
                          <w14:schemeClr w14:val="tx1"/>
                        </w14:solidFill>
                      </w14:textFill>
                    </w:rPr>
                    <w:t>车床、数控机床、加工中心</w:t>
                  </w:r>
                </w:p>
              </w:tc>
              <w:tc>
                <w:tcPr>
                  <w:tcW w:w="1118" w:type="dxa"/>
                  <w:shd w:val="clear" w:color="auto" w:fill="auto"/>
                  <w:vAlign w:val="center"/>
                </w:tcPr>
                <w:p w14:paraId="5D3B49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G4</w:t>
                  </w:r>
                </w:p>
              </w:tc>
              <w:tc>
                <w:tcPr>
                  <w:tcW w:w="1366" w:type="dxa"/>
                  <w:vAlign w:val="center"/>
                </w:tcPr>
                <w:p w14:paraId="04931A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颗粒物</w:t>
                  </w:r>
                </w:p>
              </w:tc>
              <w:tc>
                <w:tcPr>
                  <w:tcW w:w="3288" w:type="dxa"/>
                  <w:vAlign w:val="center"/>
                </w:tcPr>
                <w:p w14:paraId="44FB7E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集气罩+布袋除尘器无组织排放</w:t>
                  </w:r>
                </w:p>
              </w:tc>
            </w:tr>
            <w:tr w14:paraId="6CF3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7DED35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vAlign w:val="center"/>
                </w:tcPr>
                <w:p w14:paraId="349561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打磨机、抛丸机</w:t>
                  </w:r>
                </w:p>
              </w:tc>
              <w:tc>
                <w:tcPr>
                  <w:tcW w:w="1118" w:type="dxa"/>
                  <w:vAlign w:val="center"/>
                </w:tcPr>
                <w:p w14:paraId="1BDB83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G5</w:t>
                  </w:r>
                </w:p>
              </w:tc>
              <w:tc>
                <w:tcPr>
                  <w:tcW w:w="1366" w:type="dxa"/>
                  <w:vAlign w:val="center"/>
                </w:tcPr>
                <w:p w14:paraId="55EF6E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颗粒物</w:t>
                  </w:r>
                </w:p>
              </w:tc>
              <w:tc>
                <w:tcPr>
                  <w:tcW w:w="3288" w:type="dxa"/>
                  <w:vAlign w:val="center"/>
                </w:tcPr>
                <w:p w14:paraId="601AFB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布袋除尘器处理后无组织排放</w:t>
                  </w:r>
                </w:p>
              </w:tc>
            </w:tr>
            <w:tr w14:paraId="7B29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6CC433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shd w:val="clear" w:color="auto" w:fill="auto"/>
                  <w:vAlign w:val="center"/>
                </w:tcPr>
                <w:p w14:paraId="33EDDE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cstheme="minorBidi"/>
                      <w:bCs/>
                      <w:color w:val="000000" w:themeColor="text1"/>
                      <w:kern w:val="2"/>
                      <w:sz w:val="21"/>
                      <w:szCs w:val="21"/>
                      <w:vertAlign w:val="baseline"/>
                      <w:lang w:val="en-US" w:eastAsia="zh-CN" w:bidi="ar-SA"/>
                      <w14:textFill>
                        <w14:solidFill>
                          <w14:schemeClr w14:val="tx1"/>
                        </w14:solidFill>
                      </w14:textFill>
                    </w:rPr>
                    <w:t>缠绕机</w:t>
                  </w:r>
                </w:p>
              </w:tc>
              <w:tc>
                <w:tcPr>
                  <w:tcW w:w="1118" w:type="dxa"/>
                  <w:vAlign w:val="center"/>
                </w:tcPr>
                <w:p w14:paraId="755671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N1</w:t>
                  </w:r>
                </w:p>
              </w:tc>
              <w:tc>
                <w:tcPr>
                  <w:tcW w:w="1366" w:type="dxa"/>
                  <w:vMerge w:val="restart"/>
                  <w:vAlign w:val="center"/>
                </w:tcPr>
                <w:p w14:paraId="5A1A68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噪声</w:t>
                  </w:r>
                </w:p>
              </w:tc>
              <w:tc>
                <w:tcPr>
                  <w:tcW w:w="3288" w:type="dxa"/>
                  <w:vMerge w:val="restart"/>
                  <w:vAlign w:val="center"/>
                </w:tcPr>
                <w:p w14:paraId="347ECE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厂房隔声</w:t>
                  </w:r>
                </w:p>
              </w:tc>
            </w:tr>
            <w:tr w14:paraId="528B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7873C9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shd w:val="clear" w:color="auto" w:fill="auto"/>
                  <w:vAlign w:val="center"/>
                </w:tcPr>
                <w:p w14:paraId="62FDB9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cstheme="minorBidi"/>
                      <w:bCs/>
                      <w:color w:val="000000" w:themeColor="text1"/>
                      <w:kern w:val="2"/>
                      <w:sz w:val="21"/>
                      <w:szCs w:val="21"/>
                      <w:vertAlign w:val="baseline"/>
                      <w:lang w:val="en-US" w:eastAsia="zh-CN" w:bidi="ar-SA"/>
                      <w14:textFill>
                        <w14:solidFill>
                          <w14:schemeClr w14:val="tx1"/>
                        </w14:solidFill>
                      </w14:textFill>
                    </w:rPr>
                    <w:t>固化炉</w:t>
                  </w:r>
                </w:p>
              </w:tc>
              <w:tc>
                <w:tcPr>
                  <w:tcW w:w="1118" w:type="dxa"/>
                  <w:vAlign w:val="center"/>
                </w:tcPr>
                <w:p w14:paraId="6B0AFC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N2</w:t>
                  </w:r>
                </w:p>
              </w:tc>
              <w:tc>
                <w:tcPr>
                  <w:tcW w:w="1366" w:type="dxa"/>
                  <w:vMerge w:val="continue"/>
                  <w:vAlign w:val="center"/>
                </w:tcPr>
                <w:p w14:paraId="7B0718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3288" w:type="dxa"/>
                  <w:vMerge w:val="continue"/>
                  <w:vAlign w:val="center"/>
                </w:tcPr>
                <w:p w14:paraId="49EC69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r>
            <w:tr w14:paraId="2765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569EDD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shd w:val="clear" w:color="auto" w:fill="auto"/>
                  <w:vAlign w:val="center"/>
                </w:tcPr>
                <w:p w14:paraId="4F5326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cstheme="minorBidi"/>
                      <w:bCs/>
                      <w:color w:val="000000" w:themeColor="text1"/>
                      <w:kern w:val="2"/>
                      <w:sz w:val="21"/>
                      <w:szCs w:val="21"/>
                      <w:vertAlign w:val="baseline"/>
                      <w:lang w:val="en-US" w:eastAsia="zh-CN" w:bidi="ar-SA"/>
                      <w14:textFill>
                        <w14:solidFill>
                          <w14:schemeClr w14:val="tx1"/>
                        </w14:solidFill>
                      </w14:textFill>
                    </w:rPr>
                    <w:t>车床、数控机床、加工中心</w:t>
                  </w:r>
                </w:p>
              </w:tc>
              <w:tc>
                <w:tcPr>
                  <w:tcW w:w="1118" w:type="dxa"/>
                  <w:vAlign w:val="center"/>
                </w:tcPr>
                <w:p w14:paraId="20644F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N3</w:t>
                  </w:r>
                </w:p>
              </w:tc>
              <w:tc>
                <w:tcPr>
                  <w:tcW w:w="1366" w:type="dxa"/>
                  <w:vMerge w:val="continue"/>
                  <w:vAlign w:val="center"/>
                </w:tcPr>
                <w:p w14:paraId="4204BA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3288" w:type="dxa"/>
                  <w:vMerge w:val="continue"/>
                  <w:vAlign w:val="center"/>
                </w:tcPr>
                <w:p w14:paraId="5A1A28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r>
            <w:tr w14:paraId="07C8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44411F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shd w:val="clear" w:color="auto" w:fill="auto"/>
                  <w:vAlign w:val="center"/>
                </w:tcPr>
                <w:p w14:paraId="334926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打磨机、喷砂机</w:t>
                  </w:r>
                </w:p>
              </w:tc>
              <w:tc>
                <w:tcPr>
                  <w:tcW w:w="1118" w:type="dxa"/>
                  <w:vAlign w:val="center"/>
                </w:tcPr>
                <w:p w14:paraId="2B21A2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N4</w:t>
                  </w:r>
                </w:p>
              </w:tc>
              <w:tc>
                <w:tcPr>
                  <w:tcW w:w="1366" w:type="dxa"/>
                  <w:vMerge w:val="continue"/>
                  <w:vAlign w:val="center"/>
                </w:tcPr>
                <w:p w14:paraId="409626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3288" w:type="dxa"/>
                  <w:vMerge w:val="continue"/>
                  <w:vAlign w:val="center"/>
                </w:tcPr>
                <w:p w14:paraId="57133D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r>
            <w:tr w14:paraId="008C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restart"/>
                  <w:vAlign w:val="center"/>
                </w:tcPr>
                <w:p w14:paraId="768D10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废水</w:t>
                  </w:r>
                </w:p>
              </w:tc>
              <w:tc>
                <w:tcPr>
                  <w:tcW w:w="1268" w:type="dxa"/>
                  <w:vAlign w:val="center"/>
                </w:tcPr>
                <w:p w14:paraId="36B917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人工检验</w:t>
                  </w:r>
                </w:p>
              </w:tc>
              <w:tc>
                <w:tcPr>
                  <w:tcW w:w="1118" w:type="dxa"/>
                  <w:vAlign w:val="center"/>
                </w:tcPr>
                <w:p w14:paraId="4E2FFB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W1</w:t>
                  </w:r>
                </w:p>
              </w:tc>
              <w:tc>
                <w:tcPr>
                  <w:tcW w:w="1366" w:type="dxa"/>
                  <w:vAlign w:val="center"/>
                </w:tcPr>
                <w:p w14:paraId="10A995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检测废水</w:t>
                  </w:r>
                </w:p>
              </w:tc>
              <w:tc>
                <w:tcPr>
                  <w:tcW w:w="3288" w:type="dxa"/>
                  <w:vAlign w:val="center"/>
                </w:tcPr>
                <w:p w14:paraId="013C29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循环使用，不外排</w:t>
                  </w:r>
                </w:p>
              </w:tc>
            </w:tr>
            <w:tr w14:paraId="0ABD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288972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bCs/>
                      <w:color w:val="000000" w:themeColor="text1"/>
                      <w:sz w:val="21"/>
                      <w:szCs w:val="21"/>
                      <w:vertAlign w:val="baseline"/>
                      <w:lang w:val="en-US" w:eastAsia="zh-CN"/>
                      <w14:textFill>
                        <w14:solidFill>
                          <w14:schemeClr w14:val="tx1"/>
                        </w14:solidFill>
                      </w14:textFill>
                    </w:rPr>
                  </w:pPr>
                </w:p>
              </w:tc>
              <w:tc>
                <w:tcPr>
                  <w:tcW w:w="3752" w:type="dxa"/>
                  <w:gridSpan w:val="3"/>
                  <w:vAlign w:val="center"/>
                </w:tcPr>
                <w:p w14:paraId="4ACDB4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生活污水</w:t>
                  </w:r>
                </w:p>
              </w:tc>
              <w:tc>
                <w:tcPr>
                  <w:tcW w:w="3288" w:type="dxa"/>
                  <w:vAlign w:val="center"/>
                </w:tcPr>
                <w:p w14:paraId="032AAB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员工生活污水经化粪池处理后排入市政管网。</w:t>
                  </w:r>
                </w:p>
              </w:tc>
            </w:tr>
            <w:tr w14:paraId="7305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905" w:type="dxa"/>
                  <w:vMerge w:val="restart"/>
                  <w:vAlign w:val="center"/>
                </w:tcPr>
                <w:p w14:paraId="1DF3E2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固体</w:t>
                  </w:r>
                </w:p>
                <w:p w14:paraId="3CA3AA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废物</w:t>
                  </w:r>
                </w:p>
              </w:tc>
              <w:tc>
                <w:tcPr>
                  <w:tcW w:w="1268" w:type="dxa"/>
                  <w:vAlign w:val="center"/>
                </w:tcPr>
                <w:p w14:paraId="6E7D97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搅拌工序</w:t>
                  </w:r>
                </w:p>
              </w:tc>
              <w:tc>
                <w:tcPr>
                  <w:tcW w:w="1118" w:type="dxa"/>
                  <w:vAlign w:val="center"/>
                </w:tcPr>
                <w:p w14:paraId="0398FA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S1</w:t>
                  </w:r>
                </w:p>
              </w:tc>
              <w:tc>
                <w:tcPr>
                  <w:tcW w:w="1366" w:type="dxa"/>
                  <w:vAlign w:val="center"/>
                </w:tcPr>
                <w:p w14:paraId="16BA0C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highlight w:val="none"/>
                      <w:vertAlign w:val="baseline"/>
                      <w:lang w:val="en-US" w:eastAsia="zh-CN"/>
                      <w14:textFill>
                        <w14:solidFill>
                          <w14:schemeClr w14:val="tx1"/>
                        </w14:solidFill>
                      </w14:textFill>
                    </w:rPr>
                    <w:t>纤维包装箱</w:t>
                  </w:r>
                </w:p>
              </w:tc>
              <w:tc>
                <w:tcPr>
                  <w:tcW w:w="3288" w:type="dxa"/>
                  <w:vMerge w:val="restart"/>
                  <w:vAlign w:val="center"/>
                </w:tcPr>
                <w:p w14:paraId="1FD808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贮存原有一般固废暂存区，</w:t>
                  </w:r>
                </w:p>
                <w:p w14:paraId="268919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定期出售</w:t>
                  </w:r>
                </w:p>
              </w:tc>
            </w:tr>
            <w:tr w14:paraId="0C2C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67015A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vAlign w:val="center"/>
                </w:tcPr>
                <w:p w14:paraId="762A12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机加工序</w:t>
                  </w:r>
                </w:p>
              </w:tc>
              <w:tc>
                <w:tcPr>
                  <w:tcW w:w="1118" w:type="dxa"/>
                  <w:vAlign w:val="center"/>
                </w:tcPr>
                <w:p w14:paraId="1C75DD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S4</w:t>
                  </w:r>
                </w:p>
              </w:tc>
              <w:tc>
                <w:tcPr>
                  <w:tcW w:w="1366" w:type="dxa"/>
                  <w:vAlign w:val="center"/>
                </w:tcPr>
                <w:p w14:paraId="26CE61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废边角料</w:t>
                  </w:r>
                </w:p>
              </w:tc>
              <w:tc>
                <w:tcPr>
                  <w:tcW w:w="3288" w:type="dxa"/>
                  <w:vMerge w:val="continue"/>
                  <w:vAlign w:val="center"/>
                </w:tcPr>
                <w:p w14:paraId="77E86A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r>
            <w:tr w14:paraId="463F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5" w:type="dxa"/>
                  <w:vMerge w:val="continue"/>
                  <w:vAlign w:val="center"/>
                </w:tcPr>
                <w:p w14:paraId="703FE2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vAlign w:val="center"/>
                </w:tcPr>
                <w:p w14:paraId="42A13D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检验工序</w:t>
                  </w:r>
                </w:p>
              </w:tc>
              <w:tc>
                <w:tcPr>
                  <w:tcW w:w="1118" w:type="dxa"/>
                  <w:vAlign w:val="center"/>
                </w:tcPr>
                <w:p w14:paraId="5806F4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S6</w:t>
                  </w:r>
                </w:p>
              </w:tc>
              <w:tc>
                <w:tcPr>
                  <w:tcW w:w="1366" w:type="dxa"/>
                  <w:vAlign w:val="center"/>
                </w:tcPr>
                <w:p w14:paraId="57FD46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不合格产品</w:t>
                  </w:r>
                </w:p>
              </w:tc>
              <w:tc>
                <w:tcPr>
                  <w:tcW w:w="3288" w:type="dxa"/>
                  <w:vMerge w:val="continue"/>
                  <w:vAlign w:val="center"/>
                </w:tcPr>
                <w:p w14:paraId="223E44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r>
            <w:tr w14:paraId="0689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42F3BB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vMerge w:val="restart"/>
                  <w:vAlign w:val="center"/>
                </w:tcPr>
                <w:p w14:paraId="14C881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缠绕工序</w:t>
                  </w:r>
                </w:p>
              </w:tc>
              <w:tc>
                <w:tcPr>
                  <w:tcW w:w="1118" w:type="dxa"/>
                  <w:shd w:val="clear" w:color="auto" w:fill="auto"/>
                  <w:vAlign w:val="center"/>
                </w:tcPr>
                <w:p w14:paraId="71447D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cstheme="minorBidi"/>
                      <w:bCs/>
                      <w:color w:val="000000" w:themeColor="text1"/>
                      <w:kern w:val="2"/>
                      <w:sz w:val="21"/>
                      <w:szCs w:val="21"/>
                      <w:vertAlign w:val="baseline"/>
                      <w:lang w:val="en-US" w:eastAsia="zh-CN" w:bidi="ar-SA"/>
                      <w14:textFill>
                        <w14:solidFill>
                          <w14:schemeClr w14:val="tx1"/>
                        </w14:solidFill>
                      </w14:textFill>
                    </w:rPr>
                    <w:t>S2</w:t>
                  </w:r>
                </w:p>
              </w:tc>
              <w:tc>
                <w:tcPr>
                  <w:tcW w:w="1366" w:type="dxa"/>
                  <w:shd w:val="clear" w:color="auto" w:fill="auto"/>
                  <w:vAlign w:val="center"/>
                </w:tcPr>
                <w:p w14:paraId="522A36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环氧树脂</w:t>
                  </w:r>
                </w:p>
                <w:p w14:paraId="19E596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包装桶</w:t>
                  </w:r>
                </w:p>
              </w:tc>
              <w:tc>
                <w:tcPr>
                  <w:tcW w:w="3288" w:type="dxa"/>
                  <w:vMerge w:val="restart"/>
                  <w:vAlign w:val="center"/>
                </w:tcPr>
                <w:p w14:paraId="6572F6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收集暂存于原有危险废物暂存间，委托有资质危废单位回收处理</w:t>
                  </w:r>
                </w:p>
              </w:tc>
            </w:tr>
            <w:tr w14:paraId="1506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4B5AB9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vMerge w:val="continue"/>
                  <w:vAlign w:val="center"/>
                </w:tcPr>
                <w:p w14:paraId="4BB2F8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118" w:type="dxa"/>
                  <w:shd w:val="clear" w:color="auto" w:fill="auto"/>
                  <w:vAlign w:val="center"/>
                </w:tcPr>
                <w:p w14:paraId="05AF28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cstheme="minorBidi"/>
                      <w:bCs/>
                      <w:color w:val="000000" w:themeColor="text1"/>
                      <w:kern w:val="2"/>
                      <w:sz w:val="21"/>
                      <w:szCs w:val="21"/>
                      <w:vertAlign w:val="baseline"/>
                      <w:lang w:val="en-US" w:eastAsia="zh-CN" w:bidi="ar-SA"/>
                      <w14:textFill>
                        <w14:solidFill>
                          <w14:schemeClr w14:val="tx1"/>
                        </w14:solidFill>
                      </w14:textFill>
                    </w:rPr>
                    <w:t>S3</w:t>
                  </w:r>
                </w:p>
              </w:tc>
              <w:tc>
                <w:tcPr>
                  <w:tcW w:w="1366" w:type="dxa"/>
                  <w:shd w:val="clear" w:color="auto" w:fill="auto"/>
                  <w:vAlign w:val="center"/>
                </w:tcPr>
                <w:p w14:paraId="6498FD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废树脂</w:t>
                  </w:r>
                </w:p>
              </w:tc>
              <w:tc>
                <w:tcPr>
                  <w:tcW w:w="3288" w:type="dxa"/>
                  <w:vMerge w:val="continue"/>
                  <w:vAlign w:val="center"/>
                </w:tcPr>
                <w:p w14:paraId="7D19BA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r>
            <w:tr w14:paraId="2CD1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4CED20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vMerge w:val="restart"/>
                  <w:vAlign w:val="center"/>
                </w:tcPr>
                <w:p w14:paraId="5B5393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设备检修</w:t>
                  </w:r>
                </w:p>
              </w:tc>
              <w:tc>
                <w:tcPr>
                  <w:tcW w:w="1118" w:type="dxa"/>
                  <w:shd w:val="clear" w:color="auto" w:fill="auto"/>
                  <w:vAlign w:val="center"/>
                </w:tcPr>
                <w:p w14:paraId="5A3631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cstheme="minorBidi"/>
                      <w:bCs/>
                      <w:color w:val="000000" w:themeColor="text1"/>
                      <w:kern w:val="2"/>
                      <w:sz w:val="21"/>
                      <w:szCs w:val="21"/>
                      <w:vertAlign w:val="baseline"/>
                      <w:lang w:val="en-US" w:eastAsia="zh-CN" w:bidi="ar-SA"/>
                      <w14:textFill>
                        <w14:solidFill>
                          <w14:schemeClr w14:val="tx1"/>
                        </w14:solidFill>
                      </w14:textFill>
                    </w:rPr>
                    <w:t>S7</w:t>
                  </w:r>
                </w:p>
              </w:tc>
              <w:tc>
                <w:tcPr>
                  <w:tcW w:w="1366" w:type="dxa"/>
                  <w:shd w:val="clear" w:color="auto" w:fill="auto"/>
                  <w:vAlign w:val="center"/>
                </w:tcPr>
                <w:p w14:paraId="5E7997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废机油及废机油桶</w:t>
                  </w:r>
                </w:p>
              </w:tc>
              <w:tc>
                <w:tcPr>
                  <w:tcW w:w="3288" w:type="dxa"/>
                  <w:vMerge w:val="continue"/>
                  <w:vAlign w:val="center"/>
                </w:tcPr>
                <w:p w14:paraId="4E0DEE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r>
            <w:tr w14:paraId="3FF7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30AB33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vMerge w:val="continue"/>
                  <w:vAlign w:val="center"/>
                </w:tcPr>
                <w:p w14:paraId="099A53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118" w:type="dxa"/>
                  <w:shd w:val="clear" w:color="auto" w:fill="auto"/>
                  <w:vAlign w:val="center"/>
                </w:tcPr>
                <w:p w14:paraId="4D0477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cstheme="minorBidi"/>
                      <w:bCs/>
                      <w:color w:val="000000" w:themeColor="text1"/>
                      <w:kern w:val="2"/>
                      <w:sz w:val="21"/>
                      <w:szCs w:val="21"/>
                      <w:vertAlign w:val="baseline"/>
                      <w:lang w:val="en-US" w:eastAsia="zh-CN" w:bidi="ar-SA"/>
                      <w14:textFill>
                        <w14:solidFill>
                          <w14:schemeClr w14:val="tx1"/>
                        </w14:solidFill>
                      </w14:textFill>
                    </w:rPr>
                    <w:t>S8</w:t>
                  </w:r>
                </w:p>
              </w:tc>
              <w:tc>
                <w:tcPr>
                  <w:tcW w:w="1366" w:type="dxa"/>
                  <w:shd w:val="clear" w:color="auto" w:fill="auto"/>
                  <w:vAlign w:val="center"/>
                </w:tcPr>
                <w:p w14:paraId="58C8B6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含油废抹布、手套</w:t>
                  </w:r>
                </w:p>
              </w:tc>
              <w:tc>
                <w:tcPr>
                  <w:tcW w:w="3288" w:type="dxa"/>
                  <w:vMerge w:val="continue"/>
                  <w:shd w:val="clear" w:color="auto" w:fill="auto"/>
                  <w:vAlign w:val="center"/>
                </w:tcPr>
                <w:p w14:paraId="0C39CB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p>
              </w:tc>
            </w:tr>
            <w:tr w14:paraId="79EB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51355C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vMerge w:val="restart"/>
                  <w:vAlign w:val="center"/>
                </w:tcPr>
                <w:p w14:paraId="64A65A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活性炭吸附</w:t>
                  </w:r>
                </w:p>
              </w:tc>
              <w:tc>
                <w:tcPr>
                  <w:tcW w:w="1118" w:type="dxa"/>
                  <w:shd w:val="clear" w:color="auto" w:fill="auto"/>
                  <w:vAlign w:val="center"/>
                </w:tcPr>
                <w:p w14:paraId="3CA99D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cstheme="minorBidi"/>
                      <w:bCs/>
                      <w:color w:val="000000" w:themeColor="text1"/>
                      <w:kern w:val="2"/>
                      <w:sz w:val="21"/>
                      <w:szCs w:val="21"/>
                      <w:vertAlign w:val="baseline"/>
                      <w:lang w:val="en-US" w:eastAsia="zh-CN" w:bidi="ar-SA"/>
                      <w14:textFill>
                        <w14:solidFill>
                          <w14:schemeClr w14:val="tx1"/>
                        </w14:solidFill>
                      </w14:textFill>
                    </w:rPr>
                    <w:t>S9</w:t>
                  </w:r>
                </w:p>
              </w:tc>
              <w:tc>
                <w:tcPr>
                  <w:tcW w:w="1366" w:type="dxa"/>
                  <w:shd w:val="clear" w:color="auto" w:fill="auto"/>
                  <w:vAlign w:val="center"/>
                </w:tcPr>
                <w:p w14:paraId="438F11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cstheme="minorBidi"/>
                      <w:bCs/>
                      <w:color w:val="000000" w:themeColor="text1"/>
                      <w:kern w:val="2"/>
                      <w:sz w:val="21"/>
                      <w:szCs w:val="21"/>
                      <w:vertAlign w:val="baseline"/>
                      <w:lang w:val="en-US" w:eastAsia="zh-CN" w:bidi="ar-SA"/>
                      <w14:textFill>
                        <w14:solidFill>
                          <w14:schemeClr w14:val="tx1"/>
                        </w14:solidFill>
                      </w14:textFill>
                    </w:rPr>
                    <w:t>废活性炭</w:t>
                  </w:r>
                </w:p>
              </w:tc>
              <w:tc>
                <w:tcPr>
                  <w:tcW w:w="3288" w:type="dxa"/>
                  <w:vMerge w:val="continue"/>
                  <w:shd w:val="clear" w:color="auto" w:fill="auto"/>
                  <w:vAlign w:val="center"/>
                </w:tcPr>
                <w:p w14:paraId="190549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p>
              </w:tc>
            </w:tr>
            <w:tr w14:paraId="1EFB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7CF946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vMerge w:val="continue"/>
                  <w:vAlign w:val="center"/>
                </w:tcPr>
                <w:p w14:paraId="0BF9F1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118" w:type="dxa"/>
                  <w:shd w:val="clear" w:color="auto" w:fill="auto"/>
                  <w:vAlign w:val="center"/>
                </w:tcPr>
                <w:p w14:paraId="079760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cstheme="minorBidi"/>
                      <w:bCs/>
                      <w:color w:val="000000" w:themeColor="text1"/>
                      <w:kern w:val="2"/>
                      <w:sz w:val="21"/>
                      <w:szCs w:val="21"/>
                      <w:vertAlign w:val="baseline"/>
                      <w:lang w:val="en-US" w:eastAsia="zh-CN" w:bidi="ar-SA"/>
                      <w14:textFill>
                        <w14:solidFill>
                          <w14:schemeClr w14:val="tx1"/>
                        </w14:solidFill>
                      </w14:textFill>
                    </w:rPr>
                    <w:t>S10</w:t>
                  </w:r>
                </w:p>
              </w:tc>
              <w:tc>
                <w:tcPr>
                  <w:tcW w:w="1366" w:type="dxa"/>
                  <w:shd w:val="clear" w:color="auto" w:fill="auto"/>
                  <w:vAlign w:val="center"/>
                </w:tcPr>
                <w:p w14:paraId="757FDD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cstheme="minorBidi"/>
                      <w:bCs/>
                      <w:color w:val="000000" w:themeColor="text1"/>
                      <w:kern w:val="2"/>
                      <w:sz w:val="21"/>
                      <w:szCs w:val="21"/>
                      <w:vertAlign w:val="baseline"/>
                      <w:lang w:val="en-US" w:eastAsia="zh-CN" w:bidi="ar-SA"/>
                      <w14:textFill>
                        <w14:solidFill>
                          <w14:schemeClr w14:val="tx1"/>
                        </w14:solidFill>
                      </w14:textFill>
                    </w:rPr>
                    <w:t>废活性炭箱</w:t>
                  </w:r>
                </w:p>
              </w:tc>
              <w:tc>
                <w:tcPr>
                  <w:tcW w:w="3288" w:type="dxa"/>
                  <w:shd w:val="clear" w:color="auto" w:fill="auto"/>
                  <w:vAlign w:val="center"/>
                </w:tcPr>
                <w:p w14:paraId="4E060E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贮存原有一般固废暂存区，</w:t>
                  </w:r>
                </w:p>
                <w:p w14:paraId="4C56EB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定期出售</w:t>
                  </w:r>
                </w:p>
              </w:tc>
            </w:tr>
            <w:tr w14:paraId="1367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05604C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vAlign w:val="center"/>
                </w:tcPr>
                <w:p w14:paraId="294369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搅拌工序</w:t>
                  </w:r>
                </w:p>
              </w:tc>
              <w:tc>
                <w:tcPr>
                  <w:tcW w:w="1118" w:type="dxa"/>
                  <w:shd w:val="clear" w:color="auto" w:fill="auto"/>
                  <w:vAlign w:val="center"/>
                </w:tcPr>
                <w:p w14:paraId="7A76A3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cstheme="minorBidi"/>
                      <w:bCs/>
                      <w:color w:val="000000" w:themeColor="text1"/>
                      <w:kern w:val="2"/>
                      <w:sz w:val="21"/>
                      <w:szCs w:val="21"/>
                      <w:vertAlign w:val="baseline"/>
                      <w:lang w:val="en-US" w:eastAsia="zh-CN" w:bidi="ar-SA"/>
                      <w14:textFill>
                        <w14:solidFill>
                          <w14:schemeClr w14:val="tx1"/>
                        </w14:solidFill>
                      </w14:textFill>
                    </w:rPr>
                    <w:t>S5</w:t>
                  </w:r>
                </w:p>
              </w:tc>
              <w:tc>
                <w:tcPr>
                  <w:tcW w:w="1366" w:type="dxa"/>
                  <w:shd w:val="clear" w:color="auto" w:fill="auto"/>
                  <w:vAlign w:val="center"/>
                </w:tcPr>
                <w:p w14:paraId="22D411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固化剂</w:t>
                  </w:r>
                </w:p>
                <w:p w14:paraId="098DF9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包装桶</w:t>
                  </w:r>
                </w:p>
              </w:tc>
              <w:tc>
                <w:tcPr>
                  <w:tcW w:w="3288" w:type="dxa"/>
                  <w:vAlign w:val="center"/>
                </w:tcPr>
                <w:p w14:paraId="3511FE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收集暂存于原有危险废物暂存间，委托有资质危废单位回收处理</w:t>
                  </w:r>
                </w:p>
              </w:tc>
            </w:tr>
            <w:tr w14:paraId="6A40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14:paraId="11D04F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p>
              </w:tc>
              <w:tc>
                <w:tcPr>
                  <w:tcW w:w="1268" w:type="dxa"/>
                  <w:shd w:val="clear" w:color="auto" w:fill="auto"/>
                  <w:vAlign w:val="center"/>
                </w:tcPr>
                <w:p w14:paraId="1041AA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办公生活</w:t>
                  </w:r>
                </w:p>
              </w:tc>
              <w:tc>
                <w:tcPr>
                  <w:tcW w:w="1118" w:type="dxa"/>
                  <w:shd w:val="clear" w:color="auto" w:fill="auto"/>
                  <w:vAlign w:val="center"/>
                </w:tcPr>
                <w:p w14:paraId="432890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cstheme="minorBidi"/>
                      <w:bCs/>
                      <w:color w:val="000000" w:themeColor="text1"/>
                      <w:kern w:val="2"/>
                      <w:sz w:val="21"/>
                      <w:szCs w:val="21"/>
                      <w:vertAlign w:val="baseline"/>
                      <w:lang w:val="en-US" w:eastAsia="zh-CN" w:bidi="ar-SA"/>
                      <w14:textFill>
                        <w14:solidFill>
                          <w14:schemeClr w14:val="tx1"/>
                        </w14:solidFill>
                      </w14:textFill>
                    </w:rPr>
                    <w:t>S11</w:t>
                  </w:r>
                </w:p>
              </w:tc>
              <w:tc>
                <w:tcPr>
                  <w:tcW w:w="1366" w:type="dxa"/>
                  <w:shd w:val="clear" w:color="auto" w:fill="auto"/>
                  <w:vAlign w:val="center"/>
                </w:tcPr>
                <w:p w14:paraId="74B9B9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生活垃圾</w:t>
                  </w:r>
                </w:p>
              </w:tc>
              <w:tc>
                <w:tcPr>
                  <w:tcW w:w="3288" w:type="dxa"/>
                  <w:vAlign w:val="center"/>
                </w:tcPr>
                <w:p w14:paraId="23B671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Cs/>
                      <w:color w:val="000000" w:themeColor="text1"/>
                      <w:sz w:val="21"/>
                      <w:szCs w:val="21"/>
                      <w:vertAlign w:val="baseline"/>
                      <w:lang w:val="en-US" w:eastAsia="zh-CN"/>
                      <w14:textFill>
                        <w14:solidFill>
                          <w14:schemeClr w14:val="tx1"/>
                        </w14:solidFill>
                      </w14:textFill>
                    </w:rPr>
                  </w:pPr>
                  <w:r>
                    <w:rPr>
                      <w:rFonts w:hint="eastAsia" w:ascii="宋体" w:hAnsi="宋体"/>
                      <w:bCs/>
                      <w:color w:val="000000" w:themeColor="text1"/>
                      <w:sz w:val="21"/>
                      <w:szCs w:val="21"/>
                      <w:vertAlign w:val="baseline"/>
                      <w:lang w:val="en-US" w:eastAsia="zh-CN"/>
                      <w14:textFill>
                        <w14:solidFill>
                          <w14:schemeClr w14:val="tx1"/>
                        </w14:solidFill>
                      </w14:textFill>
                    </w:rPr>
                    <w:t>设置生活垃圾桶收集，定期交由环卫部门清运处理</w:t>
                  </w:r>
                </w:p>
              </w:tc>
            </w:tr>
          </w:tbl>
          <w:p w14:paraId="5A6E9AD6">
            <w:pPr>
              <w:adjustRightInd w:val="0"/>
              <w:snapToGrid w:val="0"/>
              <w:rPr>
                <w:rFonts w:hint="default" w:ascii="宋体" w:hAnsi="宋体"/>
                <w:bCs/>
                <w:color w:val="000000" w:themeColor="text1"/>
                <w:szCs w:val="21"/>
                <w:lang w:val="en-US" w:eastAsia="zh-CN"/>
                <w14:textFill>
                  <w14:solidFill>
                    <w14:schemeClr w14:val="tx1"/>
                  </w14:solidFill>
                </w14:textFill>
              </w:rPr>
            </w:pPr>
          </w:p>
        </w:tc>
      </w:tr>
      <w:tr w14:paraId="61289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14:paraId="68F825D6">
            <w:pPr>
              <w:pStyle w:val="12"/>
              <w:adjustRightInd w:val="0"/>
              <w:snapToGrid w:val="0"/>
              <w:spacing w:before="0" w:beforeAutospacing="0" w:after="0" w:afterAutospacing="0"/>
              <w:jc w:val="center"/>
              <w:rPr>
                <w:rFonts w:cs="宋体"/>
                <w:color w:val="000000" w:themeColor="text1"/>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与项目有关的原有环境污染问题</w:t>
            </w:r>
          </w:p>
        </w:tc>
        <w:tc>
          <w:tcPr>
            <w:tcW w:w="8161" w:type="dxa"/>
            <w:noWrap w:val="0"/>
            <w:vAlign w:val="top"/>
          </w:tcPr>
          <w:p w14:paraId="328AC8C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b/>
                <w:bCs w:val="0"/>
                <w:color w:val="000000" w:themeColor="text1"/>
                <w:sz w:val="24"/>
                <w:szCs w:val="24"/>
                <w:lang w:val="en-US" w:eastAsia="zh-CN"/>
                <w14:textFill>
                  <w14:solidFill>
                    <w14:schemeClr w14:val="tx1"/>
                  </w14:solidFill>
                </w14:textFill>
              </w:rPr>
            </w:pPr>
            <w:r>
              <w:rPr>
                <w:rFonts w:hint="eastAsia" w:ascii="宋体" w:hAnsi="宋体"/>
                <w:b/>
                <w:bCs w:val="0"/>
                <w:color w:val="000000" w:themeColor="text1"/>
                <w:sz w:val="24"/>
                <w:szCs w:val="24"/>
                <w:lang w:val="en-US" w:eastAsia="zh-CN"/>
                <w14:textFill>
                  <w14:solidFill>
                    <w14:schemeClr w14:val="tx1"/>
                  </w14:solidFill>
                </w14:textFill>
              </w:rPr>
              <w:t>1、现有项目工程及环保手续履行情况</w:t>
            </w:r>
          </w:p>
          <w:p w14:paraId="363B26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现有工程履行环境影响评价、竣工环境保护验收、排污许可证手续等情况见下表。</w:t>
            </w:r>
          </w:p>
          <w:p w14:paraId="6BC28D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b/>
                <w:bCs w:val="0"/>
                <w:color w:val="000000" w:themeColor="text1"/>
                <w:sz w:val="21"/>
                <w:szCs w:val="21"/>
                <w:lang w:val="en-US" w:eastAsia="zh-CN"/>
                <w14:textFill>
                  <w14:solidFill>
                    <w14:schemeClr w14:val="tx1"/>
                  </w14:solidFill>
                </w14:textFill>
              </w:rPr>
            </w:pPr>
            <w:r>
              <w:rPr>
                <w:rFonts w:hint="eastAsia" w:ascii="宋体" w:hAnsi="宋体"/>
                <w:b/>
                <w:bCs w:val="0"/>
                <w:color w:val="000000" w:themeColor="text1"/>
                <w:sz w:val="21"/>
                <w:szCs w:val="21"/>
                <w:lang w:val="en-US" w:eastAsia="zh-CN"/>
                <w14:textFill>
                  <w14:solidFill>
                    <w14:schemeClr w14:val="tx1"/>
                  </w14:solidFill>
                </w14:textFill>
              </w:rPr>
              <w:t>表2-7  现有工程环境管理及“三同时”执行情况一览表</w:t>
            </w:r>
          </w:p>
          <w:tbl>
            <w:tblPr>
              <w:tblStyle w:val="15"/>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2010"/>
              <w:gridCol w:w="3810"/>
            </w:tblGrid>
            <w:tr w14:paraId="73D5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vAlign w:val="center"/>
                </w:tcPr>
                <w:p w14:paraId="475B91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r>
                    <w:rPr>
                      <w:rFonts w:hint="eastAsia" w:ascii="宋体" w:hAnsi="宋体"/>
                      <w:b/>
                      <w:bCs w:val="0"/>
                      <w:color w:val="000000" w:themeColor="text1"/>
                      <w:sz w:val="21"/>
                      <w:szCs w:val="21"/>
                      <w:vertAlign w:val="baseline"/>
                      <w:lang w:val="en-US" w:eastAsia="zh-CN"/>
                      <w14:textFill>
                        <w14:solidFill>
                          <w14:schemeClr w14:val="tx1"/>
                        </w14:solidFill>
                      </w14:textFill>
                    </w:rPr>
                    <w:t>项目名称</w:t>
                  </w:r>
                </w:p>
              </w:tc>
              <w:tc>
                <w:tcPr>
                  <w:tcW w:w="2010" w:type="dxa"/>
                  <w:vAlign w:val="center"/>
                </w:tcPr>
                <w:p w14:paraId="6183E1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r>
                    <w:rPr>
                      <w:rFonts w:hint="eastAsia" w:ascii="宋体" w:hAnsi="宋体"/>
                      <w:b/>
                      <w:bCs w:val="0"/>
                      <w:color w:val="000000" w:themeColor="text1"/>
                      <w:sz w:val="21"/>
                      <w:szCs w:val="21"/>
                      <w:vertAlign w:val="baseline"/>
                      <w:lang w:val="en-US" w:eastAsia="zh-CN"/>
                      <w14:textFill>
                        <w14:solidFill>
                          <w14:schemeClr w14:val="tx1"/>
                        </w14:solidFill>
                      </w14:textFill>
                    </w:rPr>
                    <w:t>环保手续</w:t>
                  </w:r>
                </w:p>
              </w:tc>
              <w:tc>
                <w:tcPr>
                  <w:tcW w:w="3810" w:type="dxa"/>
                  <w:vAlign w:val="center"/>
                </w:tcPr>
                <w:p w14:paraId="43D6F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r>
                    <w:rPr>
                      <w:rFonts w:hint="eastAsia" w:ascii="宋体" w:hAnsi="宋体"/>
                      <w:b/>
                      <w:bCs w:val="0"/>
                      <w:color w:val="000000" w:themeColor="text1"/>
                      <w:sz w:val="21"/>
                      <w:szCs w:val="21"/>
                      <w:vertAlign w:val="baseline"/>
                      <w:lang w:val="en-US" w:eastAsia="zh-CN"/>
                      <w14:textFill>
                        <w14:solidFill>
                          <w14:schemeClr w14:val="tx1"/>
                        </w14:solidFill>
                      </w14:textFill>
                    </w:rPr>
                    <w:t>履行情况</w:t>
                  </w:r>
                </w:p>
              </w:tc>
            </w:tr>
            <w:tr w14:paraId="3016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vMerge w:val="restart"/>
                  <w:vAlign w:val="center"/>
                </w:tcPr>
                <w:p w14:paraId="44A450D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陕西柯尔斯复合材料科技有限公司复合材料生产加工项目</w:t>
                  </w:r>
                </w:p>
              </w:tc>
              <w:tc>
                <w:tcPr>
                  <w:tcW w:w="2010" w:type="dxa"/>
                  <w:vAlign w:val="center"/>
                </w:tcPr>
                <w:p w14:paraId="6C12DC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环境影响</w:t>
                  </w:r>
                </w:p>
                <w:p w14:paraId="521B6D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评价报告表</w:t>
                  </w:r>
                </w:p>
              </w:tc>
              <w:tc>
                <w:tcPr>
                  <w:tcW w:w="3810" w:type="dxa"/>
                  <w:vAlign w:val="center"/>
                </w:tcPr>
                <w:p w14:paraId="547C9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2019年9月18日取得环评批复，</w:t>
                  </w:r>
                </w:p>
                <w:p w14:paraId="3E8F09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文号：宝环陈函[2019]176号</w:t>
                  </w:r>
                </w:p>
              </w:tc>
            </w:tr>
            <w:tr w14:paraId="5318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vMerge w:val="continue"/>
                  <w:vAlign w:val="center"/>
                </w:tcPr>
                <w:p w14:paraId="39E4B7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c>
                <w:tcPr>
                  <w:tcW w:w="2010" w:type="dxa"/>
                  <w:vAlign w:val="center"/>
                </w:tcPr>
                <w:p w14:paraId="4DC190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竣工环境保护验收</w:t>
                  </w:r>
                </w:p>
              </w:tc>
              <w:tc>
                <w:tcPr>
                  <w:tcW w:w="3810" w:type="dxa"/>
                  <w:vAlign w:val="center"/>
                </w:tcPr>
                <w:p w14:paraId="27E914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2021年2月通过自主验收</w:t>
                  </w:r>
                </w:p>
              </w:tc>
            </w:tr>
            <w:tr w14:paraId="1535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vMerge w:val="continue"/>
                  <w:vAlign w:val="center"/>
                </w:tcPr>
                <w:p w14:paraId="19BC17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c>
                <w:tcPr>
                  <w:tcW w:w="2010" w:type="dxa"/>
                  <w:vAlign w:val="center"/>
                </w:tcPr>
                <w:p w14:paraId="3247C6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排污许可证</w:t>
                  </w:r>
                </w:p>
              </w:tc>
              <w:tc>
                <w:tcPr>
                  <w:tcW w:w="3810" w:type="dxa"/>
                  <w:vAlign w:val="center"/>
                </w:tcPr>
                <w:p w14:paraId="7456B8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本项目为登记管理，2020年8月20日完成登记，登记编号：91610304MA6XFJYH74001W</w:t>
                  </w:r>
                </w:p>
              </w:tc>
            </w:tr>
          </w:tbl>
          <w:p w14:paraId="7BD9D38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宋体" w:hAnsi="宋体"/>
                <w:b/>
                <w:bCs w:val="0"/>
                <w:color w:val="000000" w:themeColor="text1"/>
                <w:sz w:val="24"/>
                <w:szCs w:val="24"/>
                <w:lang w:val="en-US" w:eastAsia="zh-CN"/>
                <w14:textFill>
                  <w14:solidFill>
                    <w14:schemeClr w14:val="tx1"/>
                  </w14:solidFill>
                </w14:textFill>
              </w:rPr>
            </w:pPr>
            <w:r>
              <w:rPr>
                <w:rFonts w:hint="eastAsia" w:ascii="宋体" w:hAnsi="宋体"/>
                <w:b/>
                <w:bCs w:val="0"/>
                <w:color w:val="000000" w:themeColor="text1"/>
                <w:sz w:val="24"/>
                <w:szCs w:val="24"/>
                <w:lang w:val="en-US" w:eastAsia="zh-CN"/>
                <w14:textFill>
                  <w14:solidFill>
                    <w14:schemeClr w14:val="tx1"/>
                  </w14:solidFill>
                </w14:textFill>
              </w:rPr>
              <w:t>2、与本项目有关的现有项目情况</w:t>
            </w:r>
          </w:p>
          <w:p w14:paraId="2B152B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与项目有关的现有项目情况分析依据现场勘探、已批复的相关环评及验收报告及建设单位现有生产情况、例行监测数据等，确定现有项目污染物产生及排放情况。</w:t>
            </w:r>
          </w:p>
          <w:p w14:paraId="376793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（1）主要产污环节及现有处理措施</w:t>
            </w:r>
          </w:p>
          <w:p w14:paraId="4F2CB0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①废气</w:t>
            </w:r>
          </w:p>
          <w:p w14:paraId="06D8FF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现有项目废气污染物核算采用实测数据，企业现状废气均为无组织排放，搅拌、缠绕、固化工序产生的非甲烷总烃无组织排放，切割工序产生的颗粒物经移动式烟尘净化器处理后无组织排放，根据陕西森美佳境环境检测有限公司2025年第一季度监测报告，报告编号：森美佳境监（综）字</w:t>
            </w:r>
            <w:r>
              <w:rPr>
                <w:rFonts w:hint="eastAsia" w:ascii="宋体" w:hAnsi="宋体" w:eastAsia="宋体" w:cs="宋体"/>
                <w:b w:val="0"/>
                <w:bCs/>
                <w:color w:val="000000" w:themeColor="text1"/>
                <w:sz w:val="24"/>
                <w:szCs w:val="24"/>
                <w:lang w:val="en-US" w:eastAsia="zh-CN"/>
                <w14:textFill>
                  <w14:solidFill>
                    <w14:schemeClr w14:val="tx1"/>
                  </w14:solidFill>
                </w14:textFill>
              </w:rPr>
              <w:t>〔2025〕第02021号，监测时间2025年2月18日，项目废气监测结果见表2-8。</w:t>
            </w:r>
          </w:p>
          <w:p w14:paraId="134ADB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表2-8  现有项目无组织废气排放结果</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992"/>
              <w:gridCol w:w="1394"/>
              <w:gridCol w:w="1350"/>
              <w:gridCol w:w="1224"/>
              <w:gridCol w:w="992"/>
              <w:gridCol w:w="992"/>
            </w:tblGrid>
            <w:tr w14:paraId="7622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Merge w:val="restart"/>
                  <w:shd w:val="clear" w:color="auto" w:fill="auto"/>
                  <w:vAlign w:val="center"/>
                </w:tcPr>
                <w:p w14:paraId="7DAFF5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排放</w:t>
                  </w:r>
                </w:p>
                <w:p w14:paraId="43122A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Theme="minorEastAsia" w:cstheme="minorBidi"/>
                      <w:b w:val="0"/>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方式</w:t>
                  </w:r>
                </w:p>
              </w:tc>
              <w:tc>
                <w:tcPr>
                  <w:tcW w:w="992" w:type="dxa"/>
                  <w:vMerge w:val="restart"/>
                  <w:shd w:val="clear" w:color="auto" w:fill="auto"/>
                  <w:vAlign w:val="center"/>
                </w:tcPr>
                <w:p w14:paraId="13626D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Theme="minorEastAsia" w:cstheme="minorBidi"/>
                      <w:b w:val="0"/>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污染物种类</w:t>
                  </w:r>
                </w:p>
              </w:tc>
              <w:tc>
                <w:tcPr>
                  <w:tcW w:w="3968" w:type="dxa"/>
                  <w:gridSpan w:val="3"/>
                  <w:vAlign w:val="center"/>
                </w:tcPr>
                <w:p w14:paraId="72652C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排放浓度（mg/m³）</w:t>
                  </w:r>
                </w:p>
              </w:tc>
              <w:tc>
                <w:tcPr>
                  <w:tcW w:w="992" w:type="dxa"/>
                  <w:vMerge w:val="restart"/>
                  <w:vAlign w:val="center"/>
                </w:tcPr>
                <w:p w14:paraId="68E56A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是否</w:t>
                  </w:r>
                </w:p>
                <w:p w14:paraId="427C2D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达标</w:t>
                  </w:r>
                </w:p>
              </w:tc>
              <w:tc>
                <w:tcPr>
                  <w:tcW w:w="992" w:type="dxa"/>
                  <w:vMerge w:val="restart"/>
                  <w:vAlign w:val="center"/>
                </w:tcPr>
                <w:p w14:paraId="4C6BAF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核算</w:t>
                  </w:r>
                </w:p>
                <w:p w14:paraId="52081D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方法</w:t>
                  </w:r>
                </w:p>
              </w:tc>
            </w:tr>
            <w:tr w14:paraId="6F48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Merge w:val="continue"/>
                  <w:vAlign w:val="center"/>
                </w:tcPr>
                <w:p w14:paraId="38705C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c>
                <w:tcPr>
                  <w:tcW w:w="992" w:type="dxa"/>
                  <w:vMerge w:val="continue"/>
                  <w:vAlign w:val="center"/>
                </w:tcPr>
                <w:p w14:paraId="149579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c>
                <w:tcPr>
                  <w:tcW w:w="1394" w:type="dxa"/>
                  <w:vAlign w:val="center"/>
                </w:tcPr>
                <w:p w14:paraId="73DAE0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下风向1#</w:t>
                  </w:r>
                </w:p>
              </w:tc>
              <w:tc>
                <w:tcPr>
                  <w:tcW w:w="1350" w:type="dxa"/>
                  <w:vAlign w:val="center"/>
                </w:tcPr>
                <w:p w14:paraId="787ADA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下风向2#</w:t>
                  </w:r>
                </w:p>
              </w:tc>
              <w:tc>
                <w:tcPr>
                  <w:tcW w:w="1224" w:type="dxa"/>
                  <w:vAlign w:val="center"/>
                </w:tcPr>
                <w:p w14:paraId="326ECD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下风向3#</w:t>
                  </w:r>
                </w:p>
              </w:tc>
              <w:tc>
                <w:tcPr>
                  <w:tcW w:w="992" w:type="dxa"/>
                  <w:vMerge w:val="continue"/>
                  <w:vAlign w:val="center"/>
                </w:tcPr>
                <w:p w14:paraId="2B6938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c>
                <w:tcPr>
                  <w:tcW w:w="992" w:type="dxa"/>
                  <w:vMerge w:val="continue"/>
                  <w:vAlign w:val="center"/>
                </w:tcPr>
                <w:p w14:paraId="795067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r>
            <w:tr w14:paraId="39D0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Merge w:val="restart"/>
                  <w:shd w:val="clear" w:color="auto" w:fill="auto"/>
                  <w:vAlign w:val="center"/>
                </w:tcPr>
                <w:p w14:paraId="2E7C19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 w:val="0"/>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无组织</w:t>
                  </w:r>
                </w:p>
              </w:tc>
              <w:tc>
                <w:tcPr>
                  <w:tcW w:w="992" w:type="dxa"/>
                  <w:shd w:val="clear" w:color="auto" w:fill="auto"/>
                  <w:vAlign w:val="center"/>
                </w:tcPr>
                <w:p w14:paraId="1CB339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Theme="minorEastAsia" w:cstheme="minorBidi"/>
                      <w:b w:val="0"/>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总悬浮颗粒物</w:t>
                  </w:r>
                </w:p>
              </w:tc>
              <w:tc>
                <w:tcPr>
                  <w:tcW w:w="1394" w:type="dxa"/>
                  <w:vAlign w:val="center"/>
                </w:tcPr>
                <w:p w14:paraId="1F12B0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0.343</w:t>
                  </w:r>
                </w:p>
              </w:tc>
              <w:tc>
                <w:tcPr>
                  <w:tcW w:w="1350" w:type="dxa"/>
                  <w:vAlign w:val="center"/>
                </w:tcPr>
                <w:p w14:paraId="54B5CA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0.336</w:t>
                  </w:r>
                </w:p>
              </w:tc>
              <w:tc>
                <w:tcPr>
                  <w:tcW w:w="1224" w:type="dxa"/>
                  <w:vAlign w:val="center"/>
                </w:tcPr>
                <w:p w14:paraId="7DB09D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0.334</w:t>
                  </w:r>
                </w:p>
              </w:tc>
              <w:tc>
                <w:tcPr>
                  <w:tcW w:w="992" w:type="dxa"/>
                  <w:vAlign w:val="center"/>
                </w:tcPr>
                <w:p w14:paraId="6E4B7C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达标</w:t>
                  </w:r>
                </w:p>
              </w:tc>
              <w:tc>
                <w:tcPr>
                  <w:tcW w:w="992" w:type="dxa"/>
                  <w:vMerge w:val="restart"/>
                  <w:vAlign w:val="center"/>
                </w:tcPr>
                <w:p w14:paraId="1FCA71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实测值</w:t>
                  </w:r>
                </w:p>
              </w:tc>
            </w:tr>
            <w:tr w14:paraId="017D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Merge w:val="continue"/>
                  <w:vAlign w:val="center"/>
                </w:tcPr>
                <w:p w14:paraId="1DA01A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c>
                <w:tcPr>
                  <w:tcW w:w="992" w:type="dxa"/>
                  <w:vAlign w:val="center"/>
                </w:tcPr>
                <w:p w14:paraId="11A477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非甲烷总烃</w:t>
                  </w:r>
                </w:p>
              </w:tc>
              <w:tc>
                <w:tcPr>
                  <w:tcW w:w="1394" w:type="dxa"/>
                  <w:vAlign w:val="center"/>
                </w:tcPr>
                <w:p w14:paraId="0222ED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1.9</w:t>
                  </w:r>
                </w:p>
              </w:tc>
              <w:tc>
                <w:tcPr>
                  <w:tcW w:w="1350" w:type="dxa"/>
                  <w:vAlign w:val="center"/>
                </w:tcPr>
                <w:p w14:paraId="0513DD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1.80</w:t>
                  </w:r>
                </w:p>
              </w:tc>
              <w:tc>
                <w:tcPr>
                  <w:tcW w:w="1224" w:type="dxa"/>
                  <w:vAlign w:val="center"/>
                </w:tcPr>
                <w:p w14:paraId="7335AF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1.71</w:t>
                  </w:r>
                </w:p>
              </w:tc>
              <w:tc>
                <w:tcPr>
                  <w:tcW w:w="992" w:type="dxa"/>
                  <w:vAlign w:val="center"/>
                </w:tcPr>
                <w:p w14:paraId="3F2A20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达标</w:t>
                  </w:r>
                </w:p>
              </w:tc>
              <w:tc>
                <w:tcPr>
                  <w:tcW w:w="992" w:type="dxa"/>
                  <w:vMerge w:val="continue"/>
                  <w:vAlign w:val="center"/>
                </w:tcPr>
                <w:p w14:paraId="162786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r>
            <w:tr w14:paraId="1AE4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Merge w:val="continue"/>
                  <w:vAlign w:val="center"/>
                </w:tcPr>
                <w:p w14:paraId="528B2E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c>
                <w:tcPr>
                  <w:tcW w:w="992" w:type="dxa"/>
                  <w:vAlign w:val="center"/>
                </w:tcPr>
                <w:p w14:paraId="0A10A1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非甲烷总烃（厂内）</w:t>
                  </w:r>
                </w:p>
              </w:tc>
              <w:tc>
                <w:tcPr>
                  <w:tcW w:w="3968" w:type="dxa"/>
                  <w:gridSpan w:val="3"/>
                  <w:vAlign w:val="center"/>
                </w:tcPr>
                <w:p w14:paraId="2EBB3D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厂区内4#：2.61</w:t>
                  </w:r>
                </w:p>
              </w:tc>
              <w:tc>
                <w:tcPr>
                  <w:tcW w:w="992" w:type="dxa"/>
                  <w:vAlign w:val="center"/>
                </w:tcPr>
                <w:p w14:paraId="3FCCB4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达标</w:t>
                  </w:r>
                </w:p>
              </w:tc>
              <w:tc>
                <w:tcPr>
                  <w:tcW w:w="992" w:type="dxa"/>
                  <w:vMerge w:val="continue"/>
                  <w:vAlign w:val="center"/>
                </w:tcPr>
                <w:p w14:paraId="2907B0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r>
          </w:tbl>
          <w:p w14:paraId="367645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由监测结果可知，现有项目厂界无组织废气总悬浮颗粒物的监测结果符合《大气污染物综合排放标准》（GB16297-1996）表2中周界外内浓度最高点标准限值要求；厂界无组织废气非甲烷总烃的监测结果平均值符合《挥发性有机物排放控制标准》（DB/T1061-2017）表3中标准限值要求；厂区内非甲烷总烃监测结果符合《挥发性有机物无组织排放控制标准》（GB37822-2019）表A.1中特别排放限值标准要求。</w:t>
            </w:r>
          </w:p>
          <w:p w14:paraId="486437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②废水</w:t>
            </w:r>
          </w:p>
          <w:p w14:paraId="4D2ED4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现有项目无生产废水，</w:t>
            </w:r>
            <w:r>
              <w:rPr>
                <w:rFonts w:hint="eastAsia" w:ascii="宋体" w:hAnsi="宋体" w:cs="宋体"/>
                <w:bCs/>
                <w:color w:val="000000" w:themeColor="text1"/>
                <w:sz w:val="24"/>
                <w:szCs w:val="24"/>
                <w:lang w:val="en-US" w:eastAsia="zh-CN"/>
                <w14:textFill>
                  <w14:solidFill>
                    <w14:schemeClr w14:val="tx1"/>
                  </w14:solidFill>
                </w14:textFill>
              </w:rPr>
              <w:t>员工生活污水依托园区公用卫生间。</w:t>
            </w:r>
          </w:p>
          <w:p w14:paraId="7279F4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③噪声</w:t>
            </w:r>
          </w:p>
          <w:p w14:paraId="2F0167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现有项目主要噪声源为缠绕机、压缩机、试压泵等设施，各设备置于厂房内，采取厂房隔声措施，压缩机、试压泵采取传动润滑等措施进行降噪。根据陕西森美佳境环境检测有限公司2025年第一季度监测报告，报告编号：森美佳境监（综）字</w:t>
            </w:r>
            <w:r>
              <w:rPr>
                <w:rFonts w:hint="eastAsia" w:ascii="宋体" w:hAnsi="宋体" w:eastAsia="宋体" w:cs="宋体"/>
                <w:b w:val="0"/>
                <w:bCs/>
                <w:color w:val="000000" w:themeColor="text1"/>
                <w:sz w:val="24"/>
                <w:szCs w:val="24"/>
                <w:lang w:val="en-US" w:eastAsia="zh-CN"/>
                <w14:textFill>
                  <w14:solidFill>
                    <w14:schemeClr w14:val="tx1"/>
                  </w14:solidFill>
                </w14:textFill>
              </w:rPr>
              <w:t>〔2025〕第02021号，监测时间2025年2月18日，项目噪声监测结果见表2-9。</w:t>
            </w:r>
          </w:p>
          <w:p w14:paraId="6DF6EB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b/>
                <w:bCs w:val="0"/>
                <w:color w:val="000000" w:themeColor="text1"/>
                <w:sz w:val="21"/>
                <w:szCs w:val="21"/>
                <w:lang w:val="en-US" w:eastAsia="zh-CN"/>
                <w14:textFill>
                  <w14:solidFill>
                    <w14:schemeClr w14:val="tx1"/>
                  </w14:solidFill>
                </w14:textFill>
              </w:rPr>
            </w:pPr>
            <w:r>
              <w:rPr>
                <w:rFonts w:hint="eastAsia" w:ascii="宋体" w:hAnsi="宋体"/>
                <w:b/>
                <w:bCs w:val="0"/>
                <w:color w:val="000000" w:themeColor="text1"/>
                <w:sz w:val="21"/>
                <w:szCs w:val="21"/>
                <w:lang w:val="en-US" w:eastAsia="zh-CN"/>
                <w14:textFill>
                  <w14:solidFill>
                    <w14:schemeClr w14:val="tx1"/>
                  </w14:solidFill>
                </w14:textFill>
              </w:rPr>
              <w:t>表2-9  原有项目噪声监测结果表</w:t>
            </w:r>
          </w:p>
          <w:tbl>
            <w:tblPr>
              <w:tblStyle w:val="15"/>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485"/>
              <w:gridCol w:w="2685"/>
              <w:gridCol w:w="2558"/>
            </w:tblGrid>
            <w:tr w14:paraId="6A69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vAlign w:val="center"/>
                </w:tcPr>
                <w:p w14:paraId="00646B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r>
                    <w:rPr>
                      <w:rFonts w:hint="eastAsia" w:ascii="宋体" w:hAnsi="宋体"/>
                      <w:b/>
                      <w:bCs w:val="0"/>
                      <w:color w:val="000000" w:themeColor="text1"/>
                      <w:sz w:val="21"/>
                      <w:szCs w:val="21"/>
                      <w:vertAlign w:val="baseline"/>
                      <w:lang w:val="en-US" w:eastAsia="zh-CN"/>
                      <w14:textFill>
                        <w14:solidFill>
                          <w14:schemeClr w14:val="tx1"/>
                        </w14:solidFill>
                      </w14:textFill>
                    </w:rPr>
                    <w:t>编号</w:t>
                  </w:r>
                </w:p>
              </w:tc>
              <w:tc>
                <w:tcPr>
                  <w:tcW w:w="1485" w:type="dxa"/>
                  <w:vMerge w:val="restart"/>
                  <w:vAlign w:val="center"/>
                </w:tcPr>
                <w:p w14:paraId="7CB593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r>
                    <w:rPr>
                      <w:rFonts w:hint="eastAsia" w:ascii="宋体" w:hAnsi="宋体"/>
                      <w:b/>
                      <w:bCs w:val="0"/>
                      <w:color w:val="000000" w:themeColor="text1"/>
                      <w:sz w:val="21"/>
                      <w:szCs w:val="21"/>
                      <w:vertAlign w:val="baseline"/>
                      <w:lang w:val="en-US" w:eastAsia="zh-CN"/>
                      <w14:textFill>
                        <w14:solidFill>
                          <w14:schemeClr w14:val="tx1"/>
                        </w14:solidFill>
                      </w14:textFill>
                    </w:rPr>
                    <w:t>监测点位</w:t>
                  </w:r>
                </w:p>
              </w:tc>
              <w:tc>
                <w:tcPr>
                  <w:tcW w:w="2685" w:type="dxa"/>
                  <w:vAlign w:val="center"/>
                </w:tcPr>
                <w:p w14:paraId="42636C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r>
                    <w:rPr>
                      <w:rFonts w:hint="eastAsia" w:ascii="宋体" w:hAnsi="宋体"/>
                      <w:b/>
                      <w:bCs w:val="0"/>
                      <w:color w:val="000000" w:themeColor="text1"/>
                      <w:sz w:val="21"/>
                      <w:szCs w:val="21"/>
                      <w:vertAlign w:val="baseline"/>
                      <w:lang w:val="en-US" w:eastAsia="zh-CN"/>
                      <w14:textFill>
                        <w14:solidFill>
                          <w14:schemeClr w14:val="tx1"/>
                        </w14:solidFill>
                      </w14:textFill>
                    </w:rPr>
                    <w:t>2025年2月18日</w:t>
                  </w:r>
                </w:p>
              </w:tc>
              <w:tc>
                <w:tcPr>
                  <w:tcW w:w="2558" w:type="dxa"/>
                  <w:vAlign w:val="center"/>
                </w:tcPr>
                <w:p w14:paraId="4F406B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r>
                    <w:rPr>
                      <w:rFonts w:hint="eastAsia" w:ascii="宋体" w:hAnsi="宋体"/>
                      <w:b/>
                      <w:bCs w:val="0"/>
                      <w:color w:val="000000" w:themeColor="text1"/>
                      <w:sz w:val="21"/>
                      <w:szCs w:val="21"/>
                      <w:vertAlign w:val="baseline"/>
                      <w:lang w:val="en-US" w:eastAsia="zh-CN"/>
                      <w14:textFill>
                        <w14:solidFill>
                          <w14:schemeClr w14:val="tx1"/>
                        </w14:solidFill>
                      </w14:textFill>
                    </w:rPr>
                    <w:t>标准限值</w:t>
                  </w:r>
                </w:p>
              </w:tc>
            </w:tr>
            <w:tr w14:paraId="7EB8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vAlign w:val="center"/>
                </w:tcPr>
                <w:p w14:paraId="347CF7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p>
              </w:tc>
              <w:tc>
                <w:tcPr>
                  <w:tcW w:w="1485" w:type="dxa"/>
                  <w:vMerge w:val="continue"/>
                  <w:vAlign w:val="center"/>
                </w:tcPr>
                <w:p w14:paraId="1F775C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p>
              </w:tc>
              <w:tc>
                <w:tcPr>
                  <w:tcW w:w="2685" w:type="dxa"/>
                  <w:vAlign w:val="center"/>
                </w:tcPr>
                <w:p w14:paraId="0C96B7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r>
                    <w:rPr>
                      <w:rFonts w:hint="eastAsia" w:ascii="宋体" w:hAnsi="宋体"/>
                      <w:b/>
                      <w:bCs w:val="0"/>
                      <w:color w:val="000000" w:themeColor="text1"/>
                      <w:sz w:val="21"/>
                      <w:szCs w:val="21"/>
                      <w:vertAlign w:val="baseline"/>
                      <w:lang w:val="en-US" w:eastAsia="zh-CN"/>
                      <w14:textFill>
                        <w14:solidFill>
                          <w14:schemeClr w14:val="tx1"/>
                        </w14:solidFill>
                      </w14:textFill>
                    </w:rPr>
                    <w:t>昼间</w:t>
                  </w:r>
                </w:p>
              </w:tc>
              <w:tc>
                <w:tcPr>
                  <w:tcW w:w="2558" w:type="dxa"/>
                  <w:vAlign w:val="center"/>
                </w:tcPr>
                <w:p w14:paraId="47E4D0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r>
                    <w:rPr>
                      <w:rFonts w:hint="eastAsia" w:ascii="宋体" w:hAnsi="宋体"/>
                      <w:b/>
                      <w:bCs w:val="0"/>
                      <w:color w:val="000000" w:themeColor="text1"/>
                      <w:sz w:val="21"/>
                      <w:szCs w:val="21"/>
                      <w:vertAlign w:val="baseline"/>
                      <w:lang w:val="en-US" w:eastAsia="zh-CN"/>
                      <w14:textFill>
                        <w14:solidFill>
                          <w14:schemeClr w14:val="tx1"/>
                        </w14:solidFill>
                      </w14:textFill>
                    </w:rPr>
                    <w:t>昼间</w:t>
                  </w:r>
                </w:p>
              </w:tc>
            </w:tr>
            <w:tr w14:paraId="1095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696593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1</w:t>
                  </w:r>
                </w:p>
              </w:tc>
              <w:tc>
                <w:tcPr>
                  <w:tcW w:w="1485" w:type="dxa"/>
                  <w:vAlign w:val="center"/>
                </w:tcPr>
                <w:p w14:paraId="0CB489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厂界东</w:t>
                  </w:r>
                </w:p>
              </w:tc>
              <w:tc>
                <w:tcPr>
                  <w:tcW w:w="2685" w:type="dxa"/>
                  <w:vAlign w:val="center"/>
                </w:tcPr>
                <w:p w14:paraId="510A5B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54</w:t>
                  </w:r>
                </w:p>
              </w:tc>
              <w:tc>
                <w:tcPr>
                  <w:tcW w:w="2558" w:type="dxa"/>
                  <w:vAlign w:val="center"/>
                </w:tcPr>
                <w:p w14:paraId="1453F5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60</w:t>
                  </w:r>
                </w:p>
              </w:tc>
            </w:tr>
            <w:tr w14:paraId="1D0B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25DD34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2</w:t>
                  </w:r>
                </w:p>
              </w:tc>
              <w:tc>
                <w:tcPr>
                  <w:tcW w:w="1485" w:type="dxa"/>
                  <w:vAlign w:val="center"/>
                </w:tcPr>
                <w:p w14:paraId="55D4DD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厂界南</w:t>
                  </w:r>
                </w:p>
              </w:tc>
              <w:tc>
                <w:tcPr>
                  <w:tcW w:w="2685" w:type="dxa"/>
                  <w:vAlign w:val="center"/>
                </w:tcPr>
                <w:p w14:paraId="68C8FB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54</w:t>
                  </w:r>
                </w:p>
              </w:tc>
              <w:tc>
                <w:tcPr>
                  <w:tcW w:w="2558" w:type="dxa"/>
                  <w:vAlign w:val="center"/>
                </w:tcPr>
                <w:p w14:paraId="02A595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60</w:t>
                  </w:r>
                </w:p>
              </w:tc>
            </w:tr>
            <w:tr w14:paraId="761E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0619B1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3</w:t>
                  </w:r>
                </w:p>
              </w:tc>
              <w:tc>
                <w:tcPr>
                  <w:tcW w:w="1485" w:type="dxa"/>
                  <w:vAlign w:val="center"/>
                </w:tcPr>
                <w:p w14:paraId="77C629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厂界西</w:t>
                  </w:r>
                </w:p>
              </w:tc>
              <w:tc>
                <w:tcPr>
                  <w:tcW w:w="2685" w:type="dxa"/>
                  <w:vAlign w:val="center"/>
                </w:tcPr>
                <w:p w14:paraId="68A031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52</w:t>
                  </w:r>
                </w:p>
              </w:tc>
              <w:tc>
                <w:tcPr>
                  <w:tcW w:w="2558" w:type="dxa"/>
                  <w:vAlign w:val="center"/>
                </w:tcPr>
                <w:p w14:paraId="1725F2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60</w:t>
                  </w:r>
                </w:p>
              </w:tc>
            </w:tr>
            <w:tr w14:paraId="29ED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13BE09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4</w:t>
                  </w:r>
                </w:p>
              </w:tc>
              <w:tc>
                <w:tcPr>
                  <w:tcW w:w="1485" w:type="dxa"/>
                  <w:vAlign w:val="center"/>
                </w:tcPr>
                <w:p w14:paraId="0FC1FC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厂界北</w:t>
                  </w:r>
                </w:p>
              </w:tc>
              <w:tc>
                <w:tcPr>
                  <w:tcW w:w="2685" w:type="dxa"/>
                  <w:vAlign w:val="center"/>
                </w:tcPr>
                <w:p w14:paraId="5814B4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53</w:t>
                  </w:r>
                </w:p>
              </w:tc>
              <w:tc>
                <w:tcPr>
                  <w:tcW w:w="2558" w:type="dxa"/>
                  <w:vAlign w:val="center"/>
                </w:tcPr>
                <w:p w14:paraId="147A8E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60</w:t>
                  </w:r>
                </w:p>
              </w:tc>
            </w:tr>
          </w:tbl>
          <w:p w14:paraId="1F2987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由监测结果可知，厂界四周噪声监测结果均符合《工业企业厂界环境噪声排放标准》（GB12348-2008）表1中2类标准限值要求。</w:t>
            </w:r>
          </w:p>
          <w:p w14:paraId="513C16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④固废</w:t>
            </w:r>
          </w:p>
          <w:p w14:paraId="63AEBA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现有项目固废产生情况见表2-10。</w:t>
            </w:r>
          </w:p>
          <w:p w14:paraId="110D62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b/>
                <w:bCs w:val="0"/>
                <w:color w:val="000000" w:themeColor="text1"/>
                <w:sz w:val="21"/>
                <w:szCs w:val="21"/>
                <w:lang w:val="en-US" w:eastAsia="zh-CN"/>
                <w14:textFill>
                  <w14:solidFill>
                    <w14:schemeClr w14:val="tx1"/>
                  </w14:solidFill>
                </w14:textFill>
              </w:rPr>
            </w:pPr>
            <w:r>
              <w:rPr>
                <w:rFonts w:hint="eastAsia" w:ascii="宋体" w:hAnsi="宋体"/>
                <w:b/>
                <w:bCs w:val="0"/>
                <w:color w:val="000000" w:themeColor="text1"/>
                <w:sz w:val="21"/>
                <w:szCs w:val="21"/>
                <w:lang w:val="en-US" w:eastAsia="zh-CN"/>
                <w14:textFill>
                  <w14:solidFill>
                    <w14:schemeClr w14:val="tx1"/>
                  </w14:solidFill>
                </w14:textFill>
              </w:rPr>
              <w:t>表2-10  原有项目固体废物利用处置表</w:t>
            </w:r>
          </w:p>
          <w:tbl>
            <w:tblPr>
              <w:tblStyle w:val="14"/>
              <w:tblpPr w:leftFromText="180" w:rightFromText="180" w:vertAnchor="text" w:horzAnchor="margin" w:tblpY="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598"/>
              <w:gridCol w:w="690"/>
              <w:gridCol w:w="1216"/>
              <w:gridCol w:w="752"/>
              <w:gridCol w:w="882"/>
              <w:gridCol w:w="844"/>
              <w:gridCol w:w="1252"/>
              <w:gridCol w:w="1271"/>
            </w:tblGrid>
            <w:tr w14:paraId="2075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6F6C14EF">
                  <w:pPr>
                    <w:adjustRightInd/>
                    <w:snapToGrid/>
                    <w:spacing w:after="0"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序号</w:t>
                  </w:r>
                </w:p>
              </w:tc>
              <w:tc>
                <w:tcPr>
                  <w:tcW w:w="377" w:type="pct"/>
                  <w:vAlign w:val="center"/>
                </w:tcPr>
                <w:p w14:paraId="00BE3DDB">
                  <w:pPr>
                    <w:adjustRightInd/>
                    <w:snapToGrid/>
                    <w:spacing w:after="0"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名称</w:t>
                  </w:r>
                </w:p>
              </w:tc>
              <w:tc>
                <w:tcPr>
                  <w:tcW w:w="435" w:type="pct"/>
                  <w:vAlign w:val="center"/>
                </w:tcPr>
                <w:p w14:paraId="5E3DE50C">
                  <w:pPr>
                    <w:adjustRightInd/>
                    <w:snapToGrid/>
                    <w:spacing w:after="0" w:line="240" w:lineRule="auto"/>
                    <w:jc w:val="center"/>
                    <w:rPr>
                      <w:rFonts w:ascii="Times New Roman" w:hAnsi="Times New Roman"/>
                      <w:b/>
                      <w:bCs/>
                      <w:color w:val="000000" w:themeColor="text1"/>
                      <w:sz w:val="21"/>
                      <w:szCs w:val="21"/>
                      <w14:textFill>
                        <w14:solidFill>
                          <w14:schemeClr w14:val="tx1"/>
                        </w14:solidFill>
                      </w14:textFill>
                    </w:rPr>
                  </w:pPr>
                  <w:r>
                    <w:rPr>
                      <w:rFonts w:hint="eastAsia" w:ascii="Times New Roman"/>
                      <w:b/>
                      <w:bCs/>
                      <w:color w:val="000000" w:themeColor="text1"/>
                      <w:sz w:val="21"/>
                      <w:szCs w:val="21"/>
                      <w14:textFill>
                        <w14:solidFill>
                          <w14:schemeClr w14:val="tx1"/>
                        </w14:solidFill>
                      </w14:textFill>
                    </w:rPr>
                    <w:t>属性</w:t>
                  </w:r>
                </w:p>
              </w:tc>
              <w:tc>
                <w:tcPr>
                  <w:tcW w:w="766" w:type="pct"/>
                  <w:vAlign w:val="center"/>
                </w:tcPr>
                <w:p w14:paraId="4E9537F8">
                  <w:pPr>
                    <w:adjustRightInd/>
                    <w:snapToGrid/>
                    <w:spacing w:after="0" w:line="240" w:lineRule="auto"/>
                    <w:jc w:val="center"/>
                    <w:rPr>
                      <w:rFonts w:ascii="Times New Roman" w:hAnsi="Times New Roman"/>
                      <w:b/>
                      <w:bCs/>
                      <w:color w:val="000000" w:themeColor="text1"/>
                      <w:sz w:val="21"/>
                      <w:szCs w:val="21"/>
                      <w14:textFill>
                        <w14:solidFill>
                          <w14:schemeClr w14:val="tx1"/>
                        </w14:solidFill>
                      </w14:textFill>
                    </w:rPr>
                  </w:pPr>
                  <w:r>
                    <w:rPr>
                      <w:rFonts w:hint="eastAsia" w:ascii="Times New Roman"/>
                      <w:b/>
                      <w:bCs/>
                      <w:color w:val="000000" w:themeColor="text1"/>
                      <w:sz w:val="21"/>
                      <w:szCs w:val="21"/>
                      <w14:textFill>
                        <w14:solidFill>
                          <w14:schemeClr w14:val="tx1"/>
                        </w14:solidFill>
                      </w14:textFill>
                    </w:rPr>
                    <w:t>危废</w:t>
                  </w:r>
                  <w:r>
                    <w:rPr>
                      <w:rFonts w:ascii="Times New Roman"/>
                      <w:b/>
                      <w:bCs/>
                      <w:color w:val="000000" w:themeColor="text1"/>
                      <w:sz w:val="21"/>
                      <w:szCs w:val="21"/>
                      <w14:textFill>
                        <w14:solidFill>
                          <w14:schemeClr w14:val="tx1"/>
                        </w14:solidFill>
                      </w14:textFill>
                    </w:rPr>
                    <w:t>代码</w:t>
                  </w:r>
                </w:p>
              </w:tc>
              <w:tc>
                <w:tcPr>
                  <w:tcW w:w="474" w:type="pct"/>
                  <w:vAlign w:val="center"/>
                </w:tcPr>
                <w:p w14:paraId="2DDD0509">
                  <w:pPr>
                    <w:adjustRightInd/>
                    <w:snapToGrid/>
                    <w:spacing w:after="0" w:line="240" w:lineRule="auto"/>
                    <w:jc w:val="center"/>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产生</w:t>
                  </w:r>
                </w:p>
                <w:p w14:paraId="3849365B">
                  <w:pPr>
                    <w:adjustRightInd/>
                    <w:snapToGrid/>
                    <w:spacing w:after="0" w:line="240" w:lineRule="auto"/>
                    <w:jc w:val="center"/>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工序</w:t>
                  </w:r>
                </w:p>
              </w:tc>
              <w:tc>
                <w:tcPr>
                  <w:tcW w:w="556" w:type="pct"/>
                  <w:vAlign w:val="center"/>
                </w:tcPr>
                <w:p w14:paraId="25E7FBD9">
                  <w:pPr>
                    <w:adjustRightInd/>
                    <w:snapToGrid/>
                    <w:spacing w:after="0"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产生量</w:t>
                  </w:r>
                  <w:r>
                    <w:rPr>
                      <w:rFonts w:hint="eastAsia" w:ascii="Times New Roman" w:hAnsi="Times New Roman"/>
                      <w:b/>
                      <w:bCs/>
                      <w:color w:val="000000" w:themeColor="text1"/>
                      <w:sz w:val="21"/>
                      <w:szCs w:val="21"/>
                      <w14:textFill>
                        <w14:solidFill>
                          <w14:schemeClr w14:val="tx1"/>
                        </w14:solidFill>
                      </w14:textFill>
                    </w:rPr>
                    <w:t>kg/a</w:t>
                  </w:r>
                </w:p>
              </w:tc>
              <w:tc>
                <w:tcPr>
                  <w:tcW w:w="532" w:type="pct"/>
                  <w:vAlign w:val="center"/>
                </w:tcPr>
                <w:p w14:paraId="1C2C560E">
                  <w:pPr>
                    <w:adjustRightInd/>
                    <w:snapToGrid/>
                    <w:spacing w:after="0"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处置</w:t>
                  </w:r>
                  <w:r>
                    <w:rPr>
                      <w:rFonts w:hint="eastAsia" w:ascii="Times New Roman" w:hAnsi="Times New Roman"/>
                      <w:b/>
                      <w:bCs/>
                      <w:color w:val="000000" w:themeColor="text1"/>
                      <w:sz w:val="21"/>
                      <w:szCs w:val="21"/>
                      <w14:textFill>
                        <w14:solidFill>
                          <w14:schemeClr w14:val="tx1"/>
                        </w14:solidFill>
                      </w14:textFill>
                    </w:rPr>
                    <w:t>/利用率</w:t>
                  </w:r>
                </w:p>
              </w:tc>
              <w:tc>
                <w:tcPr>
                  <w:tcW w:w="789" w:type="pct"/>
                  <w:vAlign w:val="center"/>
                </w:tcPr>
                <w:p w14:paraId="31C188A6">
                  <w:pPr>
                    <w:adjustRightInd/>
                    <w:snapToGrid/>
                    <w:spacing w:after="0"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暂存方式</w:t>
                  </w:r>
                </w:p>
              </w:tc>
              <w:tc>
                <w:tcPr>
                  <w:tcW w:w="800" w:type="pct"/>
                  <w:vAlign w:val="center"/>
                </w:tcPr>
                <w:p w14:paraId="42E05E25">
                  <w:pPr>
                    <w:adjustRightInd/>
                    <w:snapToGrid/>
                    <w:spacing w:after="0"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处置措施</w:t>
                  </w:r>
                </w:p>
              </w:tc>
            </w:tr>
            <w:tr w14:paraId="114C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18DD8C50">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377" w:type="pct"/>
                  <w:vAlign w:val="center"/>
                </w:tcPr>
                <w:p w14:paraId="0B9E19C2">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废桶</w:t>
                  </w:r>
                </w:p>
              </w:tc>
              <w:tc>
                <w:tcPr>
                  <w:tcW w:w="435" w:type="pct"/>
                  <w:vMerge w:val="restart"/>
                  <w:vAlign w:val="center"/>
                </w:tcPr>
                <w:p w14:paraId="1D21F715">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危险</w:t>
                  </w:r>
                </w:p>
                <w:p w14:paraId="0D51EDA1">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废物</w:t>
                  </w:r>
                </w:p>
              </w:tc>
              <w:tc>
                <w:tcPr>
                  <w:tcW w:w="766" w:type="pct"/>
                  <w:vAlign w:val="center"/>
                </w:tcPr>
                <w:p w14:paraId="403FF0FA">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900-041-49</w:t>
                  </w:r>
                </w:p>
              </w:tc>
              <w:tc>
                <w:tcPr>
                  <w:tcW w:w="474" w:type="pct"/>
                  <w:vAlign w:val="center"/>
                </w:tcPr>
                <w:p w14:paraId="04A6A98E">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固化剂及树脂使用</w:t>
                  </w:r>
                </w:p>
              </w:tc>
              <w:tc>
                <w:tcPr>
                  <w:tcW w:w="556" w:type="pct"/>
                  <w:vAlign w:val="center"/>
                </w:tcPr>
                <w:p w14:paraId="1C1DFB7C">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20.8</w:t>
                  </w:r>
                </w:p>
              </w:tc>
              <w:tc>
                <w:tcPr>
                  <w:tcW w:w="532" w:type="pct"/>
                  <w:vAlign w:val="center"/>
                </w:tcPr>
                <w:p w14:paraId="6D173AC6">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100%</w:t>
                  </w:r>
                </w:p>
              </w:tc>
              <w:tc>
                <w:tcPr>
                  <w:tcW w:w="789" w:type="pct"/>
                  <w:vAlign w:val="center"/>
                </w:tcPr>
                <w:p w14:paraId="52F3F103">
                  <w:pPr>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危废间</w:t>
                  </w:r>
                </w:p>
              </w:tc>
              <w:tc>
                <w:tcPr>
                  <w:tcW w:w="800" w:type="pct"/>
                  <w:vAlign w:val="center"/>
                </w:tcPr>
                <w:p w14:paraId="637A9383">
                  <w:pPr>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水泥窑</w:t>
                  </w:r>
                </w:p>
                <w:p w14:paraId="320E6EC4">
                  <w:pPr>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协同处置</w:t>
                  </w:r>
                </w:p>
              </w:tc>
            </w:tr>
            <w:tr w14:paraId="0BEC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21601000">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w:t>
                  </w:r>
                </w:p>
              </w:tc>
              <w:tc>
                <w:tcPr>
                  <w:tcW w:w="377" w:type="pct"/>
                  <w:vAlign w:val="center"/>
                </w:tcPr>
                <w:p w14:paraId="5E188DEA">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废机油</w:t>
                  </w:r>
                </w:p>
              </w:tc>
              <w:tc>
                <w:tcPr>
                  <w:tcW w:w="435" w:type="pct"/>
                  <w:vMerge w:val="continue"/>
                  <w:vAlign w:val="center"/>
                </w:tcPr>
                <w:p w14:paraId="20EE4474">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p>
              </w:tc>
              <w:tc>
                <w:tcPr>
                  <w:tcW w:w="766" w:type="pct"/>
                  <w:vAlign w:val="center"/>
                </w:tcPr>
                <w:p w14:paraId="2283FFCC">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900-</w:t>
                  </w:r>
                  <w:r>
                    <w:rPr>
                      <w:rFonts w:hint="eastAsia" w:ascii="Times New Roman" w:hAnsi="Times New Roman"/>
                      <w:color w:val="000000" w:themeColor="text1"/>
                      <w:sz w:val="21"/>
                      <w:szCs w:val="21"/>
                      <w14:textFill>
                        <w14:solidFill>
                          <w14:schemeClr w14:val="tx1"/>
                        </w14:solidFill>
                      </w14:textFill>
                    </w:rPr>
                    <w:t>249</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08</w:t>
                  </w:r>
                </w:p>
              </w:tc>
              <w:tc>
                <w:tcPr>
                  <w:tcW w:w="474" w:type="pct"/>
                  <w:vAlign w:val="center"/>
                </w:tcPr>
                <w:p w14:paraId="1C8967E9">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设备维护</w:t>
                  </w:r>
                </w:p>
              </w:tc>
              <w:tc>
                <w:tcPr>
                  <w:tcW w:w="556" w:type="pct"/>
                  <w:vAlign w:val="center"/>
                </w:tcPr>
                <w:p w14:paraId="0FA54639">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暂未</w:t>
                  </w:r>
                </w:p>
                <w:p w14:paraId="25FE78A7">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产生</w:t>
                  </w:r>
                </w:p>
              </w:tc>
              <w:tc>
                <w:tcPr>
                  <w:tcW w:w="532" w:type="pct"/>
                  <w:vAlign w:val="center"/>
                </w:tcPr>
                <w:p w14:paraId="662DFBCF">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100%</w:t>
                  </w:r>
                </w:p>
              </w:tc>
              <w:tc>
                <w:tcPr>
                  <w:tcW w:w="789" w:type="pct"/>
                  <w:vAlign w:val="center"/>
                </w:tcPr>
                <w:p w14:paraId="48EAB9A7">
                  <w:pPr>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危废间</w:t>
                  </w:r>
                </w:p>
              </w:tc>
              <w:tc>
                <w:tcPr>
                  <w:tcW w:w="800" w:type="pct"/>
                  <w:vAlign w:val="center"/>
                </w:tcPr>
                <w:p w14:paraId="20D721E6">
                  <w:pPr>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水泥窑</w:t>
                  </w:r>
                </w:p>
                <w:p w14:paraId="63A4715C">
                  <w:pPr>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协同处置</w:t>
                  </w:r>
                </w:p>
              </w:tc>
            </w:tr>
            <w:tr w14:paraId="0638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7FE7BD4C">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w:t>
                  </w:r>
                </w:p>
              </w:tc>
              <w:tc>
                <w:tcPr>
                  <w:tcW w:w="377" w:type="pct"/>
                  <w:vAlign w:val="center"/>
                </w:tcPr>
                <w:p w14:paraId="5F035FB0">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废树脂类</w:t>
                  </w:r>
                </w:p>
              </w:tc>
              <w:tc>
                <w:tcPr>
                  <w:tcW w:w="435" w:type="pct"/>
                  <w:vMerge w:val="continue"/>
                  <w:vAlign w:val="center"/>
                </w:tcPr>
                <w:p w14:paraId="24C0F3EB">
                  <w:pPr>
                    <w:spacing w:line="240" w:lineRule="auto"/>
                    <w:jc w:val="center"/>
                    <w:rPr>
                      <w:rFonts w:ascii="Times New Roman" w:hAnsi="Times New Roman"/>
                      <w:color w:val="000000" w:themeColor="text1"/>
                      <w:sz w:val="21"/>
                      <w:szCs w:val="21"/>
                      <w14:textFill>
                        <w14:solidFill>
                          <w14:schemeClr w14:val="tx1"/>
                        </w14:solidFill>
                      </w14:textFill>
                    </w:rPr>
                  </w:pPr>
                </w:p>
              </w:tc>
              <w:tc>
                <w:tcPr>
                  <w:tcW w:w="766" w:type="pct"/>
                  <w:vAlign w:val="center"/>
                </w:tcPr>
                <w:p w14:paraId="336B4C5A">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900-016-13</w:t>
                  </w:r>
                </w:p>
              </w:tc>
              <w:tc>
                <w:tcPr>
                  <w:tcW w:w="474" w:type="pct"/>
                  <w:vAlign w:val="center"/>
                </w:tcPr>
                <w:p w14:paraId="6947C0FF">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生产过程</w:t>
                  </w:r>
                </w:p>
              </w:tc>
              <w:tc>
                <w:tcPr>
                  <w:tcW w:w="556" w:type="pct"/>
                  <w:vAlign w:val="center"/>
                </w:tcPr>
                <w:p w14:paraId="73DD3A24">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47.7</w:t>
                  </w:r>
                </w:p>
              </w:tc>
              <w:tc>
                <w:tcPr>
                  <w:tcW w:w="532" w:type="pct"/>
                  <w:vAlign w:val="center"/>
                </w:tcPr>
                <w:p w14:paraId="140178CB">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100%</w:t>
                  </w:r>
                </w:p>
              </w:tc>
              <w:tc>
                <w:tcPr>
                  <w:tcW w:w="789" w:type="pct"/>
                  <w:vAlign w:val="center"/>
                </w:tcPr>
                <w:p w14:paraId="36B7DB80">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危废间</w:t>
                  </w:r>
                </w:p>
              </w:tc>
              <w:tc>
                <w:tcPr>
                  <w:tcW w:w="800" w:type="pct"/>
                  <w:vAlign w:val="center"/>
                </w:tcPr>
                <w:p w14:paraId="12E2EC4D">
                  <w:pPr>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水泥窑</w:t>
                  </w:r>
                </w:p>
                <w:p w14:paraId="2664EF86">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协同处置</w:t>
                  </w:r>
                </w:p>
              </w:tc>
            </w:tr>
            <w:tr w14:paraId="6907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1B14E013">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w:t>
                  </w:r>
                </w:p>
              </w:tc>
              <w:tc>
                <w:tcPr>
                  <w:tcW w:w="377" w:type="pct"/>
                  <w:vAlign w:val="center"/>
                </w:tcPr>
                <w:p w14:paraId="4BF8DF49">
                  <w:pPr>
                    <w:pStyle w:val="5"/>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废包装物</w:t>
                  </w:r>
                </w:p>
              </w:tc>
              <w:tc>
                <w:tcPr>
                  <w:tcW w:w="435" w:type="pct"/>
                  <w:vMerge w:val="restart"/>
                  <w:vAlign w:val="center"/>
                </w:tcPr>
                <w:p w14:paraId="01F34B91">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p>
                <w:p w14:paraId="25899AC0">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一般</w:t>
                  </w:r>
                </w:p>
                <w:p w14:paraId="21CE2D88">
                  <w:pPr>
                    <w:spacing w:line="240" w:lineRule="auto"/>
                    <w:jc w:val="center"/>
                    <w:rPr>
                      <w:rFonts w:asci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工业固废</w:t>
                  </w:r>
                </w:p>
              </w:tc>
              <w:tc>
                <w:tcPr>
                  <w:tcW w:w="766" w:type="pct"/>
                  <w:vAlign w:val="center"/>
                </w:tcPr>
                <w:p w14:paraId="30632B31">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p>
              </w:tc>
              <w:tc>
                <w:tcPr>
                  <w:tcW w:w="474" w:type="pct"/>
                  <w:vAlign w:val="center"/>
                </w:tcPr>
                <w:p w14:paraId="74495401">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原料使用</w:t>
                  </w:r>
                </w:p>
              </w:tc>
              <w:tc>
                <w:tcPr>
                  <w:tcW w:w="556" w:type="pct"/>
                  <w:vAlign w:val="center"/>
                </w:tcPr>
                <w:p w14:paraId="3528B2D1">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w:t>
                  </w:r>
                </w:p>
              </w:tc>
              <w:tc>
                <w:tcPr>
                  <w:tcW w:w="532" w:type="pct"/>
                  <w:vAlign w:val="center"/>
                </w:tcPr>
                <w:p w14:paraId="2D6C71E3">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100%</w:t>
                  </w:r>
                </w:p>
              </w:tc>
              <w:tc>
                <w:tcPr>
                  <w:tcW w:w="789" w:type="pct"/>
                  <w:vMerge w:val="restart"/>
                  <w:vAlign w:val="center"/>
                </w:tcPr>
                <w:p w14:paraId="17C8262C">
                  <w:pPr>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暂存于</w:t>
                  </w:r>
                  <w:r>
                    <w:rPr>
                      <w:rFonts w:hint="eastAsia" w:ascii="Times New Roman" w:hAnsi="Times New Roman"/>
                      <w:color w:val="000000" w:themeColor="text1"/>
                      <w:sz w:val="21"/>
                      <w:szCs w:val="21"/>
                      <w14:textFill>
                        <w14:solidFill>
                          <w14:schemeClr w14:val="tx1"/>
                        </w14:solidFill>
                      </w14:textFill>
                    </w:rPr>
                    <w:t>一般</w:t>
                  </w:r>
                  <w:r>
                    <w:rPr>
                      <w:rFonts w:ascii="Times New Roman" w:hAnsi="Times New Roman"/>
                      <w:color w:val="000000" w:themeColor="text1"/>
                      <w:sz w:val="21"/>
                      <w:szCs w:val="21"/>
                      <w14:textFill>
                        <w14:solidFill>
                          <w14:schemeClr w14:val="tx1"/>
                        </w14:solidFill>
                      </w14:textFill>
                    </w:rPr>
                    <w:t>工业固废暂存间</w:t>
                  </w:r>
                </w:p>
              </w:tc>
              <w:tc>
                <w:tcPr>
                  <w:tcW w:w="800" w:type="pct"/>
                  <w:vAlign w:val="center"/>
                </w:tcPr>
                <w:p w14:paraId="3E01126E">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厂家回收</w:t>
                  </w:r>
                </w:p>
              </w:tc>
            </w:tr>
            <w:tr w14:paraId="5BA5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1669A715">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w:t>
                  </w:r>
                </w:p>
              </w:tc>
              <w:tc>
                <w:tcPr>
                  <w:tcW w:w="377" w:type="pct"/>
                  <w:vAlign w:val="center"/>
                </w:tcPr>
                <w:p w14:paraId="300FFBBF">
                  <w:pPr>
                    <w:pStyle w:val="5"/>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宋体"/>
                      <w:color w:val="000000" w:themeColor="text1"/>
                      <w:sz w:val="21"/>
                      <w:szCs w:val="21"/>
                      <w14:textFill>
                        <w14:solidFill>
                          <w14:schemeClr w14:val="tx1"/>
                        </w14:solidFill>
                      </w14:textFill>
                    </w:rPr>
                    <w:t>切割边角料</w:t>
                  </w:r>
                </w:p>
              </w:tc>
              <w:tc>
                <w:tcPr>
                  <w:tcW w:w="435" w:type="pct"/>
                  <w:vMerge w:val="continue"/>
                  <w:vAlign w:val="center"/>
                </w:tcPr>
                <w:p w14:paraId="3844B8A5">
                  <w:pPr>
                    <w:spacing w:line="240" w:lineRule="auto"/>
                    <w:jc w:val="center"/>
                    <w:rPr>
                      <w:rFonts w:ascii="Times New Roman"/>
                      <w:color w:val="000000" w:themeColor="text1"/>
                      <w:sz w:val="21"/>
                      <w:szCs w:val="21"/>
                      <w14:textFill>
                        <w14:solidFill>
                          <w14:schemeClr w14:val="tx1"/>
                        </w14:solidFill>
                      </w14:textFill>
                    </w:rPr>
                  </w:pPr>
                </w:p>
              </w:tc>
              <w:tc>
                <w:tcPr>
                  <w:tcW w:w="766" w:type="pct"/>
                  <w:vAlign w:val="center"/>
                </w:tcPr>
                <w:p w14:paraId="20C15011">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p>
              </w:tc>
              <w:tc>
                <w:tcPr>
                  <w:tcW w:w="474" w:type="pct"/>
                  <w:vAlign w:val="center"/>
                </w:tcPr>
                <w:p w14:paraId="6A5D4251">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切割</w:t>
                  </w:r>
                </w:p>
              </w:tc>
              <w:tc>
                <w:tcPr>
                  <w:tcW w:w="556" w:type="pct"/>
                  <w:vAlign w:val="center"/>
                </w:tcPr>
                <w:p w14:paraId="45F79D06">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27</w:t>
                  </w:r>
                </w:p>
              </w:tc>
              <w:tc>
                <w:tcPr>
                  <w:tcW w:w="532" w:type="pct"/>
                  <w:vAlign w:val="center"/>
                </w:tcPr>
                <w:p w14:paraId="1C07C39E">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100%</w:t>
                  </w:r>
                </w:p>
              </w:tc>
              <w:tc>
                <w:tcPr>
                  <w:tcW w:w="789" w:type="pct"/>
                  <w:vMerge w:val="continue"/>
                  <w:vAlign w:val="center"/>
                </w:tcPr>
                <w:p w14:paraId="6D6546BE">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p>
              </w:tc>
              <w:tc>
                <w:tcPr>
                  <w:tcW w:w="800" w:type="pct"/>
                  <w:vAlign w:val="center"/>
                </w:tcPr>
                <w:p w14:paraId="4177159D">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回收利用</w:t>
                  </w:r>
                </w:p>
              </w:tc>
            </w:tr>
            <w:tr w14:paraId="3014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3383251E">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w:t>
                  </w:r>
                </w:p>
              </w:tc>
              <w:tc>
                <w:tcPr>
                  <w:tcW w:w="377" w:type="pct"/>
                  <w:vAlign w:val="center"/>
                </w:tcPr>
                <w:p w14:paraId="4F012888">
                  <w:pPr>
                    <w:pStyle w:val="5"/>
                    <w:adjustRightInd/>
                    <w:snapToGrid/>
                    <w:spacing w:after="0" w:line="240" w:lineRule="auto"/>
                    <w:jc w:val="center"/>
                    <w:rPr>
                      <w:rFonts w:ascii="Times New Roman" w:hAnsi="宋体"/>
                      <w:color w:val="000000" w:themeColor="text1"/>
                      <w:sz w:val="21"/>
                      <w:szCs w:val="21"/>
                      <w14:textFill>
                        <w14:solidFill>
                          <w14:schemeClr w14:val="tx1"/>
                        </w14:solidFill>
                      </w14:textFill>
                    </w:rPr>
                  </w:pPr>
                  <w:r>
                    <w:rPr>
                      <w:rFonts w:ascii="Times New Roman" w:hAnsi="宋体"/>
                      <w:color w:val="000000" w:themeColor="text1"/>
                      <w:sz w:val="21"/>
                      <w:szCs w:val="21"/>
                      <w14:textFill>
                        <w14:solidFill>
                          <w14:schemeClr w14:val="tx1"/>
                        </w14:solidFill>
                      </w14:textFill>
                    </w:rPr>
                    <w:t>生活垃圾</w:t>
                  </w:r>
                </w:p>
              </w:tc>
              <w:tc>
                <w:tcPr>
                  <w:tcW w:w="435" w:type="pct"/>
                  <w:vAlign w:val="center"/>
                </w:tcPr>
                <w:p w14:paraId="72DABD93">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生活</w:t>
                  </w:r>
                </w:p>
                <w:p w14:paraId="29F68293">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垃圾</w:t>
                  </w:r>
                </w:p>
              </w:tc>
              <w:tc>
                <w:tcPr>
                  <w:tcW w:w="766" w:type="pct"/>
                  <w:vAlign w:val="center"/>
                </w:tcPr>
                <w:p w14:paraId="472D81E2">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p>
              </w:tc>
              <w:tc>
                <w:tcPr>
                  <w:tcW w:w="474" w:type="pct"/>
                  <w:vAlign w:val="center"/>
                </w:tcPr>
                <w:p w14:paraId="3C7BCE46">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办公</w:t>
                  </w:r>
                </w:p>
              </w:tc>
              <w:tc>
                <w:tcPr>
                  <w:tcW w:w="556" w:type="pct"/>
                  <w:vAlign w:val="center"/>
                </w:tcPr>
                <w:p w14:paraId="0C650596">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1500</w:t>
                  </w:r>
                </w:p>
              </w:tc>
              <w:tc>
                <w:tcPr>
                  <w:tcW w:w="532" w:type="pct"/>
                  <w:vAlign w:val="center"/>
                </w:tcPr>
                <w:p w14:paraId="0DE54A5D">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100%</w:t>
                  </w:r>
                </w:p>
              </w:tc>
              <w:tc>
                <w:tcPr>
                  <w:tcW w:w="789" w:type="pct"/>
                  <w:vAlign w:val="center"/>
                </w:tcPr>
                <w:p w14:paraId="1DD70FD0">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垃圾桶收集</w:t>
                  </w:r>
                </w:p>
              </w:tc>
              <w:tc>
                <w:tcPr>
                  <w:tcW w:w="800" w:type="pct"/>
                  <w:vAlign w:val="center"/>
                </w:tcPr>
                <w:p w14:paraId="07644596">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交由当地环卫部门处理处置</w:t>
                  </w:r>
                </w:p>
              </w:tc>
            </w:tr>
          </w:tbl>
          <w:p w14:paraId="0CB883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（2）原有项目污染物排放一览表及污染防治措施</w:t>
            </w:r>
          </w:p>
          <w:p w14:paraId="608900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根据原有项目验收监测报告和现场实际情况，原有项目主要污染源及其污染防治措施见下表。</w:t>
            </w:r>
          </w:p>
          <w:p w14:paraId="208EB3F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b/>
                <w:bCs w:val="0"/>
                <w:color w:val="000000" w:themeColor="text1"/>
                <w:sz w:val="21"/>
                <w:szCs w:val="21"/>
                <w:lang w:val="en-US" w:eastAsia="zh-CN"/>
                <w14:textFill>
                  <w14:solidFill>
                    <w14:schemeClr w14:val="tx1"/>
                  </w14:solidFill>
                </w14:textFill>
              </w:rPr>
            </w:pPr>
            <w:r>
              <w:rPr>
                <w:rFonts w:hint="eastAsia" w:ascii="宋体" w:hAnsi="宋体"/>
                <w:b/>
                <w:bCs w:val="0"/>
                <w:color w:val="000000" w:themeColor="text1"/>
                <w:sz w:val="21"/>
                <w:szCs w:val="21"/>
                <w:lang w:val="en-US" w:eastAsia="zh-CN"/>
                <w14:textFill>
                  <w14:solidFill>
                    <w14:schemeClr w14:val="tx1"/>
                  </w14:solidFill>
                </w14:textFill>
              </w:rPr>
              <w:t>表2-11  现有污染物排放一览表</w:t>
            </w:r>
          </w:p>
          <w:tbl>
            <w:tblPr>
              <w:tblStyle w:val="15"/>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290"/>
              <w:gridCol w:w="1365"/>
              <w:gridCol w:w="1395"/>
              <w:gridCol w:w="2633"/>
            </w:tblGrid>
            <w:tr w14:paraId="0F5A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dxa"/>
                  <w:vAlign w:val="center"/>
                </w:tcPr>
                <w:p w14:paraId="0F2F4C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r>
                    <w:rPr>
                      <w:rFonts w:hint="eastAsia" w:ascii="宋体" w:hAnsi="宋体"/>
                      <w:b/>
                      <w:bCs w:val="0"/>
                      <w:color w:val="000000" w:themeColor="text1"/>
                      <w:sz w:val="21"/>
                      <w:szCs w:val="21"/>
                      <w:vertAlign w:val="baseline"/>
                      <w:lang w:val="en-US" w:eastAsia="zh-CN"/>
                      <w14:textFill>
                        <w14:solidFill>
                          <w14:schemeClr w14:val="tx1"/>
                        </w14:solidFill>
                      </w14:textFill>
                    </w:rPr>
                    <w:t>污染源</w:t>
                  </w:r>
                </w:p>
              </w:tc>
              <w:tc>
                <w:tcPr>
                  <w:tcW w:w="1290" w:type="dxa"/>
                  <w:vAlign w:val="center"/>
                </w:tcPr>
                <w:p w14:paraId="086A80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r>
                    <w:rPr>
                      <w:rFonts w:hint="eastAsia" w:ascii="宋体" w:hAnsi="宋体"/>
                      <w:b/>
                      <w:bCs w:val="0"/>
                      <w:color w:val="000000" w:themeColor="text1"/>
                      <w:sz w:val="21"/>
                      <w:szCs w:val="21"/>
                      <w:vertAlign w:val="baseline"/>
                      <w:lang w:val="en-US" w:eastAsia="zh-CN"/>
                      <w14:textFill>
                        <w14:solidFill>
                          <w14:schemeClr w14:val="tx1"/>
                        </w14:solidFill>
                      </w14:textFill>
                    </w:rPr>
                    <w:t>产污工序</w:t>
                  </w:r>
                </w:p>
              </w:tc>
              <w:tc>
                <w:tcPr>
                  <w:tcW w:w="1365" w:type="dxa"/>
                  <w:vAlign w:val="center"/>
                </w:tcPr>
                <w:p w14:paraId="7DA5BA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r>
                    <w:rPr>
                      <w:rFonts w:hint="eastAsia" w:ascii="宋体" w:hAnsi="宋体"/>
                      <w:b/>
                      <w:bCs w:val="0"/>
                      <w:color w:val="000000" w:themeColor="text1"/>
                      <w:sz w:val="21"/>
                      <w:szCs w:val="21"/>
                      <w:vertAlign w:val="baseline"/>
                      <w:lang w:val="en-US" w:eastAsia="zh-CN"/>
                      <w14:textFill>
                        <w14:solidFill>
                          <w14:schemeClr w14:val="tx1"/>
                        </w14:solidFill>
                      </w14:textFill>
                    </w:rPr>
                    <w:t>污染物</w:t>
                  </w:r>
                </w:p>
              </w:tc>
              <w:tc>
                <w:tcPr>
                  <w:tcW w:w="1395" w:type="dxa"/>
                  <w:vAlign w:val="center"/>
                </w:tcPr>
                <w:p w14:paraId="5B1D18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b/>
                      <w:bCs w:val="0"/>
                      <w:color w:val="000000" w:themeColor="text1"/>
                      <w:sz w:val="21"/>
                      <w:szCs w:val="21"/>
                      <w:vertAlign w:val="baseline"/>
                      <w:lang w:val="en-US" w:eastAsia="zh-CN"/>
                      <w14:textFill>
                        <w14:solidFill>
                          <w14:schemeClr w14:val="tx1"/>
                        </w14:solidFill>
                      </w14:textFill>
                    </w:rPr>
                  </w:pPr>
                  <w:r>
                    <w:rPr>
                      <w:rFonts w:hint="eastAsia" w:ascii="宋体" w:hAnsi="宋体"/>
                      <w:b/>
                      <w:bCs w:val="0"/>
                      <w:color w:val="000000" w:themeColor="text1"/>
                      <w:sz w:val="21"/>
                      <w:szCs w:val="21"/>
                      <w:vertAlign w:val="baseline"/>
                      <w:lang w:val="en-US" w:eastAsia="zh-CN"/>
                      <w14:textFill>
                        <w14:solidFill>
                          <w14:schemeClr w14:val="tx1"/>
                        </w14:solidFill>
                      </w14:textFill>
                    </w:rPr>
                    <w:t>排放量</w:t>
                  </w:r>
                </w:p>
                <w:p w14:paraId="17EFED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kg/a</w:t>
                  </w:r>
                </w:p>
              </w:tc>
              <w:tc>
                <w:tcPr>
                  <w:tcW w:w="2633" w:type="dxa"/>
                  <w:vAlign w:val="center"/>
                </w:tcPr>
                <w:p w14:paraId="7038CB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bCs w:val="0"/>
                      <w:color w:val="000000" w:themeColor="text1"/>
                      <w:sz w:val="21"/>
                      <w:szCs w:val="21"/>
                      <w:vertAlign w:val="baseline"/>
                      <w:lang w:val="en-US" w:eastAsia="zh-CN"/>
                      <w14:textFill>
                        <w14:solidFill>
                          <w14:schemeClr w14:val="tx1"/>
                        </w14:solidFill>
                      </w14:textFill>
                    </w:rPr>
                  </w:pPr>
                  <w:r>
                    <w:rPr>
                      <w:rFonts w:hint="eastAsia" w:ascii="宋体" w:hAnsi="宋体"/>
                      <w:b/>
                      <w:bCs w:val="0"/>
                      <w:color w:val="000000" w:themeColor="text1"/>
                      <w:sz w:val="21"/>
                      <w:szCs w:val="21"/>
                      <w:vertAlign w:val="baseline"/>
                      <w:lang w:val="en-US" w:eastAsia="zh-CN"/>
                      <w14:textFill>
                        <w14:solidFill>
                          <w14:schemeClr w14:val="tx1"/>
                        </w14:solidFill>
                      </w14:textFill>
                    </w:rPr>
                    <w:t>防治措施</w:t>
                  </w:r>
                </w:p>
              </w:tc>
            </w:tr>
            <w:tr w14:paraId="70B3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dxa"/>
                  <w:vMerge w:val="restart"/>
                  <w:vAlign w:val="center"/>
                </w:tcPr>
                <w:p w14:paraId="28EBC6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废气</w:t>
                  </w:r>
                </w:p>
              </w:tc>
              <w:tc>
                <w:tcPr>
                  <w:tcW w:w="1290" w:type="dxa"/>
                  <w:vAlign w:val="center"/>
                </w:tcPr>
                <w:p w14:paraId="21A979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车床</w:t>
                  </w:r>
                </w:p>
              </w:tc>
              <w:tc>
                <w:tcPr>
                  <w:tcW w:w="1365" w:type="dxa"/>
                  <w:shd w:val="clear" w:color="auto" w:fill="auto"/>
                  <w:vAlign w:val="center"/>
                </w:tcPr>
                <w:p w14:paraId="1C3A501A">
                  <w:pPr>
                    <w:snapToGrid/>
                    <w:spacing w:after="0" w:line="240" w:lineRule="atLeast"/>
                    <w:contextualSpacing/>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颗粒物</w:t>
                  </w:r>
                </w:p>
              </w:tc>
              <w:tc>
                <w:tcPr>
                  <w:tcW w:w="1395" w:type="dxa"/>
                  <w:vAlign w:val="center"/>
                </w:tcPr>
                <w:p w14:paraId="6B4A6B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无组织＜1.0mg/m³</w:t>
                  </w:r>
                </w:p>
              </w:tc>
              <w:tc>
                <w:tcPr>
                  <w:tcW w:w="2633" w:type="dxa"/>
                  <w:vAlign w:val="center"/>
                </w:tcPr>
                <w:p w14:paraId="707C11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b w:val="0"/>
                      <w:color w:val="000000" w:themeColor="text1"/>
                      <w:sz w:val="21"/>
                      <w:szCs w:val="21"/>
                      <w14:textFill>
                        <w14:solidFill>
                          <w14:schemeClr w14:val="tx1"/>
                        </w14:solidFill>
                      </w14:textFill>
                    </w:rPr>
                    <w:t>设置</w:t>
                  </w:r>
                  <w:r>
                    <w:rPr>
                      <w:rFonts w:hint="eastAsia"/>
                      <w:b w:val="0"/>
                      <w:color w:val="000000" w:themeColor="text1"/>
                      <w:sz w:val="21"/>
                      <w:szCs w:val="21"/>
                      <w14:textFill>
                        <w14:solidFill>
                          <w14:schemeClr w14:val="tx1"/>
                        </w14:solidFill>
                      </w14:textFill>
                    </w:rPr>
                    <w:t>1套移动式</w:t>
                  </w:r>
                  <w:r>
                    <w:rPr>
                      <w:b w:val="0"/>
                      <w:color w:val="000000" w:themeColor="text1"/>
                      <w:sz w:val="21"/>
                      <w:szCs w:val="21"/>
                      <w14:textFill>
                        <w14:solidFill>
                          <w14:schemeClr w14:val="tx1"/>
                        </w14:solidFill>
                      </w14:textFill>
                    </w:rPr>
                    <w:t>烟尘净化器</w:t>
                  </w:r>
                  <w:r>
                    <w:rPr>
                      <w:rFonts w:hint="eastAsia"/>
                      <w:b w:val="0"/>
                      <w:color w:val="000000" w:themeColor="text1"/>
                      <w:sz w:val="21"/>
                      <w:szCs w:val="21"/>
                      <w14:textFill>
                        <w14:solidFill>
                          <w14:schemeClr w14:val="tx1"/>
                        </w14:solidFill>
                      </w14:textFill>
                    </w:rPr>
                    <w:t>，</w:t>
                  </w:r>
                  <w:r>
                    <w:rPr>
                      <w:b w:val="0"/>
                      <w:color w:val="000000" w:themeColor="text1"/>
                      <w:sz w:val="21"/>
                      <w:szCs w:val="21"/>
                      <w14:textFill>
                        <w14:solidFill>
                          <w14:schemeClr w14:val="tx1"/>
                        </w14:solidFill>
                      </w14:textFill>
                    </w:rPr>
                    <w:t>车间无组织排放</w:t>
                  </w:r>
                  <w:r>
                    <w:rPr>
                      <w:rFonts w:hint="eastAsia" w:ascii="Times New Roman" w:hAnsiTheme="minorEastAsia" w:eastAsiaTheme="minorEastAsia"/>
                      <w:b w:val="0"/>
                      <w:color w:val="000000" w:themeColor="text1"/>
                      <w:sz w:val="21"/>
                      <w:szCs w:val="21"/>
                      <w14:textFill>
                        <w14:solidFill>
                          <w14:schemeClr w14:val="tx1"/>
                        </w14:solidFill>
                      </w14:textFill>
                    </w:rPr>
                    <w:t>。</w:t>
                  </w:r>
                </w:p>
              </w:tc>
            </w:tr>
            <w:tr w14:paraId="5AE6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dxa"/>
                  <w:vMerge w:val="continue"/>
                  <w:vAlign w:val="center"/>
                </w:tcPr>
                <w:p w14:paraId="5ACABC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c>
                <w:tcPr>
                  <w:tcW w:w="1290" w:type="dxa"/>
                  <w:vAlign w:val="center"/>
                </w:tcPr>
                <w:p w14:paraId="442B90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固化炉</w:t>
                  </w:r>
                </w:p>
              </w:tc>
              <w:tc>
                <w:tcPr>
                  <w:tcW w:w="1365" w:type="dxa"/>
                  <w:vMerge w:val="restart"/>
                  <w:shd w:val="clear" w:color="auto" w:fill="auto"/>
                  <w:vAlign w:val="center"/>
                </w:tcPr>
                <w:p w14:paraId="30D47080">
                  <w:pPr>
                    <w:snapToGrid/>
                    <w:spacing w:after="0" w:line="240" w:lineRule="atLeast"/>
                    <w:contextualSpacing/>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非甲烷总烃</w:t>
                  </w:r>
                </w:p>
              </w:tc>
              <w:tc>
                <w:tcPr>
                  <w:tcW w:w="1395" w:type="dxa"/>
                  <w:vMerge w:val="restart"/>
                  <w:vAlign w:val="center"/>
                </w:tcPr>
                <w:p w14:paraId="529F16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厂界无组织＜3mg/m³；厂内无组织＜6mg/m³</w:t>
                  </w:r>
                </w:p>
              </w:tc>
              <w:tc>
                <w:tcPr>
                  <w:tcW w:w="2633" w:type="dxa"/>
                  <w:vAlign w:val="center"/>
                </w:tcPr>
                <w:p w14:paraId="79C70A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color w:val="000000" w:themeColor="text1"/>
                      <w:sz w:val="21"/>
                      <w:szCs w:val="21"/>
                      <w14:textFill>
                        <w14:solidFill>
                          <w14:schemeClr w14:val="tx1"/>
                        </w14:solidFill>
                      </w14:textFill>
                    </w:rPr>
                    <w:t>无收集及治理措施。</w:t>
                  </w:r>
                </w:p>
              </w:tc>
            </w:tr>
            <w:tr w14:paraId="766B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dxa"/>
                  <w:vMerge w:val="continue"/>
                  <w:vAlign w:val="center"/>
                </w:tcPr>
                <w:p w14:paraId="35D478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c>
                <w:tcPr>
                  <w:tcW w:w="1290" w:type="dxa"/>
                  <w:vAlign w:val="center"/>
                </w:tcPr>
                <w:p w14:paraId="043FE7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原料使用</w:t>
                  </w:r>
                </w:p>
              </w:tc>
              <w:tc>
                <w:tcPr>
                  <w:tcW w:w="1365" w:type="dxa"/>
                  <w:vMerge w:val="continue"/>
                  <w:vAlign w:val="center"/>
                </w:tcPr>
                <w:p w14:paraId="5318EC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c>
                <w:tcPr>
                  <w:tcW w:w="1395" w:type="dxa"/>
                  <w:vMerge w:val="continue"/>
                  <w:vAlign w:val="center"/>
                </w:tcPr>
                <w:p w14:paraId="3D65E5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c>
                <w:tcPr>
                  <w:tcW w:w="2633" w:type="dxa"/>
                  <w:vAlign w:val="center"/>
                </w:tcPr>
                <w:p w14:paraId="1C4995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ascii="Times New Roman" w:hAnsi="Times New Roman"/>
                      <w:b w:val="0"/>
                      <w:color w:val="000000" w:themeColor="text1"/>
                      <w:sz w:val="21"/>
                      <w:szCs w:val="21"/>
                      <w14:textFill>
                        <w14:solidFill>
                          <w14:schemeClr w14:val="tx1"/>
                        </w14:solidFill>
                      </w14:textFill>
                    </w:rPr>
                    <w:t>封闭房间内操作</w:t>
                  </w:r>
                  <w:r>
                    <w:rPr>
                      <w:rFonts w:hint="eastAsia" w:ascii="Times New Roman" w:hAnsi="Times New Roman"/>
                      <w:b w:val="0"/>
                      <w:color w:val="000000" w:themeColor="text1"/>
                      <w:sz w:val="21"/>
                      <w:szCs w:val="21"/>
                      <w14:textFill>
                        <w14:solidFill>
                          <w14:schemeClr w14:val="tx1"/>
                        </w14:solidFill>
                      </w14:textFill>
                    </w:rPr>
                    <w:t>，固化炉固化过程炉体密闭。</w:t>
                  </w:r>
                </w:p>
              </w:tc>
            </w:tr>
            <w:tr w14:paraId="473F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dxa"/>
                  <w:vAlign w:val="center"/>
                </w:tcPr>
                <w:p w14:paraId="755DDB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废水</w:t>
                  </w:r>
                </w:p>
              </w:tc>
              <w:tc>
                <w:tcPr>
                  <w:tcW w:w="1290" w:type="dxa"/>
                  <w:vAlign w:val="center"/>
                </w:tcPr>
                <w:p w14:paraId="5B7E55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生活用水</w:t>
                  </w:r>
                </w:p>
              </w:tc>
              <w:tc>
                <w:tcPr>
                  <w:tcW w:w="1365" w:type="dxa"/>
                  <w:vAlign w:val="center"/>
                </w:tcPr>
                <w:p w14:paraId="4C2478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pH</w:t>
                  </w:r>
                  <w:r>
                    <w:rPr>
                      <w:rFonts w:asci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SS</w:t>
                  </w:r>
                  <w:r>
                    <w:rPr>
                      <w:rFonts w:asci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COD</w:t>
                  </w:r>
                  <w:r>
                    <w:rPr>
                      <w:rFonts w:ascii="Times New Roman"/>
                      <w:color w:val="000000" w:themeColor="text1"/>
                      <w:sz w:val="21"/>
                      <w:szCs w:val="21"/>
                      <w14:textFill>
                        <w14:solidFill>
                          <w14:schemeClr w14:val="tx1"/>
                        </w14:solidFill>
                      </w14:textFill>
                    </w:rPr>
                    <w:t>、</w:t>
                  </w:r>
                  <w:r>
                    <w:rPr>
                      <w:rFonts w:hint="eastAsia" w:ascii="Times New Roman"/>
                      <w:color w:val="000000" w:themeColor="text1"/>
                      <w:sz w:val="21"/>
                      <w:szCs w:val="21"/>
                      <w14:textFill>
                        <w14:solidFill>
                          <w14:schemeClr w14:val="tx1"/>
                        </w14:solidFill>
                      </w14:textFill>
                    </w:rPr>
                    <w:t>石油类</w:t>
                  </w:r>
                </w:p>
              </w:tc>
              <w:tc>
                <w:tcPr>
                  <w:tcW w:w="1395" w:type="dxa"/>
                  <w:vAlign w:val="center"/>
                </w:tcPr>
                <w:p w14:paraId="0D1A4C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220.5m³/a</w:t>
                  </w:r>
                </w:p>
              </w:tc>
              <w:tc>
                <w:tcPr>
                  <w:tcW w:w="2633" w:type="dxa"/>
                  <w:vAlign w:val="center"/>
                </w:tcPr>
                <w:p w14:paraId="301956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依托园区办公楼现有污水处理系统</w:t>
                  </w:r>
                  <w:r>
                    <w:rPr>
                      <w:rFonts w:hint="eastAsia" w:ascii="Times New Roman" w:hAnsi="Times New Roman" w:eastAsiaTheme="minorEastAsia"/>
                      <w:color w:val="000000" w:themeColor="text1"/>
                      <w:sz w:val="21"/>
                      <w:szCs w:val="21"/>
                      <w14:textFill>
                        <w14:solidFill>
                          <w14:schemeClr w14:val="tx1"/>
                        </w14:solidFill>
                      </w14:textFill>
                    </w:rPr>
                    <w:t>。</w:t>
                  </w:r>
                </w:p>
              </w:tc>
            </w:tr>
            <w:tr w14:paraId="4227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dxa"/>
                  <w:vAlign w:val="center"/>
                </w:tcPr>
                <w:p w14:paraId="63D1E8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噪声</w:t>
                  </w:r>
                </w:p>
              </w:tc>
              <w:tc>
                <w:tcPr>
                  <w:tcW w:w="6683" w:type="dxa"/>
                  <w:gridSpan w:val="4"/>
                  <w:vAlign w:val="center"/>
                </w:tcPr>
                <w:p w14:paraId="22DEB1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lang w:val="en-US" w:eastAsia="zh-CN"/>
                      <w14:textFill>
                        <w14:solidFill>
                          <w14:schemeClr w14:val="tx1"/>
                        </w14:solidFill>
                      </w14:textFill>
                    </w:rPr>
                    <w:t>厂房隔声</w:t>
                  </w:r>
                </w:p>
              </w:tc>
            </w:tr>
            <w:tr w14:paraId="0510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dxa"/>
                  <w:vMerge w:val="restart"/>
                  <w:vAlign w:val="center"/>
                </w:tcPr>
                <w:p w14:paraId="70FEE4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r>
                    <w:rPr>
                      <w:rFonts w:hint="eastAsia" w:ascii="宋体" w:hAnsi="宋体"/>
                      <w:b w:val="0"/>
                      <w:bCs/>
                      <w:color w:val="000000" w:themeColor="text1"/>
                      <w:sz w:val="21"/>
                      <w:szCs w:val="21"/>
                      <w:vertAlign w:val="baseline"/>
                      <w:lang w:val="en-US" w:eastAsia="zh-CN"/>
                      <w14:textFill>
                        <w14:solidFill>
                          <w14:schemeClr w14:val="tx1"/>
                        </w14:solidFill>
                      </w14:textFill>
                    </w:rPr>
                    <w:t>固体废物</w:t>
                  </w:r>
                </w:p>
              </w:tc>
              <w:tc>
                <w:tcPr>
                  <w:tcW w:w="1290" w:type="dxa"/>
                  <w:shd w:val="clear" w:color="auto" w:fill="auto"/>
                  <w:vAlign w:val="center"/>
                </w:tcPr>
                <w:p w14:paraId="5373301F">
                  <w:pPr>
                    <w:adjustRightInd/>
                    <w:snapToGrid/>
                    <w:spacing w:after="0" w:line="240" w:lineRule="auto"/>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固化剂及树脂使用</w:t>
                  </w:r>
                </w:p>
              </w:tc>
              <w:tc>
                <w:tcPr>
                  <w:tcW w:w="1365" w:type="dxa"/>
                  <w:shd w:val="clear" w:color="auto" w:fill="auto"/>
                  <w:vAlign w:val="center"/>
                </w:tcPr>
                <w:p w14:paraId="1B50D310">
                  <w:pPr>
                    <w:adjustRightInd/>
                    <w:snapToGrid/>
                    <w:spacing w:after="0" w:line="240" w:lineRule="auto"/>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废桶</w:t>
                  </w:r>
                </w:p>
              </w:tc>
              <w:tc>
                <w:tcPr>
                  <w:tcW w:w="1395" w:type="dxa"/>
                  <w:shd w:val="clear" w:color="auto" w:fill="auto"/>
                  <w:vAlign w:val="center"/>
                </w:tcPr>
                <w:p w14:paraId="1B4EF09C">
                  <w:pPr>
                    <w:adjustRightInd/>
                    <w:snapToGrid/>
                    <w:spacing w:after="0"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20.8</w:t>
                  </w:r>
                </w:p>
              </w:tc>
              <w:tc>
                <w:tcPr>
                  <w:tcW w:w="2633" w:type="dxa"/>
                  <w:shd w:val="clear" w:color="auto" w:fill="auto"/>
                  <w:vAlign w:val="center"/>
                </w:tcPr>
                <w:p w14:paraId="0104DA1C">
                  <w:pPr>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水泥窑</w:t>
                  </w:r>
                </w:p>
                <w:p w14:paraId="116C1207">
                  <w:pPr>
                    <w:spacing w:after="0" w:line="240" w:lineRule="auto"/>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协同处置</w:t>
                  </w:r>
                </w:p>
              </w:tc>
            </w:tr>
            <w:tr w14:paraId="68BF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dxa"/>
                  <w:vMerge w:val="continue"/>
                  <w:vAlign w:val="center"/>
                </w:tcPr>
                <w:p w14:paraId="63E768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c>
                <w:tcPr>
                  <w:tcW w:w="1290" w:type="dxa"/>
                  <w:shd w:val="clear" w:color="auto" w:fill="auto"/>
                  <w:vAlign w:val="center"/>
                </w:tcPr>
                <w:p w14:paraId="47C749D5">
                  <w:pPr>
                    <w:adjustRightInd/>
                    <w:snapToGrid/>
                    <w:spacing w:after="0" w:line="240" w:lineRule="auto"/>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设备维护</w:t>
                  </w:r>
                </w:p>
              </w:tc>
              <w:tc>
                <w:tcPr>
                  <w:tcW w:w="1365" w:type="dxa"/>
                  <w:shd w:val="clear" w:color="auto" w:fill="auto"/>
                  <w:vAlign w:val="center"/>
                </w:tcPr>
                <w:p w14:paraId="715479E0">
                  <w:pPr>
                    <w:adjustRightInd/>
                    <w:snapToGrid/>
                    <w:spacing w:after="0" w:line="240" w:lineRule="auto"/>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废机油</w:t>
                  </w:r>
                </w:p>
              </w:tc>
              <w:tc>
                <w:tcPr>
                  <w:tcW w:w="1395" w:type="dxa"/>
                  <w:shd w:val="clear" w:color="auto" w:fill="auto"/>
                  <w:vAlign w:val="center"/>
                </w:tcPr>
                <w:p w14:paraId="587A9CCA">
                  <w:pPr>
                    <w:adjustRightInd/>
                    <w:snapToGrid/>
                    <w:spacing w:after="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暂未</w:t>
                  </w:r>
                </w:p>
                <w:p w14:paraId="216F31DF">
                  <w:pPr>
                    <w:adjustRightInd/>
                    <w:snapToGrid/>
                    <w:spacing w:after="0"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产生</w:t>
                  </w:r>
                </w:p>
              </w:tc>
              <w:tc>
                <w:tcPr>
                  <w:tcW w:w="2633" w:type="dxa"/>
                  <w:shd w:val="clear" w:color="auto" w:fill="auto"/>
                  <w:vAlign w:val="center"/>
                </w:tcPr>
                <w:p w14:paraId="7CFEF9AA">
                  <w:pPr>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水泥窑</w:t>
                  </w:r>
                </w:p>
                <w:p w14:paraId="2653E724">
                  <w:pPr>
                    <w:spacing w:after="0" w:line="240" w:lineRule="auto"/>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协同处置</w:t>
                  </w:r>
                </w:p>
              </w:tc>
            </w:tr>
            <w:tr w14:paraId="0A64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dxa"/>
                  <w:vMerge w:val="continue"/>
                  <w:vAlign w:val="center"/>
                </w:tcPr>
                <w:p w14:paraId="4B42CB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c>
                <w:tcPr>
                  <w:tcW w:w="1290" w:type="dxa"/>
                  <w:shd w:val="clear" w:color="auto" w:fill="auto"/>
                  <w:vAlign w:val="center"/>
                </w:tcPr>
                <w:p w14:paraId="6E5930A9">
                  <w:pPr>
                    <w:adjustRightInd/>
                    <w:snapToGrid/>
                    <w:spacing w:after="0" w:line="240" w:lineRule="auto"/>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生产过程</w:t>
                  </w:r>
                </w:p>
              </w:tc>
              <w:tc>
                <w:tcPr>
                  <w:tcW w:w="1365" w:type="dxa"/>
                  <w:shd w:val="clear" w:color="auto" w:fill="auto"/>
                  <w:vAlign w:val="center"/>
                </w:tcPr>
                <w:p w14:paraId="790FCE54">
                  <w:pPr>
                    <w:adjustRightInd/>
                    <w:snapToGrid/>
                    <w:spacing w:after="0" w:line="240" w:lineRule="auto"/>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废树脂类</w:t>
                  </w:r>
                </w:p>
              </w:tc>
              <w:tc>
                <w:tcPr>
                  <w:tcW w:w="1395" w:type="dxa"/>
                  <w:shd w:val="clear" w:color="auto" w:fill="auto"/>
                  <w:vAlign w:val="center"/>
                </w:tcPr>
                <w:p w14:paraId="185E63AA">
                  <w:pPr>
                    <w:adjustRightInd/>
                    <w:snapToGrid/>
                    <w:spacing w:after="0"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47.7</w:t>
                  </w:r>
                </w:p>
              </w:tc>
              <w:tc>
                <w:tcPr>
                  <w:tcW w:w="2633" w:type="dxa"/>
                  <w:shd w:val="clear" w:color="auto" w:fill="auto"/>
                  <w:vAlign w:val="center"/>
                </w:tcPr>
                <w:p w14:paraId="2C0253BF">
                  <w:pPr>
                    <w:spacing w:after="0"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水泥窑</w:t>
                  </w:r>
                </w:p>
                <w:p w14:paraId="00FBF5A3">
                  <w:pPr>
                    <w:adjustRightInd/>
                    <w:snapToGrid/>
                    <w:spacing w:after="0" w:line="240" w:lineRule="auto"/>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协同处置</w:t>
                  </w:r>
                </w:p>
              </w:tc>
            </w:tr>
            <w:tr w14:paraId="1827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dxa"/>
                  <w:vMerge w:val="continue"/>
                  <w:vAlign w:val="center"/>
                </w:tcPr>
                <w:p w14:paraId="4BF605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c>
                <w:tcPr>
                  <w:tcW w:w="1290" w:type="dxa"/>
                  <w:shd w:val="clear" w:color="auto" w:fill="auto"/>
                  <w:vAlign w:val="center"/>
                </w:tcPr>
                <w:p w14:paraId="598963A5">
                  <w:pPr>
                    <w:adjustRightInd/>
                    <w:snapToGrid/>
                    <w:spacing w:after="0" w:line="240" w:lineRule="auto"/>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原料使用</w:t>
                  </w:r>
                </w:p>
              </w:tc>
              <w:tc>
                <w:tcPr>
                  <w:tcW w:w="1365" w:type="dxa"/>
                  <w:shd w:val="clear" w:color="auto" w:fill="auto"/>
                  <w:vAlign w:val="center"/>
                </w:tcPr>
                <w:p w14:paraId="2949949A">
                  <w:pPr>
                    <w:pStyle w:val="5"/>
                    <w:adjustRightInd/>
                    <w:snapToGrid/>
                    <w:spacing w:after="0" w:line="240" w:lineRule="auto"/>
                    <w:ind w:right="113" w:rightChars="0"/>
                    <w:jc w:val="center"/>
                    <w:rPr>
                      <w:rFonts w:hint="default" w:ascii="Times New Roman" w:hAnsi="Times New Roman" w:eastAsiaTheme="minorEastAsia" w:cstheme="minorBidi"/>
                      <w:color w:val="000000" w:themeColor="text1"/>
                      <w:kern w:val="0"/>
                      <w:sz w:val="21"/>
                      <w:szCs w:val="21"/>
                      <w:lang w:val="en-US" w:eastAsia="zh-CN" w:bidi="ar-SA"/>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废包装物</w:t>
                  </w:r>
                </w:p>
              </w:tc>
              <w:tc>
                <w:tcPr>
                  <w:tcW w:w="1395" w:type="dxa"/>
                  <w:shd w:val="clear" w:color="auto" w:fill="auto"/>
                  <w:vAlign w:val="center"/>
                </w:tcPr>
                <w:p w14:paraId="3D023E39">
                  <w:pPr>
                    <w:adjustRightInd/>
                    <w:snapToGrid/>
                    <w:spacing w:after="0"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w:t>
                  </w:r>
                </w:p>
              </w:tc>
              <w:tc>
                <w:tcPr>
                  <w:tcW w:w="2633" w:type="dxa"/>
                  <w:shd w:val="clear" w:color="auto" w:fill="auto"/>
                  <w:vAlign w:val="center"/>
                </w:tcPr>
                <w:p w14:paraId="5E0E42E7">
                  <w:pPr>
                    <w:adjustRightInd/>
                    <w:snapToGrid/>
                    <w:spacing w:after="0" w:line="240" w:lineRule="auto"/>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厂家回收</w:t>
                  </w:r>
                </w:p>
              </w:tc>
            </w:tr>
            <w:tr w14:paraId="77FF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dxa"/>
                  <w:vMerge w:val="continue"/>
                  <w:vAlign w:val="center"/>
                </w:tcPr>
                <w:p w14:paraId="116404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c>
                <w:tcPr>
                  <w:tcW w:w="1290" w:type="dxa"/>
                  <w:shd w:val="clear" w:color="auto" w:fill="auto"/>
                  <w:vAlign w:val="center"/>
                </w:tcPr>
                <w:p w14:paraId="448549E3">
                  <w:pPr>
                    <w:adjustRightInd/>
                    <w:snapToGrid/>
                    <w:spacing w:after="0" w:line="240" w:lineRule="auto"/>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切割</w:t>
                  </w:r>
                </w:p>
              </w:tc>
              <w:tc>
                <w:tcPr>
                  <w:tcW w:w="1365" w:type="dxa"/>
                  <w:shd w:val="clear" w:color="auto" w:fill="auto"/>
                  <w:vAlign w:val="center"/>
                </w:tcPr>
                <w:p w14:paraId="7909B07E">
                  <w:pPr>
                    <w:pStyle w:val="5"/>
                    <w:adjustRightInd/>
                    <w:snapToGrid/>
                    <w:spacing w:after="0" w:line="240" w:lineRule="auto"/>
                    <w:ind w:right="113" w:rightChars="0"/>
                    <w:jc w:val="center"/>
                    <w:rPr>
                      <w:rFonts w:hint="default" w:ascii="Times New Roman" w:hAnsi="Times New Roman" w:eastAsiaTheme="minorEastAsia" w:cstheme="minorBidi"/>
                      <w:color w:val="000000" w:themeColor="text1"/>
                      <w:kern w:val="0"/>
                      <w:sz w:val="21"/>
                      <w:szCs w:val="21"/>
                      <w:lang w:val="en-US" w:eastAsia="zh-CN" w:bidi="ar-SA"/>
                      <w14:textFill>
                        <w14:solidFill>
                          <w14:schemeClr w14:val="tx1"/>
                        </w14:solidFill>
                      </w14:textFill>
                    </w:rPr>
                  </w:pPr>
                  <w:r>
                    <w:rPr>
                      <w:rFonts w:hint="eastAsia" w:ascii="Times New Roman" w:hAnsi="宋体"/>
                      <w:color w:val="000000" w:themeColor="text1"/>
                      <w:sz w:val="21"/>
                      <w:szCs w:val="21"/>
                      <w14:textFill>
                        <w14:solidFill>
                          <w14:schemeClr w14:val="tx1"/>
                        </w14:solidFill>
                      </w14:textFill>
                    </w:rPr>
                    <w:t>切割边角料</w:t>
                  </w:r>
                </w:p>
              </w:tc>
              <w:tc>
                <w:tcPr>
                  <w:tcW w:w="1395" w:type="dxa"/>
                  <w:shd w:val="clear" w:color="auto" w:fill="auto"/>
                  <w:vAlign w:val="center"/>
                </w:tcPr>
                <w:p w14:paraId="4149D9B6">
                  <w:pPr>
                    <w:adjustRightInd/>
                    <w:snapToGrid/>
                    <w:spacing w:after="0"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27</w:t>
                  </w:r>
                </w:p>
              </w:tc>
              <w:tc>
                <w:tcPr>
                  <w:tcW w:w="2633" w:type="dxa"/>
                  <w:shd w:val="clear" w:color="auto" w:fill="auto"/>
                  <w:vAlign w:val="center"/>
                </w:tcPr>
                <w:p w14:paraId="4AE87DE2">
                  <w:pPr>
                    <w:adjustRightInd/>
                    <w:snapToGrid/>
                    <w:spacing w:after="0" w:line="240" w:lineRule="auto"/>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回收利用</w:t>
                  </w:r>
                </w:p>
              </w:tc>
            </w:tr>
            <w:tr w14:paraId="3B64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dxa"/>
                  <w:vMerge w:val="continue"/>
                  <w:vAlign w:val="center"/>
                </w:tcPr>
                <w:p w14:paraId="743845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val="0"/>
                      <w:bCs/>
                      <w:color w:val="000000" w:themeColor="text1"/>
                      <w:sz w:val="21"/>
                      <w:szCs w:val="21"/>
                      <w:vertAlign w:val="baseline"/>
                      <w:lang w:val="en-US" w:eastAsia="zh-CN"/>
                      <w14:textFill>
                        <w14:solidFill>
                          <w14:schemeClr w14:val="tx1"/>
                        </w14:solidFill>
                      </w14:textFill>
                    </w:rPr>
                  </w:pPr>
                </w:p>
              </w:tc>
              <w:tc>
                <w:tcPr>
                  <w:tcW w:w="1290" w:type="dxa"/>
                  <w:shd w:val="clear" w:color="auto" w:fill="auto"/>
                  <w:vAlign w:val="center"/>
                </w:tcPr>
                <w:p w14:paraId="1982F645">
                  <w:pPr>
                    <w:adjustRightInd/>
                    <w:snapToGrid/>
                    <w:spacing w:after="0" w:line="240" w:lineRule="auto"/>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办公</w:t>
                  </w:r>
                </w:p>
              </w:tc>
              <w:tc>
                <w:tcPr>
                  <w:tcW w:w="1365" w:type="dxa"/>
                  <w:shd w:val="clear" w:color="auto" w:fill="auto"/>
                  <w:vAlign w:val="center"/>
                </w:tcPr>
                <w:p w14:paraId="64A89D20">
                  <w:pPr>
                    <w:pStyle w:val="5"/>
                    <w:adjustRightInd/>
                    <w:snapToGrid/>
                    <w:spacing w:after="0" w:line="240" w:lineRule="auto"/>
                    <w:ind w:right="113" w:rightChars="0"/>
                    <w:jc w:val="center"/>
                    <w:rPr>
                      <w:rFonts w:hint="default" w:ascii="Times New Roman" w:hAnsi="宋体" w:eastAsiaTheme="minorEastAsia" w:cstheme="minorBidi"/>
                      <w:color w:val="000000" w:themeColor="text1"/>
                      <w:kern w:val="0"/>
                      <w:sz w:val="21"/>
                      <w:szCs w:val="21"/>
                      <w:lang w:val="en-US" w:eastAsia="zh-CN" w:bidi="ar-SA"/>
                      <w14:textFill>
                        <w14:solidFill>
                          <w14:schemeClr w14:val="tx1"/>
                        </w14:solidFill>
                      </w14:textFill>
                    </w:rPr>
                  </w:pPr>
                  <w:r>
                    <w:rPr>
                      <w:rFonts w:ascii="Times New Roman" w:hAnsi="宋体"/>
                      <w:color w:val="000000" w:themeColor="text1"/>
                      <w:sz w:val="21"/>
                      <w:szCs w:val="21"/>
                      <w14:textFill>
                        <w14:solidFill>
                          <w14:schemeClr w14:val="tx1"/>
                        </w14:solidFill>
                      </w14:textFill>
                    </w:rPr>
                    <w:t>生活垃圾</w:t>
                  </w:r>
                </w:p>
              </w:tc>
              <w:tc>
                <w:tcPr>
                  <w:tcW w:w="1395" w:type="dxa"/>
                  <w:shd w:val="clear" w:color="auto" w:fill="auto"/>
                  <w:vAlign w:val="center"/>
                </w:tcPr>
                <w:p w14:paraId="6BB91634">
                  <w:pPr>
                    <w:adjustRightInd/>
                    <w:snapToGrid/>
                    <w:spacing w:after="0"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1500</w:t>
                  </w:r>
                </w:p>
              </w:tc>
              <w:tc>
                <w:tcPr>
                  <w:tcW w:w="2633" w:type="dxa"/>
                  <w:shd w:val="clear" w:color="auto" w:fill="auto"/>
                  <w:vAlign w:val="center"/>
                </w:tcPr>
                <w:p w14:paraId="2F51C4E0">
                  <w:pPr>
                    <w:adjustRightInd/>
                    <w:snapToGrid/>
                    <w:spacing w:after="0" w:line="240" w:lineRule="auto"/>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交由当地环卫部门处理处置</w:t>
                  </w:r>
                </w:p>
              </w:tc>
            </w:tr>
          </w:tbl>
          <w:p w14:paraId="0F37ADE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宋体" w:hAnsi="宋体"/>
                <w:b/>
                <w:bCs w:val="0"/>
                <w:color w:val="000000" w:themeColor="text1"/>
                <w:sz w:val="24"/>
                <w:szCs w:val="24"/>
                <w:lang w:val="en-US" w:eastAsia="zh-CN"/>
                <w14:textFill>
                  <w14:solidFill>
                    <w14:schemeClr w14:val="tx1"/>
                  </w14:solidFill>
                </w14:textFill>
              </w:rPr>
            </w:pPr>
            <w:r>
              <w:rPr>
                <w:rFonts w:hint="eastAsia" w:ascii="宋体" w:hAnsi="宋体"/>
                <w:b/>
                <w:bCs w:val="0"/>
                <w:color w:val="000000" w:themeColor="text1"/>
                <w:sz w:val="24"/>
                <w:szCs w:val="24"/>
                <w:lang w:val="en-US" w:eastAsia="zh-CN"/>
                <w14:textFill>
                  <w14:solidFill>
                    <w14:schemeClr w14:val="tx1"/>
                  </w14:solidFill>
                </w14:textFill>
              </w:rPr>
              <w:t>3、现有项目存在环境问题及“以新带老”措施</w:t>
            </w:r>
          </w:p>
          <w:p w14:paraId="00094E39">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根据现场勘查及查阅企业内控监测报告，</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根据原有环评文件</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现有项目废气均能做到达标排放；生活污水</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依托园区现有污水处理系统</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；设备噪声在采取相应的隔声等措施后对周围影响较小。</w:t>
            </w:r>
          </w:p>
          <w:p w14:paraId="5F24C6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lang w:val="en-US" w:eastAsia="zh-CN"/>
                <w14:textFill>
                  <w14:solidFill>
                    <w14:schemeClr w14:val="tx1"/>
                  </w14:solidFill>
                </w14:textFill>
              </w:rPr>
              <w:t>（1）存在问题</w:t>
            </w:r>
          </w:p>
          <w:p w14:paraId="46656821">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根据现场勘察情况，现有项目搅拌、缠绕、固化过程中产生的有机废气无废气收集和处理装置；切割颗粒物经移动式烟尘净化器处理后无组织排放，根据宝鸡市生态环境局《关于开展2025年度重污染天气重点行业绩效评级工作的通知》（宝环函</w:t>
            </w:r>
            <w:r>
              <w:rPr>
                <w:rFonts w:hint="eastAsia" w:ascii="宋体" w:hAnsi="宋体" w:eastAsia="宋体" w:cs="宋体"/>
                <w:color w:val="000000" w:themeColor="text1"/>
                <w:kern w:val="0"/>
                <w:sz w:val="24"/>
                <w:szCs w:val="24"/>
                <w:lang w:val="en-US" w:eastAsia="zh-CN" w:bidi="ar"/>
                <w14:textFill>
                  <w14:solidFill>
                    <w14:schemeClr w14:val="tx1"/>
                  </w14:solidFill>
                </w14:textFill>
              </w:rPr>
              <w:t>〔2025〕100号</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新、改、扩建重点行业企业应对标绩效评级指南（A级和引领性水平）要求进行建设，根据《重污染天气重点行业应急减排措施制定技术指南（2020年修订版）》，本项目属于重点行业中“玻璃钢（纤维增强塑料制品）”，扩建应对标引领性指标进行建设。</w:t>
            </w:r>
          </w:p>
          <w:p w14:paraId="1F4820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lang w:val="en-US" w:eastAsia="zh-CN"/>
                <w14:textFill>
                  <w14:solidFill>
                    <w14:schemeClr w14:val="tx1"/>
                  </w14:solidFill>
                </w14:textFill>
              </w:rPr>
              <w:t>（2）“以新带老”措施</w:t>
            </w:r>
          </w:p>
          <w:p w14:paraId="48CC66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根据宝鸡市生态环境局《关于开展2025年度重污染天气重点行业绩效评级工作的通知》（宝环函</w:t>
            </w:r>
            <w:r>
              <w:rPr>
                <w:rFonts w:hint="eastAsia" w:ascii="宋体" w:hAnsi="宋体" w:eastAsia="宋体" w:cs="宋体"/>
                <w:color w:val="000000" w:themeColor="text1"/>
                <w:kern w:val="0"/>
                <w:sz w:val="24"/>
                <w:szCs w:val="24"/>
                <w:lang w:val="en-US" w:eastAsia="zh-CN" w:bidi="ar"/>
                <w14:textFill>
                  <w14:solidFill>
                    <w14:schemeClr w14:val="tx1"/>
                  </w14:solidFill>
                </w14:textFill>
              </w:rPr>
              <w:t>〔2025〕100号</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要求，针对现有项目存在环境问题，本次环评提出的“以新带老”整改措施为：结合本次扩建对原有搅拌、缠绕、固化工序有机废气增加局部负压收集装置，将原有项目产生的挥发性有机物一并纳入本次扩建新建2级活性炭吸附处理设施，处理后废气通过15m排气筒排放，实现新老项目废气统一处理、集中排放，</w:t>
            </w:r>
            <w:r>
              <w:rPr>
                <w:rFonts w:hint="eastAsia" w:ascii="宋体" w:hAnsi="宋体" w:eastAsia="宋体" w:cs="宋体"/>
                <w:color w:val="000000" w:themeColor="text1"/>
                <w:kern w:val="0"/>
                <w:sz w:val="24"/>
                <w:szCs w:val="24"/>
                <w:lang w:val="en-US" w:eastAsia="zh-CN" w:bidi="ar"/>
                <w14:textFill>
                  <w14:solidFill>
                    <w14:schemeClr w14:val="tx1"/>
                  </w14:solidFill>
                </w14:textFill>
              </w:rPr>
              <w:t>此外，对车床切割工序新增布袋除尘设施，确保颗粒物经有效处理后实现达标无组织排放。该方案既补齐了原有项目环保短板，又实现了新老项目的协同治理。</w:t>
            </w:r>
          </w:p>
          <w:p w14:paraId="34CFDF4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247C964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19FAD23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291531A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7E00342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686969A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44D12B4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5FAC3E1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1DDF689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2D04EE1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24D2939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4033E5D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78667AE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2975055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5F548D5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34CC614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755DCBC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3F5D9E4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2F2A206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7A6ED04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29900B0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10A1103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1A9A48A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42897C4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37F1793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1497CEC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2D5B810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3EBAD96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b/>
                <w:bCs w:val="0"/>
                <w:color w:val="000000" w:themeColor="text1"/>
                <w:szCs w:val="21"/>
                <w:lang w:val="en-US" w:eastAsia="zh-CN"/>
                <w14:textFill>
                  <w14:solidFill>
                    <w14:schemeClr w14:val="tx1"/>
                  </w14:solidFill>
                </w14:textFill>
              </w:rPr>
            </w:pPr>
          </w:p>
          <w:p w14:paraId="06AE6513">
            <w:pPr>
              <w:adjustRightInd w:val="0"/>
              <w:snapToGrid w:val="0"/>
              <w:rPr>
                <w:rFonts w:hint="default" w:ascii="宋体" w:hAnsi="宋体"/>
                <w:b/>
                <w:bCs w:val="0"/>
                <w:color w:val="000000" w:themeColor="text1"/>
                <w:szCs w:val="21"/>
                <w:lang w:val="en-US" w:eastAsia="zh-CN"/>
                <w14:textFill>
                  <w14:solidFill>
                    <w14:schemeClr w14:val="tx1"/>
                  </w14:solidFill>
                </w14:textFill>
              </w:rPr>
            </w:pPr>
          </w:p>
        </w:tc>
      </w:tr>
    </w:tbl>
    <w:p w14:paraId="3717B1A9">
      <w:pPr>
        <w:pStyle w:val="12"/>
        <w:jc w:val="center"/>
        <w:rPr>
          <w:rFonts w:ascii="黑体" w:hAnsi="黑体" w:eastAsia="黑体"/>
          <w:snapToGrid w:val="0"/>
          <w:color w:val="000000" w:themeColor="text1"/>
          <w:sz w:val="36"/>
          <w:szCs w:val="36"/>
          <w14:textFill>
            <w14:solidFill>
              <w14:schemeClr w14:val="tx1"/>
            </w14:solidFill>
          </w14:textFill>
        </w:rPr>
        <w:sectPr>
          <w:footerReference r:id="rId4" w:type="default"/>
          <w:pgSz w:w="11906" w:h="16838"/>
          <w:pgMar w:top="1701" w:right="1531" w:bottom="1701" w:left="1531" w:header="851" w:footer="851" w:gutter="0"/>
          <w:pgNumType w:fmt="decimal"/>
          <w:cols w:space="720" w:num="1"/>
          <w:docGrid w:linePitch="312" w:charSpace="0"/>
        </w:sectPr>
      </w:pPr>
    </w:p>
    <w:p w14:paraId="4E073BC0">
      <w:pPr>
        <w:pStyle w:val="12"/>
        <w:adjustRightInd w:val="0"/>
        <w:snapToGrid w:val="0"/>
        <w:spacing w:before="0" w:beforeAutospacing="0" w:after="0" w:afterAutospacing="0" w:line="14" w:lineRule="auto"/>
        <w:jc w:val="center"/>
        <w:outlineLvl w:val="0"/>
        <w:rPr>
          <w:rFonts w:hint="eastAsia" w:ascii="黑体" w:hAnsi="黑体" w:eastAsia="黑体"/>
          <w:snapToGrid w:val="0"/>
          <w:color w:val="000000" w:themeColor="text1"/>
          <w:sz w:val="30"/>
          <w:szCs w:val="30"/>
          <w14:textFill>
            <w14:solidFill>
              <w14:schemeClr w14:val="tx1"/>
            </w14:solidFill>
          </w14:textFill>
        </w:rPr>
      </w:pPr>
    </w:p>
    <w:p w14:paraId="35D19737">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b/>
          <w:sz w:val="30"/>
          <w:szCs w:val="30"/>
        </w:rPr>
      </w:pPr>
      <w:bookmarkStart w:id="5" w:name="_Toc29790"/>
      <w:r>
        <w:rPr>
          <w:rFonts w:hint="eastAsia"/>
          <w:b/>
          <w:sz w:val="30"/>
          <w:szCs w:val="30"/>
        </w:rPr>
        <w:t>三、区域环境质量现状、环境保护目标及评价标准</w:t>
      </w:r>
      <w:bookmarkEnd w:id="5"/>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436EAE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800" w:type="dxa"/>
            <w:noWrap w:val="0"/>
            <w:vAlign w:val="center"/>
          </w:tcPr>
          <w:p w14:paraId="40D954CD">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区域</w:t>
            </w:r>
          </w:p>
          <w:p w14:paraId="360CD200">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w:t>
            </w:r>
          </w:p>
          <w:p w14:paraId="0449BF0E">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质量</w:t>
            </w:r>
          </w:p>
          <w:p w14:paraId="4F087B29">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现状</w:t>
            </w:r>
          </w:p>
        </w:tc>
        <w:tc>
          <w:tcPr>
            <w:tcW w:w="8190" w:type="dxa"/>
            <w:noWrap w:val="0"/>
            <w:vAlign w:val="center"/>
          </w:tcPr>
          <w:p w14:paraId="66FDFB8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cs="宋体"/>
                <w:b/>
                <w:bCs/>
                <w:color w:val="000000" w:themeColor="text1"/>
                <w:kern w:val="0"/>
                <w:sz w:val="24"/>
                <w:szCs w:val="24"/>
                <w:lang w:val="en-US" w:eastAsia="zh-CN"/>
                <w14:textFill>
                  <w14:solidFill>
                    <w14:schemeClr w14:val="tx1"/>
                  </w14:solidFill>
                </w14:textFill>
              </w:rPr>
            </w:pPr>
            <w:r>
              <w:rPr>
                <w:rFonts w:hint="eastAsia" w:ascii="宋体" w:hAnsi="宋体" w:cs="宋体"/>
                <w:b/>
                <w:bCs/>
                <w:color w:val="000000" w:themeColor="text1"/>
                <w:kern w:val="0"/>
                <w:sz w:val="24"/>
                <w:szCs w:val="24"/>
                <w:lang w:val="en-US" w:eastAsia="zh-CN"/>
                <w14:textFill>
                  <w14:solidFill>
                    <w14:schemeClr w14:val="tx1"/>
                  </w14:solidFill>
                </w14:textFill>
              </w:rPr>
              <w:t>1、大气环境</w:t>
            </w:r>
          </w:p>
          <w:p w14:paraId="3AE216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（1）基本污染物</w:t>
            </w:r>
          </w:p>
          <w:p w14:paraId="40007A32">
            <w:pPr>
              <w:pStyle w:val="24"/>
              <w:spacing w:line="360" w:lineRule="auto"/>
              <w:ind w:firstLine="480"/>
              <w:rPr>
                <w:color w:val="000000" w:themeColor="text1"/>
                <w14:textFill>
                  <w14:solidFill>
                    <w14:schemeClr w14:val="tx1"/>
                  </w14:solidFill>
                </w14:textFill>
              </w:rPr>
            </w:pPr>
            <w:r>
              <w:rPr>
                <w:color w:val="000000" w:themeColor="text1"/>
                <w:sz w:val="24"/>
                <w14:textFill>
                  <w14:solidFill>
                    <w14:schemeClr w14:val="tx1"/>
                  </w14:solidFill>
                </w14:textFill>
              </w:rPr>
              <w:t>根据大气功能区划分，本项目所在地为二类功能区。评价区域环境空气常规监测因子引用</w:t>
            </w:r>
            <w:r>
              <w:rPr>
                <w:rFonts w:hint="eastAsia"/>
                <w:color w:val="000000" w:themeColor="text1"/>
                <w:sz w:val="24"/>
                <w:lang w:eastAsia="zh-CN"/>
                <w14:textFill>
                  <w14:solidFill>
                    <w14:schemeClr w14:val="tx1"/>
                  </w14:solidFill>
                </w14:textFill>
              </w:rPr>
              <w:t>宝鸡市生态环境局发布的《宝鸡市202</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年环境质量公报》</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陈仓区</w:t>
            </w:r>
            <w:r>
              <w:rPr>
                <w:color w:val="000000" w:themeColor="text1"/>
                <w:sz w:val="24"/>
                <w14:textFill>
                  <w14:solidFill>
                    <w14:schemeClr w14:val="tx1"/>
                  </w14:solidFill>
                </w14:textFill>
              </w:rPr>
              <w:t>）监测数据，来分析项目所在地的大气环境质量现状。监测结果如下表3-</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w:t>
            </w:r>
          </w:p>
          <w:p w14:paraId="46F934AA">
            <w:pPr>
              <w:pStyle w:val="25"/>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表3-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14:textFill>
                  <w14:solidFill>
                    <w14:schemeClr w14:val="tx1"/>
                  </w14:solidFill>
                </w14:textFill>
              </w:rPr>
              <w:t xml:space="preserve">  </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陈仓区</w:t>
            </w:r>
            <w:r>
              <w:rPr>
                <w:rFonts w:hint="default" w:ascii="Times New Roman" w:hAnsi="Times New Roman" w:cs="Times New Roman" w:eastAsiaTheme="minorEastAsia"/>
                <w:color w:val="000000" w:themeColor="text1"/>
                <w:sz w:val="21"/>
                <w:szCs w:val="21"/>
                <w14:textFill>
                  <w14:solidFill>
                    <w14:schemeClr w14:val="tx1"/>
                  </w14:solidFill>
                </w14:textFill>
              </w:rPr>
              <w:t>空气质量情况统计表</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2669"/>
              <w:gridCol w:w="1271"/>
              <w:gridCol w:w="1383"/>
              <w:gridCol w:w="899"/>
              <w:gridCol w:w="778"/>
            </w:tblGrid>
            <w:tr w14:paraId="2CA52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03" w:type="pct"/>
                  <w:tcBorders>
                    <w:tl2br w:val="nil"/>
                    <w:tr2bl w:val="nil"/>
                  </w:tcBorders>
                  <w:noWrap w:val="0"/>
                  <w:vAlign w:val="center"/>
                </w:tcPr>
                <w:p w14:paraId="3A016C71">
                  <w:pPr>
                    <w:pStyle w:val="26"/>
                    <w:jc w:val="center"/>
                    <w:rPr>
                      <w:rFonts w:ascii="Times New Roman" w:hAnsi="Times New Roman" w:eastAsia="宋体" w:cs="Times"/>
                      <w:b/>
                      <w:bCs/>
                      <w:color w:val="000000" w:themeColor="text1"/>
                      <w14:textFill>
                        <w14:solidFill>
                          <w14:schemeClr w14:val="tx1"/>
                        </w14:solidFill>
                      </w14:textFill>
                    </w:rPr>
                  </w:pPr>
                  <w:r>
                    <w:rPr>
                      <w:rFonts w:ascii="Times New Roman" w:hAnsi="Times New Roman" w:eastAsia="宋体" w:cs="Times"/>
                      <w:b/>
                      <w:bCs/>
                      <w:color w:val="000000" w:themeColor="text1"/>
                      <w14:textFill>
                        <w14:solidFill>
                          <w14:schemeClr w14:val="tx1"/>
                        </w14:solidFill>
                      </w14:textFill>
                    </w:rPr>
                    <w:t>污染物</w:t>
                  </w:r>
                </w:p>
              </w:tc>
              <w:tc>
                <w:tcPr>
                  <w:tcW w:w="1675" w:type="pct"/>
                  <w:tcBorders>
                    <w:tl2br w:val="nil"/>
                    <w:tr2bl w:val="nil"/>
                  </w:tcBorders>
                  <w:noWrap w:val="0"/>
                  <w:vAlign w:val="center"/>
                </w:tcPr>
                <w:p w14:paraId="7F9FD53F">
                  <w:pPr>
                    <w:pStyle w:val="26"/>
                    <w:jc w:val="center"/>
                    <w:rPr>
                      <w:rFonts w:ascii="Times New Roman" w:hAnsi="Times New Roman" w:eastAsia="宋体" w:cs="Times"/>
                      <w:b/>
                      <w:bCs/>
                      <w:color w:val="000000" w:themeColor="text1"/>
                      <w14:textFill>
                        <w14:solidFill>
                          <w14:schemeClr w14:val="tx1"/>
                        </w14:solidFill>
                      </w14:textFill>
                    </w:rPr>
                  </w:pPr>
                  <w:r>
                    <w:rPr>
                      <w:rFonts w:ascii="Times New Roman" w:hAnsi="Times New Roman" w:eastAsia="宋体" w:cs="Times"/>
                      <w:b/>
                      <w:bCs/>
                      <w:color w:val="000000" w:themeColor="text1"/>
                      <w14:textFill>
                        <w14:solidFill>
                          <w14:schemeClr w14:val="tx1"/>
                        </w14:solidFill>
                      </w14:textFill>
                    </w:rPr>
                    <w:t>年评价指标</w:t>
                  </w:r>
                </w:p>
              </w:tc>
              <w:tc>
                <w:tcPr>
                  <w:tcW w:w="798" w:type="pct"/>
                  <w:tcBorders>
                    <w:tl2br w:val="nil"/>
                    <w:tr2bl w:val="nil"/>
                  </w:tcBorders>
                  <w:noWrap w:val="0"/>
                  <w:vAlign w:val="center"/>
                </w:tcPr>
                <w:p w14:paraId="4417B5FA">
                  <w:pPr>
                    <w:pStyle w:val="26"/>
                    <w:jc w:val="center"/>
                    <w:rPr>
                      <w:rFonts w:ascii="Times New Roman" w:hAnsi="Times New Roman" w:eastAsia="宋体" w:cs="Times"/>
                      <w:b/>
                      <w:bCs/>
                      <w:color w:val="000000" w:themeColor="text1"/>
                      <w14:textFill>
                        <w14:solidFill>
                          <w14:schemeClr w14:val="tx1"/>
                        </w14:solidFill>
                      </w14:textFill>
                    </w:rPr>
                  </w:pPr>
                  <w:r>
                    <w:rPr>
                      <w:rFonts w:ascii="Times New Roman" w:hAnsi="Times New Roman" w:eastAsia="宋体" w:cs="Times"/>
                      <w:b/>
                      <w:bCs/>
                      <w:color w:val="000000" w:themeColor="text1"/>
                      <w14:textFill>
                        <w14:solidFill>
                          <w14:schemeClr w14:val="tx1"/>
                        </w14:solidFill>
                      </w14:textFill>
                    </w:rPr>
                    <w:t>现状浓度（μg/m</w:t>
                  </w:r>
                  <w:r>
                    <w:rPr>
                      <w:rFonts w:ascii="Times New Roman" w:hAnsi="Times New Roman" w:eastAsia="宋体" w:cs="Times"/>
                      <w:b/>
                      <w:bCs/>
                      <w:color w:val="000000" w:themeColor="text1"/>
                      <w:vertAlign w:val="superscript"/>
                      <w14:textFill>
                        <w14:solidFill>
                          <w14:schemeClr w14:val="tx1"/>
                        </w14:solidFill>
                      </w14:textFill>
                    </w:rPr>
                    <w:t>3</w:t>
                  </w:r>
                  <w:r>
                    <w:rPr>
                      <w:rFonts w:ascii="Times New Roman" w:hAnsi="Times New Roman" w:eastAsia="宋体" w:cs="Times"/>
                      <w:b/>
                      <w:bCs/>
                      <w:color w:val="000000" w:themeColor="text1"/>
                      <w14:textFill>
                        <w14:solidFill>
                          <w14:schemeClr w14:val="tx1"/>
                        </w14:solidFill>
                      </w14:textFill>
                    </w:rPr>
                    <w:t>）</w:t>
                  </w:r>
                </w:p>
              </w:tc>
              <w:tc>
                <w:tcPr>
                  <w:tcW w:w="868" w:type="pct"/>
                  <w:tcBorders>
                    <w:tl2br w:val="nil"/>
                    <w:tr2bl w:val="nil"/>
                  </w:tcBorders>
                  <w:noWrap w:val="0"/>
                  <w:vAlign w:val="center"/>
                </w:tcPr>
                <w:p w14:paraId="166D0980">
                  <w:pPr>
                    <w:pStyle w:val="26"/>
                    <w:jc w:val="center"/>
                    <w:rPr>
                      <w:rFonts w:ascii="Times New Roman" w:hAnsi="Times New Roman" w:eastAsia="宋体" w:cs="Times"/>
                      <w:b/>
                      <w:bCs/>
                      <w:color w:val="000000" w:themeColor="text1"/>
                      <w14:textFill>
                        <w14:solidFill>
                          <w14:schemeClr w14:val="tx1"/>
                        </w14:solidFill>
                      </w14:textFill>
                    </w:rPr>
                  </w:pPr>
                  <w:r>
                    <w:rPr>
                      <w:rFonts w:ascii="Times New Roman" w:hAnsi="Times New Roman" w:eastAsia="宋体" w:cs="Times"/>
                      <w:b/>
                      <w:bCs/>
                      <w:color w:val="000000" w:themeColor="text1"/>
                      <w14:textFill>
                        <w14:solidFill>
                          <w14:schemeClr w14:val="tx1"/>
                        </w14:solidFill>
                      </w14:textFill>
                    </w:rPr>
                    <w:t>标准值</w:t>
                  </w:r>
                </w:p>
                <w:p w14:paraId="344F9837">
                  <w:pPr>
                    <w:pStyle w:val="26"/>
                    <w:jc w:val="center"/>
                    <w:rPr>
                      <w:rFonts w:ascii="Times New Roman" w:hAnsi="Times New Roman" w:eastAsia="宋体" w:cs="Times"/>
                      <w:b/>
                      <w:bCs/>
                      <w:color w:val="000000" w:themeColor="text1"/>
                      <w14:textFill>
                        <w14:solidFill>
                          <w14:schemeClr w14:val="tx1"/>
                        </w14:solidFill>
                      </w14:textFill>
                    </w:rPr>
                  </w:pPr>
                  <w:r>
                    <w:rPr>
                      <w:rFonts w:hint="eastAsia" w:ascii="Times New Roman" w:hAnsi="Times New Roman" w:eastAsia="宋体" w:cs="Times"/>
                      <w:b/>
                      <w:bCs/>
                      <w:color w:val="000000" w:themeColor="text1"/>
                      <w:lang w:eastAsia="zh-CN"/>
                      <w14:textFill>
                        <w14:solidFill>
                          <w14:schemeClr w14:val="tx1"/>
                        </w14:solidFill>
                      </w14:textFill>
                    </w:rPr>
                    <w:t>(</w:t>
                  </w:r>
                  <w:r>
                    <w:rPr>
                      <w:rFonts w:ascii="Times New Roman" w:hAnsi="Times New Roman" w:eastAsia="宋体" w:cs="Times"/>
                      <w:b/>
                      <w:bCs/>
                      <w:color w:val="000000" w:themeColor="text1"/>
                      <w14:textFill>
                        <w14:solidFill>
                          <w14:schemeClr w14:val="tx1"/>
                        </w14:solidFill>
                      </w14:textFill>
                    </w:rPr>
                    <w:t>μg/m</w:t>
                  </w:r>
                  <w:r>
                    <w:rPr>
                      <w:rFonts w:ascii="Times New Roman" w:hAnsi="Times New Roman" w:eastAsia="宋体" w:cs="Times"/>
                      <w:b/>
                      <w:bCs/>
                      <w:color w:val="000000" w:themeColor="text1"/>
                      <w:vertAlign w:val="superscript"/>
                      <w14:textFill>
                        <w14:solidFill>
                          <w14:schemeClr w14:val="tx1"/>
                        </w14:solidFill>
                      </w14:textFill>
                    </w:rPr>
                    <w:t>3</w:t>
                  </w:r>
                  <w:r>
                    <w:rPr>
                      <w:rFonts w:hint="eastAsia" w:ascii="Times New Roman" w:hAnsi="Times New Roman" w:eastAsia="宋体" w:cs="Times"/>
                      <w:b/>
                      <w:bCs/>
                      <w:color w:val="000000" w:themeColor="text1"/>
                      <w:vertAlign w:val="superscript"/>
                      <w:lang w:eastAsia="zh-CN"/>
                      <w14:textFill>
                        <w14:solidFill>
                          <w14:schemeClr w14:val="tx1"/>
                        </w14:solidFill>
                      </w14:textFill>
                    </w:rPr>
                    <w:t>)</w:t>
                  </w:r>
                </w:p>
              </w:tc>
              <w:tc>
                <w:tcPr>
                  <w:tcW w:w="564" w:type="pct"/>
                  <w:tcBorders>
                    <w:tl2br w:val="nil"/>
                    <w:tr2bl w:val="nil"/>
                  </w:tcBorders>
                  <w:noWrap w:val="0"/>
                  <w:vAlign w:val="center"/>
                </w:tcPr>
                <w:p w14:paraId="6753133D">
                  <w:pPr>
                    <w:pStyle w:val="26"/>
                    <w:jc w:val="center"/>
                    <w:rPr>
                      <w:rFonts w:ascii="Times New Roman" w:hAnsi="Times New Roman" w:eastAsia="宋体" w:cs="Times"/>
                      <w:b/>
                      <w:bCs/>
                      <w:color w:val="000000" w:themeColor="text1"/>
                      <w14:textFill>
                        <w14:solidFill>
                          <w14:schemeClr w14:val="tx1"/>
                        </w14:solidFill>
                      </w14:textFill>
                    </w:rPr>
                  </w:pPr>
                  <w:r>
                    <w:rPr>
                      <w:rFonts w:ascii="Times New Roman" w:hAnsi="Times New Roman" w:eastAsia="宋体" w:cs="Times"/>
                      <w:b/>
                      <w:bCs/>
                      <w:color w:val="000000" w:themeColor="text1"/>
                      <w14:textFill>
                        <w14:solidFill>
                          <w14:schemeClr w14:val="tx1"/>
                        </w14:solidFill>
                      </w14:textFill>
                    </w:rPr>
                    <w:t>占标率%</w:t>
                  </w:r>
                </w:p>
              </w:tc>
              <w:tc>
                <w:tcPr>
                  <w:tcW w:w="488" w:type="pct"/>
                  <w:tcBorders>
                    <w:tl2br w:val="nil"/>
                    <w:tr2bl w:val="nil"/>
                  </w:tcBorders>
                  <w:noWrap w:val="0"/>
                  <w:vAlign w:val="center"/>
                </w:tcPr>
                <w:p w14:paraId="173D3D5D">
                  <w:pPr>
                    <w:pStyle w:val="26"/>
                    <w:jc w:val="center"/>
                    <w:rPr>
                      <w:rFonts w:ascii="Times New Roman" w:hAnsi="Times New Roman" w:eastAsia="宋体" w:cs="Times"/>
                      <w:b/>
                      <w:bCs/>
                      <w:color w:val="000000" w:themeColor="text1"/>
                      <w14:textFill>
                        <w14:solidFill>
                          <w14:schemeClr w14:val="tx1"/>
                        </w14:solidFill>
                      </w14:textFill>
                    </w:rPr>
                  </w:pPr>
                  <w:r>
                    <w:rPr>
                      <w:rFonts w:ascii="Times New Roman" w:hAnsi="Times New Roman" w:eastAsia="宋体" w:cs="Times"/>
                      <w:b/>
                      <w:bCs/>
                      <w:color w:val="000000" w:themeColor="text1"/>
                      <w14:textFill>
                        <w14:solidFill>
                          <w14:schemeClr w14:val="tx1"/>
                        </w14:solidFill>
                      </w14:textFill>
                    </w:rPr>
                    <w:t>达标</w:t>
                  </w:r>
                </w:p>
                <w:p w14:paraId="18EFB35E">
                  <w:pPr>
                    <w:pStyle w:val="26"/>
                    <w:jc w:val="center"/>
                    <w:rPr>
                      <w:rFonts w:ascii="Times New Roman" w:hAnsi="Times New Roman" w:eastAsia="宋体" w:cs="Times"/>
                      <w:b/>
                      <w:bCs/>
                      <w:color w:val="000000" w:themeColor="text1"/>
                      <w14:textFill>
                        <w14:solidFill>
                          <w14:schemeClr w14:val="tx1"/>
                        </w14:solidFill>
                      </w14:textFill>
                    </w:rPr>
                  </w:pPr>
                  <w:r>
                    <w:rPr>
                      <w:rFonts w:ascii="Times New Roman" w:hAnsi="Times New Roman" w:eastAsia="宋体" w:cs="Times"/>
                      <w:b/>
                      <w:bCs/>
                      <w:color w:val="000000" w:themeColor="text1"/>
                      <w14:textFill>
                        <w14:solidFill>
                          <w14:schemeClr w14:val="tx1"/>
                        </w14:solidFill>
                      </w14:textFill>
                    </w:rPr>
                    <w:t>情况</w:t>
                  </w:r>
                </w:p>
              </w:tc>
            </w:tr>
            <w:tr w14:paraId="48D8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951" w:type="dxa"/>
                  <w:tcBorders>
                    <w:tl2br w:val="nil"/>
                    <w:tr2bl w:val="nil"/>
                  </w:tcBorders>
                  <w:noWrap w:val="0"/>
                  <w:vAlign w:val="center"/>
                </w:tcPr>
                <w:p w14:paraId="03914EEF">
                  <w:pPr>
                    <w:pStyle w:val="27"/>
                    <w:keepNext w:val="0"/>
                    <w:keepLines w:val="0"/>
                    <w:pageBreakBefore w:val="0"/>
                    <w:kinsoku/>
                    <w:wordWrap/>
                    <w:overflowPunct/>
                    <w:topLinePunct w:val="0"/>
                    <w:autoSpaceDE/>
                    <w:autoSpaceDN/>
                    <w:bidi w:val="0"/>
                    <w:adjustRightInd w:val="0"/>
                    <w:snapToGrid w:val="0"/>
                    <w:spacing w:beforeLines="0" w:afterLines="0" w:line="240" w:lineRule="auto"/>
                    <w:ind w:right="0" w:rightChars="0"/>
                    <w:textAlignment w:val="auto"/>
                    <w:rPr>
                      <w:rFonts w:ascii="Times New Roman" w:hAnsi="Times New Roman" w:eastAsia="宋体" w:cs="Times"/>
                      <w:color w:val="000000" w:themeColor="text1"/>
                      <w:vertAlign w:val="subscript"/>
                      <w14:textFill>
                        <w14:solidFill>
                          <w14:schemeClr w14:val="tx1"/>
                        </w14:solidFill>
                      </w14:textFill>
                    </w:rPr>
                  </w:pPr>
                  <w:r>
                    <w:rPr>
                      <w:rFonts w:ascii="Times New Roman" w:hAnsi="Times New Roman"/>
                      <w:b w:val="0"/>
                      <w:bCs/>
                      <w:color w:val="000000" w:themeColor="text1"/>
                      <w:kern w:val="0"/>
                      <w:sz w:val="21"/>
                      <w:szCs w:val="21"/>
                      <w:highlight w:val="none"/>
                      <w14:textFill>
                        <w14:solidFill>
                          <w14:schemeClr w14:val="tx1"/>
                        </w14:solidFill>
                      </w14:textFill>
                    </w:rPr>
                    <w:t>SO</w:t>
                  </w:r>
                  <w:r>
                    <w:rPr>
                      <w:rFonts w:ascii="Times New Roman" w:hAnsi="Times New Roman"/>
                      <w:b w:val="0"/>
                      <w:bCs/>
                      <w:color w:val="000000" w:themeColor="text1"/>
                      <w:kern w:val="0"/>
                      <w:sz w:val="21"/>
                      <w:szCs w:val="21"/>
                      <w:highlight w:val="none"/>
                      <w:vertAlign w:val="subscript"/>
                      <w14:textFill>
                        <w14:solidFill>
                          <w14:schemeClr w14:val="tx1"/>
                        </w14:solidFill>
                      </w14:textFill>
                    </w:rPr>
                    <w:t>2</w:t>
                  </w:r>
                </w:p>
              </w:tc>
              <w:tc>
                <w:tcPr>
                  <w:tcW w:w="2641" w:type="dxa"/>
                  <w:tcBorders>
                    <w:tl2br w:val="nil"/>
                    <w:tr2bl w:val="nil"/>
                  </w:tcBorders>
                  <w:noWrap w:val="0"/>
                  <w:vAlign w:val="center"/>
                </w:tcPr>
                <w:p w14:paraId="1481E1C0">
                  <w:pPr>
                    <w:pStyle w:val="26"/>
                    <w:jc w:val="center"/>
                    <w:rPr>
                      <w:rFonts w:ascii="Times New Roman" w:hAnsi="Times New Roman" w:eastAsia="宋体" w:cs="Times"/>
                      <w:color w:val="000000" w:themeColor="text1"/>
                      <w14:textFill>
                        <w14:solidFill>
                          <w14:schemeClr w14:val="tx1"/>
                        </w14:solidFill>
                      </w14:textFill>
                    </w:rPr>
                  </w:pPr>
                  <w:r>
                    <w:rPr>
                      <w:rFonts w:ascii="Times New Roman" w:hAnsi="Times New Roman" w:eastAsia="宋体" w:cs="Times"/>
                      <w:color w:val="000000" w:themeColor="text1"/>
                      <w14:textFill>
                        <w14:solidFill>
                          <w14:schemeClr w14:val="tx1"/>
                        </w14:solidFill>
                      </w14:textFill>
                    </w:rPr>
                    <w:t>年平均质量浓度</w:t>
                  </w:r>
                </w:p>
              </w:tc>
              <w:tc>
                <w:tcPr>
                  <w:tcW w:w="1258" w:type="dxa"/>
                  <w:tcBorders>
                    <w:tl2br w:val="nil"/>
                    <w:tr2bl w:val="nil"/>
                  </w:tcBorders>
                  <w:noWrap w:val="0"/>
                  <w:vAlign w:val="center"/>
                </w:tcPr>
                <w:p w14:paraId="691E08B1">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w:color w:val="000000" w:themeColor="text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w:t>
                  </w:r>
                </w:p>
              </w:tc>
              <w:tc>
                <w:tcPr>
                  <w:tcW w:w="1369" w:type="dxa"/>
                  <w:tcBorders>
                    <w:tl2br w:val="nil"/>
                    <w:tr2bl w:val="nil"/>
                  </w:tcBorders>
                  <w:noWrap w:val="0"/>
                  <w:vAlign w:val="center"/>
                </w:tcPr>
                <w:p w14:paraId="485662C9">
                  <w:pPr>
                    <w:pStyle w:val="27"/>
                    <w:keepNext w:val="0"/>
                    <w:keepLines w:val="0"/>
                    <w:pageBreakBefore w:val="0"/>
                    <w:kinsoku/>
                    <w:wordWrap/>
                    <w:overflowPunct/>
                    <w:topLinePunct w:val="0"/>
                    <w:autoSpaceDE/>
                    <w:autoSpaceDN/>
                    <w:bidi w:val="0"/>
                    <w:adjustRightInd w:val="0"/>
                    <w:snapToGrid w:val="0"/>
                    <w:spacing w:beforeLines="0" w:afterLines="0" w:line="240" w:lineRule="auto"/>
                    <w:ind w:right="0" w:rightChars="0"/>
                    <w:textAlignment w:val="auto"/>
                    <w:rPr>
                      <w:rFonts w:ascii="Times New Roman" w:hAnsi="Times New Roman" w:eastAsia="宋体" w:cs="Times"/>
                      <w:color w:val="000000" w:themeColor="text1"/>
                      <w14:textFill>
                        <w14:solidFill>
                          <w14:schemeClr w14:val="tx1"/>
                        </w14:solidFill>
                      </w14:textFill>
                    </w:rPr>
                  </w:pPr>
                  <w:r>
                    <w:rPr>
                      <w:rFonts w:ascii="Times New Roman" w:hAnsi="Times New Roman"/>
                      <w:b w:val="0"/>
                      <w:bCs/>
                      <w:color w:val="000000" w:themeColor="text1"/>
                      <w:kern w:val="0"/>
                      <w:sz w:val="21"/>
                      <w:szCs w:val="21"/>
                      <w:highlight w:val="none"/>
                      <w14:textFill>
                        <w14:solidFill>
                          <w14:schemeClr w14:val="tx1"/>
                        </w14:solidFill>
                      </w14:textFill>
                    </w:rPr>
                    <w:t>60</w:t>
                  </w:r>
                </w:p>
              </w:tc>
              <w:tc>
                <w:tcPr>
                  <w:tcW w:w="890" w:type="dxa"/>
                  <w:tcBorders>
                    <w:tl2br w:val="nil"/>
                    <w:tr2bl w:val="nil"/>
                  </w:tcBorders>
                  <w:noWrap w:val="0"/>
                  <w:vAlign w:val="center"/>
                </w:tcPr>
                <w:p w14:paraId="439CE980">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w:color w:val="000000" w:themeColor="text1"/>
                      <w:lang w:val="en-US" w:eastAsia="zh-CN"/>
                      <w14:textFill>
                        <w14:solidFill>
                          <w14:schemeClr w14:val="tx1"/>
                        </w14:solidFill>
                      </w14:textFill>
                    </w:rPr>
                  </w:pPr>
                  <w:r>
                    <w:rPr>
                      <w:rFonts w:hint="eastAsia" w:ascii="Times New Roman" w:hAnsi="Times New Roman" w:eastAsia="宋体" w:cs="Times"/>
                      <w:color w:val="000000" w:themeColor="text1"/>
                      <w:lang w:val="en-US" w:eastAsia="zh-CN"/>
                      <w14:textFill>
                        <w14:solidFill>
                          <w14:schemeClr w14:val="tx1"/>
                        </w14:solidFill>
                      </w14:textFill>
                    </w:rPr>
                    <w:t>22</w:t>
                  </w:r>
                </w:p>
              </w:tc>
              <w:tc>
                <w:tcPr>
                  <w:tcW w:w="770" w:type="dxa"/>
                  <w:tcBorders>
                    <w:tl2br w:val="nil"/>
                    <w:tr2bl w:val="nil"/>
                  </w:tcBorders>
                  <w:noWrap w:val="0"/>
                  <w:vAlign w:val="center"/>
                </w:tcPr>
                <w:p w14:paraId="0DACDEC5">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Times"/>
                      <w:color w:val="000000" w:themeColor="text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达标</w:t>
                  </w:r>
                </w:p>
              </w:tc>
            </w:tr>
            <w:tr w14:paraId="630E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51" w:type="dxa"/>
                  <w:tcBorders>
                    <w:tl2br w:val="nil"/>
                    <w:tr2bl w:val="nil"/>
                  </w:tcBorders>
                  <w:noWrap w:val="0"/>
                  <w:vAlign w:val="center"/>
                </w:tcPr>
                <w:p w14:paraId="7B8BDAD0">
                  <w:pPr>
                    <w:pStyle w:val="27"/>
                    <w:keepNext w:val="0"/>
                    <w:keepLines w:val="0"/>
                    <w:pageBreakBefore w:val="0"/>
                    <w:kinsoku/>
                    <w:wordWrap/>
                    <w:overflowPunct/>
                    <w:topLinePunct w:val="0"/>
                    <w:autoSpaceDE/>
                    <w:autoSpaceDN/>
                    <w:bidi w:val="0"/>
                    <w:adjustRightInd w:val="0"/>
                    <w:snapToGrid w:val="0"/>
                    <w:spacing w:beforeLines="0" w:afterLines="0" w:line="240" w:lineRule="auto"/>
                    <w:ind w:right="0" w:rightChars="0"/>
                    <w:textAlignment w:val="auto"/>
                    <w:rPr>
                      <w:rFonts w:ascii="Times New Roman" w:hAnsi="Times New Roman" w:eastAsia="宋体" w:cs="Times"/>
                      <w:color w:val="000000" w:themeColor="text1"/>
                      <w14:textFill>
                        <w14:solidFill>
                          <w14:schemeClr w14:val="tx1"/>
                        </w14:solidFill>
                      </w14:textFill>
                    </w:rPr>
                  </w:pPr>
                  <w:r>
                    <w:rPr>
                      <w:rFonts w:ascii="Times New Roman" w:hAnsi="Times New Roman"/>
                      <w:b w:val="0"/>
                      <w:bCs/>
                      <w:color w:val="000000" w:themeColor="text1"/>
                      <w:kern w:val="0"/>
                      <w:sz w:val="21"/>
                      <w:szCs w:val="21"/>
                      <w:highlight w:val="none"/>
                      <w14:textFill>
                        <w14:solidFill>
                          <w14:schemeClr w14:val="tx1"/>
                        </w14:solidFill>
                      </w14:textFill>
                    </w:rPr>
                    <w:t>NO</w:t>
                  </w:r>
                  <w:r>
                    <w:rPr>
                      <w:rFonts w:ascii="Times New Roman" w:hAnsi="Times New Roman"/>
                      <w:b w:val="0"/>
                      <w:bCs/>
                      <w:color w:val="000000" w:themeColor="text1"/>
                      <w:kern w:val="0"/>
                      <w:sz w:val="21"/>
                      <w:szCs w:val="21"/>
                      <w:highlight w:val="none"/>
                      <w:vertAlign w:val="subscript"/>
                      <w14:textFill>
                        <w14:solidFill>
                          <w14:schemeClr w14:val="tx1"/>
                        </w14:solidFill>
                      </w14:textFill>
                    </w:rPr>
                    <w:t>2</w:t>
                  </w:r>
                </w:p>
              </w:tc>
              <w:tc>
                <w:tcPr>
                  <w:tcW w:w="2641" w:type="dxa"/>
                  <w:tcBorders>
                    <w:tl2br w:val="nil"/>
                    <w:tr2bl w:val="nil"/>
                  </w:tcBorders>
                  <w:noWrap w:val="0"/>
                  <w:vAlign w:val="center"/>
                </w:tcPr>
                <w:p w14:paraId="0624880E">
                  <w:pPr>
                    <w:pStyle w:val="26"/>
                    <w:jc w:val="center"/>
                    <w:rPr>
                      <w:rFonts w:ascii="Times New Roman" w:hAnsi="Times New Roman" w:eastAsia="宋体" w:cs="Times"/>
                      <w:color w:val="000000" w:themeColor="text1"/>
                      <w14:textFill>
                        <w14:solidFill>
                          <w14:schemeClr w14:val="tx1"/>
                        </w14:solidFill>
                      </w14:textFill>
                    </w:rPr>
                  </w:pPr>
                  <w:r>
                    <w:rPr>
                      <w:rFonts w:ascii="Times New Roman" w:hAnsi="Times New Roman" w:eastAsia="宋体" w:cs="Times"/>
                      <w:color w:val="000000" w:themeColor="text1"/>
                      <w14:textFill>
                        <w14:solidFill>
                          <w14:schemeClr w14:val="tx1"/>
                        </w14:solidFill>
                      </w14:textFill>
                    </w:rPr>
                    <w:t>年平均质量浓度</w:t>
                  </w:r>
                </w:p>
              </w:tc>
              <w:tc>
                <w:tcPr>
                  <w:tcW w:w="1258" w:type="dxa"/>
                  <w:tcBorders>
                    <w:tl2br w:val="nil"/>
                    <w:tr2bl w:val="nil"/>
                  </w:tcBorders>
                  <w:noWrap w:val="0"/>
                  <w:vAlign w:val="center"/>
                </w:tcPr>
                <w:p w14:paraId="7D607D4F">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w:color w:val="000000" w:themeColor="text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29</w:t>
                  </w:r>
                </w:p>
              </w:tc>
              <w:tc>
                <w:tcPr>
                  <w:tcW w:w="1369" w:type="dxa"/>
                  <w:tcBorders>
                    <w:tl2br w:val="nil"/>
                    <w:tr2bl w:val="nil"/>
                  </w:tcBorders>
                  <w:noWrap w:val="0"/>
                  <w:vAlign w:val="center"/>
                </w:tcPr>
                <w:p w14:paraId="1C3C4BE2">
                  <w:pPr>
                    <w:pStyle w:val="27"/>
                    <w:keepNext w:val="0"/>
                    <w:keepLines w:val="0"/>
                    <w:pageBreakBefore w:val="0"/>
                    <w:kinsoku/>
                    <w:wordWrap/>
                    <w:overflowPunct/>
                    <w:topLinePunct w:val="0"/>
                    <w:autoSpaceDE/>
                    <w:autoSpaceDN/>
                    <w:bidi w:val="0"/>
                    <w:adjustRightInd w:val="0"/>
                    <w:snapToGrid w:val="0"/>
                    <w:spacing w:beforeLines="0" w:afterLines="0" w:line="240" w:lineRule="auto"/>
                    <w:ind w:right="0" w:rightChars="0"/>
                    <w:textAlignment w:val="auto"/>
                    <w:rPr>
                      <w:rFonts w:ascii="Times New Roman" w:hAnsi="Times New Roman" w:eastAsia="宋体" w:cs="Times"/>
                      <w:color w:val="000000" w:themeColor="text1"/>
                      <w14:textFill>
                        <w14:solidFill>
                          <w14:schemeClr w14:val="tx1"/>
                        </w14:solidFill>
                      </w14:textFill>
                    </w:rPr>
                  </w:pPr>
                  <w:r>
                    <w:rPr>
                      <w:rFonts w:ascii="Times New Roman" w:hAnsi="Times New Roman"/>
                      <w:b w:val="0"/>
                      <w:bCs/>
                      <w:color w:val="000000" w:themeColor="text1"/>
                      <w:kern w:val="0"/>
                      <w:sz w:val="21"/>
                      <w:szCs w:val="21"/>
                      <w:highlight w:val="none"/>
                      <w14:textFill>
                        <w14:solidFill>
                          <w14:schemeClr w14:val="tx1"/>
                        </w14:solidFill>
                      </w14:textFill>
                    </w:rPr>
                    <w:t>40</w:t>
                  </w:r>
                </w:p>
              </w:tc>
              <w:tc>
                <w:tcPr>
                  <w:tcW w:w="890" w:type="dxa"/>
                  <w:tcBorders>
                    <w:tl2br w:val="nil"/>
                    <w:tr2bl w:val="nil"/>
                  </w:tcBorders>
                  <w:noWrap w:val="0"/>
                  <w:vAlign w:val="center"/>
                </w:tcPr>
                <w:p w14:paraId="50C50B78">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w:color w:val="000000" w:themeColor="text1"/>
                      <w:lang w:val="en-US" w:eastAsia="zh-CN"/>
                      <w14:textFill>
                        <w14:solidFill>
                          <w14:schemeClr w14:val="tx1"/>
                        </w14:solidFill>
                      </w14:textFill>
                    </w:rPr>
                  </w:pPr>
                  <w:r>
                    <w:rPr>
                      <w:rFonts w:hint="eastAsia" w:ascii="Times New Roman" w:hAnsi="Times New Roman" w:eastAsia="宋体" w:cs="Times"/>
                      <w:color w:val="000000" w:themeColor="text1"/>
                      <w:lang w:val="en-US" w:eastAsia="zh-CN"/>
                      <w14:textFill>
                        <w14:solidFill>
                          <w14:schemeClr w14:val="tx1"/>
                        </w14:solidFill>
                      </w14:textFill>
                    </w:rPr>
                    <w:t>73</w:t>
                  </w:r>
                </w:p>
              </w:tc>
              <w:tc>
                <w:tcPr>
                  <w:tcW w:w="770" w:type="dxa"/>
                  <w:tcBorders>
                    <w:tl2br w:val="nil"/>
                    <w:tr2bl w:val="nil"/>
                  </w:tcBorders>
                  <w:noWrap w:val="0"/>
                  <w:vAlign w:val="center"/>
                </w:tcPr>
                <w:p w14:paraId="2B498D2F">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w:color w:val="000000" w:themeColor="text1"/>
                      <w:lang w:eastAsia="zh-CN"/>
                      <w14:textFill>
                        <w14:solidFill>
                          <w14:schemeClr w14:val="tx1"/>
                        </w14:solidFill>
                      </w14:textFill>
                    </w:rPr>
                  </w:pPr>
                  <w:r>
                    <w:rPr>
                      <w:color w:val="000000" w:themeColor="text1"/>
                      <w:sz w:val="21"/>
                      <w:szCs w:val="21"/>
                      <w:highlight w:val="none"/>
                      <w14:textFill>
                        <w14:solidFill>
                          <w14:schemeClr w14:val="tx1"/>
                        </w14:solidFill>
                      </w14:textFill>
                    </w:rPr>
                    <w:t>达标</w:t>
                  </w:r>
                </w:p>
              </w:tc>
            </w:tr>
            <w:tr w14:paraId="6880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51" w:type="dxa"/>
                  <w:tcBorders>
                    <w:tl2br w:val="nil"/>
                    <w:tr2bl w:val="nil"/>
                  </w:tcBorders>
                  <w:noWrap w:val="0"/>
                  <w:vAlign w:val="center"/>
                </w:tcPr>
                <w:p w14:paraId="3606C5D3">
                  <w:pPr>
                    <w:pStyle w:val="27"/>
                    <w:keepNext w:val="0"/>
                    <w:keepLines w:val="0"/>
                    <w:pageBreakBefore w:val="0"/>
                    <w:kinsoku/>
                    <w:wordWrap/>
                    <w:overflowPunct/>
                    <w:topLinePunct w:val="0"/>
                    <w:autoSpaceDE/>
                    <w:autoSpaceDN/>
                    <w:bidi w:val="0"/>
                    <w:adjustRightInd w:val="0"/>
                    <w:snapToGrid w:val="0"/>
                    <w:spacing w:beforeLines="0" w:afterLines="0" w:line="240" w:lineRule="auto"/>
                    <w:ind w:right="0" w:rightChars="0"/>
                    <w:textAlignment w:val="auto"/>
                    <w:rPr>
                      <w:rFonts w:ascii="Times New Roman" w:hAnsi="Times New Roman" w:eastAsia="宋体" w:cs="Times"/>
                      <w:color w:val="000000" w:themeColor="text1"/>
                      <w14:textFill>
                        <w14:solidFill>
                          <w14:schemeClr w14:val="tx1"/>
                        </w14:solidFill>
                      </w14:textFill>
                    </w:rPr>
                  </w:pPr>
                  <w:r>
                    <w:rPr>
                      <w:rFonts w:ascii="Times New Roman" w:hAnsi="Times New Roman"/>
                      <w:b w:val="0"/>
                      <w:bCs/>
                      <w:color w:val="000000" w:themeColor="text1"/>
                      <w:kern w:val="0"/>
                      <w:sz w:val="21"/>
                      <w:szCs w:val="21"/>
                      <w:highlight w:val="none"/>
                      <w14:textFill>
                        <w14:solidFill>
                          <w14:schemeClr w14:val="tx1"/>
                        </w14:solidFill>
                      </w14:textFill>
                    </w:rPr>
                    <w:t>PM</w:t>
                  </w:r>
                  <w:r>
                    <w:rPr>
                      <w:rFonts w:ascii="Times New Roman" w:hAnsi="Times New Roman"/>
                      <w:b w:val="0"/>
                      <w:bCs/>
                      <w:color w:val="000000" w:themeColor="text1"/>
                      <w:kern w:val="0"/>
                      <w:sz w:val="21"/>
                      <w:szCs w:val="21"/>
                      <w:highlight w:val="none"/>
                      <w:vertAlign w:val="subscript"/>
                      <w14:textFill>
                        <w14:solidFill>
                          <w14:schemeClr w14:val="tx1"/>
                        </w14:solidFill>
                      </w14:textFill>
                    </w:rPr>
                    <w:t>10</w:t>
                  </w:r>
                </w:p>
              </w:tc>
              <w:tc>
                <w:tcPr>
                  <w:tcW w:w="2641" w:type="dxa"/>
                  <w:tcBorders>
                    <w:tl2br w:val="nil"/>
                    <w:tr2bl w:val="nil"/>
                  </w:tcBorders>
                  <w:noWrap w:val="0"/>
                  <w:vAlign w:val="center"/>
                </w:tcPr>
                <w:p w14:paraId="68F459D4">
                  <w:pPr>
                    <w:pStyle w:val="26"/>
                    <w:jc w:val="center"/>
                    <w:rPr>
                      <w:rFonts w:ascii="Times New Roman" w:hAnsi="Times New Roman" w:eastAsia="宋体" w:cs="Times"/>
                      <w:color w:val="000000" w:themeColor="text1"/>
                      <w14:textFill>
                        <w14:solidFill>
                          <w14:schemeClr w14:val="tx1"/>
                        </w14:solidFill>
                      </w14:textFill>
                    </w:rPr>
                  </w:pPr>
                  <w:r>
                    <w:rPr>
                      <w:rFonts w:ascii="Times New Roman" w:hAnsi="Times New Roman" w:eastAsia="宋体" w:cs="Times"/>
                      <w:color w:val="000000" w:themeColor="text1"/>
                      <w14:textFill>
                        <w14:solidFill>
                          <w14:schemeClr w14:val="tx1"/>
                        </w14:solidFill>
                      </w14:textFill>
                    </w:rPr>
                    <w:t>年平均质量浓度</w:t>
                  </w:r>
                </w:p>
              </w:tc>
              <w:tc>
                <w:tcPr>
                  <w:tcW w:w="1258" w:type="dxa"/>
                  <w:tcBorders>
                    <w:tl2br w:val="nil"/>
                    <w:tr2bl w:val="nil"/>
                  </w:tcBorders>
                  <w:noWrap w:val="0"/>
                  <w:vAlign w:val="center"/>
                </w:tcPr>
                <w:p w14:paraId="22B1E229">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w:color w:val="000000" w:themeColor="text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1369" w:type="dxa"/>
                  <w:tcBorders>
                    <w:tl2br w:val="nil"/>
                    <w:tr2bl w:val="nil"/>
                  </w:tcBorders>
                  <w:noWrap w:val="0"/>
                  <w:vAlign w:val="center"/>
                </w:tcPr>
                <w:p w14:paraId="6B92F6D1">
                  <w:pPr>
                    <w:pStyle w:val="27"/>
                    <w:keepNext w:val="0"/>
                    <w:keepLines w:val="0"/>
                    <w:pageBreakBefore w:val="0"/>
                    <w:kinsoku/>
                    <w:wordWrap/>
                    <w:overflowPunct/>
                    <w:topLinePunct w:val="0"/>
                    <w:autoSpaceDE/>
                    <w:autoSpaceDN/>
                    <w:bidi w:val="0"/>
                    <w:adjustRightInd w:val="0"/>
                    <w:snapToGrid w:val="0"/>
                    <w:spacing w:beforeLines="0" w:afterLines="0" w:line="240" w:lineRule="auto"/>
                    <w:ind w:right="0" w:rightChars="0"/>
                    <w:textAlignment w:val="auto"/>
                    <w:rPr>
                      <w:rFonts w:ascii="Times New Roman" w:hAnsi="Times New Roman" w:eastAsia="宋体" w:cs="Times"/>
                      <w:color w:val="000000" w:themeColor="text1"/>
                      <w14:textFill>
                        <w14:solidFill>
                          <w14:schemeClr w14:val="tx1"/>
                        </w14:solidFill>
                      </w14:textFill>
                    </w:rPr>
                  </w:pPr>
                  <w:r>
                    <w:rPr>
                      <w:rFonts w:ascii="Times New Roman" w:hAnsi="Times New Roman"/>
                      <w:b w:val="0"/>
                      <w:bCs/>
                      <w:color w:val="000000" w:themeColor="text1"/>
                      <w:kern w:val="0"/>
                      <w:sz w:val="21"/>
                      <w:szCs w:val="21"/>
                      <w:highlight w:val="none"/>
                      <w14:textFill>
                        <w14:solidFill>
                          <w14:schemeClr w14:val="tx1"/>
                        </w14:solidFill>
                      </w14:textFill>
                    </w:rPr>
                    <w:t>70</w:t>
                  </w:r>
                </w:p>
              </w:tc>
              <w:tc>
                <w:tcPr>
                  <w:tcW w:w="890" w:type="dxa"/>
                  <w:tcBorders>
                    <w:tl2br w:val="nil"/>
                    <w:tr2bl w:val="nil"/>
                  </w:tcBorders>
                  <w:noWrap w:val="0"/>
                  <w:vAlign w:val="center"/>
                </w:tcPr>
                <w:p w14:paraId="3862930D">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w:color w:val="000000" w:themeColor="text1"/>
                      <w:lang w:val="en-US" w:eastAsia="zh-CN"/>
                      <w14:textFill>
                        <w14:solidFill>
                          <w14:schemeClr w14:val="tx1"/>
                        </w14:solidFill>
                      </w14:textFill>
                    </w:rPr>
                  </w:pPr>
                  <w:r>
                    <w:rPr>
                      <w:rFonts w:hint="eastAsia" w:ascii="Times New Roman" w:hAnsi="Times New Roman" w:eastAsia="宋体" w:cs="Times"/>
                      <w:color w:val="000000" w:themeColor="text1"/>
                      <w:lang w:val="en-US" w:eastAsia="zh-CN"/>
                      <w14:textFill>
                        <w14:solidFill>
                          <w14:schemeClr w14:val="tx1"/>
                        </w14:solidFill>
                      </w14:textFill>
                    </w:rPr>
                    <w:t>100</w:t>
                  </w:r>
                </w:p>
              </w:tc>
              <w:tc>
                <w:tcPr>
                  <w:tcW w:w="770" w:type="dxa"/>
                  <w:tcBorders>
                    <w:tl2br w:val="nil"/>
                    <w:tr2bl w:val="nil"/>
                  </w:tcBorders>
                  <w:noWrap w:val="0"/>
                  <w:vAlign w:val="center"/>
                </w:tcPr>
                <w:p w14:paraId="51A3FF1C">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Times"/>
                      <w:color w:val="000000" w:themeColor="text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达标</w:t>
                  </w:r>
                </w:p>
              </w:tc>
            </w:tr>
            <w:tr w14:paraId="5FEE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951" w:type="dxa"/>
                  <w:tcBorders>
                    <w:tl2br w:val="nil"/>
                    <w:tr2bl w:val="nil"/>
                  </w:tcBorders>
                  <w:noWrap w:val="0"/>
                  <w:vAlign w:val="center"/>
                </w:tcPr>
                <w:p w14:paraId="3EA3F096">
                  <w:pPr>
                    <w:pStyle w:val="27"/>
                    <w:keepNext w:val="0"/>
                    <w:keepLines w:val="0"/>
                    <w:pageBreakBefore w:val="0"/>
                    <w:kinsoku/>
                    <w:wordWrap/>
                    <w:overflowPunct/>
                    <w:topLinePunct w:val="0"/>
                    <w:autoSpaceDE/>
                    <w:autoSpaceDN/>
                    <w:bidi w:val="0"/>
                    <w:adjustRightInd w:val="0"/>
                    <w:snapToGrid w:val="0"/>
                    <w:spacing w:beforeLines="0" w:afterLines="0" w:line="240" w:lineRule="auto"/>
                    <w:ind w:right="0" w:rightChars="0"/>
                    <w:textAlignment w:val="auto"/>
                    <w:rPr>
                      <w:rFonts w:ascii="Times New Roman" w:hAnsi="Times New Roman" w:eastAsia="宋体" w:cs="Times"/>
                      <w:color w:val="000000" w:themeColor="text1"/>
                      <w:vertAlign w:val="subscript"/>
                      <w14:textFill>
                        <w14:solidFill>
                          <w14:schemeClr w14:val="tx1"/>
                        </w14:solidFill>
                      </w14:textFill>
                    </w:rPr>
                  </w:pPr>
                  <w:r>
                    <w:rPr>
                      <w:rFonts w:ascii="Times New Roman" w:hAnsi="Times New Roman"/>
                      <w:b w:val="0"/>
                      <w:bCs/>
                      <w:color w:val="000000" w:themeColor="text1"/>
                      <w:kern w:val="0"/>
                      <w:sz w:val="21"/>
                      <w:szCs w:val="21"/>
                      <w:highlight w:val="none"/>
                      <w14:textFill>
                        <w14:solidFill>
                          <w14:schemeClr w14:val="tx1"/>
                        </w14:solidFill>
                      </w14:textFill>
                    </w:rPr>
                    <w:t>PM</w:t>
                  </w:r>
                  <w:r>
                    <w:rPr>
                      <w:rFonts w:ascii="Times New Roman" w:hAnsi="Times New Roman"/>
                      <w:b w:val="0"/>
                      <w:bCs/>
                      <w:color w:val="000000" w:themeColor="text1"/>
                      <w:kern w:val="0"/>
                      <w:sz w:val="21"/>
                      <w:szCs w:val="21"/>
                      <w:highlight w:val="none"/>
                      <w:vertAlign w:val="subscript"/>
                      <w14:textFill>
                        <w14:solidFill>
                          <w14:schemeClr w14:val="tx1"/>
                        </w14:solidFill>
                      </w14:textFill>
                    </w:rPr>
                    <w:t>2.5</w:t>
                  </w:r>
                </w:p>
              </w:tc>
              <w:tc>
                <w:tcPr>
                  <w:tcW w:w="2641" w:type="dxa"/>
                  <w:tcBorders>
                    <w:tl2br w:val="nil"/>
                    <w:tr2bl w:val="nil"/>
                  </w:tcBorders>
                  <w:noWrap w:val="0"/>
                  <w:vAlign w:val="center"/>
                </w:tcPr>
                <w:p w14:paraId="0EFD3C0A">
                  <w:pPr>
                    <w:pStyle w:val="26"/>
                    <w:jc w:val="center"/>
                    <w:rPr>
                      <w:rFonts w:ascii="Times New Roman" w:hAnsi="Times New Roman" w:eastAsia="宋体" w:cs="Times"/>
                      <w:color w:val="000000" w:themeColor="text1"/>
                      <w14:textFill>
                        <w14:solidFill>
                          <w14:schemeClr w14:val="tx1"/>
                        </w14:solidFill>
                      </w14:textFill>
                    </w:rPr>
                  </w:pPr>
                  <w:r>
                    <w:rPr>
                      <w:rFonts w:ascii="Times New Roman" w:hAnsi="Times New Roman" w:eastAsia="宋体" w:cs="Times"/>
                      <w:color w:val="000000" w:themeColor="text1"/>
                      <w14:textFill>
                        <w14:solidFill>
                          <w14:schemeClr w14:val="tx1"/>
                        </w14:solidFill>
                      </w14:textFill>
                    </w:rPr>
                    <w:t>年平均质量浓度</w:t>
                  </w:r>
                </w:p>
              </w:tc>
              <w:tc>
                <w:tcPr>
                  <w:tcW w:w="1258" w:type="dxa"/>
                  <w:tcBorders>
                    <w:tl2br w:val="nil"/>
                    <w:tr2bl w:val="nil"/>
                  </w:tcBorders>
                  <w:noWrap w:val="0"/>
                  <w:vAlign w:val="center"/>
                </w:tcPr>
                <w:p w14:paraId="5080A1B6">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w:color w:val="000000" w:themeColor="text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w:t>
                  </w:r>
                </w:p>
              </w:tc>
              <w:tc>
                <w:tcPr>
                  <w:tcW w:w="1369" w:type="dxa"/>
                  <w:tcBorders>
                    <w:tl2br w:val="nil"/>
                    <w:tr2bl w:val="nil"/>
                  </w:tcBorders>
                  <w:noWrap w:val="0"/>
                  <w:vAlign w:val="center"/>
                </w:tcPr>
                <w:p w14:paraId="614FF511">
                  <w:pPr>
                    <w:pStyle w:val="27"/>
                    <w:keepNext w:val="0"/>
                    <w:keepLines w:val="0"/>
                    <w:pageBreakBefore w:val="0"/>
                    <w:kinsoku/>
                    <w:wordWrap/>
                    <w:overflowPunct/>
                    <w:topLinePunct w:val="0"/>
                    <w:autoSpaceDE/>
                    <w:autoSpaceDN/>
                    <w:bidi w:val="0"/>
                    <w:adjustRightInd w:val="0"/>
                    <w:snapToGrid w:val="0"/>
                    <w:spacing w:beforeLines="0" w:afterLines="0" w:line="240" w:lineRule="auto"/>
                    <w:ind w:right="0" w:rightChars="0"/>
                    <w:textAlignment w:val="auto"/>
                    <w:rPr>
                      <w:rFonts w:ascii="Times New Roman" w:hAnsi="Times New Roman" w:eastAsia="宋体" w:cs="Times"/>
                      <w:color w:val="000000" w:themeColor="text1"/>
                      <w14:textFill>
                        <w14:solidFill>
                          <w14:schemeClr w14:val="tx1"/>
                        </w14:solidFill>
                      </w14:textFill>
                    </w:rPr>
                  </w:pPr>
                  <w:r>
                    <w:rPr>
                      <w:rFonts w:ascii="Times New Roman" w:hAnsi="Times New Roman"/>
                      <w:b w:val="0"/>
                      <w:bCs/>
                      <w:color w:val="000000" w:themeColor="text1"/>
                      <w:kern w:val="0"/>
                      <w:sz w:val="21"/>
                      <w:szCs w:val="21"/>
                      <w:highlight w:val="none"/>
                      <w14:textFill>
                        <w14:solidFill>
                          <w14:schemeClr w14:val="tx1"/>
                        </w14:solidFill>
                      </w14:textFill>
                    </w:rPr>
                    <w:t>35</w:t>
                  </w:r>
                </w:p>
              </w:tc>
              <w:tc>
                <w:tcPr>
                  <w:tcW w:w="890" w:type="dxa"/>
                  <w:tcBorders>
                    <w:tl2br w:val="nil"/>
                    <w:tr2bl w:val="nil"/>
                  </w:tcBorders>
                  <w:noWrap w:val="0"/>
                  <w:vAlign w:val="center"/>
                </w:tcPr>
                <w:p w14:paraId="7E60105D">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w:color w:val="000000" w:themeColor="text1"/>
                      <w:lang w:val="en-US" w:eastAsia="zh-CN"/>
                      <w14:textFill>
                        <w14:solidFill>
                          <w14:schemeClr w14:val="tx1"/>
                        </w14:solidFill>
                      </w14:textFill>
                    </w:rPr>
                  </w:pPr>
                  <w:r>
                    <w:rPr>
                      <w:rFonts w:hint="eastAsia" w:ascii="Times New Roman" w:hAnsi="Times New Roman" w:eastAsia="宋体" w:cs="Times"/>
                      <w:color w:val="000000" w:themeColor="text1"/>
                      <w:lang w:val="en-US" w:eastAsia="zh-CN"/>
                      <w14:textFill>
                        <w14:solidFill>
                          <w14:schemeClr w14:val="tx1"/>
                        </w14:solidFill>
                      </w14:textFill>
                    </w:rPr>
                    <w:t>123</w:t>
                  </w:r>
                </w:p>
              </w:tc>
              <w:tc>
                <w:tcPr>
                  <w:tcW w:w="770" w:type="dxa"/>
                  <w:tcBorders>
                    <w:tl2br w:val="nil"/>
                    <w:tr2bl w:val="nil"/>
                  </w:tcBorders>
                  <w:noWrap w:val="0"/>
                  <w:vAlign w:val="center"/>
                </w:tcPr>
                <w:p w14:paraId="762B5C5F">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Times"/>
                      <w:color w:val="000000" w:themeColor="text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超标</w:t>
                  </w:r>
                </w:p>
              </w:tc>
            </w:tr>
            <w:tr w14:paraId="67C0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51" w:type="dxa"/>
                  <w:tcBorders>
                    <w:tl2br w:val="nil"/>
                    <w:tr2bl w:val="nil"/>
                  </w:tcBorders>
                  <w:noWrap w:val="0"/>
                  <w:vAlign w:val="center"/>
                </w:tcPr>
                <w:p w14:paraId="14B29A63">
                  <w:pPr>
                    <w:pStyle w:val="27"/>
                    <w:keepNext w:val="0"/>
                    <w:keepLines w:val="0"/>
                    <w:pageBreakBefore w:val="0"/>
                    <w:kinsoku/>
                    <w:wordWrap/>
                    <w:overflowPunct/>
                    <w:topLinePunct w:val="0"/>
                    <w:autoSpaceDE/>
                    <w:autoSpaceDN/>
                    <w:bidi w:val="0"/>
                    <w:adjustRightInd w:val="0"/>
                    <w:snapToGrid w:val="0"/>
                    <w:spacing w:beforeLines="0" w:afterLines="0" w:line="240" w:lineRule="auto"/>
                    <w:ind w:right="0" w:rightChars="0"/>
                    <w:textAlignment w:val="auto"/>
                    <w:rPr>
                      <w:rFonts w:ascii="Times New Roman" w:hAnsi="Times New Roman" w:eastAsia="宋体" w:cs="Times"/>
                      <w:color w:val="000000" w:themeColor="text1"/>
                      <w14:textFill>
                        <w14:solidFill>
                          <w14:schemeClr w14:val="tx1"/>
                        </w14:solidFill>
                      </w14:textFill>
                    </w:rPr>
                  </w:pPr>
                  <w:r>
                    <w:rPr>
                      <w:rFonts w:ascii="Times New Roman" w:hAnsi="Times New Roman"/>
                      <w:b w:val="0"/>
                      <w:bCs/>
                      <w:color w:val="000000" w:themeColor="text1"/>
                      <w:kern w:val="0"/>
                      <w:sz w:val="21"/>
                      <w:szCs w:val="21"/>
                      <w:highlight w:val="none"/>
                      <w14:textFill>
                        <w14:solidFill>
                          <w14:schemeClr w14:val="tx1"/>
                        </w14:solidFill>
                      </w14:textFill>
                    </w:rPr>
                    <w:t>CO</w:t>
                  </w:r>
                </w:p>
              </w:tc>
              <w:tc>
                <w:tcPr>
                  <w:tcW w:w="2641" w:type="dxa"/>
                  <w:tcBorders>
                    <w:tl2br w:val="nil"/>
                    <w:tr2bl w:val="nil"/>
                  </w:tcBorders>
                  <w:noWrap w:val="0"/>
                  <w:vAlign w:val="center"/>
                </w:tcPr>
                <w:p w14:paraId="20C2AF2D">
                  <w:pPr>
                    <w:pStyle w:val="26"/>
                    <w:jc w:val="center"/>
                    <w:rPr>
                      <w:rFonts w:ascii="Times New Roman" w:hAnsi="Times New Roman" w:eastAsia="宋体" w:cs="Times"/>
                      <w:color w:val="000000" w:themeColor="text1"/>
                      <w14:textFill>
                        <w14:solidFill>
                          <w14:schemeClr w14:val="tx1"/>
                        </w14:solidFill>
                      </w14:textFill>
                    </w:rPr>
                  </w:pPr>
                  <w:r>
                    <w:rPr>
                      <w:rFonts w:hint="default" w:ascii="Times New Roman" w:hAnsi="Times New Roman" w:eastAsia="宋体" w:cs="Times"/>
                      <w:color w:val="000000" w:themeColor="text1"/>
                      <w14:textFill>
                        <w14:solidFill>
                          <w14:schemeClr w14:val="tx1"/>
                        </w14:solidFill>
                      </w14:textFill>
                    </w:rPr>
                    <w:t>第95百分位24小时平均值浓度</w:t>
                  </w:r>
                </w:p>
              </w:tc>
              <w:tc>
                <w:tcPr>
                  <w:tcW w:w="1258" w:type="dxa"/>
                  <w:tcBorders>
                    <w:tl2br w:val="nil"/>
                    <w:tr2bl w:val="nil"/>
                  </w:tcBorders>
                  <w:noWrap w:val="0"/>
                  <w:vAlign w:val="center"/>
                </w:tcPr>
                <w:p w14:paraId="55082400">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w:color w:val="000000" w:themeColor="text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1200</w:t>
                  </w:r>
                </w:p>
              </w:tc>
              <w:tc>
                <w:tcPr>
                  <w:tcW w:w="1369" w:type="dxa"/>
                  <w:tcBorders>
                    <w:tl2br w:val="nil"/>
                    <w:tr2bl w:val="nil"/>
                  </w:tcBorders>
                  <w:noWrap w:val="0"/>
                  <w:vAlign w:val="center"/>
                </w:tcPr>
                <w:p w14:paraId="2B018289">
                  <w:pPr>
                    <w:pStyle w:val="27"/>
                    <w:keepNext w:val="0"/>
                    <w:keepLines w:val="0"/>
                    <w:pageBreakBefore w:val="0"/>
                    <w:kinsoku/>
                    <w:wordWrap/>
                    <w:overflowPunct/>
                    <w:topLinePunct w:val="0"/>
                    <w:autoSpaceDE/>
                    <w:autoSpaceDN/>
                    <w:bidi w:val="0"/>
                    <w:adjustRightInd w:val="0"/>
                    <w:snapToGrid w:val="0"/>
                    <w:spacing w:beforeLines="0" w:afterLines="0" w:line="240" w:lineRule="auto"/>
                    <w:ind w:right="0" w:rightChars="0"/>
                    <w:textAlignment w:val="auto"/>
                    <w:rPr>
                      <w:rFonts w:ascii="Times New Roman" w:hAnsi="Times New Roman" w:eastAsia="宋体" w:cs="Times"/>
                      <w:color w:val="000000" w:themeColor="text1"/>
                      <w14:textFill>
                        <w14:solidFill>
                          <w14:schemeClr w14:val="tx1"/>
                        </w14:solidFill>
                      </w14:textFill>
                    </w:rPr>
                  </w:pPr>
                  <w:r>
                    <w:rPr>
                      <w:rFonts w:ascii="Times New Roman" w:hAnsi="Times New Roman"/>
                      <w:b w:val="0"/>
                      <w:bCs/>
                      <w:color w:val="000000" w:themeColor="text1"/>
                      <w:kern w:val="0"/>
                      <w:sz w:val="21"/>
                      <w:szCs w:val="21"/>
                      <w:highlight w:val="none"/>
                      <w14:textFill>
                        <w14:solidFill>
                          <w14:schemeClr w14:val="tx1"/>
                        </w14:solidFill>
                      </w14:textFill>
                    </w:rPr>
                    <w:t>4000</w:t>
                  </w:r>
                </w:p>
              </w:tc>
              <w:tc>
                <w:tcPr>
                  <w:tcW w:w="890" w:type="dxa"/>
                  <w:tcBorders>
                    <w:tl2br w:val="nil"/>
                    <w:tr2bl w:val="nil"/>
                  </w:tcBorders>
                  <w:noWrap w:val="0"/>
                  <w:vAlign w:val="center"/>
                </w:tcPr>
                <w:p w14:paraId="382859CF">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w:color w:val="000000" w:themeColor="text1"/>
                      <w:lang w:val="en-US" w:eastAsia="zh-CN"/>
                      <w14:textFill>
                        <w14:solidFill>
                          <w14:schemeClr w14:val="tx1"/>
                        </w14:solidFill>
                      </w14:textFill>
                    </w:rPr>
                  </w:pPr>
                  <w:r>
                    <w:rPr>
                      <w:rFonts w:hint="eastAsia" w:ascii="Times New Roman" w:hAnsi="Times New Roman" w:eastAsia="宋体" w:cs="Times"/>
                      <w:color w:val="000000" w:themeColor="text1"/>
                      <w:lang w:val="en-US" w:eastAsia="zh-CN"/>
                      <w14:textFill>
                        <w14:solidFill>
                          <w14:schemeClr w14:val="tx1"/>
                        </w14:solidFill>
                      </w14:textFill>
                    </w:rPr>
                    <w:t>30</w:t>
                  </w:r>
                </w:p>
              </w:tc>
              <w:tc>
                <w:tcPr>
                  <w:tcW w:w="770" w:type="dxa"/>
                  <w:tcBorders>
                    <w:tl2br w:val="nil"/>
                    <w:tr2bl w:val="nil"/>
                  </w:tcBorders>
                  <w:noWrap w:val="0"/>
                  <w:vAlign w:val="center"/>
                </w:tcPr>
                <w:p w14:paraId="3780411F">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Times"/>
                      <w:color w:val="000000" w:themeColor="text1"/>
                      <w14:textFill>
                        <w14:solidFill>
                          <w14:schemeClr w14:val="tx1"/>
                        </w14:solidFill>
                      </w14:textFill>
                    </w:rPr>
                  </w:pPr>
                  <w:r>
                    <w:rPr>
                      <w:color w:val="000000" w:themeColor="text1"/>
                      <w:sz w:val="21"/>
                      <w:szCs w:val="21"/>
                      <w:highlight w:val="none"/>
                      <w14:textFill>
                        <w14:solidFill>
                          <w14:schemeClr w14:val="tx1"/>
                        </w14:solidFill>
                      </w14:textFill>
                    </w:rPr>
                    <w:t>达标</w:t>
                  </w:r>
                </w:p>
              </w:tc>
            </w:tr>
            <w:tr w14:paraId="2647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 w:type="dxa"/>
                  <w:tcBorders>
                    <w:tl2br w:val="nil"/>
                    <w:tr2bl w:val="nil"/>
                  </w:tcBorders>
                  <w:noWrap w:val="0"/>
                  <w:vAlign w:val="center"/>
                </w:tcPr>
                <w:p w14:paraId="55D505F0">
                  <w:pPr>
                    <w:pStyle w:val="27"/>
                    <w:keepNext w:val="0"/>
                    <w:keepLines w:val="0"/>
                    <w:pageBreakBefore w:val="0"/>
                    <w:kinsoku/>
                    <w:wordWrap/>
                    <w:overflowPunct/>
                    <w:topLinePunct w:val="0"/>
                    <w:autoSpaceDE/>
                    <w:autoSpaceDN/>
                    <w:bidi w:val="0"/>
                    <w:adjustRightInd w:val="0"/>
                    <w:snapToGrid w:val="0"/>
                    <w:spacing w:beforeLines="0" w:afterLines="0" w:line="240" w:lineRule="auto"/>
                    <w:ind w:right="0" w:rightChars="0"/>
                    <w:textAlignment w:val="auto"/>
                    <w:rPr>
                      <w:rFonts w:ascii="Times New Roman" w:hAnsi="Times New Roman" w:eastAsia="宋体" w:cs="Times"/>
                      <w:color w:val="000000" w:themeColor="text1"/>
                      <w:vertAlign w:val="subscript"/>
                      <w14:textFill>
                        <w14:solidFill>
                          <w14:schemeClr w14:val="tx1"/>
                        </w14:solidFill>
                      </w14:textFill>
                    </w:rPr>
                  </w:pPr>
                  <w:r>
                    <w:rPr>
                      <w:rFonts w:ascii="Times New Roman" w:hAnsi="Times New Roman"/>
                      <w:b w:val="0"/>
                      <w:bCs/>
                      <w:color w:val="000000" w:themeColor="text1"/>
                      <w:kern w:val="0"/>
                      <w:sz w:val="21"/>
                      <w:szCs w:val="21"/>
                      <w:highlight w:val="none"/>
                      <w14:textFill>
                        <w14:solidFill>
                          <w14:schemeClr w14:val="tx1"/>
                        </w14:solidFill>
                      </w14:textFill>
                    </w:rPr>
                    <w:t>O</w:t>
                  </w:r>
                  <w:r>
                    <w:rPr>
                      <w:rFonts w:ascii="Times New Roman" w:hAnsi="Times New Roman"/>
                      <w:b w:val="0"/>
                      <w:bCs/>
                      <w:color w:val="000000" w:themeColor="text1"/>
                      <w:kern w:val="0"/>
                      <w:sz w:val="21"/>
                      <w:szCs w:val="21"/>
                      <w:highlight w:val="none"/>
                      <w:vertAlign w:val="subscript"/>
                      <w14:textFill>
                        <w14:solidFill>
                          <w14:schemeClr w14:val="tx1"/>
                        </w14:solidFill>
                      </w14:textFill>
                    </w:rPr>
                    <w:t>3</w:t>
                  </w:r>
                </w:p>
              </w:tc>
              <w:tc>
                <w:tcPr>
                  <w:tcW w:w="2641" w:type="dxa"/>
                  <w:tcBorders>
                    <w:tl2br w:val="nil"/>
                    <w:tr2bl w:val="nil"/>
                  </w:tcBorders>
                  <w:noWrap w:val="0"/>
                  <w:vAlign w:val="center"/>
                </w:tcPr>
                <w:p w14:paraId="1755772B">
                  <w:pPr>
                    <w:pStyle w:val="26"/>
                    <w:jc w:val="center"/>
                    <w:rPr>
                      <w:rFonts w:ascii="Times New Roman" w:hAnsi="Times New Roman" w:eastAsia="宋体" w:cs="Times"/>
                      <w:color w:val="000000" w:themeColor="text1"/>
                      <w14:textFill>
                        <w14:solidFill>
                          <w14:schemeClr w14:val="tx1"/>
                        </w14:solidFill>
                      </w14:textFill>
                    </w:rPr>
                  </w:pPr>
                  <w:r>
                    <w:rPr>
                      <w:rFonts w:hint="default" w:ascii="Times New Roman" w:hAnsi="Times New Roman" w:eastAsia="宋体" w:cs="Times"/>
                      <w:color w:val="000000" w:themeColor="text1"/>
                      <w14:textFill>
                        <w14:solidFill>
                          <w14:schemeClr w14:val="tx1"/>
                        </w14:solidFill>
                      </w14:textFill>
                    </w:rPr>
                    <w:t>第90百分位数日最大8小时平均质量浓度</w:t>
                  </w:r>
                </w:p>
              </w:tc>
              <w:tc>
                <w:tcPr>
                  <w:tcW w:w="1258" w:type="dxa"/>
                  <w:tcBorders>
                    <w:tl2br w:val="nil"/>
                    <w:tr2bl w:val="nil"/>
                  </w:tcBorders>
                  <w:noWrap w:val="0"/>
                  <w:vAlign w:val="center"/>
                </w:tcPr>
                <w:p w14:paraId="20990FB3">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w:color w:val="000000" w:themeColor="text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156</w:t>
                  </w:r>
                </w:p>
              </w:tc>
              <w:tc>
                <w:tcPr>
                  <w:tcW w:w="1369" w:type="dxa"/>
                  <w:tcBorders>
                    <w:tl2br w:val="nil"/>
                    <w:tr2bl w:val="nil"/>
                  </w:tcBorders>
                  <w:noWrap w:val="0"/>
                  <w:vAlign w:val="center"/>
                </w:tcPr>
                <w:p w14:paraId="22F9D5D6">
                  <w:pPr>
                    <w:pStyle w:val="27"/>
                    <w:keepNext w:val="0"/>
                    <w:keepLines w:val="0"/>
                    <w:pageBreakBefore w:val="0"/>
                    <w:kinsoku/>
                    <w:wordWrap/>
                    <w:overflowPunct/>
                    <w:topLinePunct w:val="0"/>
                    <w:autoSpaceDE/>
                    <w:autoSpaceDN/>
                    <w:bidi w:val="0"/>
                    <w:adjustRightInd w:val="0"/>
                    <w:snapToGrid w:val="0"/>
                    <w:spacing w:beforeLines="0" w:afterLines="0" w:line="240" w:lineRule="auto"/>
                    <w:ind w:right="0" w:rightChars="0"/>
                    <w:textAlignment w:val="auto"/>
                    <w:rPr>
                      <w:rFonts w:ascii="Times New Roman" w:hAnsi="Times New Roman" w:eastAsia="宋体" w:cs="Times"/>
                      <w:color w:val="000000" w:themeColor="text1"/>
                      <w14:textFill>
                        <w14:solidFill>
                          <w14:schemeClr w14:val="tx1"/>
                        </w14:solidFill>
                      </w14:textFill>
                    </w:rPr>
                  </w:pPr>
                  <w:r>
                    <w:rPr>
                      <w:rFonts w:ascii="Times New Roman" w:hAnsi="Times New Roman"/>
                      <w:b w:val="0"/>
                      <w:bCs/>
                      <w:color w:val="000000" w:themeColor="text1"/>
                      <w:kern w:val="0"/>
                      <w:sz w:val="21"/>
                      <w:szCs w:val="21"/>
                      <w:highlight w:val="none"/>
                      <w14:textFill>
                        <w14:solidFill>
                          <w14:schemeClr w14:val="tx1"/>
                        </w14:solidFill>
                      </w14:textFill>
                    </w:rPr>
                    <w:t>160</w:t>
                  </w:r>
                </w:p>
              </w:tc>
              <w:tc>
                <w:tcPr>
                  <w:tcW w:w="890" w:type="dxa"/>
                  <w:tcBorders>
                    <w:tl2br w:val="nil"/>
                    <w:tr2bl w:val="nil"/>
                  </w:tcBorders>
                  <w:noWrap w:val="0"/>
                  <w:vAlign w:val="center"/>
                </w:tcPr>
                <w:p w14:paraId="721E6C9F">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w:color w:val="000000" w:themeColor="text1"/>
                      <w:lang w:val="en-US" w:eastAsia="zh-CN"/>
                      <w14:textFill>
                        <w14:solidFill>
                          <w14:schemeClr w14:val="tx1"/>
                        </w14:solidFill>
                      </w14:textFill>
                    </w:rPr>
                  </w:pPr>
                  <w:r>
                    <w:rPr>
                      <w:rFonts w:hint="eastAsia" w:ascii="Times New Roman" w:hAnsi="Times New Roman" w:eastAsia="宋体" w:cs="Times"/>
                      <w:color w:val="000000" w:themeColor="text1"/>
                      <w:lang w:val="en-US" w:eastAsia="zh-CN"/>
                      <w14:textFill>
                        <w14:solidFill>
                          <w14:schemeClr w14:val="tx1"/>
                        </w14:solidFill>
                      </w14:textFill>
                    </w:rPr>
                    <w:t>98</w:t>
                  </w:r>
                </w:p>
              </w:tc>
              <w:tc>
                <w:tcPr>
                  <w:tcW w:w="770" w:type="dxa"/>
                  <w:tcBorders>
                    <w:tl2br w:val="nil"/>
                    <w:tr2bl w:val="nil"/>
                  </w:tcBorders>
                  <w:noWrap w:val="0"/>
                  <w:vAlign w:val="center"/>
                </w:tcPr>
                <w:p w14:paraId="7AE407B6">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w:color w:val="000000" w:themeColor="text1"/>
                      <w:lang w:eastAsia="zh-CN"/>
                      <w14:textFill>
                        <w14:solidFill>
                          <w14:schemeClr w14:val="tx1"/>
                        </w14:solidFill>
                      </w14:textFill>
                    </w:rPr>
                  </w:pPr>
                  <w:r>
                    <w:rPr>
                      <w:color w:val="000000" w:themeColor="text1"/>
                      <w:sz w:val="21"/>
                      <w:szCs w:val="21"/>
                      <w:highlight w:val="none"/>
                      <w14:textFill>
                        <w14:solidFill>
                          <w14:schemeClr w14:val="tx1"/>
                        </w14:solidFill>
                      </w14:textFill>
                    </w:rPr>
                    <w:t>达标</w:t>
                  </w:r>
                </w:p>
              </w:tc>
            </w:tr>
          </w:tbl>
          <w:p w14:paraId="61B9DCF3">
            <w:pPr>
              <w:pStyle w:val="24"/>
              <w:spacing w:line="360" w:lineRule="auto"/>
              <w:ind w:firstLine="48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202</w:t>
            </w:r>
            <w:r>
              <w:rPr>
                <w:rFonts w:hint="eastAsia" w:eastAsia="宋体" w:cs="Times New Roman"/>
                <w:color w:val="000000" w:themeColor="text1"/>
                <w:sz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lang w:val="en-US" w:eastAsia="zh-CN"/>
                <w14:textFill>
                  <w14:solidFill>
                    <w14:schemeClr w14:val="tx1"/>
                  </w14:solidFill>
                </w14:textFill>
              </w:rPr>
              <w:t>年，陈仓区</w:t>
            </w:r>
            <w:r>
              <w:rPr>
                <w:rFonts w:hint="default" w:ascii="Times New Roman" w:hAnsi="Times New Roman" w:eastAsia="宋体" w:cs="Times New Roman"/>
                <w:color w:val="000000" w:themeColor="text1"/>
                <w:sz w:val="24"/>
                <w:lang w:val="en-US" w:eastAsia="zh-CN"/>
                <w14:textFill>
                  <w14:solidFill>
                    <w14:schemeClr w14:val="tx1"/>
                  </w14:solidFill>
                </w14:textFill>
              </w:rPr>
              <w:t>环境空气中PM</w:t>
            </w:r>
            <w:r>
              <w:rPr>
                <w:rFonts w:hint="default" w:ascii="Times New Roman" w:hAnsi="Times New Roman" w:eastAsia="宋体" w:cs="Times New Roman"/>
                <w:color w:val="000000" w:themeColor="text1"/>
                <w:sz w:val="24"/>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sz w:val="24"/>
                <w:lang w:val="en-US" w:eastAsia="zh-CN"/>
                <w14:textFill>
                  <w14:solidFill>
                    <w14:schemeClr w14:val="tx1"/>
                  </w14:solidFill>
                </w14:textFill>
              </w:rPr>
              <w:t>、SO</w:t>
            </w:r>
            <w:r>
              <w:rPr>
                <w:rFonts w:hint="default" w:ascii="Times New Roman" w:hAnsi="Times New Roman" w:eastAsia="宋体" w:cs="Times New Roman"/>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、NO</w:t>
            </w:r>
            <w:r>
              <w:rPr>
                <w:rFonts w:hint="default" w:ascii="Times New Roman" w:hAnsi="Times New Roman" w:eastAsia="宋体" w:cs="Times New Roman"/>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年平均质量浓度和CO第95百分位数日平均质量浓度、O</w:t>
            </w:r>
            <w:r>
              <w:rPr>
                <w:rFonts w:hint="default" w:ascii="Times New Roman" w:hAnsi="Times New Roman" w:eastAsia="宋体" w:cs="Times New Roman"/>
                <w:color w:val="000000" w:themeColor="text1"/>
                <w:sz w:val="24"/>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第90百分位数日最大8小时平均质量浓度均可达到《环境空气质量标准》（GB3095-2012）及其修改单中二级标准要求</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PM</w:t>
            </w:r>
            <w:r>
              <w:rPr>
                <w:rFonts w:hint="default" w:ascii="Times New Roman" w:hAnsi="Times New Roman" w:eastAsia="宋体" w:cs="Times New Roman"/>
                <w:color w:val="000000" w:themeColor="text1"/>
                <w:sz w:val="24"/>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sz w:val="24"/>
                <w:lang w:val="en-US" w:eastAsia="zh-CN"/>
                <w14:textFill>
                  <w14:solidFill>
                    <w14:schemeClr w14:val="tx1"/>
                  </w14:solidFill>
                </w14:textFill>
              </w:rPr>
              <w:t>年平均质量浓度</w:t>
            </w:r>
            <w:r>
              <w:rPr>
                <w:rFonts w:hint="eastAsia" w:ascii="Times New Roman" w:hAnsi="Times New Roman" w:eastAsia="宋体" w:cs="Times New Roman"/>
                <w:color w:val="000000" w:themeColor="text1"/>
                <w:sz w:val="24"/>
                <w:lang w:val="en-US" w:eastAsia="zh-CN"/>
                <w14:textFill>
                  <w14:solidFill>
                    <w14:schemeClr w14:val="tx1"/>
                  </w14:solidFill>
                </w14:textFill>
              </w:rPr>
              <w:t>超过</w:t>
            </w:r>
            <w:r>
              <w:rPr>
                <w:rFonts w:hint="default" w:ascii="Times New Roman" w:hAnsi="Times New Roman" w:eastAsia="宋体" w:cs="Times New Roman"/>
                <w:color w:val="000000" w:themeColor="text1"/>
                <w:sz w:val="24"/>
                <w:lang w:val="en-US" w:eastAsia="zh-CN"/>
                <w14:textFill>
                  <w14:solidFill>
                    <w14:schemeClr w14:val="tx1"/>
                  </w14:solidFill>
                </w14:textFill>
              </w:rPr>
              <w:t>《环境空气质量标准》（GB3095-2012）及其修改单中二级标准要求</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项目建设区域</w:t>
            </w:r>
            <w:r>
              <w:rPr>
                <w:rFonts w:hint="eastAsia" w:ascii="Times New Roman" w:hAnsi="Times New Roman" w:eastAsia="宋体" w:cs="Times New Roman"/>
                <w:color w:val="000000" w:themeColor="text1"/>
                <w:sz w:val="24"/>
                <w:lang w:val="en-US" w:eastAsia="zh-CN"/>
                <w14:textFill>
                  <w14:solidFill>
                    <w14:schemeClr w14:val="tx1"/>
                  </w14:solidFill>
                </w14:textFill>
              </w:rPr>
              <w:t>为不达标区域。</w:t>
            </w:r>
          </w:p>
          <w:p w14:paraId="609881A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eastAsia="zh-CN"/>
                <w14:textFill>
                  <w14:solidFill>
                    <w14:schemeClr w14:val="tx1"/>
                  </w14:solidFill>
                </w14:textFill>
              </w:rPr>
              <w:t>）其他污染物</w:t>
            </w:r>
          </w:p>
          <w:p w14:paraId="608E7D33">
            <w:pPr>
              <w:pStyle w:val="24"/>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为了解项目所在地区环境空气中特征因子总</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悬浮颗粒物</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eastAsia="宋体" w:cs="Times New Roman"/>
                <w:color w:val="000000" w:themeColor="text1"/>
                <w:sz w:val="24"/>
                <w:highlight w:val="none"/>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现</w:t>
            </w:r>
            <w:r>
              <w:rPr>
                <w:rFonts w:hint="default" w:ascii="Times New Roman" w:hAnsi="Times New Roman" w:eastAsia="宋体" w:cs="Times New Roman"/>
                <w:color w:val="000000" w:themeColor="text1"/>
                <w:sz w:val="24"/>
                <w:lang w:val="en-US" w:eastAsia="zh-CN"/>
                <w14:textFill>
                  <w14:solidFill>
                    <w14:schemeClr w14:val="tx1"/>
                  </w14:solidFill>
                </w14:textFill>
              </w:rPr>
              <w:t>状，按照《建设项目环境 影响报告表编制技术指南》（污染影响类）（试行）的规定“排放国家、地方环境空气质量标准中有标准限值要求的特征污染物时，引用建设项目周边5km范围内近3年的现有监测数据”</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734D062D">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p>
          <w:p w14:paraId="2EDD02C1">
            <w:pPr>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本次评价污染物（TSP）</w:t>
            </w:r>
            <w:r>
              <w:rPr>
                <w:rFonts w:ascii="Times New Roman" w:hAnsi="Times New Roman" w:eastAsia="宋体" w:cs="Times New Roman"/>
                <w:color w:val="000000" w:themeColor="text1"/>
                <w:sz w:val="24"/>
                <w:szCs w:val="24"/>
                <w14:textFill>
                  <w14:solidFill>
                    <w14:schemeClr w14:val="tx1"/>
                  </w14:solidFill>
                </w14:textFill>
              </w:rPr>
              <w:t>环境质量现状</w:t>
            </w:r>
            <w:r>
              <w:rPr>
                <w:rFonts w:hint="default" w:ascii="Times New Roman" w:hAnsi="Times New Roman" w:eastAsia="宋体" w:cs="Times New Roman"/>
                <w:color w:val="000000" w:themeColor="text1"/>
                <w:sz w:val="24"/>
                <w:lang w:val="en-US" w:eastAsia="zh-CN"/>
                <w14:textFill>
                  <w14:solidFill>
                    <w14:schemeClr w14:val="tx1"/>
                  </w14:solidFill>
                </w14:textFill>
              </w:rPr>
              <w:t>引用</w:t>
            </w:r>
            <w:r>
              <w:rPr>
                <w:rFonts w:ascii="宋体" w:hAnsi="宋体" w:eastAsia="宋体" w:cs="宋体"/>
                <w:b w:val="0"/>
                <w:bCs w:val="0"/>
                <w:color w:val="000000" w:themeColor="text1"/>
                <w:sz w:val="24"/>
                <w:szCs w:val="24"/>
                <w14:textFill>
                  <w14:solidFill>
                    <w14:schemeClr w14:val="tx1"/>
                  </w14:solidFill>
                </w14:textFill>
              </w:rPr>
              <w:t>《国钛金属高端制造工业园新能源用超大规格高品质钛制品产业线建设项目环境影响报告书》监测数据（报告编号：</w:t>
            </w:r>
            <w:r>
              <w:rPr>
                <w:rFonts w:hint="default" w:ascii="TimesNewRomanPSMT" w:hAnsi="TimesNewRomanPSMT" w:eastAsia="TimesNewRomanPSMT" w:cs="TimesNewRomanPSMT"/>
                <w:b w:val="0"/>
                <w:bCs w:val="0"/>
                <w:color w:val="000000" w:themeColor="text1"/>
                <w:sz w:val="24"/>
                <w:szCs w:val="24"/>
                <w14:textFill>
                  <w14:solidFill>
                    <w14:schemeClr w14:val="tx1"/>
                  </w14:solidFill>
                </w14:textFill>
              </w:rPr>
              <w:t>KC2022HB10317</w:t>
            </w:r>
            <w:r>
              <w:rPr>
                <w:rFonts w:ascii="宋体" w:hAnsi="宋体" w:eastAsia="宋体" w:cs="宋体"/>
                <w:b w:val="0"/>
                <w:bCs w:val="0"/>
                <w:color w:val="000000" w:themeColor="text1"/>
                <w:sz w:val="24"/>
                <w:szCs w:val="24"/>
                <w14:textFill>
                  <w14:solidFill>
                    <w14:schemeClr w14:val="tx1"/>
                  </w14:solidFill>
                </w14:textFill>
              </w:rPr>
              <w:t>），监测时间为</w:t>
            </w:r>
            <w:r>
              <w:rPr>
                <w:rFonts w:hint="default" w:ascii="TimesNewRomanPSMT" w:hAnsi="TimesNewRomanPSMT" w:eastAsia="TimesNewRomanPSMT" w:cs="TimesNewRomanPSMT"/>
                <w:b w:val="0"/>
                <w:bCs w:val="0"/>
                <w:color w:val="000000" w:themeColor="text1"/>
                <w:sz w:val="24"/>
                <w:szCs w:val="24"/>
                <w14:textFill>
                  <w14:solidFill>
                    <w14:schemeClr w14:val="tx1"/>
                  </w14:solidFill>
                </w14:textFill>
              </w:rPr>
              <w:t>2022</w:t>
            </w:r>
            <w:r>
              <w:rPr>
                <w:rFonts w:ascii="宋体" w:hAnsi="宋体" w:eastAsia="宋体" w:cs="宋体"/>
                <w:b w:val="0"/>
                <w:bCs w:val="0"/>
                <w:color w:val="000000" w:themeColor="text1"/>
                <w:sz w:val="24"/>
                <w:szCs w:val="24"/>
                <w14:textFill>
                  <w14:solidFill>
                    <w14:schemeClr w14:val="tx1"/>
                  </w14:solidFill>
                </w14:textFill>
              </w:rPr>
              <w:t>年</w:t>
            </w:r>
            <w:r>
              <w:rPr>
                <w:rFonts w:hint="default" w:ascii="TimesNewRomanPSMT" w:hAnsi="TimesNewRomanPSMT" w:eastAsia="TimesNewRomanPSMT" w:cs="TimesNewRomanPSMT"/>
                <w:b w:val="0"/>
                <w:bCs w:val="0"/>
                <w:color w:val="000000" w:themeColor="text1"/>
                <w:sz w:val="24"/>
                <w:szCs w:val="24"/>
                <w14:textFill>
                  <w14:solidFill>
                    <w14:schemeClr w14:val="tx1"/>
                  </w14:solidFill>
                </w14:textFill>
              </w:rPr>
              <w:t>10</w:t>
            </w:r>
            <w:r>
              <w:rPr>
                <w:rFonts w:ascii="宋体" w:hAnsi="宋体" w:eastAsia="宋体" w:cs="宋体"/>
                <w:b w:val="0"/>
                <w:bCs w:val="0"/>
                <w:color w:val="000000" w:themeColor="text1"/>
                <w:sz w:val="24"/>
                <w:szCs w:val="24"/>
                <w14:textFill>
                  <w14:solidFill>
                    <w14:schemeClr w14:val="tx1"/>
                  </w14:solidFill>
                </w14:textFill>
              </w:rPr>
              <w:t>月</w:t>
            </w:r>
            <w:r>
              <w:rPr>
                <w:rFonts w:hint="default" w:ascii="TimesNewRomanPSMT" w:hAnsi="TimesNewRomanPSMT" w:eastAsia="TimesNewRomanPSMT" w:cs="TimesNewRomanPSMT"/>
                <w:b w:val="0"/>
                <w:bCs w:val="0"/>
                <w:color w:val="000000" w:themeColor="text1"/>
                <w:sz w:val="24"/>
                <w:szCs w:val="24"/>
                <w14:textFill>
                  <w14:solidFill>
                    <w14:schemeClr w14:val="tx1"/>
                  </w14:solidFill>
                </w14:textFill>
              </w:rPr>
              <w:t>8</w:t>
            </w:r>
            <w:r>
              <w:rPr>
                <w:rFonts w:ascii="宋体" w:hAnsi="宋体" w:eastAsia="宋体" w:cs="宋体"/>
                <w:b w:val="0"/>
                <w:bCs w:val="0"/>
                <w:color w:val="000000" w:themeColor="text1"/>
                <w:sz w:val="24"/>
                <w:szCs w:val="24"/>
                <w14:textFill>
                  <w14:solidFill>
                    <w14:schemeClr w14:val="tx1"/>
                  </w14:solidFill>
                </w14:textFill>
              </w:rPr>
              <w:t>日至</w:t>
            </w:r>
            <w:r>
              <w:rPr>
                <w:rFonts w:hint="default" w:ascii="TimesNewRomanPSMT" w:hAnsi="TimesNewRomanPSMT" w:eastAsia="TimesNewRomanPSMT" w:cs="TimesNewRomanPSMT"/>
                <w:b w:val="0"/>
                <w:bCs w:val="0"/>
                <w:color w:val="000000" w:themeColor="text1"/>
                <w:sz w:val="24"/>
                <w:szCs w:val="24"/>
                <w14:textFill>
                  <w14:solidFill>
                    <w14:schemeClr w14:val="tx1"/>
                  </w14:solidFill>
                </w14:textFill>
              </w:rPr>
              <w:t>1</w:t>
            </w:r>
            <w:r>
              <w:rPr>
                <w:rFonts w:hint="eastAsia" w:ascii="TimesNewRomanPSMT" w:hAnsi="TimesNewRomanPSMT" w:eastAsia="宋体" w:cs="TimesNewRomanPSMT"/>
                <w:b w:val="0"/>
                <w:bCs w:val="0"/>
                <w:color w:val="000000" w:themeColor="text1"/>
                <w:sz w:val="24"/>
                <w:szCs w:val="24"/>
                <w:lang w:val="en-US" w:eastAsia="zh-CN"/>
                <w14:textFill>
                  <w14:solidFill>
                    <w14:schemeClr w14:val="tx1"/>
                  </w14:solidFill>
                </w14:textFill>
              </w:rPr>
              <w:t>0</w:t>
            </w:r>
            <w:r>
              <w:rPr>
                <w:rFonts w:ascii="宋体" w:hAnsi="宋体" w:eastAsia="宋体" w:cs="宋体"/>
                <w:b w:val="0"/>
                <w:bCs w:val="0"/>
                <w:color w:val="000000" w:themeColor="text1"/>
                <w:sz w:val="24"/>
                <w:szCs w:val="24"/>
                <w14:textFill>
                  <w14:solidFill>
                    <w14:schemeClr w14:val="tx1"/>
                  </w14:solidFill>
                </w14:textFill>
              </w:rPr>
              <w:t>月</w:t>
            </w:r>
            <w:r>
              <w:rPr>
                <w:rFonts w:hint="default" w:ascii="TimesNewRomanPSMT" w:hAnsi="TimesNewRomanPSMT" w:eastAsia="TimesNewRomanPSMT" w:cs="TimesNewRomanPSMT"/>
                <w:b w:val="0"/>
                <w:bCs w:val="0"/>
                <w:color w:val="000000" w:themeColor="text1"/>
                <w:sz w:val="24"/>
                <w:szCs w:val="24"/>
                <w14:textFill>
                  <w14:solidFill>
                    <w14:schemeClr w14:val="tx1"/>
                  </w14:solidFill>
                </w14:textFill>
              </w:rPr>
              <w:t>14</w:t>
            </w:r>
            <w:r>
              <w:rPr>
                <w:rFonts w:ascii="宋体" w:hAnsi="宋体" w:eastAsia="宋体" w:cs="宋体"/>
                <w:b w:val="0"/>
                <w:bCs w:val="0"/>
                <w:color w:val="000000" w:themeColor="text1"/>
                <w:sz w:val="24"/>
                <w:szCs w:val="24"/>
                <w14:textFill>
                  <w14:solidFill>
                    <w14:schemeClr w14:val="tx1"/>
                  </w14:solidFill>
                </w14:textFill>
              </w:rPr>
              <w:t>日连续</w:t>
            </w:r>
            <w:r>
              <w:rPr>
                <w:rFonts w:hint="default" w:ascii="TimesNewRomanPSMT" w:hAnsi="TimesNewRomanPSMT" w:eastAsia="TimesNewRomanPSMT" w:cs="TimesNewRomanPSMT"/>
                <w:b w:val="0"/>
                <w:bCs w:val="0"/>
                <w:color w:val="000000" w:themeColor="text1"/>
                <w:sz w:val="24"/>
                <w:szCs w:val="24"/>
                <w14:textFill>
                  <w14:solidFill>
                    <w14:schemeClr w14:val="tx1"/>
                  </w14:solidFill>
                </w14:textFill>
              </w:rPr>
              <w:t>7</w:t>
            </w:r>
            <w:r>
              <w:rPr>
                <w:rFonts w:ascii="宋体" w:hAnsi="宋体" w:eastAsia="宋体" w:cs="宋体"/>
                <w:b w:val="0"/>
                <w:bCs w:val="0"/>
                <w:color w:val="000000" w:themeColor="text1"/>
                <w:sz w:val="24"/>
                <w:szCs w:val="24"/>
                <w14:textFill>
                  <w14:solidFill>
                    <w14:schemeClr w14:val="tx1"/>
                  </w14:solidFill>
                </w14:textFill>
              </w:rPr>
              <w:t>天，监测点位于本项目</w:t>
            </w:r>
            <w:r>
              <w:rPr>
                <w:rFonts w:hint="eastAsia" w:ascii="宋体" w:hAnsi="宋体" w:eastAsia="宋体" w:cs="宋体"/>
                <w:b w:val="0"/>
                <w:bCs w:val="0"/>
                <w:color w:val="000000" w:themeColor="text1"/>
                <w:sz w:val="24"/>
                <w:szCs w:val="24"/>
                <w:lang w:val="en-US" w:eastAsia="zh-CN"/>
                <w14:textFill>
                  <w14:solidFill>
                    <w14:schemeClr w14:val="tx1"/>
                  </w14:solidFill>
                </w14:textFill>
              </w:rPr>
              <w:t>西</w:t>
            </w:r>
            <w:r>
              <w:rPr>
                <w:rFonts w:ascii="宋体" w:hAnsi="宋体" w:eastAsia="宋体" w:cs="宋体"/>
                <w:b w:val="0"/>
                <w:bCs w:val="0"/>
                <w:color w:val="000000" w:themeColor="text1"/>
                <w:sz w:val="24"/>
                <w:szCs w:val="24"/>
                <w14:textFill>
                  <w14:solidFill>
                    <w14:schemeClr w14:val="tx1"/>
                  </w14:solidFill>
                </w14:textFill>
              </w:rPr>
              <w:t>南侧约</w:t>
            </w:r>
            <w:r>
              <w:rPr>
                <w:rFonts w:hint="eastAsia" w:ascii="宋体" w:hAnsi="宋体" w:eastAsia="宋体" w:cs="宋体"/>
                <w:b w:val="0"/>
                <w:bCs w:val="0"/>
                <w:color w:val="000000" w:themeColor="text1"/>
                <w:sz w:val="24"/>
                <w:szCs w:val="24"/>
                <w:lang w:val="en-US" w:eastAsia="zh-CN"/>
                <w14:textFill>
                  <w14:solidFill>
                    <w14:schemeClr w14:val="tx1"/>
                  </w14:solidFill>
                </w14:textFill>
              </w:rPr>
              <w:t>3406</w:t>
            </w:r>
            <w:r>
              <w:rPr>
                <w:rFonts w:hint="default" w:ascii="TimesNewRomanPSMT" w:hAnsi="TimesNewRomanPSMT" w:eastAsia="TimesNewRomanPSMT" w:cs="TimesNewRomanPSMT"/>
                <w:b w:val="0"/>
                <w:bCs w:val="0"/>
                <w:color w:val="000000" w:themeColor="text1"/>
                <w:sz w:val="24"/>
                <w:szCs w:val="24"/>
                <w14:textFill>
                  <w14:solidFill>
                    <w14:schemeClr w14:val="tx1"/>
                  </w14:solidFill>
                </w14:textFill>
              </w:rPr>
              <w:t>m</w:t>
            </w:r>
            <w:r>
              <w:rPr>
                <w:rFonts w:ascii="宋体" w:hAnsi="宋体" w:eastAsia="宋体" w:cs="宋体"/>
                <w:b w:val="0"/>
                <w:bCs w:val="0"/>
                <w:color w:val="000000" w:themeColor="text1"/>
                <w:sz w:val="24"/>
                <w:szCs w:val="24"/>
                <w14:textFill>
                  <w14:solidFill>
                    <w14:schemeClr w14:val="tx1"/>
                  </w14:solidFill>
                </w14:textFill>
              </w:rPr>
              <w:t>），项目引用监测数据满足“近三年”时效要求，监测结果见下表。</w:t>
            </w:r>
            <w:r>
              <w:rPr>
                <w:rFonts w:hint="default" w:ascii="Times New Roman" w:hAnsi="Times New Roman" w:eastAsia="宋体" w:cs="Times New Roman"/>
                <w:color w:val="000000" w:themeColor="text1"/>
                <w:sz w:val="24"/>
                <w:lang w:val="en-US" w:eastAsia="zh-CN"/>
                <w14:textFill>
                  <w14:solidFill>
                    <w14:schemeClr w14:val="tx1"/>
                  </w14:solidFill>
                </w14:textFill>
              </w:rPr>
              <w:t>引用监测点位与项目位置关系见图3-</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所示。</w:t>
            </w:r>
          </w:p>
          <w:p w14:paraId="335017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表3-2  引用项目环境空气现状监测结果统计表</w:t>
            </w:r>
          </w:p>
          <w:tbl>
            <w:tblPr>
              <w:tblStyle w:val="14"/>
              <w:tblW w:w="8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887"/>
              <w:gridCol w:w="1140"/>
              <w:gridCol w:w="1335"/>
              <w:gridCol w:w="1290"/>
              <w:gridCol w:w="1530"/>
              <w:gridCol w:w="817"/>
            </w:tblGrid>
            <w:tr w14:paraId="1AEF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97" w:type="dxa"/>
                  <w:tcBorders>
                    <w:tl2br w:val="nil"/>
                    <w:tr2bl w:val="nil"/>
                  </w:tcBorders>
                  <w:noWrap w:val="0"/>
                  <w:vAlign w:val="center"/>
                </w:tcPr>
                <w:p w14:paraId="103A01F2">
                  <w:pPr>
                    <w:autoSpaceDE w:val="0"/>
                    <w:autoSpaceDN w:val="0"/>
                    <w:adjustRightInd w:val="0"/>
                    <w:jc w:val="center"/>
                    <w:rPr>
                      <w:rFonts w:hint="default" w:ascii="宋体" w:hAnsi="宋体" w:eastAsia="宋体" w:cs="宋体"/>
                      <w:b/>
                      <w:color w:val="000000" w:themeColor="text1"/>
                      <w:kern w:val="0"/>
                      <w:sz w:val="21"/>
                      <w:szCs w:val="21"/>
                      <w:lang w:val="en-US" w:eastAsia="zh-CN"/>
                      <w14:textFill>
                        <w14:solidFill>
                          <w14:schemeClr w14:val="tx1"/>
                        </w14:solidFill>
                      </w14:textFill>
                    </w:rPr>
                  </w:pPr>
                  <w:r>
                    <w:rPr>
                      <w:rFonts w:hint="eastAsia" w:ascii="宋体" w:hAnsi="宋体" w:cs="宋体"/>
                      <w:b/>
                      <w:color w:val="000000" w:themeColor="text1"/>
                      <w:kern w:val="0"/>
                      <w:sz w:val="21"/>
                      <w:szCs w:val="21"/>
                      <w:lang w:val="en-US" w:eastAsia="zh-CN"/>
                      <w14:textFill>
                        <w14:solidFill>
                          <w14:schemeClr w14:val="tx1"/>
                        </w14:solidFill>
                      </w14:textFill>
                    </w:rPr>
                    <w:t>监测点位</w:t>
                  </w:r>
                </w:p>
              </w:tc>
              <w:tc>
                <w:tcPr>
                  <w:tcW w:w="887" w:type="dxa"/>
                  <w:tcBorders>
                    <w:tl2br w:val="nil"/>
                    <w:tr2bl w:val="nil"/>
                  </w:tcBorders>
                  <w:noWrap w:val="0"/>
                  <w:vAlign w:val="center"/>
                </w:tcPr>
                <w:p w14:paraId="184FEDF9">
                  <w:pPr>
                    <w:autoSpaceDE w:val="0"/>
                    <w:autoSpaceDN w:val="0"/>
                    <w:adjustRightInd w:val="0"/>
                    <w:jc w:val="center"/>
                    <w:rPr>
                      <w:rFonts w:hint="eastAsia" w:ascii="宋体" w:hAnsi="宋体" w:eastAsia="宋体" w:cs="宋体"/>
                      <w:b/>
                      <w:color w:val="000000" w:themeColor="text1"/>
                      <w:kern w:val="0"/>
                      <w:sz w:val="21"/>
                      <w:szCs w:val="21"/>
                      <w:lang w:val="en-US" w:eastAsia="zh-CN"/>
                      <w14:textFill>
                        <w14:solidFill>
                          <w14:schemeClr w14:val="tx1"/>
                        </w14:solidFill>
                      </w14:textFill>
                    </w:rPr>
                  </w:pPr>
                  <w:r>
                    <w:rPr>
                      <w:rFonts w:hint="eastAsia" w:ascii="宋体" w:hAnsi="宋体" w:eastAsia="宋体" w:cs="宋体"/>
                      <w:b/>
                      <w:color w:val="000000" w:themeColor="text1"/>
                      <w:kern w:val="0"/>
                      <w:sz w:val="21"/>
                      <w:szCs w:val="21"/>
                      <w:lang w:val="en-US" w:eastAsia="zh-CN"/>
                      <w14:textFill>
                        <w14:solidFill>
                          <w14:schemeClr w14:val="tx1"/>
                        </w14:solidFill>
                      </w14:textFill>
                    </w:rPr>
                    <w:t>污染物</w:t>
                  </w:r>
                </w:p>
              </w:tc>
              <w:tc>
                <w:tcPr>
                  <w:tcW w:w="1140" w:type="dxa"/>
                  <w:tcBorders>
                    <w:tl2br w:val="nil"/>
                    <w:tr2bl w:val="nil"/>
                  </w:tcBorders>
                  <w:noWrap w:val="0"/>
                  <w:vAlign w:val="center"/>
                </w:tcPr>
                <w:p w14:paraId="60881C78">
                  <w:pPr>
                    <w:autoSpaceDE w:val="0"/>
                    <w:autoSpaceDN w:val="0"/>
                    <w:adjustRightInd w:val="0"/>
                    <w:jc w:val="center"/>
                    <w:rPr>
                      <w:rFonts w:hint="default" w:ascii="宋体" w:hAnsi="宋体" w:eastAsia="宋体" w:cs="宋体"/>
                      <w:b/>
                      <w:color w:val="000000" w:themeColor="text1"/>
                      <w:kern w:val="0"/>
                      <w:sz w:val="21"/>
                      <w:szCs w:val="21"/>
                      <w:lang w:val="en-US" w:eastAsia="zh-CN"/>
                      <w14:textFill>
                        <w14:solidFill>
                          <w14:schemeClr w14:val="tx1"/>
                        </w14:solidFill>
                      </w14:textFill>
                    </w:rPr>
                  </w:pPr>
                  <w:r>
                    <w:rPr>
                      <w:rFonts w:hint="eastAsia" w:ascii="宋体" w:hAnsi="宋体" w:cs="宋体"/>
                      <w:b/>
                      <w:color w:val="000000" w:themeColor="text1"/>
                      <w:kern w:val="0"/>
                      <w:sz w:val="21"/>
                      <w:szCs w:val="21"/>
                      <w:lang w:val="en-US" w:eastAsia="zh-CN"/>
                      <w14:textFill>
                        <w14:solidFill>
                          <w14:schemeClr w14:val="tx1"/>
                        </w14:solidFill>
                      </w14:textFill>
                    </w:rPr>
                    <w:t>平均时间</w:t>
                  </w:r>
                </w:p>
              </w:tc>
              <w:tc>
                <w:tcPr>
                  <w:tcW w:w="1335" w:type="dxa"/>
                  <w:tcBorders>
                    <w:tl2br w:val="nil"/>
                    <w:tr2bl w:val="nil"/>
                  </w:tcBorders>
                  <w:noWrap w:val="0"/>
                  <w:vAlign w:val="center"/>
                </w:tcPr>
                <w:p w14:paraId="3B861E55">
                  <w:pPr>
                    <w:autoSpaceDE w:val="0"/>
                    <w:autoSpaceDN w:val="0"/>
                    <w:adjustRightInd w:val="0"/>
                    <w:jc w:val="center"/>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监测日期</w:t>
                  </w:r>
                </w:p>
              </w:tc>
              <w:tc>
                <w:tcPr>
                  <w:tcW w:w="1290" w:type="dxa"/>
                  <w:tcBorders>
                    <w:tl2br w:val="nil"/>
                    <w:tr2bl w:val="nil"/>
                  </w:tcBorders>
                  <w:noWrap w:val="0"/>
                  <w:vAlign w:val="center"/>
                </w:tcPr>
                <w:p w14:paraId="6D65BFF0">
                  <w:pPr>
                    <w:autoSpaceDE w:val="0"/>
                    <w:autoSpaceDN w:val="0"/>
                    <w:adjustRightInd w:val="0"/>
                    <w:jc w:val="center"/>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评价标准/（</w:t>
                  </w:r>
                  <w:r>
                    <w:rPr>
                      <w:rFonts w:hint="eastAsia" w:ascii="宋体" w:hAnsi="宋体" w:eastAsia="宋体" w:cs="宋体"/>
                      <w:b/>
                      <w:color w:val="000000" w:themeColor="text1"/>
                      <w:kern w:val="0"/>
                      <w:sz w:val="21"/>
                      <w:szCs w:val="21"/>
                      <w:lang w:eastAsia="zh-CN"/>
                      <w14:textFill>
                        <w14:solidFill>
                          <w14:schemeClr w14:val="tx1"/>
                        </w14:solidFill>
                      </w14:textFill>
                    </w:rPr>
                    <w:t>μg/m3</w:t>
                  </w:r>
                  <w:r>
                    <w:rPr>
                      <w:rFonts w:hint="eastAsia" w:ascii="宋体" w:hAnsi="宋体" w:eastAsia="宋体" w:cs="宋体"/>
                      <w:b/>
                      <w:color w:val="000000" w:themeColor="text1"/>
                      <w:kern w:val="0"/>
                      <w:sz w:val="21"/>
                      <w:szCs w:val="21"/>
                      <w14:textFill>
                        <w14:solidFill>
                          <w14:schemeClr w14:val="tx1"/>
                        </w14:solidFill>
                      </w14:textFill>
                    </w:rPr>
                    <w:t>）</w:t>
                  </w:r>
                </w:p>
              </w:tc>
              <w:tc>
                <w:tcPr>
                  <w:tcW w:w="1530" w:type="dxa"/>
                  <w:tcBorders>
                    <w:tl2br w:val="nil"/>
                    <w:tr2bl w:val="nil"/>
                  </w:tcBorders>
                  <w:noWrap w:val="0"/>
                  <w:vAlign w:val="center"/>
                </w:tcPr>
                <w:p w14:paraId="417C4C2E">
                  <w:pPr>
                    <w:pStyle w:val="28"/>
                    <w:spacing w:line="240" w:lineRule="auto"/>
                    <w:ind w:firstLine="0" w:firstLineChars="0"/>
                    <w:jc w:val="center"/>
                    <w:textAlignment w:val="baseline"/>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监测浓度范围</w:t>
                  </w:r>
                  <w:r>
                    <w:rPr>
                      <w:rFonts w:hint="eastAsia" w:ascii="宋体" w:hAnsi="宋体" w:eastAsia="宋体" w:cs="宋体"/>
                      <w:b/>
                      <w:color w:val="000000" w:themeColor="text1"/>
                      <w:sz w:val="21"/>
                      <w:szCs w:val="21"/>
                      <w:lang w:val="en-US" w:eastAsia="zh-CN"/>
                      <w14:textFill>
                        <w14:solidFill>
                          <w14:schemeClr w14:val="tx1"/>
                        </w14:solidFill>
                      </w14:textFill>
                    </w:rPr>
                    <w:t>/</w:t>
                  </w:r>
                  <w:r>
                    <w:rPr>
                      <w:rFonts w:hint="eastAsia" w:ascii="宋体" w:hAnsi="宋体" w:eastAsia="宋体" w:cs="宋体"/>
                      <w:b/>
                      <w:color w:val="000000" w:themeColor="text1"/>
                      <w:sz w:val="21"/>
                      <w:szCs w:val="21"/>
                      <w14:textFill>
                        <w14:solidFill>
                          <w14:schemeClr w14:val="tx1"/>
                        </w14:solidFill>
                      </w14:textFill>
                    </w:rPr>
                    <w:t>（</w:t>
                  </w:r>
                  <w:r>
                    <w:rPr>
                      <w:rFonts w:hint="eastAsia" w:ascii="宋体" w:hAnsi="宋体" w:eastAsia="宋体" w:cs="宋体"/>
                      <w:b/>
                      <w:color w:val="000000" w:themeColor="text1"/>
                      <w:sz w:val="21"/>
                      <w:szCs w:val="21"/>
                      <w:lang w:eastAsia="zh-CN"/>
                      <w14:textFill>
                        <w14:solidFill>
                          <w14:schemeClr w14:val="tx1"/>
                        </w14:solidFill>
                      </w14:textFill>
                    </w:rPr>
                    <w:t>μg/m3</w:t>
                  </w:r>
                  <w:r>
                    <w:rPr>
                      <w:rFonts w:hint="eastAsia" w:ascii="宋体" w:hAnsi="宋体" w:eastAsia="宋体" w:cs="宋体"/>
                      <w:b/>
                      <w:color w:val="000000" w:themeColor="text1"/>
                      <w:sz w:val="21"/>
                      <w:szCs w:val="21"/>
                      <w14:textFill>
                        <w14:solidFill>
                          <w14:schemeClr w14:val="tx1"/>
                        </w14:solidFill>
                      </w14:textFill>
                    </w:rPr>
                    <w:t>）</w:t>
                  </w:r>
                </w:p>
              </w:tc>
              <w:tc>
                <w:tcPr>
                  <w:tcW w:w="817" w:type="dxa"/>
                  <w:tcBorders>
                    <w:tl2br w:val="nil"/>
                    <w:tr2bl w:val="nil"/>
                  </w:tcBorders>
                  <w:noWrap w:val="0"/>
                  <w:vAlign w:val="center"/>
                </w:tcPr>
                <w:p w14:paraId="50DED455">
                  <w:pPr>
                    <w:pStyle w:val="28"/>
                    <w:spacing w:line="240" w:lineRule="auto"/>
                    <w:ind w:firstLine="0" w:firstLineChars="0"/>
                    <w:jc w:val="center"/>
                    <w:textAlignment w:val="baseline"/>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达标情况</w:t>
                  </w:r>
                </w:p>
              </w:tc>
            </w:tr>
            <w:tr w14:paraId="65985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097" w:type="dxa"/>
                  <w:tcBorders>
                    <w:tl2br w:val="nil"/>
                    <w:tr2bl w:val="nil"/>
                  </w:tcBorders>
                  <w:noWrap w:val="0"/>
                  <w:vAlign w:val="center"/>
                </w:tcPr>
                <w:p w14:paraId="451D38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国钛金属厂区</w:t>
                  </w:r>
                </w:p>
              </w:tc>
              <w:tc>
                <w:tcPr>
                  <w:tcW w:w="887" w:type="dxa"/>
                  <w:tcBorders>
                    <w:tl2br w:val="nil"/>
                    <w:tr2bl w:val="nil"/>
                  </w:tcBorders>
                  <w:noWrap w:val="0"/>
                  <w:vAlign w:val="center"/>
                </w:tcPr>
                <w:p w14:paraId="1BBDE8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TSP</w:t>
                  </w:r>
                </w:p>
              </w:tc>
              <w:tc>
                <w:tcPr>
                  <w:tcW w:w="1140" w:type="dxa"/>
                  <w:tcBorders>
                    <w:tl2br w:val="nil"/>
                    <w:tr2bl w:val="nil"/>
                  </w:tcBorders>
                  <w:noWrap w:val="0"/>
                  <w:vAlign w:val="center"/>
                </w:tcPr>
                <w:p w14:paraId="4C51A5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24小时值</w:t>
                  </w:r>
                </w:p>
              </w:tc>
              <w:tc>
                <w:tcPr>
                  <w:tcW w:w="1335" w:type="dxa"/>
                  <w:tcBorders>
                    <w:tl2br w:val="nil"/>
                    <w:tr2bl w:val="nil"/>
                  </w:tcBorders>
                  <w:noWrap w:val="0"/>
                  <w:vAlign w:val="center"/>
                </w:tcPr>
                <w:p w14:paraId="265202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2022年10月8日-10月14日</w:t>
                  </w:r>
                </w:p>
              </w:tc>
              <w:tc>
                <w:tcPr>
                  <w:tcW w:w="1290" w:type="dxa"/>
                  <w:tcBorders>
                    <w:tl2br w:val="nil"/>
                    <w:tr2bl w:val="nil"/>
                  </w:tcBorders>
                  <w:noWrap w:val="0"/>
                  <w:vAlign w:val="center"/>
                </w:tcPr>
                <w:p w14:paraId="72A7518E">
                  <w:pPr>
                    <w:adjustRightInd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300</w:t>
                  </w:r>
                </w:p>
              </w:tc>
              <w:tc>
                <w:tcPr>
                  <w:tcW w:w="1530" w:type="dxa"/>
                  <w:tcBorders>
                    <w:tl2br w:val="nil"/>
                    <w:tr2bl w:val="nil"/>
                  </w:tcBorders>
                  <w:noWrap w:val="0"/>
                  <w:vAlign w:val="center"/>
                </w:tcPr>
                <w:p w14:paraId="4A291AA3">
                  <w:pPr>
                    <w:adjustRightInd w:val="0"/>
                    <w:spacing w:line="360" w:lineRule="auto"/>
                    <w:jc w:val="center"/>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132-207</w:t>
                  </w:r>
                </w:p>
              </w:tc>
              <w:tc>
                <w:tcPr>
                  <w:tcW w:w="817" w:type="dxa"/>
                  <w:tcBorders>
                    <w:tl2br w:val="nil"/>
                    <w:tr2bl w:val="nil"/>
                  </w:tcBorders>
                  <w:noWrap w:val="0"/>
                  <w:vAlign w:val="center"/>
                </w:tcPr>
                <w:p w14:paraId="0D5AA8E5">
                  <w:pPr>
                    <w:adjustRightInd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达标</w:t>
                  </w:r>
                </w:p>
              </w:tc>
            </w:tr>
          </w:tbl>
          <w:p w14:paraId="75AE6869">
            <w:pPr>
              <w:keepNext w:val="0"/>
              <w:keepLines w:val="0"/>
              <w:pageBreakBefore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w:t>
            </w:r>
            <w:r>
              <w:rPr>
                <w:rFonts w:hint="eastAsia" w:ascii="Times New Roman" w:hAnsi="Times New Roman" w:eastAsia="宋体" w:cs="Times New Roman"/>
                <w:color w:val="000000" w:themeColor="text1"/>
                <w:sz w:val="24"/>
                <w:lang w:val="en-US" w:eastAsia="zh-CN"/>
                <w14:textFill>
                  <w14:solidFill>
                    <w14:schemeClr w14:val="tx1"/>
                  </w14:solidFill>
                </w14:textFill>
              </w:rPr>
              <w:t>引用</w:t>
            </w:r>
            <w:r>
              <w:rPr>
                <w:rFonts w:hint="default" w:ascii="Times New Roman" w:hAnsi="Times New Roman" w:eastAsia="宋体" w:cs="Times New Roman"/>
                <w:color w:val="000000" w:themeColor="text1"/>
                <w:sz w:val="24"/>
                <w14:textFill>
                  <w14:solidFill>
                    <w14:schemeClr w14:val="tx1"/>
                  </w14:solidFill>
                </w14:textFill>
              </w:rPr>
              <w:t>监测结果可知，监测点TSP监测浓度满足《环境空气质量标准》（GB3095-2012）及修改单中的二级标准要求。</w:t>
            </w:r>
          </w:p>
          <w:p w14:paraId="5E89E21E">
            <w:pPr>
              <w:keepNext w:val="0"/>
              <w:keepLines w:val="0"/>
              <w:pageBreakBefore w:val="0"/>
              <w:tabs>
                <w:tab w:val="left" w:pos="4847"/>
              </w:tabs>
              <w:kinsoku/>
              <w:wordWrap/>
              <w:overflowPunct/>
              <w:topLinePunct w:val="0"/>
              <w:autoSpaceDE/>
              <w:autoSpaceDN/>
              <w:bidi w:val="0"/>
              <w:adjustRightInd w:val="0"/>
              <w:snapToGrid w:val="0"/>
              <w:spacing w:line="360" w:lineRule="auto"/>
              <w:textAlignment w:val="auto"/>
              <w:rPr>
                <w:rFonts w:ascii="Times New Roman" w:hAnsi="Times New Roman"/>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060315" cy="3373755"/>
                  <wp:effectExtent l="0" t="0" r="6985" b="171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060315" cy="3373755"/>
                          </a:xfrm>
                          <a:prstGeom prst="rect">
                            <a:avLst/>
                          </a:prstGeom>
                          <a:noFill/>
                          <a:ln>
                            <a:noFill/>
                          </a:ln>
                        </pic:spPr>
                      </pic:pic>
                    </a:graphicData>
                  </a:graphic>
                </wp:inline>
              </w:drawing>
            </w:r>
          </w:p>
          <w:p w14:paraId="1F404B9A">
            <w:pPr>
              <w:pStyle w:val="11"/>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firstLine="0" w:firstLineChars="0"/>
              <w:jc w:val="center"/>
              <w:textAlignment w:val="auto"/>
              <w:rPr>
                <w:rFonts w:hint="default" w:ascii="Times New Roman" w:hAnsi="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图3-1  引用监测点位与项目位置关系图</w:t>
            </w:r>
          </w:p>
          <w:p w14:paraId="35105CD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bCs/>
                <w:color w:val="000000" w:themeColor="text1"/>
                <w:sz w:val="24"/>
                <w:lang w:val="en-US" w:eastAsia="zh-CN"/>
                <w14:textFill>
                  <w14:solidFill>
                    <w14:schemeClr w14:val="tx1"/>
                  </w14:solidFill>
                </w14:textFill>
              </w:rPr>
            </w:pPr>
            <w:r>
              <w:rPr>
                <w:rFonts w:hint="eastAsia" w:ascii="Times New Roman" w:hAnsi="Times New Roman"/>
                <w:b/>
                <w:bCs/>
                <w:color w:val="000000" w:themeColor="text1"/>
                <w:sz w:val="24"/>
                <w:lang w:val="en-US" w:eastAsia="zh-CN"/>
                <w14:textFill>
                  <w14:solidFill>
                    <w14:schemeClr w14:val="tx1"/>
                  </w14:solidFill>
                </w14:textFill>
              </w:rPr>
              <w:t>2、声环境质量现状</w:t>
            </w:r>
          </w:p>
          <w:p w14:paraId="49644FA9">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本项目厂界外50m范围内无声环境保护目标，</w:t>
            </w:r>
            <w:r>
              <w:rPr>
                <w:rFonts w:hint="eastAsia"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无需开展声环境质量现状监测</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w:t>
            </w:r>
          </w:p>
          <w:p w14:paraId="3D6DCB7F">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2" w:firstLineChars="200"/>
              <w:textAlignment w:val="auto"/>
              <w:rPr>
                <w:rFonts w:hint="eastAsia" w:ascii="宋体" w:hAnsi="宋体" w:eastAsia="宋体" w:cs="宋体"/>
                <w:b/>
                <w:bCs/>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3、</w:t>
            </w:r>
            <w:r>
              <w:rPr>
                <w:rFonts w:hint="eastAsia" w:ascii="宋体" w:hAnsi="宋体" w:eastAsia="宋体" w:cs="宋体"/>
                <w:b/>
                <w:bCs/>
                <w:color w:val="000000" w:themeColor="text1"/>
                <w:sz w:val="24"/>
                <w:lang w:val="en-US" w:eastAsia="zh-CN"/>
                <w14:textFill>
                  <w14:solidFill>
                    <w14:schemeClr w14:val="tx1"/>
                  </w14:solidFill>
                </w14:textFill>
              </w:rPr>
              <w:t>地表水环境</w:t>
            </w:r>
          </w:p>
          <w:p w14:paraId="019D6E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本项目生产废水循环使用不外排，</w:t>
            </w:r>
            <w:r>
              <w:rPr>
                <w:rFonts w:hint="eastAsia" w:ascii="宋体" w:hAnsi="宋体" w:cs="宋体"/>
                <w:bCs/>
                <w:color w:val="000000" w:themeColor="text1"/>
                <w:sz w:val="24"/>
                <w:szCs w:val="24"/>
                <w:lang w:val="en-US" w:eastAsia="zh-CN"/>
                <w14:textFill>
                  <w14:solidFill>
                    <w14:schemeClr w14:val="tx1"/>
                  </w14:solidFill>
                </w14:textFill>
              </w:rPr>
              <w:t>生活污水经化粪池处理后排入市政管网。</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本次地表水环境质量现状评价取虢镇污水处理厂排污口上游和下游两个断面，断面水质数据引用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“宝鸡市2023年环境质量公报”中的质量数据。</w:t>
            </w:r>
          </w:p>
          <w:p w14:paraId="6984F4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表3-</w:t>
            </w:r>
            <w:r>
              <w:rPr>
                <w:rFonts w:hint="eastAsia"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 xml:space="preserve">   地表水环境现状达标情况</w:t>
            </w:r>
          </w:p>
          <w:tbl>
            <w:tblPr>
              <w:tblStyle w:val="1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833"/>
              <w:gridCol w:w="804"/>
              <w:gridCol w:w="630"/>
              <w:gridCol w:w="745"/>
              <w:gridCol w:w="888"/>
              <w:gridCol w:w="608"/>
              <w:gridCol w:w="667"/>
              <w:gridCol w:w="769"/>
              <w:gridCol w:w="745"/>
            </w:tblGrid>
            <w:tr w14:paraId="2FE9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97" w:type="pct"/>
                  <w:vMerge w:val="restart"/>
                  <w:vAlign w:val="center"/>
                </w:tcPr>
                <w:p w14:paraId="45FB79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断面名称</w:t>
                  </w:r>
                </w:p>
              </w:tc>
              <w:tc>
                <w:tcPr>
                  <w:tcW w:w="522" w:type="pct"/>
                  <w:vMerge w:val="restart"/>
                  <w:vAlign w:val="center"/>
                </w:tcPr>
                <w:p w14:paraId="4C14ED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断面</w:t>
                  </w:r>
                </w:p>
                <w:p w14:paraId="4B72EC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类别</w:t>
                  </w:r>
                </w:p>
              </w:tc>
              <w:tc>
                <w:tcPr>
                  <w:tcW w:w="3679" w:type="pct"/>
                  <w:gridSpan w:val="8"/>
                  <w:vAlign w:val="center"/>
                </w:tcPr>
                <w:p w14:paraId="0933F0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指标年均值（mg/L）</w:t>
                  </w:r>
                </w:p>
              </w:tc>
            </w:tr>
            <w:tr w14:paraId="524A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97" w:type="pct"/>
                  <w:vMerge w:val="continue"/>
                  <w:vAlign w:val="center"/>
                </w:tcPr>
                <w:p w14:paraId="7428C2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22" w:type="pct"/>
                  <w:vMerge w:val="continue"/>
                  <w:vAlign w:val="center"/>
                </w:tcPr>
                <w:p w14:paraId="2B7986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05" w:type="pct"/>
                  <w:vAlign w:val="center"/>
                </w:tcPr>
                <w:p w14:paraId="796A95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pH</w:t>
                  </w:r>
                </w:p>
              </w:tc>
              <w:tc>
                <w:tcPr>
                  <w:tcW w:w="396" w:type="pct"/>
                  <w:vAlign w:val="center"/>
                </w:tcPr>
                <w:p w14:paraId="299079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溶解氧</w:t>
                  </w:r>
                </w:p>
              </w:tc>
              <w:tc>
                <w:tcPr>
                  <w:tcW w:w="468" w:type="pct"/>
                  <w:vAlign w:val="center"/>
                </w:tcPr>
                <w:p w14:paraId="31745B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高锰酸盐指数</w:t>
                  </w:r>
                </w:p>
              </w:tc>
              <w:tc>
                <w:tcPr>
                  <w:tcW w:w="558" w:type="pct"/>
                  <w:vAlign w:val="center"/>
                </w:tcPr>
                <w:p w14:paraId="39A085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五日生化需氧量</w:t>
                  </w:r>
                </w:p>
              </w:tc>
              <w:tc>
                <w:tcPr>
                  <w:tcW w:w="382" w:type="pct"/>
                  <w:vAlign w:val="center"/>
                </w:tcPr>
                <w:p w14:paraId="403E64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氨氮</w:t>
                  </w:r>
                </w:p>
              </w:tc>
              <w:tc>
                <w:tcPr>
                  <w:tcW w:w="419" w:type="pct"/>
                  <w:vAlign w:val="center"/>
                </w:tcPr>
                <w:p w14:paraId="5826E5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化学需氧量</w:t>
                  </w:r>
                </w:p>
              </w:tc>
              <w:tc>
                <w:tcPr>
                  <w:tcW w:w="483" w:type="pct"/>
                  <w:vAlign w:val="center"/>
                </w:tcPr>
                <w:p w14:paraId="035550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总磷</w:t>
                  </w:r>
                </w:p>
              </w:tc>
              <w:tc>
                <w:tcPr>
                  <w:tcW w:w="467" w:type="pct"/>
                  <w:vAlign w:val="center"/>
                </w:tcPr>
                <w:p w14:paraId="569066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氟化物</w:t>
                  </w:r>
                </w:p>
              </w:tc>
            </w:tr>
            <w:tr w14:paraId="1EFC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97" w:type="pct"/>
                  <w:vAlign w:val="center"/>
                </w:tcPr>
                <w:p w14:paraId="599F72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虢镇桥</w:t>
                  </w:r>
                </w:p>
              </w:tc>
              <w:tc>
                <w:tcPr>
                  <w:tcW w:w="522" w:type="pct"/>
                  <w:vAlign w:val="center"/>
                </w:tcPr>
                <w:p w14:paraId="4B8944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Ⅳ类</w:t>
                  </w:r>
                </w:p>
              </w:tc>
              <w:tc>
                <w:tcPr>
                  <w:tcW w:w="505" w:type="pct"/>
                  <w:vAlign w:val="center"/>
                </w:tcPr>
                <w:p w14:paraId="4D64B6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8.4</w:t>
                  </w:r>
                </w:p>
              </w:tc>
              <w:tc>
                <w:tcPr>
                  <w:tcW w:w="396" w:type="pct"/>
                  <w:vAlign w:val="center"/>
                </w:tcPr>
                <w:p w14:paraId="06AA7D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9.5</w:t>
                  </w:r>
                </w:p>
              </w:tc>
              <w:tc>
                <w:tcPr>
                  <w:tcW w:w="468" w:type="pct"/>
                  <w:vAlign w:val="center"/>
                </w:tcPr>
                <w:p w14:paraId="44961D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2.6</w:t>
                  </w:r>
                </w:p>
              </w:tc>
              <w:tc>
                <w:tcPr>
                  <w:tcW w:w="558" w:type="pct"/>
                  <w:vAlign w:val="center"/>
                </w:tcPr>
                <w:p w14:paraId="08EDD0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1.7</w:t>
                  </w:r>
                </w:p>
              </w:tc>
              <w:tc>
                <w:tcPr>
                  <w:tcW w:w="382" w:type="pct"/>
                  <w:vAlign w:val="center"/>
                </w:tcPr>
                <w:p w14:paraId="523725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0.46</w:t>
                  </w:r>
                </w:p>
              </w:tc>
              <w:tc>
                <w:tcPr>
                  <w:tcW w:w="419" w:type="pct"/>
                  <w:vAlign w:val="center"/>
                </w:tcPr>
                <w:p w14:paraId="0CF638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14.3</w:t>
                  </w:r>
                </w:p>
              </w:tc>
              <w:tc>
                <w:tcPr>
                  <w:tcW w:w="483" w:type="pct"/>
                  <w:vAlign w:val="center"/>
                </w:tcPr>
                <w:p w14:paraId="139E76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0.074</w:t>
                  </w:r>
                </w:p>
              </w:tc>
              <w:tc>
                <w:tcPr>
                  <w:tcW w:w="467" w:type="pct"/>
                  <w:vAlign w:val="center"/>
                </w:tcPr>
                <w:p w14:paraId="0E739F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0.4</w:t>
                  </w:r>
                </w:p>
              </w:tc>
            </w:tr>
            <w:tr w14:paraId="623D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97" w:type="pct"/>
                  <w:shd w:val="clear" w:color="auto" w:fill="auto"/>
                  <w:vAlign w:val="center"/>
                </w:tcPr>
                <w:p w14:paraId="205D51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GB3838-2002标准限值</w:t>
                  </w:r>
                </w:p>
              </w:tc>
              <w:tc>
                <w:tcPr>
                  <w:tcW w:w="522" w:type="pct"/>
                  <w:shd w:val="clear" w:color="auto" w:fill="auto"/>
                  <w:vAlign w:val="center"/>
                </w:tcPr>
                <w:p w14:paraId="76BAAE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Ⅳ类</w:t>
                  </w:r>
                </w:p>
              </w:tc>
              <w:tc>
                <w:tcPr>
                  <w:tcW w:w="505" w:type="pct"/>
                  <w:shd w:val="clear" w:color="auto" w:fill="auto"/>
                  <w:vAlign w:val="center"/>
                </w:tcPr>
                <w:p w14:paraId="545D46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6~9</w:t>
                  </w:r>
                </w:p>
              </w:tc>
              <w:tc>
                <w:tcPr>
                  <w:tcW w:w="396" w:type="pct"/>
                  <w:shd w:val="clear" w:color="auto" w:fill="auto"/>
                  <w:vAlign w:val="center"/>
                </w:tcPr>
                <w:p w14:paraId="6E2A01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w:t>
                  </w:r>
                </w:p>
              </w:tc>
              <w:tc>
                <w:tcPr>
                  <w:tcW w:w="468" w:type="pct"/>
                  <w:shd w:val="clear" w:color="auto" w:fill="auto"/>
                  <w:vAlign w:val="center"/>
                </w:tcPr>
                <w:p w14:paraId="41A2B1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≤10</w:t>
                  </w:r>
                </w:p>
              </w:tc>
              <w:tc>
                <w:tcPr>
                  <w:tcW w:w="558" w:type="pct"/>
                  <w:shd w:val="clear" w:color="auto" w:fill="auto"/>
                  <w:vAlign w:val="center"/>
                </w:tcPr>
                <w:p w14:paraId="713F3C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w:t>
                  </w:r>
                </w:p>
              </w:tc>
              <w:tc>
                <w:tcPr>
                  <w:tcW w:w="382" w:type="pct"/>
                  <w:shd w:val="clear" w:color="auto" w:fill="auto"/>
                  <w:vAlign w:val="center"/>
                </w:tcPr>
                <w:p w14:paraId="577F93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≤1.5</w:t>
                  </w:r>
                </w:p>
              </w:tc>
              <w:tc>
                <w:tcPr>
                  <w:tcW w:w="419" w:type="pct"/>
                  <w:shd w:val="clear" w:color="auto" w:fill="auto"/>
                  <w:vAlign w:val="center"/>
                </w:tcPr>
                <w:p w14:paraId="72B8C6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≤30</w:t>
                  </w:r>
                </w:p>
              </w:tc>
              <w:tc>
                <w:tcPr>
                  <w:tcW w:w="483" w:type="pct"/>
                  <w:shd w:val="clear" w:color="auto" w:fill="auto"/>
                  <w:vAlign w:val="center"/>
                </w:tcPr>
                <w:p w14:paraId="400865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w:t>
                  </w:r>
                </w:p>
              </w:tc>
              <w:tc>
                <w:tcPr>
                  <w:tcW w:w="467" w:type="pct"/>
                  <w:shd w:val="clear" w:color="auto" w:fill="auto"/>
                  <w:vAlign w:val="center"/>
                </w:tcPr>
                <w:p w14:paraId="39AD2D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≤1.5</w:t>
                  </w:r>
                </w:p>
              </w:tc>
            </w:tr>
            <w:tr w14:paraId="3848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20" w:type="pct"/>
                  <w:gridSpan w:val="2"/>
                  <w:vAlign w:val="center"/>
                </w:tcPr>
                <w:p w14:paraId="06D2E4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达标情况</w:t>
                  </w:r>
                </w:p>
              </w:tc>
              <w:tc>
                <w:tcPr>
                  <w:tcW w:w="505" w:type="pct"/>
                  <w:vAlign w:val="center"/>
                </w:tcPr>
                <w:p w14:paraId="249742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396" w:type="pct"/>
                  <w:vAlign w:val="center"/>
                </w:tcPr>
                <w:p w14:paraId="181658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468" w:type="pct"/>
                  <w:vAlign w:val="center"/>
                </w:tcPr>
                <w:p w14:paraId="52B6E7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558" w:type="pct"/>
                  <w:vAlign w:val="center"/>
                </w:tcPr>
                <w:p w14:paraId="0D9C07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382" w:type="pct"/>
                  <w:vAlign w:val="center"/>
                </w:tcPr>
                <w:p w14:paraId="2606C0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419" w:type="pct"/>
                  <w:vAlign w:val="center"/>
                </w:tcPr>
                <w:p w14:paraId="4BC737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483" w:type="pct"/>
                  <w:vAlign w:val="center"/>
                </w:tcPr>
                <w:p w14:paraId="0A5D47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467" w:type="pct"/>
                  <w:vAlign w:val="center"/>
                </w:tcPr>
                <w:p w14:paraId="3B1453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r>
            <w:tr w14:paraId="523F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97" w:type="pct"/>
                  <w:shd w:val="clear" w:color="auto" w:fill="auto"/>
                  <w:vAlign w:val="center"/>
                </w:tcPr>
                <w:p w14:paraId="2E23DF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魏家堡断面</w:t>
                  </w:r>
                </w:p>
              </w:tc>
              <w:tc>
                <w:tcPr>
                  <w:tcW w:w="522" w:type="pct"/>
                  <w:shd w:val="clear" w:color="auto" w:fill="auto"/>
                  <w:vAlign w:val="center"/>
                </w:tcPr>
                <w:p w14:paraId="22AA0D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Ⅲ类</w:t>
                  </w:r>
                </w:p>
              </w:tc>
              <w:tc>
                <w:tcPr>
                  <w:tcW w:w="505" w:type="pct"/>
                  <w:shd w:val="clear" w:color="auto" w:fill="auto"/>
                  <w:vAlign w:val="center"/>
                </w:tcPr>
                <w:p w14:paraId="0EE94B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8.0</w:t>
                  </w:r>
                </w:p>
              </w:tc>
              <w:tc>
                <w:tcPr>
                  <w:tcW w:w="396" w:type="pct"/>
                  <w:shd w:val="clear" w:color="auto" w:fill="auto"/>
                  <w:vAlign w:val="center"/>
                </w:tcPr>
                <w:p w14:paraId="215025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9.3</w:t>
                  </w:r>
                </w:p>
              </w:tc>
              <w:tc>
                <w:tcPr>
                  <w:tcW w:w="468" w:type="pct"/>
                  <w:shd w:val="clear" w:color="auto" w:fill="auto"/>
                  <w:vAlign w:val="center"/>
                </w:tcPr>
                <w:p w14:paraId="7E786B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3.6</w:t>
                  </w:r>
                </w:p>
              </w:tc>
              <w:tc>
                <w:tcPr>
                  <w:tcW w:w="558" w:type="pct"/>
                  <w:shd w:val="clear" w:color="auto" w:fill="auto"/>
                  <w:vAlign w:val="center"/>
                </w:tcPr>
                <w:p w14:paraId="03A0B6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1.8</w:t>
                  </w:r>
                </w:p>
              </w:tc>
              <w:tc>
                <w:tcPr>
                  <w:tcW w:w="382" w:type="pct"/>
                  <w:shd w:val="clear" w:color="auto" w:fill="auto"/>
                  <w:vAlign w:val="center"/>
                </w:tcPr>
                <w:p w14:paraId="51F5CB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0.42</w:t>
                  </w:r>
                </w:p>
              </w:tc>
              <w:tc>
                <w:tcPr>
                  <w:tcW w:w="419" w:type="pct"/>
                  <w:shd w:val="clear" w:color="auto" w:fill="auto"/>
                  <w:vAlign w:val="center"/>
                </w:tcPr>
                <w:p w14:paraId="3FACAB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25</w:t>
                  </w:r>
                </w:p>
              </w:tc>
              <w:tc>
                <w:tcPr>
                  <w:tcW w:w="483" w:type="pct"/>
                  <w:shd w:val="clear" w:color="auto" w:fill="auto"/>
                  <w:vAlign w:val="center"/>
                </w:tcPr>
                <w:p w14:paraId="31899E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0.102</w:t>
                  </w:r>
                </w:p>
              </w:tc>
              <w:tc>
                <w:tcPr>
                  <w:tcW w:w="467" w:type="pct"/>
                  <w:shd w:val="clear" w:color="auto" w:fill="auto"/>
                  <w:vAlign w:val="center"/>
                </w:tcPr>
                <w:p w14:paraId="6106AB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0.53</w:t>
                  </w:r>
                </w:p>
              </w:tc>
            </w:tr>
            <w:tr w14:paraId="41BB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pct"/>
                  <w:shd w:val="clear" w:color="auto" w:fill="auto"/>
                  <w:vAlign w:val="center"/>
                </w:tcPr>
                <w:p w14:paraId="5490BD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GB3838-2002标准限值</w:t>
                  </w:r>
                </w:p>
              </w:tc>
              <w:tc>
                <w:tcPr>
                  <w:tcW w:w="522" w:type="pct"/>
                  <w:shd w:val="clear" w:color="auto" w:fill="auto"/>
                  <w:vAlign w:val="center"/>
                </w:tcPr>
                <w:p w14:paraId="4E4087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Ⅲ类</w:t>
                  </w:r>
                </w:p>
              </w:tc>
              <w:tc>
                <w:tcPr>
                  <w:tcW w:w="505" w:type="pct"/>
                  <w:shd w:val="clear" w:color="auto" w:fill="auto"/>
                  <w:vAlign w:val="center"/>
                </w:tcPr>
                <w:p w14:paraId="52BC48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6~9</w:t>
                  </w:r>
                </w:p>
              </w:tc>
              <w:tc>
                <w:tcPr>
                  <w:tcW w:w="396" w:type="pct"/>
                  <w:shd w:val="clear" w:color="auto" w:fill="auto"/>
                  <w:vAlign w:val="center"/>
                </w:tcPr>
                <w:p w14:paraId="1A3E08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≥5</w:t>
                  </w:r>
                </w:p>
              </w:tc>
              <w:tc>
                <w:tcPr>
                  <w:tcW w:w="468" w:type="pct"/>
                  <w:shd w:val="clear" w:color="auto" w:fill="auto"/>
                  <w:vAlign w:val="center"/>
                </w:tcPr>
                <w:p w14:paraId="186E50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w:t>
                  </w:r>
                </w:p>
              </w:tc>
              <w:tc>
                <w:tcPr>
                  <w:tcW w:w="558" w:type="pct"/>
                  <w:shd w:val="clear" w:color="auto" w:fill="auto"/>
                  <w:vAlign w:val="center"/>
                </w:tcPr>
                <w:p w14:paraId="4EF377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≤4</w:t>
                  </w:r>
                </w:p>
              </w:tc>
              <w:tc>
                <w:tcPr>
                  <w:tcW w:w="382" w:type="pct"/>
                  <w:shd w:val="clear" w:color="auto" w:fill="auto"/>
                  <w:vAlign w:val="center"/>
                </w:tcPr>
                <w:p w14:paraId="0C86B0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w:t>
                  </w:r>
                </w:p>
              </w:tc>
              <w:tc>
                <w:tcPr>
                  <w:tcW w:w="419" w:type="pct"/>
                  <w:shd w:val="clear" w:color="auto" w:fill="auto"/>
                  <w:vAlign w:val="center"/>
                </w:tcPr>
                <w:p w14:paraId="2ECEA9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≤20</w:t>
                  </w:r>
                </w:p>
              </w:tc>
              <w:tc>
                <w:tcPr>
                  <w:tcW w:w="483" w:type="pct"/>
                  <w:shd w:val="clear" w:color="auto" w:fill="auto"/>
                  <w:vAlign w:val="center"/>
                </w:tcPr>
                <w:p w14:paraId="39741A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≤0.2</w:t>
                  </w:r>
                </w:p>
              </w:tc>
              <w:tc>
                <w:tcPr>
                  <w:tcW w:w="467" w:type="pct"/>
                  <w:shd w:val="clear" w:color="auto" w:fill="auto"/>
                  <w:vAlign w:val="center"/>
                </w:tcPr>
                <w:p w14:paraId="696879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≤1.0</w:t>
                  </w:r>
                </w:p>
              </w:tc>
            </w:tr>
            <w:tr w14:paraId="129F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pct"/>
                  <w:gridSpan w:val="2"/>
                  <w:vAlign w:val="center"/>
                </w:tcPr>
                <w:p w14:paraId="28449B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达标情况</w:t>
                  </w:r>
                </w:p>
              </w:tc>
              <w:tc>
                <w:tcPr>
                  <w:tcW w:w="505" w:type="pct"/>
                  <w:vAlign w:val="center"/>
                </w:tcPr>
                <w:p w14:paraId="3ED297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396" w:type="pct"/>
                  <w:vAlign w:val="center"/>
                </w:tcPr>
                <w:p w14:paraId="7268C7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468" w:type="pct"/>
                  <w:vAlign w:val="center"/>
                </w:tcPr>
                <w:p w14:paraId="3BCE2C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558" w:type="pct"/>
                  <w:vAlign w:val="center"/>
                </w:tcPr>
                <w:p w14:paraId="2092E8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382" w:type="pct"/>
                  <w:vAlign w:val="center"/>
                </w:tcPr>
                <w:p w14:paraId="5A600B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419" w:type="pct"/>
                  <w:vAlign w:val="center"/>
                </w:tcPr>
                <w:p w14:paraId="25FB19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超标</w:t>
                  </w:r>
                </w:p>
              </w:tc>
              <w:tc>
                <w:tcPr>
                  <w:tcW w:w="483" w:type="pct"/>
                  <w:vAlign w:val="center"/>
                </w:tcPr>
                <w:p w14:paraId="5BE307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467" w:type="pct"/>
                  <w:vAlign w:val="center"/>
                </w:tcPr>
                <w:p w14:paraId="3D4D4B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r>
          </w:tbl>
          <w:p w14:paraId="2951E18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由表3-2可知，虢镇桥断面水质满足《地表水环境质量标准》（GB3838-2002）中Ⅳ类标准，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魏家堡断面</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化学需氧量超标，其他因子均满足《地表水环境质量标准》（GB3838-2002）中Ⅲ类标准。</w:t>
            </w:r>
          </w:p>
          <w:p w14:paraId="5F722106">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0" w:firstLineChars="200"/>
              <w:textAlignment w:val="auto"/>
              <w:rPr>
                <w:rFonts w:hint="default"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4、</w:t>
            </w:r>
            <w:r>
              <w:rPr>
                <w:rFonts w:hint="eastAsia" w:ascii="宋体" w:hAnsi="宋体" w:eastAsia="宋体" w:cs="宋体"/>
                <w:b/>
                <w:bCs/>
                <w:color w:val="000000" w:themeColor="text1"/>
                <w:lang w:val="en-US" w:eastAsia="zh-CN"/>
                <w14:textFill>
                  <w14:solidFill>
                    <w14:schemeClr w14:val="tx1"/>
                  </w14:solidFill>
                </w14:textFill>
              </w:rPr>
              <w:t>生态环境</w:t>
            </w:r>
          </w:p>
          <w:p w14:paraId="3CCD1FEA">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0" w:firstLineChars="200"/>
              <w:textAlignment w:val="auto"/>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本项目属于改扩建，建设项目无新增用地且用地范围内不含有生态环境保护目标，无需进行生态现状调查。</w:t>
            </w:r>
          </w:p>
          <w:p w14:paraId="162110C4">
            <w:pPr>
              <w:keepNext w:val="0"/>
              <w:keepLines w:val="0"/>
              <w:pageBreakBefore w:val="0"/>
              <w:kinsoku/>
              <w:wordWrap/>
              <w:overflowPunct/>
              <w:topLinePunct w:val="0"/>
              <w:autoSpaceDE/>
              <w:autoSpaceDN/>
              <w:bidi w:val="0"/>
              <w:spacing w:beforeAutospacing="0" w:afterAutospacing="0" w:line="360" w:lineRule="auto"/>
              <w:ind w:left="0" w:leftChars="0" w:firstLine="482" w:firstLineChars="200"/>
              <w:textAlignment w:val="auto"/>
              <w:rPr>
                <w:rFonts w:hint="default" w:ascii="宋体" w:hAnsi="宋体" w:eastAsia="宋体" w:cs="宋体"/>
                <w:b/>
                <w:bCs/>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5、电磁辐射</w:t>
            </w:r>
          </w:p>
          <w:p w14:paraId="0697DEC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本项目不属于电磁辐射类项目，因此无需开展电磁辐射现状监测与评价。</w:t>
            </w:r>
          </w:p>
          <w:p w14:paraId="1ADAC0F9">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2" w:firstLineChars="200"/>
              <w:textAlignment w:val="auto"/>
              <w:rPr>
                <w:rFonts w:hint="default"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6、地下水、土壤环境</w:t>
            </w:r>
          </w:p>
          <w:p w14:paraId="46D8076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outlineLvl w:val="1"/>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根据项目生产工艺特点，本次环评结合项目污染源分布情况，项目所在区域地面以及生产厂房地面</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均已使用混凝土硬化处理</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危废贮存设施</w:t>
            </w:r>
            <w:r>
              <w:rPr>
                <w:rFonts w:ascii="宋体" w:hAnsi="宋体" w:eastAsia="宋体" w:cs="宋体"/>
                <w:color w:val="000000" w:themeColor="text1"/>
                <w:sz w:val="24"/>
                <w:szCs w:val="24"/>
                <w:highlight w:val="none"/>
                <w14:textFill>
                  <w14:solidFill>
                    <w14:schemeClr w14:val="tx1"/>
                  </w14:solidFill>
                </w14:textFill>
              </w:rPr>
              <w:t>采取</w:t>
            </w:r>
            <w:r>
              <w:rPr>
                <w:rFonts w:hint="eastAsia" w:ascii="宋体" w:hAnsi="宋体" w:eastAsia="宋体" w:cs="宋体"/>
                <w:color w:val="000000" w:themeColor="text1"/>
                <w:sz w:val="24"/>
                <w:szCs w:val="24"/>
                <w:highlight w:val="none"/>
                <w:lang w:val="en-US" w:eastAsia="zh-CN"/>
                <w14:textFill>
                  <w14:solidFill>
                    <w14:schemeClr w14:val="tx1"/>
                  </w14:solidFill>
                </w14:textFill>
              </w:rPr>
              <w:t>托盘、地面</w:t>
            </w:r>
            <w:r>
              <w:rPr>
                <w:rFonts w:ascii="宋体" w:hAnsi="宋体" w:eastAsia="宋体" w:cs="宋体"/>
                <w:color w:val="000000" w:themeColor="text1"/>
                <w:sz w:val="24"/>
                <w:szCs w:val="24"/>
                <w:highlight w:val="none"/>
                <w14:textFill>
                  <w14:solidFill>
                    <w14:schemeClr w14:val="tx1"/>
                  </w14:solidFill>
                </w14:textFill>
              </w:rPr>
              <w:t>防渗措施，</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本项目运营过程中无地下水、土壤环境污染途径，因此本次环评不再对地下水、土壤环境进行质量现状背景值监测。</w:t>
            </w:r>
          </w:p>
          <w:p w14:paraId="6CBD630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outlineLvl w:val="1"/>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p>
        </w:tc>
      </w:tr>
      <w:tr w14:paraId="79F89D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14:paraId="0854CE91">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w:t>
            </w:r>
          </w:p>
          <w:p w14:paraId="184ED7C8">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保护</w:t>
            </w:r>
          </w:p>
          <w:p w14:paraId="4E959915">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目标</w:t>
            </w:r>
          </w:p>
        </w:tc>
        <w:tc>
          <w:tcPr>
            <w:tcW w:w="8190" w:type="dxa"/>
            <w:noWrap w:val="0"/>
            <w:vAlign w:val="center"/>
          </w:tcPr>
          <w:p w14:paraId="7673FC9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宋体" w:hAnsi="宋体" w:cs="宋体"/>
                <w:b/>
                <w:bCs/>
                <w:color w:val="000000" w:themeColor="text1"/>
                <w:kern w:val="0"/>
                <w:sz w:val="24"/>
                <w:szCs w:val="24"/>
                <w:lang w:val="en-US" w:eastAsia="zh-CN"/>
                <w14:textFill>
                  <w14:solidFill>
                    <w14:schemeClr w14:val="tx1"/>
                  </w14:solidFill>
                </w14:textFill>
              </w:rPr>
            </w:pPr>
            <w:r>
              <w:rPr>
                <w:rFonts w:hint="eastAsia" w:ascii="宋体" w:hAnsi="宋体" w:cs="宋体"/>
                <w:b/>
                <w:bCs/>
                <w:color w:val="000000" w:themeColor="text1"/>
                <w:kern w:val="0"/>
                <w:sz w:val="24"/>
                <w:szCs w:val="24"/>
                <w:lang w:val="en-US" w:eastAsia="zh-CN"/>
                <w14:textFill>
                  <w14:solidFill>
                    <w14:schemeClr w14:val="tx1"/>
                  </w14:solidFill>
                </w14:textFill>
              </w:rPr>
              <w:t>1、大气环境</w:t>
            </w:r>
          </w:p>
          <w:p w14:paraId="0E9C577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default" w:ascii="宋体" w:hAnsi="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项目厂界周边500m范围内环境空气保护目标见下表。</w:t>
            </w:r>
          </w:p>
          <w:p w14:paraId="2020E5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color w:val="000000" w:themeColor="text1"/>
                <w:kern w:val="0"/>
                <w:sz w:val="21"/>
                <w:szCs w:val="21"/>
                <w:lang w:val="en-US" w:eastAsia="zh-CN"/>
                <w14:textFill>
                  <w14:solidFill>
                    <w14:schemeClr w14:val="tx1"/>
                  </w14:solidFill>
                </w14:textFill>
              </w:rPr>
            </w:pPr>
            <w:r>
              <w:rPr>
                <w:rFonts w:hint="eastAsia" w:ascii="宋体" w:hAnsi="宋体" w:cs="宋体"/>
                <w:b/>
                <w:bCs/>
                <w:color w:val="000000" w:themeColor="text1"/>
                <w:kern w:val="0"/>
                <w:sz w:val="21"/>
                <w:szCs w:val="21"/>
                <w:lang w:val="en-US" w:eastAsia="zh-CN"/>
                <w14:textFill>
                  <w14:solidFill>
                    <w14:schemeClr w14:val="tx1"/>
                  </w14:solidFill>
                </w14:textFill>
              </w:rPr>
              <w:t>表3-4  环境空气保护目标一览表</w:t>
            </w:r>
          </w:p>
          <w:tbl>
            <w:tblPr>
              <w:tblStyle w:val="15"/>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965"/>
              <w:gridCol w:w="810"/>
              <w:gridCol w:w="822"/>
              <w:gridCol w:w="1139"/>
              <w:gridCol w:w="1139"/>
              <w:gridCol w:w="1140"/>
            </w:tblGrid>
            <w:tr w14:paraId="7FED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49B94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名称</w:t>
                  </w:r>
                </w:p>
              </w:tc>
              <w:tc>
                <w:tcPr>
                  <w:tcW w:w="1965" w:type="dxa"/>
                  <w:vAlign w:val="center"/>
                </w:tcPr>
                <w:p w14:paraId="26F6D1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坐标</w:t>
                  </w:r>
                </w:p>
              </w:tc>
              <w:tc>
                <w:tcPr>
                  <w:tcW w:w="810" w:type="dxa"/>
                  <w:vAlign w:val="center"/>
                </w:tcPr>
                <w:p w14:paraId="2E78AA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保护</w:t>
                  </w:r>
                </w:p>
                <w:p w14:paraId="25D492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对象</w:t>
                  </w:r>
                </w:p>
              </w:tc>
              <w:tc>
                <w:tcPr>
                  <w:tcW w:w="822" w:type="dxa"/>
                  <w:vAlign w:val="center"/>
                </w:tcPr>
                <w:p w14:paraId="71EE77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保护</w:t>
                  </w:r>
                </w:p>
                <w:p w14:paraId="46DF25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内容</w:t>
                  </w:r>
                </w:p>
              </w:tc>
              <w:tc>
                <w:tcPr>
                  <w:tcW w:w="1139" w:type="dxa"/>
                  <w:vAlign w:val="center"/>
                </w:tcPr>
                <w:p w14:paraId="3F8C8F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环境功能区</w:t>
                  </w:r>
                </w:p>
              </w:tc>
              <w:tc>
                <w:tcPr>
                  <w:tcW w:w="1139" w:type="dxa"/>
                  <w:vAlign w:val="center"/>
                </w:tcPr>
                <w:p w14:paraId="386FB7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相对厂址方位</w:t>
                  </w:r>
                </w:p>
              </w:tc>
              <w:tc>
                <w:tcPr>
                  <w:tcW w:w="1140" w:type="dxa"/>
                  <w:vAlign w:val="center"/>
                </w:tcPr>
                <w:p w14:paraId="097D44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相对厂界距离</w:t>
                  </w:r>
                </w:p>
              </w:tc>
            </w:tr>
            <w:tr w14:paraId="2C07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CBA3A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靳家庄</w:t>
                  </w:r>
                </w:p>
              </w:tc>
              <w:tc>
                <w:tcPr>
                  <w:tcW w:w="1965" w:type="dxa"/>
                  <w:vAlign w:val="center"/>
                </w:tcPr>
                <w:p w14:paraId="0DEDF1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107.428780</w:t>
                  </w:r>
                </w:p>
                <w:p w14:paraId="355069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34.352932</w:t>
                  </w:r>
                </w:p>
              </w:tc>
              <w:tc>
                <w:tcPr>
                  <w:tcW w:w="810" w:type="dxa"/>
                  <w:vAlign w:val="center"/>
                </w:tcPr>
                <w:p w14:paraId="310F04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居民</w:t>
                  </w:r>
                </w:p>
              </w:tc>
              <w:tc>
                <w:tcPr>
                  <w:tcW w:w="822" w:type="dxa"/>
                  <w:vAlign w:val="center"/>
                </w:tcPr>
                <w:p w14:paraId="539E0E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620人</w:t>
                  </w:r>
                </w:p>
              </w:tc>
              <w:tc>
                <w:tcPr>
                  <w:tcW w:w="1139" w:type="dxa"/>
                  <w:vMerge w:val="restart"/>
                  <w:vAlign w:val="center"/>
                </w:tcPr>
                <w:p w14:paraId="6E1552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《环境空气质量标准》（GB3095-2012）二类区</w:t>
                  </w:r>
                </w:p>
              </w:tc>
              <w:tc>
                <w:tcPr>
                  <w:tcW w:w="1139" w:type="dxa"/>
                  <w:vAlign w:val="center"/>
                </w:tcPr>
                <w:p w14:paraId="0A5976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WN</w:t>
                  </w:r>
                </w:p>
              </w:tc>
              <w:tc>
                <w:tcPr>
                  <w:tcW w:w="1140" w:type="dxa"/>
                  <w:vAlign w:val="center"/>
                </w:tcPr>
                <w:p w14:paraId="102F10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312m</w:t>
                  </w:r>
                </w:p>
              </w:tc>
            </w:tr>
            <w:tr w14:paraId="10FA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65E0C5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赵家庄</w:t>
                  </w:r>
                </w:p>
              </w:tc>
              <w:tc>
                <w:tcPr>
                  <w:tcW w:w="1965" w:type="dxa"/>
                  <w:vAlign w:val="center"/>
                </w:tcPr>
                <w:p w14:paraId="42AEAD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107.434369</w:t>
                  </w:r>
                </w:p>
                <w:p w14:paraId="1DB2B3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34.351550</w:t>
                  </w:r>
                </w:p>
              </w:tc>
              <w:tc>
                <w:tcPr>
                  <w:tcW w:w="810" w:type="dxa"/>
                  <w:shd w:val="clear" w:color="auto" w:fill="auto"/>
                  <w:vAlign w:val="center"/>
                </w:tcPr>
                <w:p w14:paraId="7E8017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eastAsiaTheme="minorEastAsia"/>
                      <w:color w:val="000000" w:themeColor="text1"/>
                      <w:kern w:val="0"/>
                      <w:sz w:val="24"/>
                      <w:szCs w:val="24"/>
                      <w:vertAlign w:val="baseline"/>
                      <w:lang w:val="en-US" w:eastAsia="zh-CN" w:bidi="ar-SA"/>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居民</w:t>
                  </w:r>
                </w:p>
              </w:tc>
              <w:tc>
                <w:tcPr>
                  <w:tcW w:w="822" w:type="dxa"/>
                  <w:shd w:val="clear" w:color="auto" w:fill="auto"/>
                  <w:vAlign w:val="center"/>
                </w:tcPr>
                <w:p w14:paraId="442300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eastAsiaTheme="minorEastAsia"/>
                      <w:color w:val="000000" w:themeColor="text1"/>
                      <w:kern w:val="0"/>
                      <w:sz w:val="24"/>
                      <w:szCs w:val="24"/>
                      <w:vertAlign w:val="baseline"/>
                      <w:lang w:val="en-US" w:eastAsia="zh-CN" w:bidi="ar-SA"/>
                      <w14:textFill>
                        <w14:solidFill>
                          <w14:schemeClr w14:val="tx1"/>
                        </w14:solidFill>
                      </w14:textFill>
                    </w:rPr>
                  </w:pPr>
                  <w:r>
                    <w:rPr>
                      <w:rFonts w:hint="eastAsia" w:ascii="宋体" w:hAnsi="宋体" w:cs="宋体"/>
                      <w:color w:val="000000" w:themeColor="text1"/>
                      <w:kern w:val="0"/>
                      <w:sz w:val="24"/>
                      <w:szCs w:val="24"/>
                      <w:vertAlign w:val="baseline"/>
                      <w:lang w:val="en-US" w:eastAsia="zh-CN" w:bidi="ar-SA"/>
                      <w14:textFill>
                        <w14:solidFill>
                          <w14:schemeClr w14:val="tx1"/>
                        </w14:solidFill>
                      </w14:textFill>
                    </w:rPr>
                    <w:t>446人</w:t>
                  </w:r>
                </w:p>
              </w:tc>
              <w:tc>
                <w:tcPr>
                  <w:tcW w:w="1139" w:type="dxa"/>
                  <w:vMerge w:val="continue"/>
                  <w:shd w:val="clear" w:color="auto" w:fill="auto"/>
                  <w:vAlign w:val="center"/>
                </w:tcPr>
                <w:p w14:paraId="39F3AD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eastAsiaTheme="minorEastAsia"/>
                      <w:color w:val="000000" w:themeColor="text1"/>
                      <w:kern w:val="0"/>
                      <w:sz w:val="24"/>
                      <w:szCs w:val="24"/>
                      <w:vertAlign w:val="baseline"/>
                      <w:lang w:val="en-US" w:eastAsia="zh-CN" w:bidi="ar-SA"/>
                      <w14:textFill>
                        <w14:solidFill>
                          <w14:schemeClr w14:val="tx1"/>
                        </w14:solidFill>
                      </w14:textFill>
                    </w:rPr>
                  </w:pPr>
                </w:p>
              </w:tc>
              <w:tc>
                <w:tcPr>
                  <w:tcW w:w="1139" w:type="dxa"/>
                  <w:vAlign w:val="center"/>
                </w:tcPr>
                <w:p w14:paraId="27D2B2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NE</w:t>
                  </w:r>
                </w:p>
              </w:tc>
              <w:tc>
                <w:tcPr>
                  <w:tcW w:w="1140" w:type="dxa"/>
                  <w:vAlign w:val="center"/>
                </w:tcPr>
                <w:p w14:paraId="4538C6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000000" w:themeColor="text1"/>
                      <w:kern w:val="0"/>
                      <w:sz w:val="24"/>
                      <w:szCs w:val="24"/>
                      <w:vertAlign w:val="baseline"/>
                      <w:lang w:val="en-US" w:eastAsia="zh-CN"/>
                      <w14:textFill>
                        <w14:solidFill>
                          <w14:schemeClr w14:val="tx1"/>
                        </w14:solidFill>
                      </w14:textFill>
                    </w:rPr>
                  </w:pPr>
                  <w:r>
                    <w:rPr>
                      <w:rFonts w:hint="eastAsia" w:ascii="宋体" w:hAnsi="宋体" w:cs="宋体"/>
                      <w:color w:val="000000" w:themeColor="text1"/>
                      <w:kern w:val="0"/>
                      <w:sz w:val="24"/>
                      <w:szCs w:val="24"/>
                      <w:vertAlign w:val="baseline"/>
                      <w:lang w:val="en-US" w:eastAsia="zh-CN"/>
                      <w14:textFill>
                        <w14:solidFill>
                          <w14:schemeClr w14:val="tx1"/>
                        </w14:solidFill>
                      </w14:textFill>
                    </w:rPr>
                    <w:t>417m</w:t>
                  </w:r>
                </w:p>
              </w:tc>
            </w:tr>
          </w:tbl>
          <w:p w14:paraId="0BA63D8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宋体" w:hAnsi="宋体" w:cs="宋体"/>
                <w:color w:val="000000" w:themeColor="text1"/>
                <w:kern w:val="0"/>
                <w:sz w:val="24"/>
                <w:szCs w:val="24"/>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3672205</wp:posOffset>
                      </wp:positionH>
                      <wp:positionV relativeFrom="paragraph">
                        <wp:posOffset>876300</wp:posOffset>
                      </wp:positionV>
                      <wp:extent cx="674370" cy="245745"/>
                      <wp:effectExtent l="0" t="0" r="0" b="0"/>
                      <wp:wrapNone/>
                      <wp:docPr id="26" name="矩形 26"/>
                      <wp:cNvGraphicFramePr/>
                      <a:graphic xmlns:a="http://schemas.openxmlformats.org/drawingml/2006/main">
                        <a:graphicData uri="http://schemas.microsoft.com/office/word/2010/wordprocessingShape">
                          <wps:wsp>
                            <wps:cNvSpPr/>
                            <wps:spPr>
                              <a:xfrm>
                                <a:off x="0" y="0"/>
                                <a:ext cx="674370" cy="2457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B70E204">
                                  <w:pPr>
                                    <w:jc w:val="center"/>
                                    <w:rPr>
                                      <w:rFonts w:hint="default" w:eastAsiaTheme="minorEastAsia"/>
                                      <w:lang w:val="en-US" w:eastAsia="zh-CN"/>
                                    </w:rPr>
                                  </w:pPr>
                                  <w:r>
                                    <w:rPr>
                                      <w:rFonts w:hint="eastAsia"/>
                                      <w:lang w:val="en-US" w:eastAsia="zh-CN"/>
                                    </w:rPr>
                                    <w:t>赵家庄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15pt;margin-top:69pt;height:19.35pt;width:53.1pt;z-index:251673600;v-text-anchor:middle;mso-width-relative:page;mso-height-relative:page;" filled="f" stroked="f" coordsize="21600,21600" o:gfxdata="UEsDBAoAAAAAAIdO4kAAAAAAAAAAAAAAAAAEAAAAZHJzL1BLAwQUAAAACACHTuJA2ggiLtgAAAAL&#10;AQAADwAAAGRycy9kb3ducmV2LnhtbE2PwU7DMBBE70j8g7VI3KhTShMrxKkEEkKoB0SBu2O7SUS8&#10;jmwnaf+e5USPO/M0O1PtTm5gsw2x9yhhvcqAWdTe9NhK+Pp8uRPAYlJo1ODRSjjbCLv6+qpSpfEL&#10;ftj5kFpGIRhLJaFLaSw5j7qzTsWVHy2Sd/TBqURnaLkJaqFwN/D7LMu5Uz3Sh06N9rmz+ucwOQnf&#10;/vi0ON3g23x+76fXfdBa7KW8vVlnj8CSPaV/GP7qU3WoqVPjJzSRDRK2hdgQSsZG0CgicvGwBdaQ&#10;UuQF8LrilxvqX1BLAwQUAAAACACHTuJAjdfZ9V8CAACuBAAADgAAAGRycy9lMm9Eb2MueG1srVTN&#10;bhMxEL4j8Q6W73STkDYl6qaKGhUhVbRSQZwdr5215D9sJ5vyMkjceIg+DuI1+OzdtlHh0AM5bGY8&#10;s9/MfP5mz873RpOdCFE5W9Px0YgSYblrlN3U9POnyzenlMTEbMO0s6KmdyLS88XrV2edn4uJa51u&#10;RCAAsXHe+Zq2Kfl5VUXeCsPikfPCIihdMCzBDZuqCawDutHVZDQ6qToXGh8cFzHidNUH6YAYXgLo&#10;pFRcrBzfGmFTjxqEZgkjxVb5SBelWykFT9dSRpGIrikmTeWJIrDX+Vktzth8E5hvFR9aYC9p4dlM&#10;himLoo9QK5YY2Qb1F5RRPLjoZDrizlT9IIURTDEePePmtmVelFlAdfSPpMf/B8s/7m4CUU1NJyeU&#10;WGZw47+///x1/4PgAOx0Ps6RdOtvwuBFmHnUvQwm/2MIsi+M3j0yKvaJcByezKZvZ+CaIzSZHs+m&#10;xxmzenrZh5jeC2dINmoacGGFR7a7iqlPfUjJtay7VFrjnM21JR30O5mNMj6DEiUUANN4TBPthhKm&#10;N5A4T6FAHrybIVcstmTHoIvotGp6JRiVIG6tTE1PR/k3tKstus5U9MNnK+3X+4GRtWvuwGJwvbyi&#10;55cKFa5YTDcsQE/oEBuXrvGQ2qFtN1iUtC58+9d5zsc1I0pJB32iza9bFgQl+oOFAN6Np1PApuKA&#10;2QmccBhZH0bs1lw4jDrGbntezJyf9IMpgzNfsJjLXBUhZjlq9+QNzkXq9warzcVyWdIgYs/Slb31&#10;PIP3V7TcJidVub1MVM/OwB9kXO5/WLm8J4d+yXr6zC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oIIi7YAAAACwEAAA8AAAAAAAAAAQAgAAAAIgAAAGRycy9kb3ducmV2LnhtbFBLAQIUABQAAAAI&#10;AIdO4kCN19n1XwIAAK4EAAAOAAAAAAAAAAEAIAAAACcBAABkcnMvZTJvRG9jLnhtbFBLBQYAAAAA&#10;BgAGAFkBAAD4BQAAAAA=&#10;">
                      <v:fill on="f" focussize="0,0"/>
                      <v:stroke on="f" weight="1pt" miterlimit="8" joinstyle="miter"/>
                      <v:imagedata o:title=""/>
                      <o:lock v:ext="edit" aspectratio="f"/>
                      <v:textbox>
                        <w:txbxContent>
                          <w:p w14:paraId="3B70E204">
                            <w:pPr>
                              <w:jc w:val="center"/>
                              <w:rPr>
                                <w:rFonts w:hint="default" w:eastAsiaTheme="minorEastAsia"/>
                                <w:lang w:val="en-US" w:eastAsia="zh-CN"/>
                              </w:rPr>
                            </w:pPr>
                            <w:r>
                              <w:rPr>
                                <w:rFonts w:hint="eastAsia"/>
                                <w:lang w:val="en-US" w:eastAsia="zh-CN"/>
                              </w:rPr>
                              <w:t>赵家庄</w:t>
                            </w: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1979930</wp:posOffset>
                      </wp:positionH>
                      <wp:positionV relativeFrom="paragraph">
                        <wp:posOffset>429895</wp:posOffset>
                      </wp:positionV>
                      <wp:extent cx="674370" cy="245745"/>
                      <wp:effectExtent l="0" t="0" r="0" b="0"/>
                      <wp:wrapNone/>
                      <wp:docPr id="25" name="矩形 25"/>
                      <wp:cNvGraphicFramePr/>
                      <a:graphic xmlns:a="http://schemas.openxmlformats.org/drawingml/2006/main">
                        <a:graphicData uri="http://schemas.microsoft.com/office/word/2010/wordprocessingShape">
                          <wps:wsp>
                            <wps:cNvSpPr/>
                            <wps:spPr>
                              <a:xfrm>
                                <a:off x="3482340" y="4601210"/>
                                <a:ext cx="674370" cy="2457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CAF7CFF">
                                  <w:pPr>
                                    <w:jc w:val="center"/>
                                    <w:rPr>
                                      <w:rFonts w:hint="default" w:eastAsiaTheme="minorEastAsia"/>
                                      <w:lang w:val="en-US" w:eastAsia="zh-CN"/>
                                    </w:rPr>
                                  </w:pPr>
                                  <w:r>
                                    <w:rPr>
                                      <w:rFonts w:hint="eastAsia"/>
                                      <w:lang w:val="en-US" w:eastAsia="zh-CN"/>
                                    </w:rPr>
                                    <w:t>靳家庄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9pt;margin-top:33.85pt;height:19.35pt;width:53.1pt;z-index:251672576;v-text-anchor:middle;mso-width-relative:page;mso-height-relative:page;" filled="f" stroked="f" coordsize="21600,21600" o:gfxdata="UEsDBAoAAAAAAIdO4kAAAAAAAAAAAAAAAAAEAAAAZHJzL1BLAwQUAAAACACHTuJAnqkI5NgAAAAK&#10;AQAADwAAAGRycy9kb3ducmV2LnhtbE2PUUvDMBSF34X9h3AHvrk0OrpSmw4URGQP4qbvaZK1xeam&#10;JGm7/XuvT/p4uR/nfKfaX9zAZhti71GC2GTALGpvemwlfJ5e7gpgMSk0avBoJVxthH29uqlUafyC&#10;H3Y+ppZRCMZSSehSGkvOo+6sU3HjR4v0O/vgVKIztNwEtVC4G/h9luXcqR6poVOjfe6s/j5OTsKX&#10;Pz8tTjf4Nl/f++n1ELQuDlLerkX2CCzZS/qD4Vef1KEmp8ZPaCIbJDwIQepJQr7bASNgKwoa1xCZ&#10;5VvgdcX/T6h/AFBLAwQUAAAACACHTuJANgdQxWsCAAC6BAAADgAAAGRycy9lMm9Eb2MueG1srVRL&#10;btswEN0X6B0I7hvJihOnRuTAiJGiQNAESIuuaYqyCPBXkracXqZAdz1Ej1P0Gn2klMRIu8iiXkgz&#10;nPGbmcc3Or/Ya0V2wgdpTU0nRyUlwnDbSLOp6aePV2/OKAmRmYYpa0RN70WgF4vXr857NxeV7axq&#10;hCcAMWHeu5p2Mbp5UQTeCc3CkXXCINhar1mE6zdF41kPdK2KqixPi976xnnLRQg4XQ1BOiL6lwDa&#10;tpVcrCzfamHigOqFYhEjhU66QBe527YVPN60bRCRqJpi0pifKAJ7nZ7F4pzNN565TvKxBfaSFp7N&#10;pJk0KPoItWKRka2Xf0Fpyb0Nto1H3OpiGCQzgikm5TNu7jrmRJ4FVAf3SHr4f7D8w+7WE9nUtDqh&#10;xDCNG//97cevn98JDsBO78IcSXfu1o9egJlG3bdepzeGIPuaHk/PquMpeL2v6fS0nFSTkV2xj4Qj&#10;4XQ2PZ4hzpFQTU9m04xfPAE5H+I7YTVJRk09Li9zynbXIaI4Uh9SUl1jr6RS+QKVIT20XM3KhM+g&#10;yhZqgKkdJgtmQwlTG8idR58hD/6bIFcsdGTHoJFglWwGVWgZIXQldU3PyvRLx+hBGbwSLQMRyYr7&#10;9X5kZ22bezDq7SC14PiVRIVrFuIt89AWOsT2xRs8WmXRth0tSjrrv/7rPOXjyhGlpIdW0eaXLfOC&#10;EvXeQAxvJ9NEfMwOmK3g+MPI+jBitvrSYtQJ9tzxbKb8qB7M1lv9GUu6TFURYoaj9kDe6FzGYYew&#10;5lwslzkNgnYsXps7xxP4cEXLbbStzLeXiBrYGfmDpDOh4/qlnTn0c9bTJ2fx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6pCOTYAAAACgEAAA8AAAAAAAAAAQAgAAAAIgAAAGRycy9kb3ducmV2Lnht&#10;bFBLAQIUABQAAAAIAIdO4kA2B1DFawIAALoEAAAOAAAAAAAAAAEAIAAAACcBAABkcnMvZTJvRG9j&#10;LnhtbFBLBQYAAAAABgAGAFkBAAAEBgAAAAA=&#10;">
                      <v:fill on="f" focussize="0,0"/>
                      <v:stroke on="f" weight="1pt" miterlimit="8" joinstyle="miter"/>
                      <v:imagedata o:title=""/>
                      <o:lock v:ext="edit" aspectratio="f"/>
                      <v:textbox>
                        <w:txbxContent>
                          <w:p w14:paraId="2CAF7CFF">
                            <w:pPr>
                              <w:jc w:val="center"/>
                              <w:rPr>
                                <w:rFonts w:hint="default" w:eastAsiaTheme="minorEastAsia"/>
                                <w:lang w:val="en-US" w:eastAsia="zh-CN"/>
                              </w:rPr>
                            </w:pPr>
                            <w:r>
                              <w:rPr>
                                <w:rFonts w:hint="eastAsia"/>
                                <w:lang w:val="en-US" w:eastAsia="zh-CN"/>
                              </w:rPr>
                              <w:t>靳家庄</w:t>
                            </w: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3107690</wp:posOffset>
                      </wp:positionH>
                      <wp:positionV relativeFrom="paragraph">
                        <wp:posOffset>584835</wp:posOffset>
                      </wp:positionV>
                      <wp:extent cx="1533525" cy="762000"/>
                      <wp:effectExtent l="10160" t="6985" r="18415" b="12065"/>
                      <wp:wrapNone/>
                      <wp:docPr id="20" name="任意多边形 20"/>
                      <wp:cNvGraphicFramePr/>
                      <a:graphic xmlns:a="http://schemas.openxmlformats.org/drawingml/2006/main">
                        <a:graphicData uri="http://schemas.microsoft.com/office/word/2010/wordprocessingShape">
                          <wps:wsp>
                            <wps:cNvSpPr/>
                            <wps:spPr>
                              <a:xfrm>
                                <a:off x="4610100" y="4756150"/>
                                <a:ext cx="1533525" cy="762000"/>
                              </a:xfrm>
                              <a:custGeom>
                                <a:avLst/>
                                <a:gdLst>
                                  <a:gd name="connisteX0" fmla="*/ 295275 w 1533525"/>
                                  <a:gd name="connsiteY0" fmla="*/ 400050 h 762000"/>
                                  <a:gd name="connisteX1" fmla="*/ 485775 w 1533525"/>
                                  <a:gd name="connsiteY1" fmla="*/ 533400 h 762000"/>
                                  <a:gd name="connisteX2" fmla="*/ 523875 w 1533525"/>
                                  <a:gd name="connsiteY2" fmla="*/ 409575 h 762000"/>
                                  <a:gd name="connisteX3" fmla="*/ 666750 w 1533525"/>
                                  <a:gd name="connsiteY3" fmla="*/ 0 h 762000"/>
                                  <a:gd name="connisteX4" fmla="*/ 933450 w 1533525"/>
                                  <a:gd name="connsiteY4" fmla="*/ 28575 h 762000"/>
                                  <a:gd name="connisteX5" fmla="*/ 1533525 w 1533525"/>
                                  <a:gd name="connsiteY5" fmla="*/ 209550 h 762000"/>
                                  <a:gd name="connisteX6" fmla="*/ 1514475 w 1533525"/>
                                  <a:gd name="connsiteY6" fmla="*/ 542925 h 762000"/>
                                  <a:gd name="connisteX7" fmla="*/ 1514475 w 1533525"/>
                                  <a:gd name="connsiteY7" fmla="*/ 762000 h 762000"/>
                                  <a:gd name="connisteX8" fmla="*/ 981075 w 1533525"/>
                                  <a:gd name="connsiteY8" fmla="*/ 695325 h 762000"/>
                                  <a:gd name="connisteX9" fmla="*/ 695325 w 1533525"/>
                                  <a:gd name="connsiteY9" fmla="*/ 657225 h 762000"/>
                                  <a:gd name="connisteX10" fmla="*/ 0 w 1533525"/>
                                  <a:gd name="connsiteY10" fmla="*/ 485775 h 762000"/>
                                  <a:gd name="connisteX11" fmla="*/ 104775 w 1533525"/>
                                  <a:gd name="connsiteY11" fmla="*/ 314325 h 762000"/>
                                  <a:gd name="connisteX12" fmla="*/ 295275 w 1533525"/>
                                  <a:gd name="connsiteY12" fmla="*/ 400050 h 7620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Lst>
                                <a:rect l="l" t="t" r="r" b="b"/>
                                <a:pathLst>
                                  <a:path w="1533525" h="762000">
                                    <a:moveTo>
                                      <a:pt x="295275" y="400050"/>
                                    </a:moveTo>
                                    <a:lnTo>
                                      <a:pt x="485775" y="533400"/>
                                    </a:lnTo>
                                    <a:lnTo>
                                      <a:pt x="523875" y="409575"/>
                                    </a:lnTo>
                                    <a:lnTo>
                                      <a:pt x="666750" y="0"/>
                                    </a:lnTo>
                                    <a:lnTo>
                                      <a:pt x="933450" y="28575"/>
                                    </a:lnTo>
                                    <a:lnTo>
                                      <a:pt x="1533525" y="209550"/>
                                    </a:lnTo>
                                    <a:lnTo>
                                      <a:pt x="1514475" y="542925"/>
                                    </a:lnTo>
                                    <a:lnTo>
                                      <a:pt x="1514475" y="762000"/>
                                    </a:lnTo>
                                    <a:lnTo>
                                      <a:pt x="981075" y="695325"/>
                                    </a:lnTo>
                                    <a:lnTo>
                                      <a:pt x="695325" y="657225"/>
                                    </a:lnTo>
                                    <a:lnTo>
                                      <a:pt x="0" y="485775"/>
                                    </a:lnTo>
                                    <a:lnTo>
                                      <a:pt x="104775" y="314325"/>
                                    </a:lnTo>
                                    <a:lnTo>
                                      <a:pt x="295275" y="40005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44.7pt;margin-top:46.05pt;height:60pt;width:120.75pt;z-index:251671552;mso-width-relative:page;mso-height-relative:page;" filled="f" stroked="t" coordsize="1533525,762000" o:gfxdata="UEsDBAoAAAAAAIdO4kAAAAAAAAAAAAAAAAAEAAAAZHJzL1BLAwQUAAAACACHTuJAzlZgStkAAAAK&#10;AQAADwAAAGRycy9kb3ducmV2LnhtbE2PwU6EMBCG7ya+QzMmXjZuW0R2QYY9mHjyYBY18VhoBbK0&#10;JbQs69s7nvQ4M1/++f7ycLEjO5s5DN4hyK0AZlzr9eA6hPe357s9sBCV02r0ziB8mwCH6vqqVIX2&#10;qzuacx07RiEuFAqhj3EqOA9tb6wKWz8ZR7cvP1sVaZw7rme1UrgdeSJExq0aHH3o1WSeetOe6sUi&#10;LA9T8/py+jzqjzXbLancZHW+Qby9keIRWDSX+AfDrz6pQ0VOjV+cDmxESPd5SihCnkhgBOzuRQ6s&#10;QUgkbXhV8v8Vqh9QSwMEFAAAAAgAh07iQDGdCfQjBAAA/w4AAA4AAABkcnMvZTJvRG9jLnhtbK1X&#10;yY7bNhi+F8g7EDoG6GixFtsYTw4ZTC5FEyAp0B45FGUJoESB5Niee++55xj0JYqgfZqm6GP05yKb&#10;zmJJQeZgUaP/+zf+6/WzQ8vQjgrZ8G4TxFdRgGhHeNl0203wy5u7H5cBkgp3JWa8o5vgkcrg2c2T&#10;H673/ZomvOaspAIBk06u9/0mqJXq12EoSU1bLK94Tzv4WHHRYgWvYhuWAu+Be8vCJIrycM9F2QtO&#10;qJTw31v7MXAcxRSGvKoaQm85eWhppyxXQRlWYJKsm14GN0bbqqJEvawqSRVimwAsVeYXhMD5Xv+G&#10;N9d4vRW4rxviVMBTVPjEphY3HQg9srrFCqMH0XzGqm2I4JJX6orwNrSGGI+AFXH0iW9e17inxhZw&#10;teyPTpffjy35efdKoKbcBAm4pMMt3Pg/Hz78+/vbj3+8++/vPz/+9R7BF3DTvpdroH7dvxLuTcJR&#10;23yoRKufYA06bII0j8EU4PYI5yLL48y5mR4UIkAQZ4tFlmQBIkBR5BAUhiA8cSIPUr2g3HDFu5+k&#10;stdUwsk4uXSaEt51jVT0V5BWtQxu7mmIklWWFBnao0GOA3sY2Sj6m49JQYcsQjU6qQN3+ZmY2BOT&#10;LrNiihgfA4aDpFExiScmSxbLKWJ8TBqtMsCMWbPwxOR5XoADRp3mY8YNST0JK7B9igQfk4CPx+2A&#10;SDpevrvzcUN8UAL+mnD7+ZmcOIXgHpfjg7I0WSXj9hTfIscH2SAevX8o9Ee/rZZxNMUcH5OvssUE&#10;c1aeGAcZDbMzTFYkE8TEfj5PiOQzepfMYxkT+8kcR+m0AuCDFnE6xWexn85TC9oZ6AsVDQrsdiih&#10;uB6qKjl0rqzCCWE9BUSmlfVc6nLu11io1/rVlU+oq8ASULomj4DBBz441h1lMhic4YOTWWCoWD54&#10;MQsMxcgHp7PAUGJ8cDYLDHXDB+ezwFAMfHAxCwwp7oOXs8CQuD54NQusU9JHw/ucMNHZeQafF2U6&#10;fc7gZ3Fmg9VlioC5Uk+UzEyUKkAwUQozUd5rjfG6x0on2HBEe2/qqY9Dj/7c8h19ww2h0ulmk91o&#10;YlPYueBExzqf3lYuQ2+nC0c/UA3P3nC304TjroeEi9R2KDDUw00M7IanZWt7uyE0Lfsi12Es0862&#10;nXeE3HRaa6FpoJPJT8Mc3N6g8fB0mpu+Z5jb3nSRuSPRmuemK12kttHsLsgG8iB8eFolbCcxStj+&#10;cJHt1yJk4EkYl9SK02Fo6uwxHnUYe8N1x+8axkzIss5EaVLo0Z1g2Owq2Kjg2PawHchuGyDMtrAy&#10;EiVMf5CcNaWG6+CVYnv/nAm0w5AWd/B3nOnPyHoh1S2WtaUzn7StkAYwkQvEmnYTLGEWP6IZNJdQ&#10;rx522dCne14+mh3E/B/2ImOh2+H04uW/G/Rpb73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AAAAABkcnMvUEsBAhQAFAAAAAgAh07iQM5W&#10;YErZAAAACgEAAA8AAAAAAAAAAQAgAAAAIgAAAGRycy9kb3ducmV2LnhtbFBLAQIUABQAAAAIAIdO&#10;4kAxnQn0IwQAAP8OAAAOAAAAAAAAAAEAIAAAACgBAABkcnMvZTJvRG9jLnhtbFBLBQYAAAAABgAG&#10;AFkBAAC9BwAAAAA=&#10;" path="m295275,400050l485775,533400,523875,409575,666750,0,933450,28575,1533525,209550,1514475,542925,1514475,762000,981075,695325,695325,657225,0,485775,104775,314325,295275,400050xe">
                      <v:path o:connectlocs="295275,400050;485775,533400;523875,409575;666750,0;933450,28575;1533525,209550;1514475,542925;1514475,762000;981075,695325;695325,657225;0,485775;104775,314325;295275,400050" o:connectangles="0,0,0,0,0,0,0,0,0,0,0,0,0"/>
                      <v:fill on="f" focussize="0,0"/>
                      <v:stroke weight="1pt" color="#FFFF00 [2404]" miterlimit="8" joinstyle="miter"/>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1755140</wp:posOffset>
                      </wp:positionH>
                      <wp:positionV relativeFrom="paragraph">
                        <wp:posOffset>80010</wp:posOffset>
                      </wp:positionV>
                      <wp:extent cx="1038225" cy="790575"/>
                      <wp:effectExtent l="8255" t="6350" r="20320" b="22225"/>
                      <wp:wrapNone/>
                      <wp:docPr id="16" name="任意多边形 16"/>
                      <wp:cNvGraphicFramePr/>
                      <a:graphic xmlns:a="http://schemas.openxmlformats.org/drawingml/2006/main">
                        <a:graphicData uri="http://schemas.microsoft.com/office/word/2010/wordprocessingShape">
                          <wps:wsp>
                            <wps:cNvSpPr/>
                            <wps:spPr>
                              <a:xfrm>
                                <a:off x="3257550" y="4251325"/>
                                <a:ext cx="1038225" cy="790575"/>
                              </a:xfrm>
                              <a:custGeom>
                                <a:avLst/>
                                <a:gdLst>
                                  <a:gd name="connisteX0" fmla="*/ 695325 w 1038225"/>
                                  <a:gd name="connsiteY0" fmla="*/ 790575 h 790575"/>
                                  <a:gd name="connisteX1" fmla="*/ 790575 w 1038225"/>
                                  <a:gd name="connsiteY1" fmla="*/ 647700 h 790575"/>
                                  <a:gd name="connisteX2" fmla="*/ 1009650 w 1038225"/>
                                  <a:gd name="connsiteY2" fmla="*/ 676275 h 790575"/>
                                  <a:gd name="connisteX3" fmla="*/ 1038225 w 1038225"/>
                                  <a:gd name="connsiteY3" fmla="*/ 466725 h 790575"/>
                                  <a:gd name="connisteX4" fmla="*/ 952500 w 1038225"/>
                                  <a:gd name="connsiteY4" fmla="*/ 247650 h 790575"/>
                                  <a:gd name="connisteX5" fmla="*/ 962025 w 1038225"/>
                                  <a:gd name="connsiteY5" fmla="*/ 0 h 790575"/>
                                  <a:gd name="connisteX6" fmla="*/ 657225 w 1038225"/>
                                  <a:gd name="connsiteY6" fmla="*/ 0 h 790575"/>
                                  <a:gd name="connisteX7" fmla="*/ 400050 w 1038225"/>
                                  <a:gd name="connsiteY7" fmla="*/ 0 h 790575"/>
                                  <a:gd name="connisteX8" fmla="*/ 304800 w 1038225"/>
                                  <a:gd name="connsiteY8" fmla="*/ 142875 h 790575"/>
                                  <a:gd name="connisteX9" fmla="*/ 228600 w 1038225"/>
                                  <a:gd name="connsiteY9" fmla="*/ 314325 h 790575"/>
                                  <a:gd name="connisteX10" fmla="*/ 76200 w 1038225"/>
                                  <a:gd name="connsiteY10" fmla="*/ 361950 h 790575"/>
                                  <a:gd name="connisteX11" fmla="*/ 0 w 1038225"/>
                                  <a:gd name="connsiteY11" fmla="*/ 514350 h 790575"/>
                                  <a:gd name="connisteX12" fmla="*/ 171450 w 1038225"/>
                                  <a:gd name="connsiteY12" fmla="*/ 638175 h 790575"/>
                                  <a:gd name="connisteX13" fmla="*/ 695325 w 1038225"/>
                                  <a:gd name="connsiteY13" fmla="*/ 790575 h 7905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1038225" h="790575">
                                    <a:moveTo>
                                      <a:pt x="695325" y="790575"/>
                                    </a:moveTo>
                                    <a:lnTo>
                                      <a:pt x="790575" y="647700"/>
                                    </a:lnTo>
                                    <a:lnTo>
                                      <a:pt x="1009650" y="676275"/>
                                    </a:lnTo>
                                    <a:lnTo>
                                      <a:pt x="1038225" y="466725"/>
                                    </a:lnTo>
                                    <a:lnTo>
                                      <a:pt x="952500" y="247650"/>
                                    </a:lnTo>
                                    <a:lnTo>
                                      <a:pt x="962025" y="0"/>
                                    </a:lnTo>
                                    <a:lnTo>
                                      <a:pt x="657225" y="0"/>
                                    </a:lnTo>
                                    <a:lnTo>
                                      <a:pt x="400050" y="0"/>
                                    </a:lnTo>
                                    <a:lnTo>
                                      <a:pt x="304800" y="142875"/>
                                    </a:lnTo>
                                    <a:lnTo>
                                      <a:pt x="228600" y="314325"/>
                                    </a:lnTo>
                                    <a:lnTo>
                                      <a:pt x="76200" y="361950"/>
                                    </a:lnTo>
                                    <a:lnTo>
                                      <a:pt x="0" y="514350"/>
                                    </a:lnTo>
                                    <a:lnTo>
                                      <a:pt x="171450" y="638175"/>
                                    </a:lnTo>
                                    <a:lnTo>
                                      <a:pt x="695325" y="790575"/>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38.2pt;margin-top:6.3pt;height:62.25pt;width:81.75pt;z-index:251670528;mso-width-relative:page;mso-height-relative:page;" filled="f" stroked="t" coordsize="1038225,790575" o:gfxdata="UEsDBAoAAAAAAIdO4kAAAAAAAAAAAAAAAAAEAAAAZHJzL1BLAwQUAAAACACHTuJAIW25mtsAAAAK&#10;AQAADwAAAGRycy9kb3ducmV2LnhtbE2PwU7DMAyG70i8Q2QkbixpN3WsNJ0QEkhM7MCYNO2Wtaap&#10;2iRVkq3l7TGncbT/T78/F+vJ9OyCPrTOSkhmAhjaytWtbSTsv14fHoGFqGytemdRwg8GWJe3N4XK&#10;azfaT7zsYsOoxIZcSdAxDjnnodJoVJi5AS1l384bFWn0Da+9Gqnc9DwVIuNGtZYuaDXgi8aq252N&#10;hK3ai24jprdBP/uPzWE8dlv3LuX9XSKegEWc4hWGP31Sh5KcTu5s68B6CekyWxBKQZoBI2AxX62A&#10;nWgxXybAy4L/f6H8BVBLAwQUAAAACACHTuJAl8w1kUIEAAC/DwAADgAAAGRycy9lMm9Eb2MueG1s&#10;rVdPj+M0FL8j8R2sHJGYOGn+tNV09sBouCBYaRcJjp7EaSIlcWR72s6dO3eOiC+xWsGnYVf7MXi2&#10;k/Z1FhpXoofWad7v/fP7e/vq0LVkx6VqRL8JohsaEN4Xomz67Sb48e3D18uAKM36krWi55vgmavg&#10;1d2XX9zuhzWPRS3akksCTHq13g+boNZ6WIehKmreMXUjBt7Dy0rIjml4lNuwlGwP3Ls2jCnNwr2Q&#10;5SBFwZWCf+/dy2DkKH0YiqpqCn4viqeO99pxlbxlGkxSdTOo4M5qW1W80D9UleKatJsALNX2G4TA&#10;+dF8h3e3bL2VbKibYlSB+ajwwqaONT0IPbK6Z5qRJ9l8xqprCimUqPRNIbrQGWI9AlZE9IVv3tRs&#10;4NYWcLUajk5X/x/b4vvda0maEiIhC0jPOrjxv9+///jLrx/++O3TX+8+/Pk7gTfgpv2g1kD9Zngt&#10;xycFR2PzoZKd+QVryGETLOI0T1Nw8PMmSOI0gmfnZn7QpACCiC6WMfxJCqDIVxTIDUF44lQ8Kf0t&#10;F5Yr232ntLumEk7WyeWoaSH6vlGa/wTSqq6Fm/sqJNkqBZFkTyY5IxhhVKP5zxjjtCA1OakDd/mZ&#10;mAiJGSGzYjAmS/Kc0lkxMRITUbrKUjpvDgZleRbn6aycxZkceynzcjAoybIcXD3ntgTJWaVxCi6Y&#10;dRvGxEluXDAnBiLqGASrLKY+QYAx8xIgRY4SsjSHIJ43BGPmJeRIQkIp9bl5jJmXAOX9aMOCJkuf&#10;y8CYKImXHrG1QmLieJn5iMGYRZSYLJ678+gsi+HSPULrDLPIopVHbEU4jX1kYPoUbPGRgVM4yqPE&#10;5/IjDMoWy8jjbiKcw77l8gz0L/USyvd2KtCsnmp2cejHog0nwsyMQW2jHIQyzQJXcOgG5nEszq4j&#10;AMpU/BkwOBuDo7Gd+IHBgRgcXwUGT2Lw4iow1DgMTq4CQ+XC4KmF+tkMRQmDbYOHC/QDQ73B4Pwq&#10;taGUYPDyKjAUCAxeXQU2aY/R8HxVjL0MsuuizOTpmfTr4sxk3xn8LNLc1Y2JJmHoNeNua8ddHRAY&#10;d6Uddx+NwWw9MG3yczqSPRrJ6uNEZl53YsffCkuoTba6WmE1OQ1KIPxE1/aYfiQymrvRZ/T4RDX9&#10;Dpb7OOpY9m6CmSEfx0jg7gaRi+Ru8LDM3TxxmdrOD5Z6CpNJ2enXKe3GAA9C1809CF1TtoSu115U&#10;1PVWS+1a5kVqmAupSwPX9y4SO0LXvC4Sul5ldXAd6CL1fwXR5NeiFYq7zDSRaheDY8iaSEfLQS8e&#10;mra1Ud32NpBjGLBhs2CwmVawEcKxG2C7Uf02IKzdwspbaGk7kBJtUxq4iW8lt4/ftJLsGGTOA3yA&#10;i9PhjGyQSt8zVTs6+8qQQQbARiFJ23SbACYq+BxdAPqb1cktS+b0KMpnu0PZ//dqsBaOO6hZHPGz&#10;RZ/27rt/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CFtuZrbAAAACgEAAA8AAAAAAAAAAQAgAAAA&#10;IgAAAGRycy9kb3ducmV2LnhtbFBLAQIUABQAAAAIAIdO4kCXzDWRQgQAAL8PAAAOAAAAAAAAAAEA&#10;IAAAACoBAABkcnMvZTJvRG9jLnhtbFBLBQYAAAAABgAGAFkBAADeBwAAAAA=&#10;" path="m695325,790575l790575,647700,1009650,676275,1038225,466725,952500,247650,962025,0,657225,0,400050,0,304800,142875,228600,314325,76200,361950,0,514350,171450,638175,695325,790575xe">
                      <v:path o:connectlocs="695325,790575;790575,647700;1009650,676275;1038225,466725;952500,247650;962025,0;657225,0;400050,0;304800,142875;228600,314325;76200,361950;0,514350;171450,638175;695325,790575" o:connectangles="0,0,0,0,0,0,0,0,0,0,0,0,0,0"/>
                      <v:fill on="f" focussize="0,0"/>
                      <v:stroke weight="1pt" color="#FFFF00 [2404]" miterlimit="8" joinstyle="miter"/>
                      <v:imagedata o:title=""/>
                      <o:lock v:ext="edit" aspectratio="f"/>
                    </v:shape>
                  </w:pict>
                </mc:Fallback>
              </mc:AlternateContent>
            </w:r>
            <w:r>
              <w:rPr>
                <w:color w:val="000000" w:themeColor="text1"/>
                <w14:textFill>
                  <w14:solidFill>
                    <w14:schemeClr w14:val="tx1"/>
                  </w14:solidFill>
                </w14:textFill>
              </w:rPr>
              <w:drawing>
                <wp:inline distT="0" distB="0" distL="114300" distR="114300">
                  <wp:extent cx="5063490" cy="3559175"/>
                  <wp:effectExtent l="0" t="0" r="3810" b="31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5063490" cy="3559175"/>
                          </a:xfrm>
                          <a:prstGeom prst="rect">
                            <a:avLst/>
                          </a:prstGeom>
                          <a:noFill/>
                          <a:ln>
                            <a:noFill/>
                          </a:ln>
                        </pic:spPr>
                      </pic:pic>
                    </a:graphicData>
                  </a:graphic>
                </wp:inline>
              </w:drawing>
            </w:r>
          </w:p>
          <w:p w14:paraId="1B4824B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cs="宋体"/>
                <w:b/>
                <w:bCs/>
                <w:color w:val="000000" w:themeColor="text1"/>
                <w:kern w:val="0"/>
                <w:sz w:val="21"/>
                <w:szCs w:val="21"/>
                <w:lang w:val="en-US" w:eastAsia="zh-CN"/>
                <w14:textFill>
                  <w14:solidFill>
                    <w14:schemeClr w14:val="tx1"/>
                  </w14:solidFill>
                </w14:textFill>
              </w:rPr>
            </w:pPr>
            <w:r>
              <w:rPr>
                <w:rFonts w:hint="eastAsia" w:ascii="宋体" w:hAnsi="宋体" w:cs="宋体"/>
                <w:b/>
                <w:bCs/>
                <w:color w:val="000000" w:themeColor="text1"/>
                <w:kern w:val="0"/>
                <w:sz w:val="21"/>
                <w:szCs w:val="21"/>
                <w:lang w:val="en-US" w:eastAsia="zh-CN"/>
                <w14:textFill>
                  <w14:solidFill>
                    <w14:schemeClr w14:val="tx1"/>
                  </w14:solidFill>
                </w14:textFill>
              </w:rPr>
              <w:t>图3-2  大气环境保护目标分布图</w:t>
            </w:r>
          </w:p>
          <w:p w14:paraId="76ECD36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宋体" w:hAnsi="宋体" w:cs="宋体"/>
                <w:b/>
                <w:bCs/>
                <w:color w:val="000000" w:themeColor="text1"/>
                <w:kern w:val="0"/>
                <w:sz w:val="24"/>
                <w:szCs w:val="24"/>
                <w:lang w:val="en-US" w:eastAsia="zh-CN"/>
                <w14:textFill>
                  <w14:solidFill>
                    <w14:schemeClr w14:val="tx1"/>
                  </w14:solidFill>
                </w14:textFill>
              </w:rPr>
            </w:pPr>
            <w:r>
              <w:rPr>
                <w:rFonts w:hint="eastAsia" w:ascii="宋体" w:hAnsi="宋体" w:cs="宋体"/>
                <w:b/>
                <w:bCs/>
                <w:color w:val="000000" w:themeColor="text1"/>
                <w:kern w:val="0"/>
                <w:sz w:val="24"/>
                <w:szCs w:val="24"/>
                <w:lang w:val="en-US" w:eastAsia="zh-CN"/>
                <w14:textFill>
                  <w14:solidFill>
                    <w14:schemeClr w14:val="tx1"/>
                  </w14:solidFill>
                </w14:textFill>
              </w:rPr>
              <w:t>2、声环境</w:t>
            </w:r>
          </w:p>
          <w:p w14:paraId="12C08F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项目厂界周边50m范围内无声环境保护目标。</w:t>
            </w:r>
          </w:p>
          <w:p w14:paraId="37B6E4C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宋体" w:hAnsi="宋体" w:cs="宋体"/>
                <w:b/>
                <w:bCs/>
                <w:color w:val="000000" w:themeColor="text1"/>
                <w:kern w:val="0"/>
                <w:sz w:val="24"/>
                <w:szCs w:val="24"/>
                <w:lang w:val="en-US" w:eastAsia="zh-CN"/>
                <w14:textFill>
                  <w14:solidFill>
                    <w14:schemeClr w14:val="tx1"/>
                  </w14:solidFill>
                </w14:textFill>
              </w:rPr>
            </w:pPr>
            <w:r>
              <w:rPr>
                <w:rFonts w:hint="eastAsia" w:ascii="宋体" w:hAnsi="宋体" w:cs="宋体"/>
                <w:b/>
                <w:bCs/>
                <w:color w:val="000000" w:themeColor="text1"/>
                <w:kern w:val="0"/>
                <w:sz w:val="24"/>
                <w:szCs w:val="24"/>
                <w:lang w:val="en-US" w:eastAsia="zh-CN"/>
                <w14:textFill>
                  <w14:solidFill>
                    <w14:schemeClr w14:val="tx1"/>
                  </w14:solidFill>
                </w14:textFill>
              </w:rPr>
              <w:t>3、地下水环境</w:t>
            </w:r>
          </w:p>
          <w:p w14:paraId="371769F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本项目厂界外</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500米范围内无地下水集中式饮用水水源和热水、矿泉水、温泉等特殊地下水资源。</w:t>
            </w:r>
          </w:p>
          <w:p w14:paraId="052E010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宋体" w:hAnsi="宋体" w:cs="宋体"/>
                <w:b/>
                <w:bCs/>
                <w:color w:val="000000" w:themeColor="text1"/>
                <w:kern w:val="0"/>
                <w:sz w:val="24"/>
                <w:szCs w:val="24"/>
                <w:lang w:val="en-US" w:eastAsia="zh-CN"/>
                <w14:textFill>
                  <w14:solidFill>
                    <w14:schemeClr w14:val="tx1"/>
                  </w14:solidFill>
                </w14:textFill>
              </w:rPr>
            </w:pPr>
            <w:r>
              <w:rPr>
                <w:rFonts w:hint="eastAsia" w:ascii="宋体" w:hAnsi="宋体" w:cs="宋体"/>
                <w:b/>
                <w:bCs/>
                <w:color w:val="000000" w:themeColor="text1"/>
                <w:kern w:val="0"/>
                <w:sz w:val="24"/>
                <w:szCs w:val="24"/>
                <w:lang w:val="en-US" w:eastAsia="zh-CN"/>
                <w14:textFill>
                  <w14:solidFill>
                    <w14:schemeClr w14:val="tx1"/>
                  </w14:solidFill>
                </w14:textFill>
              </w:rPr>
              <w:t>4、生态环境</w:t>
            </w:r>
          </w:p>
          <w:p w14:paraId="089C4B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本项目用地范围内无生态环境保护目标。</w:t>
            </w:r>
          </w:p>
        </w:tc>
      </w:tr>
      <w:tr w14:paraId="0DC82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14:paraId="20E5849F">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污染</w:t>
            </w:r>
          </w:p>
          <w:p w14:paraId="10E700FE">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物排</w:t>
            </w:r>
          </w:p>
          <w:p w14:paraId="62EDDB6C">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放控</w:t>
            </w:r>
          </w:p>
          <w:p w14:paraId="0315A75F">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制标</w:t>
            </w:r>
          </w:p>
          <w:p w14:paraId="66078757">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准</w:t>
            </w:r>
          </w:p>
        </w:tc>
        <w:tc>
          <w:tcPr>
            <w:tcW w:w="8190" w:type="dxa"/>
            <w:noWrap w:val="0"/>
            <w:vAlign w:val="center"/>
          </w:tcPr>
          <w:p w14:paraId="1EE7DE0E">
            <w:pPr>
              <w:keepNext w:val="0"/>
              <w:keepLines w:val="0"/>
              <w:pageBreakBefore w:val="0"/>
              <w:kinsoku/>
              <w:wordWrap/>
              <w:overflowPunct/>
              <w:topLinePunct w:val="0"/>
              <w:autoSpaceDE/>
              <w:autoSpaceDN/>
              <w:bidi w:val="0"/>
              <w:adjustRightInd w:val="0"/>
              <w:snapToGrid w:val="0"/>
              <w:spacing w:beforeAutospacing="0" w:afterAutospacing="0" w:line="360" w:lineRule="auto"/>
              <w:ind w:left="0" w:leftChars="0" w:firstLine="482" w:firstLineChars="200"/>
              <w:jc w:val="both"/>
              <w:textAlignment w:val="auto"/>
              <w:rPr>
                <w:rFonts w:hint="default"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1、废气</w:t>
            </w:r>
          </w:p>
          <w:p w14:paraId="385A1B65">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0" w:firstLineChars="200"/>
              <w:textAlignment w:val="auto"/>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①有组织废气排放标准</w:t>
            </w:r>
          </w:p>
          <w:p w14:paraId="3C030378">
            <w:pPr>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根据《宝鸡市大气污染治理专项行动方案（2023</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2027年）》《陈仓区大气污染治理专项行动方案（2023</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2027年）》文件要求，</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新、改、扩建涉气重点行业企业应达到环保绩效A级、绩效引领性水平。</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根据《重污染天气重点行业应急减排措施制定技术指南（2020年修订版）》（以下简称“指南”），</w:t>
            </w: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本项目</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属于</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重点行业中“</w:t>
            </w: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玻璃钢</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（纤维增强塑料制品）”。</w:t>
            </w:r>
          </w:p>
          <w:p w14:paraId="7BE8EF4E">
            <w:pPr>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本项目废气排放执行“重点行业玻璃钢（纤维增强塑料制品）绩效引领性指标排放限值要求”，指南规定非甲烷总烃有组织排放浓度限值为60mg/m³，排放速率限值为3.0kg/h。具体限值详见表3-5。</w:t>
            </w:r>
          </w:p>
          <w:p w14:paraId="66649ED2">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宋体" w:hAnsi="宋体" w:eastAsia="宋体" w:cs="宋体"/>
                <w:b/>
                <w:bCs/>
                <w:color w:val="000000" w:themeColor="text1"/>
                <w:kern w:val="0"/>
                <w:sz w:val="21"/>
                <w:szCs w:val="21"/>
                <w:lang w:val="en-US" w:eastAsia="zh-CN"/>
                <w14:textFill>
                  <w14:solidFill>
                    <w14:schemeClr w14:val="tx1"/>
                  </w14:solidFill>
                </w14:textFill>
              </w:rPr>
            </w:pPr>
            <w:r>
              <w:rPr>
                <w:rFonts w:hint="eastAsia" w:ascii="宋体" w:hAnsi="宋体" w:eastAsia="宋体" w:cs="宋体"/>
                <w:b/>
                <w:bCs/>
                <w:color w:val="000000" w:themeColor="text1"/>
                <w:kern w:val="0"/>
                <w:sz w:val="21"/>
                <w:szCs w:val="21"/>
                <w:lang w:val="en-US" w:eastAsia="zh-CN"/>
                <w14:textFill>
                  <w14:solidFill>
                    <w14:schemeClr w14:val="tx1"/>
                  </w14:solidFill>
                </w14:textFill>
              </w:rPr>
              <w:t>表3-5  大气污染物有组织排放限值</w:t>
            </w:r>
          </w:p>
          <w:tbl>
            <w:tblPr>
              <w:tblStyle w:val="14"/>
              <w:tblW w:w="7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091"/>
              <w:gridCol w:w="2018"/>
              <w:gridCol w:w="988"/>
              <w:gridCol w:w="1489"/>
            </w:tblGrid>
            <w:tr w14:paraId="7E6F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2" w:type="pct"/>
                  <w:tcBorders>
                    <w:tl2br w:val="nil"/>
                    <w:tr2bl w:val="nil"/>
                  </w:tcBorders>
                  <w:noWrap w:val="0"/>
                  <w:vAlign w:val="center"/>
                </w:tcPr>
                <w:p w14:paraId="5D83B862">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执行标准</w:t>
                  </w:r>
                </w:p>
              </w:tc>
              <w:tc>
                <w:tcPr>
                  <w:tcW w:w="685" w:type="pct"/>
                  <w:tcBorders>
                    <w:tl2br w:val="nil"/>
                    <w:tr2bl w:val="nil"/>
                  </w:tcBorders>
                  <w:noWrap w:val="0"/>
                  <w:vAlign w:val="center"/>
                </w:tcPr>
                <w:p w14:paraId="2FCB5592">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1267" w:type="pct"/>
                  <w:tcBorders>
                    <w:tl2br w:val="nil"/>
                    <w:tr2bl w:val="nil"/>
                  </w:tcBorders>
                  <w:noWrap w:val="0"/>
                  <w:vAlign w:val="center"/>
                </w:tcPr>
                <w:p w14:paraId="5B18D245">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最高允许排放浓度</w:t>
                  </w:r>
                </w:p>
                <w:p w14:paraId="287FB3BE">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vertAlign w:val="baseline"/>
                      <w:lang w:eastAsia="zh-CN"/>
                      <w14:textFill>
                        <w14:solidFill>
                          <w14:schemeClr w14:val="tx1"/>
                        </w14:solidFill>
                      </w14:textFill>
                    </w:rPr>
                    <w:t>)</w:t>
                  </w:r>
                </w:p>
              </w:tc>
              <w:tc>
                <w:tcPr>
                  <w:tcW w:w="620" w:type="pct"/>
                  <w:tcBorders>
                    <w:tl2br w:val="nil"/>
                    <w:tr2bl w:val="nil"/>
                  </w:tcBorders>
                  <w:noWrap w:val="0"/>
                  <w:vAlign w:val="center"/>
                </w:tcPr>
                <w:p w14:paraId="485CEC91">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排气筒高度（</w:t>
                  </w:r>
                  <w:r>
                    <w:rPr>
                      <w:rFonts w:hint="default" w:ascii="Times New Roman" w:hAnsi="Times New Roman" w:cs="Times New Roman"/>
                      <w:b/>
                      <w:bCs/>
                      <w:color w:val="000000" w:themeColor="text1"/>
                      <w:sz w:val="21"/>
                      <w:szCs w:val="21"/>
                      <w:lang w:val="en-US" w:eastAsia="zh-CN"/>
                      <w14:textFill>
                        <w14:solidFill>
                          <w14:schemeClr w14:val="tx1"/>
                        </w14:solidFill>
                      </w14:textFill>
                    </w:rPr>
                    <w:t>m</w:t>
                  </w:r>
                  <w:r>
                    <w:rPr>
                      <w:rFonts w:hint="default" w:ascii="Times New Roman" w:hAnsi="Times New Roman" w:cs="Times New Roman"/>
                      <w:b/>
                      <w:bCs/>
                      <w:color w:val="000000" w:themeColor="text1"/>
                      <w:sz w:val="21"/>
                      <w:szCs w:val="21"/>
                      <w:lang w:eastAsia="zh-CN"/>
                      <w14:textFill>
                        <w14:solidFill>
                          <w14:schemeClr w14:val="tx1"/>
                        </w14:solidFill>
                      </w14:textFill>
                    </w:rPr>
                    <w:t>）</w:t>
                  </w:r>
                </w:p>
              </w:tc>
              <w:tc>
                <w:tcPr>
                  <w:tcW w:w="935" w:type="pct"/>
                  <w:tcBorders>
                    <w:tl2br w:val="nil"/>
                    <w:tr2bl w:val="nil"/>
                  </w:tcBorders>
                  <w:noWrap w:val="0"/>
                  <w:vAlign w:val="center"/>
                </w:tcPr>
                <w:p w14:paraId="049886A3">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最高允许排放速率（kg/h）</w:t>
                  </w:r>
                </w:p>
              </w:tc>
            </w:tr>
            <w:tr w14:paraId="4DAB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492" w:type="pct"/>
                  <w:tcBorders>
                    <w:tl2br w:val="nil"/>
                    <w:tr2bl w:val="nil"/>
                  </w:tcBorders>
                  <w:noWrap w:val="0"/>
                  <w:vAlign w:val="center"/>
                </w:tcPr>
                <w:p w14:paraId="5EB49E3D">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重点行业</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玻璃钢（纤维增强塑料制品）绩效引领性指标排放限值要求</w:t>
                  </w:r>
                </w:p>
              </w:tc>
              <w:tc>
                <w:tcPr>
                  <w:tcW w:w="685" w:type="pct"/>
                  <w:tcBorders>
                    <w:tl2br w:val="nil"/>
                    <w:tr2bl w:val="nil"/>
                  </w:tcBorders>
                  <w:noWrap w:val="0"/>
                  <w:vAlign w:val="center"/>
                </w:tcPr>
                <w:p w14:paraId="503F2800">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eastAsia="zh-CN"/>
                      <w14:textFill>
                        <w14:solidFill>
                          <w14:schemeClr w14:val="tx1"/>
                        </w14:solidFill>
                      </w14:textFill>
                    </w:rPr>
                    <w:t>非甲烷</w:t>
                  </w:r>
                </w:p>
                <w:p w14:paraId="139C6B57">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eastAsia="zh-CN"/>
                      <w14:textFill>
                        <w14:solidFill>
                          <w14:schemeClr w14:val="tx1"/>
                        </w14:solidFill>
                      </w14:textFill>
                    </w:rPr>
                    <w:t>总烃</w:t>
                  </w:r>
                </w:p>
              </w:tc>
              <w:tc>
                <w:tcPr>
                  <w:tcW w:w="1267" w:type="pct"/>
                  <w:tcBorders>
                    <w:tl2br w:val="nil"/>
                    <w:tr2bl w:val="nil"/>
                  </w:tcBorders>
                  <w:noWrap w:val="0"/>
                  <w:vAlign w:val="center"/>
                </w:tcPr>
                <w:p w14:paraId="24DFDDFB">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60</w:t>
                  </w:r>
                </w:p>
              </w:tc>
              <w:tc>
                <w:tcPr>
                  <w:tcW w:w="620" w:type="pct"/>
                  <w:tcBorders>
                    <w:tl2br w:val="nil"/>
                    <w:tr2bl w:val="nil"/>
                  </w:tcBorders>
                  <w:noWrap w:val="0"/>
                  <w:vAlign w:val="center"/>
                </w:tcPr>
                <w:p w14:paraId="2B7E720A">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15m</w:t>
                  </w:r>
                </w:p>
              </w:tc>
              <w:tc>
                <w:tcPr>
                  <w:tcW w:w="935" w:type="pct"/>
                  <w:tcBorders>
                    <w:tl2br w:val="nil"/>
                    <w:tr2bl w:val="nil"/>
                  </w:tcBorders>
                  <w:noWrap w:val="0"/>
                  <w:vAlign w:val="center"/>
                </w:tcPr>
                <w:p w14:paraId="4A989FC5">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3.0</w:t>
                  </w:r>
                </w:p>
              </w:tc>
            </w:tr>
          </w:tbl>
          <w:p w14:paraId="1481D5A4">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0" w:firstLineChars="200"/>
              <w:textAlignment w:val="auto"/>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②无组织废气排放标准</w:t>
            </w:r>
          </w:p>
          <w:p w14:paraId="1109E2F4">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0" w:firstLineChars="200"/>
              <w:textAlignment w:val="auto"/>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本项目运营期非甲烷总烃厂界无组织排放执行《挥发性有机物排放控制标准》（DB61/T1061-2017）表3中标准限值要求、颗粒物厂界无组织排放执行《大气污染物综合排放标准》（GB16297-1996）表2中周界外浓度最高点标准限值要求；厂区内非甲烷总烃无组织排放执行</w:t>
            </w: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“重点行业玻璃钢（纤维增强塑料制品）绩效引领性指标排放限值要求”，指南要求厂区内非甲烷总烃小时平均浓度≤6mg/m³，监控点任意一次浓度值不高于20mg/m³。具体详见表3-6。</w:t>
            </w:r>
          </w:p>
          <w:p w14:paraId="0513A1F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宋体" w:hAnsi="宋体" w:eastAsia="宋体" w:cs="宋体"/>
                <w:b/>
                <w:bCs/>
                <w:color w:val="000000" w:themeColor="text1"/>
                <w:kern w:val="0"/>
                <w:sz w:val="21"/>
                <w:szCs w:val="21"/>
                <w:lang w:val="en-US" w:eastAsia="zh-CN"/>
                <w14:textFill>
                  <w14:solidFill>
                    <w14:schemeClr w14:val="tx1"/>
                  </w14:solidFill>
                </w14:textFill>
              </w:rPr>
            </w:pPr>
            <w:r>
              <w:rPr>
                <w:rFonts w:hint="eastAsia" w:ascii="宋体" w:hAnsi="宋体" w:eastAsia="宋体" w:cs="宋体"/>
                <w:b/>
                <w:bCs/>
                <w:color w:val="000000" w:themeColor="text1"/>
                <w:kern w:val="0"/>
                <w:sz w:val="21"/>
                <w:szCs w:val="21"/>
                <w:lang w:val="en-US" w:eastAsia="zh-CN"/>
                <w14:textFill>
                  <w14:solidFill>
                    <w14:schemeClr w14:val="tx1"/>
                  </w14:solidFill>
                </w14:textFill>
              </w:rPr>
              <w:t>表3-6  大气污染物无组织排放限值</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7"/>
              <w:gridCol w:w="1408"/>
              <w:gridCol w:w="1689"/>
              <w:gridCol w:w="1851"/>
            </w:tblGrid>
            <w:tr w14:paraId="10FE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9" w:type="dxa"/>
                  <w:tcBorders>
                    <w:tl2br w:val="nil"/>
                    <w:tr2bl w:val="nil"/>
                  </w:tcBorders>
                  <w:noWrap w:val="0"/>
                  <w:vAlign w:val="center"/>
                </w:tcPr>
                <w:p w14:paraId="41632364">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序号</w:t>
                  </w:r>
                </w:p>
              </w:tc>
              <w:tc>
                <w:tcPr>
                  <w:tcW w:w="1404" w:type="dxa"/>
                  <w:tcBorders>
                    <w:tl2br w:val="nil"/>
                    <w:tr2bl w:val="nil"/>
                  </w:tcBorders>
                  <w:noWrap w:val="0"/>
                  <w:vAlign w:val="center"/>
                </w:tcPr>
                <w:p w14:paraId="4E68F337">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污染物</w:t>
                  </w:r>
                </w:p>
              </w:tc>
              <w:tc>
                <w:tcPr>
                  <w:tcW w:w="1685" w:type="dxa"/>
                  <w:tcBorders>
                    <w:tl2br w:val="nil"/>
                    <w:tr2bl w:val="nil"/>
                  </w:tcBorders>
                  <w:noWrap w:val="0"/>
                  <w:vAlign w:val="center"/>
                </w:tcPr>
                <w:p w14:paraId="1E6AB7F2">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监控点</w:t>
                  </w:r>
                </w:p>
              </w:tc>
              <w:tc>
                <w:tcPr>
                  <w:tcW w:w="1846" w:type="dxa"/>
                  <w:tcBorders>
                    <w:tl2br w:val="nil"/>
                    <w:tr2bl w:val="nil"/>
                  </w:tcBorders>
                  <w:noWrap w:val="0"/>
                  <w:vAlign w:val="center"/>
                </w:tcPr>
                <w:p w14:paraId="7233903D">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无组织排放限值（mg/m</w:t>
                  </w:r>
                  <w:r>
                    <w:rPr>
                      <w:rFonts w:hint="default" w:ascii="Times New Roman" w:hAnsi="Times New Roman" w:cs="Times New Roman"/>
                      <w:b/>
                      <w:bCs w:val="0"/>
                      <w:color w:val="000000" w:themeColor="text1"/>
                      <w:sz w:val="21"/>
                      <w:szCs w:val="21"/>
                      <w:vertAlign w:val="superscript"/>
                      <w14:textFill>
                        <w14:solidFill>
                          <w14:schemeClr w14:val="tx1"/>
                        </w14:solidFill>
                      </w14:textFill>
                    </w:rPr>
                    <w:t>3</w:t>
                  </w:r>
                  <w:r>
                    <w:rPr>
                      <w:rFonts w:hint="default" w:ascii="Times New Roman" w:hAnsi="Times New Roman" w:cs="Times New Roman"/>
                      <w:b/>
                      <w:bCs w:val="0"/>
                      <w:color w:val="000000" w:themeColor="text1"/>
                      <w:sz w:val="21"/>
                      <w:szCs w:val="21"/>
                      <w14:textFill>
                        <w14:solidFill>
                          <w14:schemeClr w14:val="tx1"/>
                        </w14:solidFill>
                      </w14:textFill>
                    </w:rPr>
                    <w:t>）</w:t>
                  </w:r>
                </w:p>
              </w:tc>
            </w:tr>
            <w:tr w14:paraId="6B6A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09" w:type="dxa"/>
                  <w:tcBorders>
                    <w:tl2br w:val="nil"/>
                    <w:tr2bl w:val="nil"/>
                  </w:tcBorders>
                  <w:noWrap w:val="0"/>
                  <w:vAlign w:val="center"/>
                </w:tcPr>
                <w:p w14:paraId="715310F2">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《挥发性有机物排放控制标准》（DB61/T1061-2017）表3中标准限值</w:t>
                  </w:r>
                </w:p>
              </w:tc>
              <w:tc>
                <w:tcPr>
                  <w:tcW w:w="1404" w:type="dxa"/>
                  <w:tcBorders>
                    <w:tl2br w:val="nil"/>
                    <w:tr2bl w:val="nil"/>
                  </w:tcBorders>
                  <w:noWrap w:val="0"/>
                  <w:vAlign w:val="center"/>
                </w:tcPr>
                <w:p w14:paraId="33ECE97F">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非甲烷总烃</w:t>
                  </w:r>
                </w:p>
              </w:tc>
              <w:tc>
                <w:tcPr>
                  <w:tcW w:w="1685" w:type="dxa"/>
                  <w:tcBorders>
                    <w:tl2br w:val="nil"/>
                    <w:tr2bl w:val="nil"/>
                  </w:tcBorders>
                  <w:noWrap w:val="0"/>
                  <w:vAlign w:val="center"/>
                </w:tcPr>
                <w:p w14:paraId="419CE50E">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边界监控点</w:t>
                  </w:r>
                </w:p>
              </w:tc>
              <w:tc>
                <w:tcPr>
                  <w:tcW w:w="1846" w:type="dxa"/>
                  <w:tcBorders>
                    <w:tl2br w:val="nil"/>
                    <w:tr2bl w:val="nil"/>
                  </w:tcBorders>
                  <w:noWrap w:val="0"/>
                  <w:vAlign w:val="center"/>
                </w:tcPr>
                <w:p w14:paraId="38C5787A">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3</w:t>
                  </w:r>
                </w:p>
              </w:tc>
            </w:tr>
            <w:tr w14:paraId="6B31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3009" w:type="dxa"/>
                  <w:tcBorders>
                    <w:tl2br w:val="nil"/>
                    <w:tr2bl w:val="nil"/>
                  </w:tcBorders>
                  <w:noWrap w:val="0"/>
                  <w:vAlign w:val="center"/>
                </w:tcPr>
                <w:p w14:paraId="6CFB2C20">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《大气污染物综合排放标准》（GB16297-1996）表2中</w:t>
                  </w:r>
                  <w:r>
                    <w:rPr>
                      <w:rFonts w:hint="default" w:ascii="Times New Roman" w:hAnsi="Times New Roman" w:eastAsia="宋体" w:cs="Times New Roman"/>
                      <w:color w:val="000000" w:themeColor="text1"/>
                      <w:sz w:val="21"/>
                      <w:szCs w:val="21"/>
                      <w14:textFill>
                        <w14:solidFill>
                          <w14:schemeClr w14:val="tx1"/>
                        </w14:solidFill>
                      </w14:textFill>
                    </w:rPr>
                    <w:t>无组织排放监控浓度限值</w:t>
                  </w:r>
                </w:p>
              </w:tc>
              <w:tc>
                <w:tcPr>
                  <w:tcW w:w="1404" w:type="dxa"/>
                  <w:tcBorders>
                    <w:tl2br w:val="nil"/>
                    <w:tr2bl w:val="nil"/>
                  </w:tcBorders>
                  <w:noWrap w:val="0"/>
                  <w:vAlign w:val="center"/>
                </w:tcPr>
                <w:p w14:paraId="5D630DD6">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颗粒物</w:t>
                  </w:r>
                </w:p>
              </w:tc>
              <w:tc>
                <w:tcPr>
                  <w:tcW w:w="1685" w:type="dxa"/>
                  <w:tcBorders>
                    <w:tl2br w:val="nil"/>
                    <w:tr2bl w:val="nil"/>
                  </w:tcBorders>
                  <w:noWrap w:val="0"/>
                  <w:vAlign w:val="center"/>
                </w:tcPr>
                <w:p w14:paraId="0C96F032">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厂界外浓度最高点</w:t>
                  </w:r>
                </w:p>
              </w:tc>
              <w:tc>
                <w:tcPr>
                  <w:tcW w:w="1846" w:type="dxa"/>
                  <w:tcBorders>
                    <w:tl2br w:val="nil"/>
                    <w:tr2bl w:val="nil"/>
                  </w:tcBorders>
                  <w:noWrap w:val="0"/>
                  <w:vAlign w:val="center"/>
                </w:tcPr>
                <w:p w14:paraId="2FA8A945">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1.0</w:t>
                  </w:r>
                </w:p>
              </w:tc>
            </w:tr>
            <w:tr w14:paraId="4BEE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3009" w:type="dxa"/>
                  <w:vMerge w:val="restart"/>
                  <w:tcBorders>
                    <w:tl2br w:val="nil"/>
                    <w:tr2bl w:val="nil"/>
                  </w:tcBorders>
                  <w:noWrap w:val="0"/>
                  <w:vAlign w:val="center"/>
                </w:tcPr>
                <w:p w14:paraId="31A2A27F">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重点行业玻璃钢（纤维增强塑料制品）绩效引领性指标排放限值要求</w:t>
                  </w:r>
                </w:p>
              </w:tc>
              <w:tc>
                <w:tcPr>
                  <w:tcW w:w="1404" w:type="dxa"/>
                  <w:vMerge w:val="restart"/>
                  <w:tcBorders>
                    <w:tl2br w:val="nil"/>
                    <w:tr2bl w:val="nil"/>
                  </w:tcBorders>
                  <w:noWrap w:val="0"/>
                  <w:vAlign w:val="center"/>
                </w:tcPr>
                <w:p w14:paraId="4FBBB843">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非甲烷总烃</w:t>
                  </w:r>
                </w:p>
              </w:tc>
              <w:tc>
                <w:tcPr>
                  <w:tcW w:w="1685" w:type="dxa"/>
                  <w:tcBorders>
                    <w:tl2br w:val="nil"/>
                    <w:tr2bl w:val="nil"/>
                  </w:tcBorders>
                  <w:noWrap w:val="0"/>
                  <w:vAlign w:val="center"/>
                </w:tcPr>
                <w:p w14:paraId="1BE813D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厂区内监控点处1h平均浓度值</w:t>
                  </w:r>
                </w:p>
              </w:tc>
              <w:tc>
                <w:tcPr>
                  <w:tcW w:w="1846" w:type="dxa"/>
                  <w:tcBorders>
                    <w:tl2br w:val="nil"/>
                    <w:tr2bl w:val="nil"/>
                  </w:tcBorders>
                  <w:noWrap w:val="0"/>
                  <w:vAlign w:val="center"/>
                </w:tcPr>
                <w:p w14:paraId="510F0180">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6</w:t>
                  </w:r>
                </w:p>
              </w:tc>
            </w:tr>
            <w:tr w14:paraId="0920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3009" w:type="dxa"/>
                  <w:vMerge w:val="continue"/>
                  <w:tcBorders>
                    <w:tl2br w:val="nil"/>
                    <w:tr2bl w:val="nil"/>
                  </w:tcBorders>
                  <w:noWrap w:val="0"/>
                  <w:vAlign w:val="center"/>
                </w:tcPr>
                <w:p w14:paraId="3CF7B005">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1404" w:type="dxa"/>
                  <w:vMerge w:val="continue"/>
                  <w:tcBorders>
                    <w:tl2br w:val="nil"/>
                    <w:tr2bl w:val="nil"/>
                  </w:tcBorders>
                  <w:noWrap w:val="0"/>
                  <w:vAlign w:val="center"/>
                </w:tcPr>
                <w:p w14:paraId="6E19DF54">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Cs/>
                      <w:color w:val="000000" w:themeColor="text1"/>
                      <w:sz w:val="21"/>
                      <w:szCs w:val="21"/>
                      <w:lang w:eastAsia="zh-CN"/>
                      <w14:textFill>
                        <w14:solidFill>
                          <w14:schemeClr w14:val="tx1"/>
                        </w14:solidFill>
                      </w14:textFill>
                    </w:rPr>
                  </w:pPr>
                </w:p>
              </w:tc>
              <w:tc>
                <w:tcPr>
                  <w:tcW w:w="1685" w:type="dxa"/>
                  <w:tcBorders>
                    <w:tl2br w:val="nil"/>
                    <w:tr2bl w:val="nil"/>
                  </w:tcBorders>
                  <w:noWrap w:val="0"/>
                  <w:vAlign w:val="center"/>
                </w:tcPr>
                <w:p w14:paraId="6F0DA51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厂区内监控点任意一次浓度</w:t>
                  </w:r>
                </w:p>
              </w:tc>
              <w:tc>
                <w:tcPr>
                  <w:tcW w:w="1846" w:type="dxa"/>
                  <w:tcBorders>
                    <w:tl2br w:val="nil"/>
                    <w:tr2bl w:val="nil"/>
                  </w:tcBorders>
                  <w:noWrap w:val="0"/>
                  <w:vAlign w:val="center"/>
                </w:tcPr>
                <w:p w14:paraId="40677C7F">
                  <w:pPr>
                    <w:pStyle w:val="13"/>
                    <w:keepNext w:val="0"/>
                    <w:keepLines w:val="0"/>
                    <w:pageBreakBefore w:val="0"/>
                    <w:widowControl w:val="0"/>
                    <w:tabs>
                      <w:tab w:val="center" w:pos="4160"/>
                      <w:tab w:val="right" w:pos="8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20</w:t>
                  </w:r>
                </w:p>
              </w:tc>
            </w:tr>
          </w:tbl>
          <w:p w14:paraId="632B87C8">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2" w:firstLineChars="200"/>
              <w:textAlignment w:val="auto"/>
              <w:rPr>
                <w:rFonts w:hint="default"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2、废水</w:t>
            </w:r>
          </w:p>
          <w:p w14:paraId="2FDDDFF4">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本项目生产废水不外排。施工期、运营期废水主要为生活污水，</w:t>
            </w:r>
            <w:r>
              <w:rPr>
                <w:rFonts w:hint="eastAsia" w:ascii="宋体" w:hAnsi="宋体" w:cs="宋体"/>
                <w:bCs/>
                <w:color w:val="000000" w:themeColor="text1"/>
                <w:sz w:val="24"/>
                <w:szCs w:val="24"/>
                <w:lang w:val="en-US" w:eastAsia="zh-CN"/>
                <w14:textFill>
                  <w14:solidFill>
                    <w14:schemeClr w14:val="tx1"/>
                  </w14:solidFill>
                </w14:textFill>
              </w:rPr>
              <w:t>生活污水经化粪池处理后排入市政管网</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，生活污水排放执行《污水综合排放标准》（GB8978-1996）及《污水排入城镇下水道水质标准》（GB/T31962-2015），具体标准限值见下表。</w:t>
            </w:r>
          </w:p>
          <w:p w14:paraId="48ED8FBB">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表3-7  生活污水污染物排放执行标准</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1086"/>
              <w:gridCol w:w="671"/>
              <w:gridCol w:w="1071"/>
              <w:gridCol w:w="864"/>
              <w:gridCol w:w="864"/>
              <w:gridCol w:w="823"/>
            </w:tblGrid>
            <w:tr w14:paraId="1CEC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622" w:type="pct"/>
                  <w:tcBorders>
                    <w:tl2br w:val="nil"/>
                    <w:tr2bl w:val="nil"/>
                  </w:tcBorders>
                  <w:noWrap w:val="0"/>
                  <w:vAlign w:val="center"/>
                </w:tcPr>
                <w:p w14:paraId="5219A93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排放标准</w:t>
                  </w:r>
                </w:p>
              </w:tc>
              <w:tc>
                <w:tcPr>
                  <w:tcW w:w="681" w:type="pct"/>
                  <w:tcBorders>
                    <w:tl2br w:val="nil"/>
                    <w:tr2bl w:val="nil"/>
                  </w:tcBorders>
                  <w:noWrap w:val="0"/>
                  <w:vAlign w:val="center"/>
                </w:tcPr>
                <w:p w14:paraId="61A4D30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pH（无量纲）</w:t>
                  </w:r>
                </w:p>
              </w:tc>
              <w:tc>
                <w:tcPr>
                  <w:tcW w:w="421" w:type="pct"/>
                  <w:tcBorders>
                    <w:tl2br w:val="nil"/>
                    <w:tr2bl w:val="nil"/>
                  </w:tcBorders>
                  <w:noWrap w:val="0"/>
                  <w:vAlign w:val="center"/>
                </w:tcPr>
                <w:p w14:paraId="1DF1A06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COD</w:t>
                  </w:r>
                </w:p>
              </w:tc>
              <w:tc>
                <w:tcPr>
                  <w:tcW w:w="672" w:type="pct"/>
                  <w:tcBorders>
                    <w:tl2br w:val="nil"/>
                    <w:tr2bl w:val="nil"/>
                  </w:tcBorders>
                  <w:noWrap w:val="0"/>
                  <w:vAlign w:val="center"/>
                </w:tcPr>
                <w:p w14:paraId="4027305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BOD</w:t>
                  </w:r>
                  <w:r>
                    <w:rPr>
                      <w:rFonts w:hint="default" w:ascii="Times New Roman" w:hAnsi="Times New Roman" w:cs="Times New Roman"/>
                      <w:b/>
                      <w:bCs/>
                      <w:color w:val="000000" w:themeColor="text1"/>
                      <w:sz w:val="21"/>
                      <w:szCs w:val="21"/>
                      <w:highlight w:val="none"/>
                      <w:vertAlign w:val="subscript"/>
                      <w14:textFill>
                        <w14:solidFill>
                          <w14:schemeClr w14:val="tx1"/>
                        </w14:solidFill>
                      </w14:textFill>
                    </w:rPr>
                    <w:t>5</w:t>
                  </w:r>
                </w:p>
              </w:tc>
              <w:tc>
                <w:tcPr>
                  <w:tcW w:w="542" w:type="pct"/>
                  <w:tcBorders>
                    <w:tl2br w:val="nil"/>
                    <w:tr2bl w:val="nil"/>
                  </w:tcBorders>
                  <w:noWrap w:val="0"/>
                  <w:vAlign w:val="center"/>
                </w:tcPr>
                <w:p w14:paraId="7212262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SS</w:t>
                  </w:r>
                </w:p>
              </w:tc>
              <w:tc>
                <w:tcPr>
                  <w:tcW w:w="542" w:type="pct"/>
                  <w:tcBorders>
                    <w:tl2br w:val="nil"/>
                    <w:tr2bl w:val="nil"/>
                  </w:tcBorders>
                  <w:noWrap w:val="0"/>
                  <w:vAlign w:val="center"/>
                </w:tcPr>
                <w:p w14:paraId="48B88EA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NH</w:t>
                  </w:r>
                  <w:r>
                    <w:rPr>
                      <w:rFonts w:hint="default" w:ascii="Times New Roman" w:hAnsi="Times New Roman" w:cs="Times New Roman"/>
                      <w:b/>
                      <w:bCs/>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b/>
                      <w:bCs/>
                      <w:color w:val="000000" w:themeColor="text1"/>
                      <w:sz w:val="21"/>
                      <w:szCs w:val="21"/>
                      <w:highlight w:val="none"/>
                      <w14:textFill>
                        <w14:solidFill>
                          <w14:schemeClr w14:val="tx1"/>
                        </w14:solidFill>
                      </w14:textFill>
                    </w:rPr>
                    <w:t>-N</w:t>
                  </w:r>
                </w:p>
              </w:tc>
              <w:tc>
                <w:tcPr>
                  <w:tcW w:w="516" w:type="pct"/>
                  <w:tcBorders>
                    <w:tl2br w:val="nil"/>
                    <w:tr2bl w:val="nil"/>
                  </w:tcBorders>
                  <w:noWrap w:val="0"/>
                  <w:vAlign w:val="center"/>
                </w:tcPr>
                <w:p w14:paraId="7428D9F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石油类</w:t>
                  </w:r>
                </w:p>
              </w:tc>
            </w:tr>
            <w:tr w14:paraId="5BFB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622" w:type="pct"/>
                  <w:tcBorders>
                    <w:tl2br w:val="nil"/>
                    <w:tr2bl w:val="nil"/>
                  </w:tcBorders>
                  <w:noWrap w:val="0"/>
                  <w:vAlign w:val="center"/>
                </w:tcPr>
                <w:p w14:paraId="390B3E8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《污水综合排放标准》（GB8978-1996）表4中三级标准</w:t>
                  </w:r>
                </w:p>
              </w:tc>
              <w:tc>
                <w:tcPr>
                  <w:tcW w:w="681" w:type="pct"/>
                  <w:tcBorders>
                    <w:tl2br w:val="nil"/>
                    <w:tr2bl w:val="nil"/>
                  </w:tcBorders>
                  <w:noWrap w:val="0"/>
                  <w:vAlign w:val="center"/>
                </w:tcPr>
                <w:p w14:paraId="74A1B54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6~9</w:t>
                  </w:r>
                </w:p>
              </w:tc>
              <w:tc>
                <w:tcPr>
                  <w:tcW w:w="421" w:type="pct"/>
                  <w:tcBorders>
                    <w:tl2br w:val="nil"/>
                    <w:tr2bl w:val="nil"/>
                  </w:tcBorders>
                  <w:noWrap w:val="0"/>
                  <w:vAlign w:val="center"/>
                </w:tcPr>
                <w:p w14:paraId="5B0C5D2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500</w:t>
                  </w:r>
                </w:p>
              </w:tc>
              <w:tc>
                <w:tcPr>
                  <w:tcW w:w="672" w:type="pct"/>
                  <w:tcBorders>
                    <w:tl2br w:val="nil"/>
                    <w:tr2bl w:val="nil"/>
                  </w:tcBorders>
                  <w:noWrap w:val="0"/>
                  <w:vAlign w:val="center"/>
                </w:tcPr>
                <w:p w14:paraId="287E1E6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300</w:t>
                  </w:r>
                </w:p>
              </w:tc>
              <w:tc>
                <w:tcPr>
                  <w:tcW w:w="542" w:type="pct"/>
                  <w:tcBorders>
                    <w:tl2br w:val="nil"/>
                    <w:tr2bl w:val="nil"/>
                  </w:tcBorders>
                  <w:noWrap w:val="0"/>
                  <w:vAlign w:val="center"/>
                </w:tcPr>
                <w:p w14:paraId="2E691DF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400</w:t>
                  </w:r>
                </w:p>
              </w:tc>
              <w:tc>
                <w:tcPr>
                  <w:tcW w:w="542" w:type="pct"/>
                  <w:tcBorders>
                    <w:tl2br w:val="nil"/>
                    <w:tr2bl w:val="nil"/>
                  </w:tcBorders>
                  <w:noWrap w:val="0"/>
                  <w:vAlign w:val="center"/>
                </w:tcPr>
                <w:p w14:paraId="0306EC4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6" w:type="pct"/>
                  <w:tcBorders>
                    <w:tl2br w:val="nil"/>
                    <w:tr2bl w:val="nil"/>
                  </w:tcBorders>
                  <w:noWrap w:val="0"/>
                  <w:vAlign w:val="center"/>
                </w:tcPr>
                <w:p w14:paraId="28618B7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w:t>
                  </w:r>
                </w:p>
              </w:tc>
            </w:tr>
            <w:tr w14:paraId="0200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1622" w:type="pct"/>
                  <w:tcBorders>
                    <w:tl2br w:val="nil"/>
                    <w:tr2bl w:val="nil"/>
                  </w:tcBorders>
                  <w:noWrap w:val="0"/>
                  <w:vAlign w:val="center"/>
                </w:tcPr>
                <w:p w14:paraId="288AD81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《污水排入城镇下水道水质标准》（GB/T31962-2015）表1中的B级标准</w:t>
                  </w:r>
                </w:p>
              </w:tc>
              <w:tc>
                <w:tcPr>
                  <w:tcW w:w="681" w:type="pct"/>
                  <w:tcBorders>
                    <w:tl2br w:val="nil"/>
                    <w:tr2bl w:val="nil"/>
                  </w:tcBorders>
                  <w:noWrap w:val="0"/>
                  <w:vAlign w:val="center"/>
                </w:tcPr>
                <w:p w14:paraId="351106A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21" w:type="pct"/>
                  <w:tcBorders>
                    <w:tl2br w:val="nil"/>
                    <w:tr2bl w:val="nil"/>
                  </w:tcBorders>
                  <w:noWrap w:val="0"/>
                  <w:vAlign w:val="center"/>
                </w:tcPr>
                <w:p w14:paraId="428AD10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72" w:type="pct"/>
                  <w:tcBorders>
                    <w:tl2br w:val="nil"/>
                    <w:tr2bl w:val="nil"/>
                  </w:tcBorders>
                  <w:noWrap w:val="0"/>
                  <w:vAlign w:val="center"/>
                </w:tcPr>
                <w:p w14:paraId="428060D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42" w:type="pct"/>
                  <w:tcBorders>
                    <w:tl2br w:val="nil"/>
                    <w:tr2bl w:val="nil"/>
                  </w:tcBorders>
                  <w:noWrap w:val="0"/>
                  <w:vAlign w:val="center"/>
                </w:tcPr>
                <w:p w14:paraId="4C620C6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542" w:type="pct"/>
                  <w:tcBorders>
                    <w:tl2br w:val="nil"/>
                    <w:tr2bl w:val="nil"/>
                  </w:tcBorders>
                  <w:noWrap w:val="0"/>
                  <w:vAlign w:val="center"/>
                </w:tcPr>
                <w:p w14:paraId="5F63EB5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45</w:t>
                  </w:r>
                </w:p>
              </w:tc>
              <w:tc>
                <w:tcPr>
                  <w:tcW w:w="516" w:type="pct"/>
                  <w:tcBorders>
                    <w:tl2br w:val="nil"/>
                    <w:tr2bl w:val="nil"/>
                  </w:tcBorders>
                  <w:noWrap w:val="0"/>
                  <w:vAlign w:val="center"/>
                </w:tcPr>
                <w:p w14:paraId="125BF12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bl>
          <w:p w14:paraId="18B9B7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textAlignment w:val="auto"/>
              <w:rPr>
                <w:rFonts w:hint="default"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3、噪声</w:t>
            </w:r>
          </w:p>
          <w:p w14:paraId="3B3283B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根据宝鸡市噪声功能区划调整方案，本项目</w:t>
            </w:r>
            <w:r>
              <w:rPr>
                <w:rFonts w:hint="eastAsia" w:ascii="Times New Roman" w:hAnsi="Times New Roman" w:eastAsia="宋体" w:cs="Times New Roman"/>
                <w:color w:val="000000" w:themeColor="text1"/>
                <w:sz w:val="24"/>
                <w:lang w:val="en-US" w:eastAsia="zh-CN"/>
                <w14:textFill>
                  <w14:solidFill>
                    <w14:schemeClr w14:val="tx1"/>
                  </w14:solidFill>
                </w14:textFill>
              </w:rPr>
              <w:t>属于“陈仓科技工业园3类区”，</w:t>
            </w:r>
            <w:r>
              <w:rPr>
                <w:rFonts w:hint="default" w:ascii="Times New Roman" w:hAnsi="Times New Roman" w:eastAsia="宋体" w:cs="Times New Roman"/>
                <w:color w:val="000000" w:themeColor="text1"/>
                <w:sz w:val="24"/>
                <w:lang w:val="en-US" w:eastAsia="zh-CN"/>
                <w14:textFill>
                  <w14:solidFill>
                    <w14:schemeClr w14:val="tx1"/>
                  </w14:solidFill>
                </w14:textFill>
              </w:rPr>
              <w:t>因此，本项目运行期厂界噪声执行《工业企业厂界环境噪声排放标准》（GB12348-2008）中的</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类标准</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标准值见表3-</w:t>
            </w:r>
            <w:r>
              <w:rPr>
                <w:rFonts w:hint="eastAsia" w:ascii="Times New Roman" w:hAnsi="Times New Roman" w:eastAsia="宋体" w:cs="Times New Roman"/>
                <w:color w:val="000000" w:themeColor="text1"/>
                <w:sz w:val="24"/>
                <w:lang w:val="en-US" w:eastAsia="zh-CN"/>
                <w14:textFill>
                  <w14:solidFill>
                    <w14:schemeClr w14:val="tx1"/>
                  </w14:solidFill>
                </w14:textFill>
              </w:rPr>
              <w:t>8</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73067BE6">
            <w:pPr>
              <w:keepNext w:val="0"/>
              <w:keepLines w:val="0"/>
              <w:pageBreakBefore w:val="0"/>
              <w:widowControl w:val="0"/>
              <w:shd w:val="clear" w:color="auto" w:fill="FFFFFF"/>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8</w:t>
            </w:r>
            <w:r>
              <w:rPr>
                <w:rFonts w:hint="default" w:ascii="Times New Roman" w:hAnsi="Times New Roman" w:cs="Times New Roman"/>
                <w:b/>
                <w:bCs/>
                <w:color w:val="000000" w:themeColor="text1"/>
                <w:sz w:val="21"/>
                <w:szCs w:val="21"/>
                <w14:textFill>
                  <w14:solidFill>
                    <w14:schemeClr w14:val="tx1"/>
                  </w14:solidFill>
                </w14:textFill>
              </w:rPr>
              <w:t xml:space="preserve">  工业企业环境噪声排放限值</w:t>
            </w:r>
          </w:p>
          <w:tbl>
            <w:tblPr>
              <w:tblStyle w:val="14"/>
              <w:tblW w:w="5000" w:type="pct"/>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309"/>
              <w:gridCol w:w="1188"/>
              <w:gridCol w:w="1240"/>
              <w:gridCol w:w="1113"/>
              <w:gridCol w:w="1114"/>
            </w:tblGrid>
            <w:tr w14:paraId="7CCA16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35" w:hRule="atLeast"/>
              </w:trPr>
              <w:tc>
                <w:tcPr>
                  <w:tcW w:w="2663" w:type="dxa"/>
                  <w:vMerge w:val="restart"/>
                  <w:noWrap w:val="0"/>
                  <w:vAlign w:val="center"/>
                </w:tcPr>
                <w:p w14:paraId="0011BDE9">
                  <w:pPr>
                    <w:pStyle w:val="2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执行标准</w:t>
                  </w:r>
                </w:p>
              </w:tc>
              <w:tc>
                <w:tcPr>
                  <w:tcW w:w="956" w:type="dxa"/>
                  <w:vMerge w:val="restart"/>
                  <w:noWrap w:val="0"/>
                  <w:vAlign w:val="center"/>
                </w:tcPr>
                <w:p w14:paraId="152BACB8">
                  <w:pPr>
                    <w:pStyle w:val="2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级别</w:t>
                  </w:r>
                </w:p>
              </w:tc>
              <w:tc>
                <w:tcPr>
                  <w:tcW w:w="998" w:type="dxa"/>
                  <w:vMerge w:val="restart"/>
                  <w:noWrap w:val="0"/>
                  <w:vAlign w:val="center"/>
                </w:tcPr>
                <w:p w14:paraId="51A90D42">
                  <w:pPr>
                    <w:pStyle w:val="2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单位</w:t>
                  </w:r>
                </w:p>
              </w:tc>
              <w:tc>
                <w:tcPr>
                  <w:tcW w:w="1791" w:type="dxa"/>
                  <w:gridSpan w:val="2"/>
                  <w:tcBorders>
                    <w:bottom w:val="single" w:color="auto" w:sz="4" w:space="0"/>
                  </w:tcBorders>
                  <w:noWrap w:val="0"/>
                  <w:vAlign w:val="center"/>
                </w:tcPr>
                <w:p w14:paraId="7DC32AED">
                  <w:pPr>
                    <w:pStyle w:val="2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标准</w:t>
                  </w:r>
                  <w:r>
                    <w:rPr>
                      <w:rFonts w:hint="eastAsia" w:ascii="Times New Roman" w:hAnsi="Times New Roman" w:cs="Times New Roman"/>
                      <w:b/>
                      <w:bCs w:val="0"/>
                      <w:color w:val="000000" w:themeColor="text1"/>
                      <w:sz w:val="21"/>
                      <w:szCs w:val="21"/>
                      <w:lang w:eastAsia="zh-CN"/>
                      <w14:textFill>
                        <w14:solidFill>
                          <w14:schemeClr w14:val="tx1"/>
                        </w14:solidFill>
                      </w14:textFill>
                    </w:rPr>
                    <w:t>限值</w:t>
                  </w:r>
                </w:p>
              </w:tc>
            </w:tr>
            <w:tr w14:paraId="0DFEF1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9" w:hRule="atLeast"/>
              </w:trPr>
              <w:tc>
                <w:tcPr>
                  <w:tcW w:w="2663" w:type="dxa"/>
                  <w:vMerge w:val="continue"/>
                  <w:noWrap w:val="0"/>
                  <w:vAlign w:val="center"/>
                </w:tcPr>
                <w:p w14:paraId="7C7A3680">
                  <w:pPr>
                    <w:pStyle w:val="2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p>
              </w:tc>
              <w:tc>
                <w:tcPr>
                  <w:tcW w:w="956" w:type="dxa"/>
                  <w:vMerge w:val="continue"/>
                  <w:noWrap w:val="0"/>
                  <w:vAlign w:val="center"/>
                </w:tcPr>
                <w:p w14:paraId="50C4C4C4">
                  <w:pPr>
                    <w:pStyle w:val="2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p>
              </w:tc>
              <w:tc>
                <w:tcPr>
                  <w:tcW w:w="998" w:type="dxa"/>
                  <w:vMerge w:val="continue"/>
                  <w:noWrap w:val="0"/>
                  <w:vAlign w:val="center"/>
                </w:tcPr>
                <w:p w14:paraId="00813501">
                  <w:pPr>
                    <w:pStyle w:val="2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p>
              </w:tc>
              <w:tc>
                <w:tcPr>
                  <w:tcW w:w="895" w:type="dxa"/>
                  <w:tcBorders>
                    <w:top w:val="single" w:color="auto" w:sz="4" w:space="0"/>
                  </w:tcBorders>
                  <w:noWrap w:val="0"/>
                  <w:vAlign w:val="center"/>
                </w:tcPr>
                <w:p w14:paraId="6DB7C15E">
                  <w:pPr>
                    <w:pStyle w:val="2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bCs w:val="0"/>
                      <w:color w:val="000000" w:themeColor="text1"/>
                      <w:sz w:val="21"/>
                      <w:szCs w:val="21"/>
                      <w:highlight w:val="yellow"/>
                      <w:lang w:eastAsia="zh-CN"/>
                      <w14:textFill>
                        <w14:solidFill>
                          <w14:schemeClr w14:val="tx1"/>
                        </w14:solidFill>
                      </w14:textFill>
                    </w:rPr>
                  </w:pPr>
                  <w:r>
                    <w:rPr>
                      <w:rFonts w:hint="eastAsia" w:ascii="Times New Roman" w:hAnsi="Times New Roman" w:cs="Times New Roman"/>
                      <w:b/>
                      <w:bCs w:val="0"/>
                      <w:color w:val="000000" w:themeColor="text1"/>
                      <w:sz w:val="21"/>
                      <w:szCs w:val="21"/>
                      <w:lang w:eastAsia="zh-CN"/>
                      <w14:textFill>
                        <w14:solidFill>
                          <w14:schemeClr w14:val="tx1"/>
                        </w14:solidFill>
                      </w14:textFill>
                    </w:rPr>
                    <w:t>昼间</w:t>
                  </w:r>
                </w:p>
              </w:tc>
              <w:tc>
                <w:tcPr>
                  <w:tcW w:w="896" w:type="dxa"/>
                  <w:tcBorders>
                    <w:top w:val="single" w:color="auto" w:sz="4" w:space="0"/>
                  </w:tcBorders>
                  <w:noWrap w:val="0"/>
                  <w:vAlign w:val="center"/>
                </w:tcPr>
                <w:p w14:paraId="775AF2CB">
                  <w:pPr>
                    <w:pStyle w:val="2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lang w:val="en-US" w:eastAsia="zh-CN"/>
                      <w14:textFill>
                        <w14:solidFill>
                          <w14:schemeClr w14:val="tx1"/>
                        </w14:solidFill>
                      </w14:textFill>
                    </w:rPr>
                    <w:t>夜间</w:t>
                  </w:r>
                </w:p>
              </w:tc>
            </w:tr>
            <w:tr w14:paraId="05D5F9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56" w:hRule="atLeast"/>
              </w:trPr>
              <w:tc>
                <w:tcPr>
                  <w:tcW w:w="2663" w:type="dxa"/>
                  <w:noWrap w:val="0"/>
                  <w:vAlign w:val="center"/>
                </w:tcPr>
                <w:p w14:paraId="2AB3A3E9">
                  <w:pPr>
                    <w:pStyle w:val="2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w:t>
                  </w:r>
                  <w:r>
                    <w:rPr>
                      <w:rFonts w:hint="eastAsia" w:ascii="Times New Roman" w:hAnsi="Times New Roman" w:cs="Times New Roman"/>
                      <w:b w:val="0"/>
                      <w:bCs/>
                      <w:color w:val="000000" w:themeColor="text1"/>
                      <w:sz w:val="21"/>
                      <w:szCs w:val="21"/>
                      <w:lang w:eastAsia="zh-CN"/>
                      <w14:textFill>
                        <w14:solidFill>
                          <w14:schemeClr w14:val="tx1"/>
                        </w14:solidFill>
                      </w14:textFill>
                    </w:rPr>
                    <w:t>工业企业厂界环境噪声排放标准</w:t>
                  </w:r>
                  <w:r>
                    <w:rPr>
                      <w:rFonts w:hint="default" w:ascii="Times New Roman" w:hAnsi="Times New Roman" w:cs="Times New Roman"/>
                      <w:b w:val="0"/>
                      <w:bCs/>
                      <w:color w:val="000000" w:themeColor="text1"/>
                      <w:sz w:val="21"/>
                      <w:szCs w:val="21"/>
                      <w14:textFill>
                        <w14:solidFill>
                          <w14:schemeClr w14:val="tx1"/>
                        </w14:solidFill>
                      </w14:textFill>
                    </w:rPr>
                    <w:t>》（GB12348-2008）</w:t>
                  </w:r>
                </w:p>
              </w:tc>
              <w:tc>
                <w:tcPr>
                  <w:tcW w:w="956" w:type="dxa"/>
                  <w:noWrap w:val="0"/>
                  <w:vAlign w:val="center"/>
                </w:tcPr>
                <w:p w14:paraId="1ADAB0AA">
                  <w:pPr>
                    <w:pStyle w:val="2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14:textFill>
                        <w14:solidFill>
                          <w14:schemeClr w14:val="tx1"/>
                        </w14:solidFill>
                      </w14:textFill>
                    </w:rPr>
                    <w:t>类</w:t>
                  </w:r>
                </w:p>
              </w:tc>
              <w:tc>
                <w:tcPr>
                  <w:tcW w:w="998" w:type="dxa"/>
                  <w:noWrap w:val="0"/>
                  <w:vAlign w:val="center"/>
                </w:tcPr>
                <w:p w14:paraId="6FDF9A1F">
                  <w:pPr>
                    <w:pStyle w:val="2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dB</w:t>
                  </w:r>
                  <w:r>
                    <w:rPr>
                      <w:rFonts w:hint="eastAsia" w:ascii="Times New Roman" w:hAnsi="Times New Roman" w:cs="Times New Roman"/>
                      <w:b w:val="0"/>
                      <w:bCs/>
                      <w:color w:val="000000" w:themeColor="text1"/>
                      <w:sz w:val="21"/>
                      <w:szCs w:val="21"/>
                      <w:lang w:eastAsia="zh-CN"/>
                      <w14:textFill>
                        <w14:solidFill>
                          <w14:schemeClr w14:val="tx1"/>
                        </w14:solidFill>
                      </w14:textFill>
                    </w:rPr>
                    <w:t>(</w:t>
                  </w:r>
                  <w:r>
                    <w:rPr>
                      <w:rFonts w:hint="default" w:ascii="Times New Roman" w:hAnsi="Times New Roman" w:cs="Times New Roman"/>
                      <w:b w:val="0"/>
                      <w:bCs/>
                      <w:color w:val="000000" w:themeColor="text1"/>
                      <w:sz w:val="21"/>
                      <w:szCs w:val="21"/>
                      <w14:textFill>
                        <w14:solidFill>
                          <w14:schemeClr w14:val="tx1"/>
                        </w14:solidFill>
                      </w14:textFill>
                    </w:rPr>
                    <w:t>A</w:t>
                  </w:r>
                  <w:r>
                    <w:rPr>
                      <w:rFonts w:hint="eastAsia" w:ascii="Times New Roman" w:hAnsi="Times New Roman" w:cs="Times New Roman"/>
                      <w:b w:val="0"/>
                      <w:bCs/>
                      <w:color w:val="000000" w:themeColor="text1"/>
                      <w:sz w:val="21"/>
                      <w:szCs w:val="21"/>
                      <w:lang w:eastAsia="zh-CN"/>
                      <w14:textFill>
                        <w14:solidFill>
                          <w14:schemeClr w14:val="tx1"/>
                        </w14:solidFill>
                      </w14:textFill>
                    </w:rPr>
                    <w:t>)</w:t>
                  </w:r>
                </w:p>
              </w:tc>
              <w:tc>
                <w:tcPr>
                  <w:tcW w:w="895" w:type="dxa"/>
                  <w:noWrap w:val="0"/>
                  <w:vAlign w:val="center"/>
                </w:tcPr>
                <w:p w14:paraId="31CCE637">
                  <w:pPr>
                    <w:pStyle w:val="2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highlight w:val="yellow"/>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65</w:t>
                  </w:r>
                </w:p>
              </w:tc>
              <w:tc>
                <w:tcPr>
                  <w:tcW w:w="896" w:type="dxa"/>
                  <w:noWrap w:val="0"/>
                  <w:vAlign w:val="center"/>
                </w:tcPr>
                <w:p w14:paraId="1C6DF040">
                  <w:pPr>
                    <w:pStyle w:val="2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55</w:t>
                  </w:r>
                </w:p>
              </w:tc>
            </w:tr>
          </w:tbl>
          <w:p w14:paraId="10C30C71">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2" w:firstLineChars="200"/>
              <w:textAlignment w:val="auto"/>
              <w:rPr>
                <w:rFonts w:hint="default"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4、固体废物</w:t>
            </w:r>
          </w:p>
          <w:p w14:paraId="19454A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olor w:val="000000" w:themeColor="text1"/>
                <w:sz w:val="24"/>
                <w:highlight w:val="none"/>
                <w:lang w:eastAsia="zh-CN"/>
                <w14:textFill>
                  <w14:solidFill>
                    <w14:schemeClr w14:val="tx1"/>
                  </w14:solidFill>
                </w14:textFill>
              </w:rPr>
            </w:pPr>
            <w:r>
              <w:rPr>
                <w:rFonts w:hint="default" w:ascii="Times New Roman" w:hAnsi="Times New Roman"/>
                <w:color w:val="000000" w:themeColor="text1"/>
                <w:sz w:val="24"/>
                <w:highlight w:val="none"/>
                <w14:textFill>
                  <w14:solidFill>
                    <w14:schemeClr w14:val="tx1"/>
                  </w14:solidFill>
                </w14:textFill>
              </w:rPr>
              <w:t>本项目固体废物的处理、处置均应满足《中华人民共和国固体废物污染环境防治法》中的有关规定要求</w:t>
            </w:r>
            <w:r>
              <w:rPr>
                <w:rFonts w:hint="eastAsia" w:ascii="Times New Roman" w:hAnsi="Times New Roman"/>
                <w:color w:val="000000" w:themeColor="text1"/>
                <w:sz w:val="24"/>
                <w:highlight w:val="none"/>
                <w:lang w:eastAsia="zh-CN"/>
                <w14:textFill>
                  <w14:solidFill>
                    <w14:schemeClr w14:val="tx1"/>
                  </w14:solidFill>
                </w14:textFill>
              </w:rPr>
              <w:t>。</w:t>
            </w:r>
            <w:r>
              <w:rPr>
                <w:rFonts w:ascii="Times New Roman" w:hAnsi="Times New Roman"/>
                <w:color w:val="000000" w:themeColor="text1"/>
                <w:sz w:val="24"/>
                <w:highlight w:val="none"/>
                <w14:textFill>
                  <w14:solidFill>
                    <w14:schemeClr w14:val="tx1"/>
                  </w14:solidFill>
                </w14:textFill>
              </w:rPr>
              <w:t>贮存过程应满足相应防渗漏、防雨淋、防扬尘等环境保护要求</w:t>
            </w:r>
            <w:r>
              <w:rPr>
                <w:rFonts w:hint="eastAsia" w:ascii="Times New Roman" w:hAnsi="Times New Roman"/>
                <w:color w:val="000000" w:themeColor="text1"/>
                <w:sz w:val="24"/>
                <w:highlight w:val="none"/>
                <w:lang w:eastAsia="zh-CN"/>
                <w14:textFill>
                  <w14:solidFill>
                    <w14:schemeClr w14:val="tx1"/>
                  </w14:solidFill>
                </w14:textFill>
              </w:rPr>
              <w:t>。</w:t>
            </w:r>
          </w:p>
          <w:p w14:paraId="45BC5D04">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本项目危险废物</w:t>
            </w:r>
            <w:r>
              <w:rPr>
                <w:rFonts w:hint="eastAsia" w:eastAsia="宋体" w:cs="Times New Roman"/>
                <w:color w:val="000000" w:themeColor="text1"/>
                <w:sz w:val="24"/>
                <w:highlight w:val="none"/>
                <w:lang w:eastAsia="zh-CN"/>
                <w14:textFill>
                  <w14:solidFill>
                    <w14:schemeClr w14:val="tx1"/>
                  </w14:solidFill>
                </w14:textFill>
              </w:rPr>
              <w:t>管理、</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贮存执行《危险废物贮存污染控制标准》（GB18597-2023）、《危险废物识别标志设置技术规范》（HJ1276—2022）</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p w14:paraId="26DBE28D">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0DE3D017">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2536FB68">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04120C34">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7F5E8BF1">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7898DF16">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3B97F0B5">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121C2BB0">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10E94358">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18F07C6A">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3A48BF08">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6CCDFED9">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38D9578F">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099373BF">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1FD6B87C">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39B35D23">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1D1080E4">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008A9AB6">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41DCB5A7">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715363C0">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1C422DD8">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5386D8F0">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7512F922">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6062CCCF">
            <w:pPr>
              <w:keepNext w:val="0"/>
              <w:keepLines w:val="0"/>
              <w:pageBreakBefore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p>
          <w:p w14:paraId="2B0E33B2">
            <w:pPr>
              <w:pStyle w:val="11"/>
              <w:keepNext w:val="0"/>
              <w:keepLines w:val="0"/>
              <w:pageBreakBefore w:val="0"/>
              <w:kinsoku/>
              <w:wordWrap/>
              <w:overflowPunct/>
              <w:topLinePunct w:val="0"/>
              <w:autoSpaceDE/>
              <w:autoSpaceDN/>
              <w:bidi w:val="0"/>
              <w:spacing w:before="0" w:beforeAutospacing="0" w:after="0" w:afterAutospacing="0" w:line="360" w:lineRule="auto"/>
              <w:ind w:left="0" w:leftChars="0"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14:paraId="7BA697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14:paraId="24D3EBE8">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总量</w:t>
            </w:r>
          </w:p>
          <w:p w14:paraId="02278A12">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控制</w:t>
            </w:r>
          </w:p>
          <w:p w14:paraId="7063CB3B">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指标</w:t>
            </w:r>
          </w:p>
        </w:tc>
        <w:tc>
          <w:tcPr>
            <w:tcW w:w="8190" w:type="dxa"/>
            <w:noWrap w:val="0"/>
            <w:vAlign w:val="center"/>
          </w:tcPr>
          <w:p w14:paraId="1466EA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宋体" w:hAnsi="宋体" w:eastAsia="宋体" w:cs="宋体"/>
                <w:color w:val="000000" w:themeColor="text1"/>
                <w:sz w:val="24"/>
                <w:szCs w:val="32"/>
                <w:lang w:val="en-US" w:eastAsia="zh-CN"/>
                <w14:textFill>
                  <w14:solidFill>
                    <w14:schemeClr w14:val="tx1"/>
                  </w14:solidFill>
                </w14:textFill>
              </w:rPr>
              <w:t>根据《“十四五”主要污染物总量控制规划编制技术指南》，国家“十四五”</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期间主要污染物总量控制因子为COD、氨氮、NOx、VOCs。</w:t>
            </w:r>
          </w:p>
          <w:p w14:paraId="5A9D6AC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lang w:val="en-US" w:eastAsia="zh-CN"/>
                <w14:textFill>
                  <w14:solidFill>
                    <w14:schemeClr w14:val="tx1"/>
                  </w14:solidFill>
                </w14:textFill>
              </w:rPr>
              <w:t>结合本项目实际情况，本项目运营期设计的废气控制指标主要为</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搅拌、缠绕、</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加热固化工序产生的有机废气（以非甲烷总烃计），挥发性有机物（VOCs）的排放量约为</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262.2</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kg/a</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，本项目建成后全厂的总量控制指标具体如下：</w:t>
            </w:r>
          </w:p>
          <w:p w14:paraId="55D2EE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原有项目非甲烷总烃排放量（无组织）：</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4.8×2%</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96kg</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w:t>
            </w:r>
          </w:p>
          <w:p w14:paraId="1F464D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本项目非甲烷总烃排放量经核算为262.2kg/a*0.8*0.4=83.904</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kg</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w:t>
            </w:r>
          </w:p>
          <w:p w14:paraId="6DA5625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原有项目非甲烷总烃经收集处理后排放量为：96*0.8*0.4=30.72kg/a，以新带老削减量为96-30.72=65.28kg/a；</w:t>
            </w:r>
          </w:p>
          <w:p w14:paraId="183376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扩建后原有项目+本项目非甲烷总烃排放量为：83.904+30.72=114.624kg/a。</w:t>
            </w:r>
          </w:p>
          <w:p w14:paraId="188F6BC3">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表3-8  污染物总量控制指标一览表</w:t>
            </w:r>
          </w:p>
          <w:tbl>
            <w:tblPr>
              <w:tblStyle w:val="15"/>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755"/>
              <w:gridCol w:w="1545"/>
              <w:gridCol w:w="1725"/>
              <w:gridCol w:w="1765"/>
            </w:tblGrid>
            <w:tr w14:paraId="46CA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190" w:type="dxa"/>
                  <w:tcBorders>
                    <w:tl2br w:val="nil"/>
                    <w:tr2bl w:val="nil"/>
                  </w:tcBorders>
                  <w:noWrap w:val="0"/>
                  <w:vAlign w:val="center"/>
                </w:tcPr>
                <w:p w14:paraId="134FA658">
                  <w:pPr>
                    <w:keepNext w:val="0"/>
                    <w:keepLines w:val="0"/>
                    <w:pageBreakBefore w:val="0"/>
                    <w:widowControl w:val="0"/>
                    <w:kinsoku/>
                    <w:wordWrap/>
                    <w:overflowPunct/>
                    <w:topLinePunct w:val="0"/>
                    <w:bidi w:val="0"/>
                    <w:spacing w:line="36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污染物</w:t>
                  </w:r>
                </w:p>
              </w:tc>
              <w:tc>
                <w:tcPr>
                  <w:tcW w:w="1755" w:type="dxa"/>
                  <w:tcBorders>
                    <w:tl2br w:val="nil"/>
                    <w:tr2bl w:val="nil"/>
                  </w:tcBorders>
                  <w:noWrap w:val="0"/>
                  <w:vAlign w:val="center"/>
                </w:tcPr>
                <w:p w14:paraId="2786B3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原有项目排放量</w:t>
                  </w:r>
                </w:p>
              </w:tc>
              <w:tc>
                <w:tcPr>
                  <w:tcW w:w="1545" w:type="dxa"/>
                  <w:tcBorders>
                    <w:tl2br w:val="nil"/>
                    <w:tr2bl w:val="nil"/>
                  </w:tcBorders>
                  <w:noWrap w:val="0"/>
                  <w:vAlign w:val="center"/>
                </w:tcPr>
                <w:p w14:paraId="70D2B5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本项目排放量</w:t>
                  </w:r>
                </w:p>
              </w:tc>
              <w:tc>
                <w:tcPr>
                  <w:tcW w:w="1725" w:type="dxa"/>
                  <w:tcBorders>
                    <w:tl2br w:val="nil"/>
                    <w:tr2bl w:val="nil"/>
                  </w:tcBorders>
                  <w:noWrap w:val="0"/>
                  <w:vAlign w:val="center"/>
                </w:tcPr>
                <w:p w14:paraId="6720A8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以新带老削减量</w:t>
                  </w:r>
                </w:p>
              </w:tc>
              <w:tc>
                <w:tcPr>
                  <w:tcW w:w="1765" w:type="dxa"/>
                  <w:tcBorders>
                    <w:tl2br w:val="nil"/>
                    <w:tr2bl w:val="nil"/>
                  </w:tcBorders>
                  <w:noWrap w:val="0"/>
                  <w:vAlign w:val="center"/>
                </w:tcPr>
                <w:p w14:paraId="71A070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改扩建后排放量</w:t>
                  </w:r>
                </w:p>
              </w:tc>
            </w:tr>
            <w:tr w14:paraId="6140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190" w:type="dxa"/>
                  <w:tcBorders>
                    <w:tl2br w:val="nil"/>
                    <w:tr2bl w:val="nil"/>
                  </w:tcBorders>
                  <w:noWrap w:val="0"/>
                  <w:vAlign w:val="center"/>
                </w:tcPr>
                <w:p w14:paraId="1955B5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挥发性有机物</w:t>
                  </w:r>
                </w:p>
              </w:tc>
              <w:tc>
                <w:tcPr>
                  <w:tcW w:w="1755" w:type="dxa"/>
                  <w:tcBorders>
                    <w:tl2br w:val="nil"/>
                    <w:tr2bl w:val="nil"/>
                  </w:tcBorders>
                  <w:noWrap w:val="0"/>
                  <w:vAlign w:val="center"/>
                </w:tcPr>
                <w:p w14:paraId="122A6F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96</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1545" w:type="dxa"/>
                  <w:tcBorders>
                    <w:tl2br w:val="nil"/>
                    <w:tr2bl w:val="nil"/>
                  </w:tcBorders>
                  <w:noWrap w:val="0"/>
                  <w:vAlign w:val="center"/>
                </w:tcPr>
                <w:p w14:paraId="2E63B7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83.904kg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1725" w:type="dxa"/>
                  <w:tcBorders>
                    <w:tl2br w:val="nil"/>
                    <w:tr2bl w:val="nil"/>
                  </w:tcBorders>
                  <w:noWrap w:val="0"/>
                  <w:vAlign w:val="center"/>
                </w:tcPr>
                <w:p w14:paraId="457526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65.28kg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1765" w:type="dxa"/>
                  <w:tcBorders>
                    <w:tl2br w:val="nil"/>
                    <w:tr2bl w:val="nil"/>
                  </w:tcBorders>
                  <w:noWrap w:val="0"/>
                  <w:vAlign w:val="center"/>
                </w:tcPr>
                <w:p w14:paraId="296930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114.624kg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r>
          </w:tbl>
          <w:p w14:paraId="4042BE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lang w:val="en-US" w:eastAsia="zh-CN"/>
                <w14:textFill>
                  <w14:solidFill>
                    <w14:schemeClr w14:val="tx1"/>
                  </w14:solidFill>
                </w14:textFill>
              </w:rPr>
              <w:t>本次扩建增加有机废气治理设施，</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同行业类型企业二级活性炭去除效率均≥80%，根据涉VOCs企业生产经验，二级活性炭</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去除效率</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约</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60</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%，扩建后污染物排放总量控制建议指标挥发性有机物（VOCs）：</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115kg</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/a。</w:t>
            </w:r>
          </w:p>
          <w:p w14:paraId="4FF2D401">
            <w:pPr>
              <w:pStyle w:val="11"/>
              <w:rPr>
                <w:rFonts w:hint="eastAsia" w:ascii="宋体" w:hAnsi="宋体" w:eastAsia="宋体" w:cs="宋体"/>
                <w:color w:val="000000" w:themeColor="text1"/>
                <w:sz w:val="24"/>
                <w:szCs w:val="32"/>
                <w:lang w:val="en-US" w:eastAsia="zh-CN"/>
                <w14:textFill>
                  <w14:solidFill>
                    <w14:schemeClr w14:val="tx1"/>
                  </w14:solidFill>
                </w14:textFill>
              </w:rPr>
            </w:pPr>
          </w:p>
          <w:p w14:paraId="0D1BEC27">
            <w:pPr>
              <w:rPr>
                <w:rFonts w:hint="eastAsia" w:ascii="宋体" w:hAnsi="宋体" w:eastAsia="宋体" w:cs="宋体"/>
                <w:color w:val="000000" w:themeColor="text1"/>
                <w:sz w:val="24"/>
                <w:szCs w:val="32"/>
                <w:lang w:val="en-US" w:eastAsia="zh-CN"/>
                <w14:textFill>
                  <w14:solidFill>
                    <w14:schemeClr w14:val="tx1"/>
                  </w14:solidFill>
                </w14:textFill>
              </w:rPr>
            </w:pPr>
          </w:p>
          <w:p w14:paraId="78CA8234">
            <w:pPr>
              <w:rPr>
                <w:rFonts w:hint="eastAsia" w:ascii="宋体" w:hAnsi="宋体" w:eastAsia="宋体" w:cs="宋体"/>
                <w:color w:val="000000" w:themeColor="text1"/>
                <w:sz w:val="24"/>
                <w:szCs w:val="32"/>
                <w:lang w:val="en-US" w:eastAsia="zh-CN"/>
                <w14:textFill>
                  <w14:solidFill>
                    <w14:schemeClr w14:val="tx1"/>
                  </w14:solidFill>
                </w14:textFill>
              </w:rPr>
            </w:pPr>
          </w:p>
          <w:p w14:paraId="37148683">
            <w:pPr>
              <w:rPr>
                <w:rFonts w:hint="eastAsia" w:ascii="宋体" w:hAnsi="宋体" w:eastAsia="宋体" w:cs="宋体"/>
                <w:color w:val="000000" w:themeColor="text1"/>
                <w:sz w:val="24"/>
                <w:szCs w:val="32"/>
                <w:lang w:val="en-US" w:eastAsia="zh-CN"/>
                <w14:textFill>
                  <w14:solidFill>
                    <w14:schemeClr w14:val="tx1"/>
                  </w14:solidFill>
                </w14:textFill>
              </w:rPr>
            </w:pPr>
          </w:p>
          <w:p w14:paraId="7621386D">
            <w:pPr>
              <w:rPr>
                <w:rFonts w:hint="eastAsia" w:ascii="宋体" w:hAnsi="宋体" w:eastAsia="宋体" w:cs="宋体"/>
                <w:color w:val="000000" w:themeColor="text1"/>
                <w:sz w:val="24"/>
                <w:szCs w:val="32"/>
                <w:lang w:val="en-US" w:eastAsia="zh-CN"/>
                <w14:textFill>
                  <w14:solidFill>
                    <w14:schemeClr w14:val="tx1"/>
                  </w14:solidFill>
                </w14:textFill>
              </w:rPr>
            </w:pPr>
          </w:p>
          <w:p w14:paraId="6A552B75">
            <w:pPr>
              <w:rPr>
                <w:rFonts w:hint="eastAsia" w:ascii="宋体" w:hAnsi="宋体" w:eastAsia="宋体" w:cs="宋体"/>
                <w:color w:val="000000" w:themeColor="text1"/>
                <w:sz w:val="24"/>
                <w:szCs w:val="32"/>
                <w:lang w:val="en-US" w:eastAsia="zh-CN"/>
                <w14:textFill>
                  <w14:solidFill>
                    <w14:schemeClr w14:val="tx1"/>
                  </w14:solidFill>
                </w14:textFill>
              </w:rPr>
            </w:pPr>
          </w:p>
          <w:p w14:paraId="78F64B3F">
            <w:pPr>
              <w:rPr>
                <w:rFonts w:hint="eastAsia" w:ascii="宋体" w:hAnsi="宋体" w:eastAsia="宋体" w:cs="宋体"/>
                <w:color w:val="000000" w:themeColor="text1"/>
                <w:sz w:val="24"/>
                <w:szCs w:val="32"/>
                <w:lang w:val="en-US" w:eastAsia="zh-CN"/>
                <w14:textFill>
                  <w14:solidFill>
                    <w14:schemeClr w14:val="tx1"/>
                  </w14:solidFill>
                </w14:textFill>
              </w:rPr>
            </w:pPr>
          </w:p>
          <w:p w14:paraId="20042EAB">
            <w:pPr>
              <w:rPr>
                <w:rFonts w:hint="eastAsia" w:ascii="宋体" w:hAnsi="宋体" w:eastAsia="宋体" w:cs="宋体"/>
                <w:color w:val="000000" w:themeColor="text1"/>
                <w:sz w:val="24"/>
                <w:szCs w:val="32"/>
                <w:lang w:val="en-US" w:eastAsia="zh-CN"/>
                <w14:textFill>
                  <w14:solidFill>
                    <w14:schemeClr w14:val="tx1"/>
                  </w14:solidFill>
                </w14:textFill>
              </w:rPr>
            </w:pPr>
          </w:p>
          <w:p w14:paraId="268A7613">
            <w:pPr>
              <w:rPr>
                <w:rFonts w:hint="eastAsia"/>
                <w:color w:val="000000" w:themeColor="text1"/>
                <w:lang w:val="en-US" w:eastAsia="zh-CN"/>
                <w14:textFill>
                  <w14:solidFill>
                    <w14:schemeClr w14:val="tx1"/>
                  </w14:solidFill>
                </w14:textFill>
              </w:rPr>
            </w:pPr>
          </w:p>
          <w:p w14:paraId="701218B7">
            <w:pPr>
              <w:rPr>
                <w:rFonts w:hint="eastAsia"/>
                <w:color w:val="000000" w:themeColor="text1"/>
                <w:lang w:val="en-US" w:eastAsia="zh-CN"/>
                <w14:textFill>
                  <w14:solidFill>
                    <w14:schemeClr w14:val="tx1"/>
                  </w14:solidFill>
                </w14:textFill>
              </w:rPr>
            </w:pPr>
          </w:p>
          <w:p w14:paraId="2CCF0441">
            <w:pPr>
              <w:rPr>
                <w:rFonts w:hint="eastAsia"/>
                <w:color w:val="000000" w:themeColor="text1"/>
                <w:lang w:val="en-US" w:eastAsia="zh-CN"/>
                <w14:textFill>
                  <w14:solidFill>
                    <w14:schemeClr w14:val="tx1"/>
                  </w14:solidFill>
                </w14:textFill>
              </w:rPr>
            </w:pPr>
          </w:p>
          <w:p w14:paraId="11610352">
            <w:pPr>
              <w:rPr>
                <w:rFonts w:hint="eastAsia"/>
                <w:color w:val="000000" w:themeColor="text1"/>
                <w:lang w:val="en-US" w:eastAsia="zh-CN"/>
                <w14:textFill>
                  <w14:solidFill>
                    <w14:schemeClr w14:val="tx1"/>
                  </w14:solidFill>
                </w14:textFill>
              </w:rPr>
            </w:pPr>
          </w:p>
          <w:p w14:paraId="4A8673BB">
            <w:pPr>
              <w:rPr>
                <w:rFonts w:hint="eastAsia"/>
                <w:color w:val="000000" w:themeColor="text1"/>
                <w:lang w:val="en-US" w:eastAsia="zh-CN"/>
                <w14:textFill>
                  <w14:solidFill>
                    <w14:schemeClr w14:val="tx1"/>
                  </w14:solidFill>
                </w14:textFill>
              </w:rPr>
            </w:pPr>
          </w:p>
        </w:tc>
      </w:tr>
    </w:tbl>
    <w:p w14:paraId="27F20365">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sz w:val="36"/>
          <w:szCs w:val="36"/>
          <w14:textFill>
            <w14:solidFill>
              <w14:schemeClr w14:val="tx1"/>
            </w14:solidFill>
          </w14:textFill>
        </w:rPr>
        <w:br w:type="page"/>
      </w:r>
      <w:bookmarkStart w:id="6" w:name="_Toc1371"/>
      <w:r>
        <w:rPr>
          <w:rFonts w:hint="eastAsia"/>
          <w:b/>
          <w:sz w:val="30"/>
          <w:szCs w:val="30"/>
        </w:rPr>
        <w:t>四、主要环境影响和保护措施</w:t>
      </w:r>
      <w:bookmarkEnd w:id="6"/>
    </w:p>
    <w:tbl>
      <w:tblPr>
        <w:tblStyle w:val="1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4"/>
        <w:gridCol w:w="8604"/>
      </w:tblGrid>
      <w:tr w14:paraId="7A0C63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1" w:hRule="atLeast"/>
          <w:jc w:val="center"/>
        </w:trPr>
        <w:tc>
          <w:tcPr>
            <w:tcW w:w="304" w:type="dxa"/>
            <w:noWrap w:val="0"/>
            <w:tcMar>
              <w:left w:w="28" w:type="dxa"/>
              <w:right w:w="28" w:type="dxa"/>
            </w:tcMar>
            <w:vAlign w:val="center"/>
          </w:tcPr>
          <w:p w14:paraId="436A994F">
            <w:pPr>
              <w:pStyle w:val="12"/>
              <w:adjustRightInd w:val="0"/>
              <w:snapToGrid w:val="0"/>
              <w:spacing w:before="0" w:beforeAutospacing="0" w:after="0" w:afterAutospacing="0"/>
              <w:jc w:val="center"/>
              <w:rPr>
                <w:rFonts w:hint="eastAsia" w:cs="宋体"/>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施工</w:t>
            </w:r>
          </w:p>
          <w:p w14:paraId="7B164DB3">
            <w:pPr>
              <w:pStyle w:val="12"/>
              <w:adjustRightInd w:val="0"/>
              <w:snapToGrid w:val="0"/>
              <w:spacing w:before="0" w:beforeAutospacing="0" w:after="0" w:afterAutospacing="0"/>
              <w:jc w:val="center"/>
              <w:rPr>
                <w:rFonts w:hint="eastAsia" w:cs="宋体"/>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期环</w:t>
            </w:r>
          </w:p>
          <w:p w14:paraId="5B5B4AFD">
            <w:pPr>
              <w:pStyle w:val="12"/>
              <w:adjustRightInd w:val="0"/>
              <w:snapToGrid w:val="0"/>
              <w:spacing w:before="0" w:beforeAutospacing="0" w:after="0" w:afterAutospacing="0"/>
              <w:jc w:val="center"/>
              <w:rPr>
                <w:rFonts w:hint="eastAsia" w:cs="宋体"/>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境保</w:t>
            </w:r>
          </w:p>
          <w:p w14:paraId="251A7AAE">
            <w:pPr>
              <w:pStyle w:val="12"/>
              <w:adjustRightInd w:val="0"/>
              <w:snapToGrid w:val="0"/>
              <w:spacing w:before="0" w:beforeAutospacing="0" w:after="0" w:afterAutospacing="0"/>
              <w:jc w:val="center"/>
              <w:rPr>
                <w:rFonts w:hint="eastAsia" w:cs="宋体"/>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护措</w:t>
            </w:r>
          </w:p>
          <w:p w14:paraId="130BAD1B">
            <w:pPr>
              <w:pStyle w:val="12"/>
              <w:adjustRightInd w:val="0"/>
              <w:snapToGrid w:val="0"/>
              <w:spacing w:before="0" w:beforeAutospacing="0" w:after="0" w:afterAutospacing="0"/>
              <w:jc w:val="center"/>
              <w:rPr>
                <w:rFonts w:hint="eastAsia" w:cs="宋体"/>
                <w:bCs/>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施</w:t>
            </w:r>
          </w:p>
        </w:tc>
        <w:tc>
          <w:tcPr>
            <w:tcW w:w="8604" w:type="dxa"/>
            <w:noWrap w:val="0"/>
            <w:vAlign w:val="center"/>
          </w:tcPr>
          <w:p w14:paraId="47162A59">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本项目租赁已建成厂房进行生产，不需要新建其他构筑物，施工期仅为设备安装，工程量较小。施工期主要污染为设备安装、调试噪声。安装和调试过程均在厂房内进行，通过厂房隔声降低对周围环境的影响。</w:t>
            </w:r>
          </w:p>
          <w:p w14:paraId="41033687">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固废主要为废包装材料，主要为木板、纸箱，收集后交物资回收公司。</w:t>
            </w:r>
          </w:p>
          <w:p w14:paraId="2721E4E2">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Cs w:val="21"/>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施工期间人员生活污水依托园区公共卫生间。采取以上措施后，施工期对环境的影响可接受。</w:t>
            </w:r>
          </w:p>
        </w:tc>
      </w:tr>
      <w:tr w14:paraId="478B93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04" w:type="dxa"/>
            <w:noWrap w:val="0"/>
            <w:tcMar>
              <w:left w:w="28" w:type="dxa"/>
              <w:right w:w="28" w:type="dxa"/>
            </w:tcMar>
            <w:vAlign w:val="center"/>
          </w:tcPr>
          <w:p w14:paraId="5F42EC05">
            <w:pPr>
              <w:adjustRightInd w:val="0"/>
              <w:snapToGrid w:val="0"/>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运营</w:t>
            </w:r>
          </w:p>
          <w:p w14:paraId="6E54544C">
            <w:pPr>
              <w:adjustRightInd w:val="0"/>
              <w:snapToGrid w:val="0"/>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期环</w:t>
            </w:r>
          </w:p>
          <w:p w14:paraId="16705479">
            <w:pPr>
              <w:adjustRightInd w:val="0"/>
              <w:snapToGrid w:val="0"/>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境影</w:t>
            </w:r>
          </w:p>
          <w:p w14:paraId="4ADB698D">
            <w:pPr>
              <w:adjustRightInd w:val="0"/>
              <w:snapToGrid w:val="0"/>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响和</w:t>
            </w:r>
          </w:p>
          <w:p w14:paraId="263F6E06">
            <w:pPr>
              <w:adjustRightInd w:val="0"/>
              <w:snapToGrid w:val="0"/>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保护</w:t>
            </w:r>
          </w:p>
          <w:p w14:paraId="5211F250">
            <w:pPr>
              <w:adjustRightInd w:val="0"/>
              <w:snapToGrid w:val="0"/>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措施</w:t>
            </w:r>
          </w:p>
        </w:tc>
        <w:tc>
          <w:tcPr>
            <w:tcW w:w="8604" w:type="dxa"/>
            <w:noWrap w:val="0"/>
            <w:vAlign w:val="center"/>
          </w:tcPr>
          <w:p w14:paraId="1F782E75">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1、废气</w:t>
            </w:r>
          </w:p>
          <w:p w14:paraId="44A3196F">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本项目运营期废气主要为搅拌、缠绕、固化工序挥发性有机物，机加工序切割粉尘和打磨工序打磨废气。</w:t>
            </w:r>
          </w:p>
          <w:p w14:paraId="714ACE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val="0"/>
                <w:color w:val="000000" w:themeColor="text1"/>
                <w:spacing w:val="-10"/>
                <w:sz w:val="21"/>
                <w:szCs w:val="21"/>
                <w:lang w:val="en-US" w:eastAsia="zh-CN"/>
                <w14:textFill>
                  <w14:solidFill>
                    <w14:schemeClr w14:val="tx1"/>
                  </w14:solidFill>
                </w14:textFill>
              </w:rPr>
            </w:pPr>
            <w:r>
              <w:rPr>
                <w:rFonts w:hint="eastAsia" w:ascii="宋体" w:hAnsi="宋体" w:cs="宋体"/>
                <w:b/>
                <w:bCs w:val="0"/>
                <w:color w:val="000000" w:themeColor="text1"/>
                <w:spacing w:val="-10"/>
                <w:sz w:val="21"/>
                <w:szCs w:val="21"/>
                <w:lang w:val="en-US" w:eastAsia="zh-CN"/>
                <w14:textFill>
                  <w14:solidFill>
                    <w14:schemeClr w14:val="tx1"/>
                  </w14:solidFill>
                </w14:textFill>
              </w:rPr>
              <w:t>表4-1  废气污染源源强核算汇总表</w:t>
            </w:r>
          </w:p>
          <w:tbl>
            <w:tblPr>
              <w:tblStyle w:val="15"/>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
              <w:gridCol w:w="401"/>
              <w:gridCol w:w="968"/>
              <w:gridCol w:w="860"/>
              <w:gridCol w:w="645"/>
              <w:gridCol w:w="645"/>
              <w:gridCol w:w="645"/>
              <w:gridCol w:w="645"/>
              <w:gridCol w:w="645"/>
              <w:gridCol w:w="645"/>
              <w:gridCol w:w="646"/>
              <w:gridCol w:w="646"/>
              <w:gridCol w:w="646"/>
            </w:tblGrid>
            <w:tr w14:paraId="0645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vMerge w:val="restart"/>
                  <w:vAlign w:val="center"/>
                </w:tcPr>
                <w:p w14:paraId="104B9E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产污环节</w:t>
                  </w:r>
                </w:p>
              </w:tc>
              <w:tc>
                <w:tcPr>
                  <w:tcW w:w="401" w:type="dxa"/>
                  <w:vMerge w:val="restart"/>
                  <w:vAlign w:val="center"/>
                </w:tcPr>
                <w:p w14:paraId="1CB46A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污染物种类</w:t>
                  </w:r>
                </w:p>
              </w:tc>
              <w:tc>
                <w:tcPr>
                  <w:tcW w:w="1828" w:type="dxa"/>
                  <w:gridSpan w:val="2"/>
                  <w:vAlign w:val="center"/>
                </w:tcPr>
                <w:p w14:paraId="6E8966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污染物产生</w:t>
                  </w:r>
                </w:p>
              </w:tc>
              <w:tc>
                <w:tcPr>
                  <w:tcW w:w="2580" w:type="dxa"/>
                  <w:gridSpan w:val="4"/>
                  <w:vAlign w:val="center"/>
                </w:tcPr>
                <w:p w14:paraId="53EA62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治理措施</w:t>
                  </w:r>
                </w:p>
              </w:tc>
              <w:tc>
                <w:tcPr>
                  <w:tcW w:w="3228" w:type="dxa"/>
                  <w:gridSpan w:val="5"/>
                  <w:vAlign w:val="center"/>
                </w:tcPr>
                <w:p w14:paraId="075307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污染物排放</w:t>
                  </w:r>
                </w:p>
              </w:tc>
            </w:tr>
            <w:tr w14:paraId="0571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vMerge w:val="continue"/>
                  <w:vAlign w:val="center"/>
                </w:tcPr>
                <w:p w14:paraId="2C197F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pPr>
                </w:p>
              </w:tc>
              <w:tc>
                <w:tcPr>
                  <w:tcW w:w="401" w:type="dxa"/>
                  <w:vMerge w:val="continue"/>
                  <w:vAlign w:val="center"/>
                </w:tcPr>
                <w:p w14:paraId="1F3ACD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pPr>
                </w:p>
              </w:tc>
              <w:tc>
                <w:tcPr>
                  <w:tcW w:w="968" w:type="dxa"/>
                  <w:vAlign w:val="center"/>
                </w:tcPr>
                <w:p w14:paraId="3150EA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产生浓度mg/m³</w:t>
                  </w:r>
                </w:p>
              </w:tc>
              <w:tc>
                <w:tcPr>
                  <w:tcW w:w="860" w:type="dxa"/>
                  <w:vAlign w:val="center"/>
                </w:tcPr>
                <w:p w14:paraId="3B4905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产生量kg/a</w:t>
                  </w:r>
                </w:p>
              </w:tc>
              <w:tc>
                <w:tcPr>
                  <w:tcW w:w="645" w:type="dxa"/>
                  <w:vAlign w:val="center"/>
                </w:tcPr>
                <w:p w14:paraId="459D52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收集效率%</w:t>
                  </w:r>
                </w:p>
              </w:tc>
              <w:tc>
                <w:tcPr>
                  <w:tcW w:w="645" w:type="dxa"/>
                  <w:vAlign w:val="center"/>
                </w:tcPr>
                <w:p w14:paraId="210587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治理工艺</w:t>
                  </w:r>
                </w:p>
              </w:tc>
              <w:tc>
                <w:tcPr>
                  <w:tcW w:w="645" w:type="dxa"/>
                  <w:vAlign w:val="center"/>
                </w:tcPr>
                <w:p w14:paraId="4848DD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去除效率%</w:t>
                  </w:r>
                </w:p>
              </w:tc>
              <w:tc>
                <w:tcPr>
                  <w:tcW w:w="645" w:type="dxa"/>
                  <w:vAlign w:val="center"/>
                </w:tcPr>
                <w:p w14:paraId="1402AE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是否为可行技术</w:t>
                  </w:r>
                </w:p>
              </w:tc>
              <w:tc>
                <w:tcPr>
                  <w:tcW w:w="645" w:type="dxa"/>
                  <w:vAlign w:val="center"/>
                </w:tcPr>
                <w:p w14:paraId="1C2A39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排放速率kg/h</w:t>
                  </w:r>
                </w:p>
              </w:tc>
              <w:tc>
                <w:tcPr>
                  <w:tcW w:w="645" w:type="dxa"/>
                  <w:vAlign w:val="center"/>
                </w:tcPr>
                <w:p w14:paraId="0073DE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排放浓度mg/m³</w:t>
                  </w:r>
                </w:p>
              </w:tc>
              <w:tc>
                <w:tcPr>
                  <w:tcW w:w="646" w:type="dxa"/>
                  <w:vAlign w:val="center"/>
                </w:tcPr>
                <w:p w14:paraId="424D53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排放量kg/a</w:t>
                  </w:r>
                </w:p>
              </w:tc>
              <w:tc>
                <w:tcPr>
                  <w:tcW w:w="646" w:type="dxa"/>
                  <w:vAlign w:val="center"/>
                </w:tcPr>
                <w:p w14:paraId="27CD23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排放时间h/a</w:t>
                  </w:r>
                </w:p>
              </w:tc>
              <w:tc>
                <w:tcPr>
                  <w:tcW w:w="646" w:type="dxa"/>
                  <w:vAlign w:val="center"/>
                </w:tcPr>
                <w:p w14:paraId="74C2B1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排放方式</w:t>
                  </w:r>
                </w:p>
              </w:tc>
            </w:tr>
            <w:tr w14:paraId="78F0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vAlign w:val="center"/>
                </w:tcPr>
                <w:p w14:paraId="1CFF8B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搅拌</w:t>
                  </w:r>
                </w:p>
              </w:tc>
              <w:tc>
                <w:tcPr>
                  <w:tcW w:w="401" w:type="dxa"/>
                  <w:vMerge w:val="restart"/>
                  <w:vAlign w:val="center"/>
                </w:tcPr>
                <w:p w14:paraId="2C5E6C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非甲烷总烃</w:t>
                  </w:r>
                </w:p>
              </w:tc>
              <w:tc>
                <w:tcPr>
                  <w:tcW w:w="968" w:type="dxa"/>
                  <w:vMerge w:val="restart"/>
                  <w:vAlign w:val="center"/>
                </w:tcPr>
                <w:p w14:paraId="6F768C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0.75</w:t>
                  </w:r>
                </w:p>
              </w:tc>
              <w:tc>
                <w:tcPr>
                  <w:tcW w:w="860" w:type="dxa"/>
                  <w:vMerge w:val="restart"/>
                  <w:vAlign w:val="center"/>
                </w:tcPr>
                <w:p w14:paraId="39C3E5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39.8</w:t>
                  </w:r>
                </w:p>
              </w:tc>
              <w:tc>
                <w:tcPr>
                  <w:tcW w:w="645" w:type="dxa"/>
                  <w:vMerge w:val="restart"/>
                  <w:vAlign w:val="center"/>
                </w:tcPr>
                <w:p w14:paraId="2A5126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80</w:t>
                  </w:r>
                </w:p>
              </w:tc>
              <w:tc>
                <w:tcPr>
                  <w:tcW w:w="645" w:type="dxa"/>
                  <w:vMerge w:val="restart"/>
                  <w:vAlign w:val="center"/>
                </w:tcPr>
                <w:p w14:paraId="2B6C09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集气罩+二级活性炭吸附+15m排气筒</w:t>
                  </w:r>
                </w:p>
              </w:tc>
              <w:tc>
                <w:tcPr>
                  <w:tcW w:w="645" w:type="dxa"/>
                  <w:vMerge w:val="restart"/>
                  <w:vAlign w:val="center"/>
                </w:tcPr>
                <w:p w14:paraId="01FA98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60</w:t>
                  </w:r>
                </w:p>
              </w:tc>
              <w:tc>
                <w:tcPr>
                  <w:tcW w:w="645" w:type="dxa"/>
                  <w:vMerge w:val="restart"/>
                  <w:vAlign w:val="center"/>
                </w:tcPr>
                <w:p w14:paraId="76ED59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是</w:t>
                  </w:r>
                </w:p>
              </w:tc>
              <w:tc>
                <w:tcPr>
                  <w:tcW w:w="645" w:type="dxa"/>
                  <w:vMerge w:val="restart"/>
                  <w:shd w:val="clear" w:color="auto" w:fill="auto"/>
                  <w:vAlign w:val="center"/>
                </w:tcPr>
                <w:p w14:paraId="40A49C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0.0217</w:t>
                  </w:r>
                </w:p>
              </w:tc>
              <w:tc>
                <w:tcPr>
                  <w:tcW w:w="645" w:type="dxa"/>
                  <w:vMerge w:val="restart"/>
                  <w:vAlign w:val="center"/>
                </w:tcPr>
                <w:p w14:paraId="65CBC1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2.17</w:t>
                  </w:r>
                </w:p>
              </w:tc>
              <w:tc>
                <w:tcPr>
                  <w:tcW w:w="646" w:type="dxa"/>
                  <w:vMerge w:val="restart"/>
                  <w:vAlign w:val="center"/>
                </w:tcPr>
                <w:p w14:paraId="000193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114.624</w:t>
                  </w:r>
                </w:p>
              </w:tc>
              <w:tc>
                <w:tcPr>
                  <w:tcW w:w="646" w:type="dxa"/>
                  <w:vMerge w:val="restart"/>
                  <w:vAlign w:val="center"/>
                </w:tcPr>
                <w:p w14:paraId="1D8B07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5280</w:t>
                  </w:r>
                </w:p>
              </w:tc>
              <w:tc>
                <w:tcPr>
                  <w:tcW w:w="646" w:type="dxa"/>
                  <w:vMerge w:val="restart"/>
                  <w:vAlign w:val="center"/>
                </w:tcPr>
                <w:p w14:paraId="69C90D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有组织DA001</w:t>
                  </w:r>
                </w:p>
              </w:tc>
            </w:tr>
            <w:tr w14:paraId="4FEA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vAlign w:val="center"/>
                </w:tcPr>
                <w:p w14:paraId="72661B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缠绕</w:t>
                  </w:r>
                </w:p>
              </w:tc>
              <w:tc>
                <w:tcPr>
                  <w:tcW w:w="401" w:type="dxa"/>
                  <w:vMerge w:val="continue"/>
                  <w:vAlign w:val="center"/>
                </w:tcPr>
                <w:p w14:paraId="499C00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968" w:type="dxa"/>
                  <w:vMerge w:val="continue"/>
                  <w:vAlign w:val="center"/>
                </w:tcPr>
                <w:p w14:paraId="7AF662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860" w:type="dxa"/>
                  <w:vMerge w:val="continue"/>
                  <w:vAlign w:val="center"/>
                </w:tcPr>
                <w:p w14:paraId="00A039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5" w:type="dxa"/>
                  <w:vMerge w:val="continue"/>
                  <w:vAlign w:val="center"/>
                </w:tcPr>
                <w:p w14:paraId="6A58D8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5" w:type="dxa"/>
                  <w:vMerge w:val="continue"/>
                  <w:vAlign w:val="center"/>
                </w:tcPr>
                <w:p w14:paraId="35EF04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5" w:type="dxa"/>
                  <w:vMerge w:val="continue"/>
                  <w:vAlign w:val="center"/>
                </w:tcPr>
                <w:p w14:paraId="17D34F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5" w:type="dxa"/>
                  <w:vMerge w:val="continue"/>
                  <w:vAlign w:val="center"/>
                </w:tcPr>
                <w:p w14:paraId="58D7A4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5" w:type="dxa"/>
                  <w:vMerge w:val="continue"/>
                  <w:vAlign w:val="center"/>
                </w:tcPr>
                <w:p w14:paraId="2D0CF1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5" w:type="dxa"/>
                  <w:vMerge w:val="continue"/>
                  <w:vAlign w:val="center"/>
                </w:tcPr>
                <w:p w14:paraId="43C39D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6" w:type="dxa"/>
                  <w:vMerge w:val="continue"/>
                  <w:vAlign w:val="center"/>
                </w:tcPr>
                <w:p w14:paraId="11407D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6" w:type="dxa"/>
                  <w:vMerge w:val="continue"/>
                  <w:vAlign w:val="center"/>
                </w:tcPr>
                <w:p w14:paraId="14F3B0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6" w:type="dxa"/>
                  <w:vMerge w:val="continue"/>
                  <w:vAlign w:val="center"/>
                </w:tcPr>
                <w:p w14:paraId="409B81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r>
            <w:tr w14:paraId="6997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vAlign w:val="center"/>
                </w:tcPr>
                <w:p w14:paraId="25EA11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固化</w:t>
                  </w:r>
                </w:p>
              </w:tc>
              <w:tc>
                <w:tcPr>
                  <w:tcW w:w="401" w:type="dxa"/>
                  <w:vMerge w:val="continue"/>
                  <w:vAlign w:val="center"/>
                </w:tcPr>
                <w:p w14:paraId="47A091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968" w:type="dxa"/>
                  <w:vAlign w:val="center"/>
                </w:tcPr>
                <w:p w14:paraId="1A0131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6.03</w:t>
                  </w:r>
                </w:p>
              </w:tc>
              <w:tc>
                <w:tcPr>
                  <w:tcW w:w="860" w:type="dxa"/>
                  <w:vAlign w:val="center"/>
                </w:tcPr>
                <w:p w14:paraId="2ED718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318.4</w:t>
                  </w:r>
                </w:p>
              </w:tc>
              <w:tc>
                <w:tcPr>
                  <w:tcW w:w="645" w:type="dxa"/>
                  <w:vMerge w:val="continue"/>
                  <w:vAlign w:val="center"/>
                </w:tcPr>
                <w:p w14:paraId="7934BC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5" w:type="dxa"/>
                  <w:vMerge w:val="continue"/>
                  <w:vAlign w:val="center"/>
                </w:tcPr>
                <w:p w14:paraId="57467C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5" w:type="dxa"/>
                  <w:vMerge w:val="continue"/>
                  <w:vAlign w:val="center"/>
                </w:tcPr>
                <w:p w14:paraId="23487E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5" w:type="dxa"/>
                  <w:vMerge w:val="continue"/>
                  <w:vAlign w:val="center"/>
                </w:tcPr>
                <w:p w14:paraId="1ADD93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5" w:type="dxa"/>
                  <w:vMerge w:val="continue"/>
                  <w:shd w:val="clear" w:color="auto" w:fill="auto"/>
                  <w:vAlign w:val="center"/>
                </w:tcPr>
                <w:p w14:paraId="564424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000000" w:themeColor="text1"/>
                      <w:spacing w:val="-10"/>
                      <w:kern w:val="2"/>
                      <w:sz w:val="21"/>
                      <w:szCs w:val="21"/>
                      <w:vertAlign w:val="baseline"/>
                      <w:lang w:val="en-US" w:eastAsia="zh-CN" w:bidi="ar-SA"/>
                      <w14:textFill>
                        <w14:solidFill>
                          <w14:schemeClr w14:val="tx1"/>
                        </w14:solidFill>
                      </w14:textFill>
                    </w:rPr>
                  </w:pPr>
                </w:p>
              </w:tc>
              <w:tc>
                <w:tcPr>
                  <w:tcW w:w="645" w:type="dxa"/>
                  <w:vMerge w:val="continue"/>
                  <w:vAlign w:val="center"/>
                </w:tcPr>
                <w:p w14:paraId="1D72E9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6" w:type="dxa"/>
                  <w:vMerge w:val="continue"/>
                  <w:vAlign w:val="center"/>
                </w:tcPr>
                <w:p w14:paraId="090890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6" w:type="dxa"/>
                  <w:vMerge w:val="continue"/>
                  <w:vAlign w:val="center"/>
                </w:tcPr>
                <w:p w14:paraId="4F1627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6" w:type="dxa"/>
                  <w:vMerge w:val="continue"/>
                  <w:vAlign w:val="center"/>
                </w:tcPr>
                <w:p w14:paraId="7DBF9E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r>
            <w:tr w14:paraId="58E5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1" w:type="dxa"/>
                  <w:vAlign w:val="center"/>
                </w:tcPr>
                <w:p w14:paraId="34E232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机加</w:t>
                  </w:r>
                </w:p>
              </w:tc>
              <w:tc>
                <w:tcPr>
                  <w:tcW w:w="401" w:type="dxa"/>
                  <w:vMerge w:val="restart"/>
                  <w:vAlign w:val="center"/>
                </w:tcPr>
                <w:p w14:paraId="175EB9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颗粒物</w:t>
                  </w:r>
                </w:p>
              </w:tc>
              <w:tc>
                <w:tcPr>
                  <w:tcW w:w="968" w:type="dxa"/>
                  <w:vMerge w:val="restart"/>
                  <w:vAlign w:val="center"/>
                </w:tcPr>
                <w:p w14:paraId="323C9F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w:t>
                  </w:r>
                </w:p>
              </w:tc>
              <w:tc>
                <w:tcPr>
                  <w:tcW w:w="860" w:type="dxa"/>
                  <w:vMerge w:val="restart"/>
                  <w:vAlign w:val="center"/>
                </w:tcPr>
                <w:p w14:paraId="01E456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79</w:t>
                  </w:r>
                </w:p>
              </w:tc>
              <w:tc>
                <w:tcPr>
                  <w:tcW w:w="645" w:type="dxa"/>
                  <w:vMerge w:val="restart"/>
                  <w:vAlign w:val="center"/>
                </w:tcPr>
                <w:p w14:paraId="22F792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w:t>
                  </w:r>
                </w:p>
              </w:tc>
              <w:tc>
                <w:tcPr>
                  <w:tcW w:w="645" w:type="dxa"/>
                  <w:vMerge w:val="restart"/>
                  <w:vAlign w:val="center"/>
                </w:tcPr>
                <w:p w14:paraId="2CDC0E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布袋除尘</w:t>
                  </w:r>
                </w:p>
              </w:tc>
              <w:tc>
                <w:tcPr>
                  <w:tcW w:w="645" w:type="dxa"/>
                  <w:vMerge w:val="restart"/>
                  <w:vAlign w:val="center"/>
                </w:tcPr>
                <w:p w14:paraId="0EC260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95</w:t>
                  </w:r>
                </w:p>
              </w:tc>
              <w:tc>
                <w:tcPr>
                  <w:tcW w:w="645" w:type="dxa"/>
                  <w:vMerge w:val="restart"/>
                  <w:vAlign w:val="center"/>
                </w:tcPr>
                <w:p w14:paraId="5A8C65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是</w:t>
                  </w:r>
                </w:p>
              </w:tc>
              <w:tc>
                <w:tcPr>
                  <w:tcW w:w="645" w:type="dxa"/>
                  <w:vMerge w:val="restart"/>
                  <w:vAlign w:val="center"/>
                </w:tcPr>
                <w:p w14:paraId="57E1EE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0.0008</w:t>
                  </w:r>
                </w:p>
              </w:tc>
              <w:tc>
                <w:tcPr>
                  <w:tcW w:w="645" w:type="dxa"/>
                  <w:vMerge w:val="restart"/>
                  <w:vAlign w:val="center"/>
                </w:tcPr>
                <w:p w14:paraId="6ECAF5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w:t>
                  </w:r>
                </w:p>
              </w:tc>
              <w:tc>
                <w:tcPr>
                  <w:tcW w:w="646" w:type="dxa"/>
                  <w:vMerge w:val="restart"/>
                  <w:vAlign w:val="center"/>
                </w:tcPr>
                <w:p w14:paraId="175C82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0.004</w:t>
                  </w:r>
                </w:p>
              </w:tc>
              <w:tc>
                <w:tcPr>
                  <w:tcW w:w="646" w:type="dxa"/>
                  <w:vMerge w:val="continue"/>
                  <w:vAlign w:val="center"/>
                </w:tcPr>
                <w:p w14:paraId="3F4089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646" w:type="dxa"/>
                  <w:vMerge w:val="restart"/>
                  <w:vAlign w:val="center"/>
                </w:tcPr>
                <w:p w14:paraId="6F3A5C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无组织</w:t>
                  </w:r>
                </w:p>
              </w:tc>
            </w:tr>
            <w:tr w14:paraId="5E52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vAlign w:val="center"/>
                </w:tcPr>
                <w:p w14:paraId="0D16B5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打磨</w:t>
                  </w:r>
                </w:p>
              </w:tc>
              <w:tc>
                <w:tcPr>
                  <w:tcW w:w="401" w:type="dxa"/>
                  <w:vMerge w:val="continue"/>
                  <w:vAlign w:val="center"/>
                </w:tcPr>
                <w:p w14:paraId="67EA6E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968" w:type="dxa"/>
                  <w:vMerge w:val="continue"/>
                  <w:vAlign w:val="center"/>
                </w:tcPr>
                <w:p w14:paraId="2BE9CC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860" w:type="dxa"/>
                  <w:vMerge w:val="continue"/>
                  <w:vAlign w:val="center"/>
                </w:tcPr>
                <w:p w14:paraId="3381A2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645" w:type="dxa"/>
                  <w:vMerge w:val="continue"/>
                  <w:vAlign w:val="center"/>
                </w:tcPr>
                <w:p w14:paraId="2D758E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645" w:type="dxa"/>
                  <w:vMerge w:val="continue"/>
                  <w:vAlign w:val="center"/>
                </w:tcPr>
                <w:p w14:paraId="0ECF21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645" w:type="dxa"/>
                  <w:vMerge w:val="continue"/>
                  <w:vAlign w:val="center"/>
                </w:tcPr>
                <w:p w14:paraId="214BA2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645" w:type="dxa"/>
                  <w:vMerge w:val="continue"/>
                  <w:vAlign w:val="center"/>
                </w:tcPr>
                <w:p w14:paraId="685ADA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645" w:type="dxa"/>
                  <w:vMerge w:val="continue"/>
                  <w:vAlign w:val="center"/>
                </w:tcPr>
                <w:p w14:paraId="5CAA18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645" w:type="dxa"/>
                  <w:vMerge w:val="continue"/>
                  <w:vAlign w:val="center"/>
                </w:tcPr>
                <w:p w14:paraId="625E55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646" w:type="dxa"/>
                  <w:vMerge w:val="continue"/>
                  <w:vAlign w:val="center"/>
                </w:tcPr>
                <w:p w14:paraId="3CC330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646" w:type="dxa"/>
                  <w:vMerge w:val="continue"/>
                  <w:vAlign w:val="center"/>
                </w:tcPr>
                <w:p w14:paraId="55C9AC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646" w:type="dxa"/>
                  <w:vMerge w:val="continue"/>
                  <w:vAlign w:val="center"/>
                </w:tcPr>
                <w:p w14:paraId="3BF8F8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r>
            <w:tr w14:paraId="52AB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8" w:type="dxa"/>
                  <w:gridSpan w:val="13"/>
                  <w:vAlign w:val="center"/>
                </w:tcPr>
                <w:p w14:paraId="69C4853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注：（1）根据《排污许可证申请与核发技术规范 橡胶和塑料制品工业》（HJ1122-2020），本项目采用两级活性炭吸附有机废气属于可行技术；</w:t>
                  </w:r>
                </w:p>
                <w:p w14:paraId="4399A2A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（2）根据《排污许可证申请与核发技术规范 橡胶和塑料制品工业》（HJ1122-2020），本项目布袋除尘属于可行技术。</w:t>
                  </w:r>
                </w:p>
              </w:tc>
            </w:tr>
          </w:tbl>
          <w:p w14:paraId="4B1C876B">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eastAsia" w:ascii="宋体" w:hAnsi="宋体" w:cs="宋体"/>
                <w:b/>
                <w:bCs w:val="0"/>
                <w:color w:val="000000" w:themeColor="text1"/>
                <w:spacing w:val="-10"/>
                <w:sz w:val="24"/>
                <w:szCs w:val="24"/>
                <w:lang w:val="en-US" w:eastAsia="zh-CN"/>
                <w14:textFill>
                  <w14:solidFill>
                    <w14:schemeClr w14:val="tx1"/>
                  </w14:solidFill>
                </w14:textFill>
              </w:rPr>
            </w:pPr>
          </w:p>
          <w:p w14:paraId="2EE8B8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val="0"/>
                <w:color w:val="000000" w:themeColor="text1"/>
                <w:spacing w:val="-10"/>
                <w:sz w:val="21"/>
                <w:szCs w:val="21"/>
                <w:lang w:val="en-US" w:eastAsia="zh-CN"/>
                <w14:textFill>
                  <w14:solidFill>
                    <w14:schemeClr w14:val="tx1"/>
                  </w14:solidFill>
                </w14:textFill>
              </w:rPr>
            </w:pPr>
            <w:r>
              <w:rPr>
                <w:rFonts w:hint="eastAsia" w:ascii="宋体" w:hAnsi="宋体" w:cs="宋体"/>
                <w:b/>
                <w:bCs w:val="0"/>
                <w:color w:val="000000" w:themeColor="text1"/>
                <w:spacing w:val="-10"/>
                <w:sz w:val="21"/>
                <w:szCs w:val="21"/>
                <w:lang w:val="en-US" w:eastAsia="zh-CN"/>
                <w14:textFill>
                  <w14:solidFill>
                    <w14:schemeClr w14:val="tx1"/>
                  </w14:solidFill>
                </w14:textFill>
              </w:rPr>
              <w:t>表4-2  废气排放口基本情况</w:t>
            </w:r>
          </w:p>
          <w:tbl>
            <w:tblPr>
              <w:tblStyle w:val="15"/>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932"/>
              <w:gridCol w:w="932"/>
              <w:gridCol w:w="1230"/>
              <w:gridCol w:w="634"/>
              <w:gridCol w:w="1200"/>
              <w:gridCol w:w="1166"/>
              <w:gridCol w:w="1362"/>
            </w:tblGrid>
            <w:tr w14:paraId="50FC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932" w:type="dxa"/>
                  <w:vMerge w:val="restart"/>
                  <w:vAlign w:val="center"/>
                </w:tcPr>
                <w:p w14:paraId="7A7DDD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排放口编号</w:t>
                  </w:r>
                </w:p>
              </w:tc>
              <w:tc>
                <w:tcPr>
                  <w:tcW w:w="932" w:type="dxa"/>
                  <w:vMerge w:val="restart"/>
                  <w:vAlign w:val="center"/>
                </w:tcPr>
                <w:p w14:paraId="4C5513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排放口名称</w:t>
                  </w:r>
                </w:p>
              </w:tc>
              <w:tc>
                <w:tcPr>
                  <w:tcW w:w="932" w:type="dxa"/>
                  <w:vMerge w:val="restart"/>
                  <w:vAlign w:val="center"/>
                </w:tcPr>
                <w:p w14:paraId="181AE6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污染物种类</w:t>
                  </w:r>
                </w:p>
              </w:tc>
              <w:tc>
                <w:tcPr>
                  <w:tcW w:w="1230" w:type="dxa"/>
                  <w:vMerge w:val="restart"/>
                  <w:vAlign w:val="center"/>
                </w:tcPr>
                <w:p w14:paraId="48F34C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排放口</w:t>
                  </w:r>
                </w:p>
                <w:p w14:paraId="2CDC2D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坐标</w:t>
                  </w:r>
                </w:p>
              </w:tc>
              <w:tc>
                <w:tcPr>
                  <w:tcW w:w="634" w:type="dxa"/>
                  <w:vMerge w:val="restart"/>
                  <w:vAlign w:val="center"/>
                </w:tcPr>
                <w:p w14:paraId="338016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排放口类型</w:t>
                  </w:r>
                </w:p>
              </w:tc>
              <w:tc>
                <w:tcPr>
                  <w:tcW w:w="3728" w:type="dxa"/>
                  <w:gridSpan w:val="3"/>
                  <w:vAlign w:val="center"/>
                </w:tcPr>
                <w:p w14:paraId="20EF07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排气筒参数</w:t>
                  </w:r>
                </w:p>
              </w:tc>
            </w:tr>
            <w:tr w14:paraId="62D5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932" w:type="dxa"/>
                  <w:vMerge w:val="continue"/>
                  <w:vAlign w:val="center"/>
                </w:tcPr>
                <w:p w14:paraId="7B2408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p>
              </w:tc>
              <w:tc>
                <w:tcPr>
                  <w:tcW w:w="932" w:type="dxa"/>
                  <w:vMerge w:val="continue"/>
                  <w:vAlign w:val="center"/>
                </w:tcPr>
                <w:p w14:paraId="46F113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p>
              </w:tc>
              <w:tc>
                <w:tcPr>
                  <w:tcW w:w="932" w:type="dxa"/>
                  <w:vMerge w:val="continue"/>
                  <w:vAlign w:val="center"/>
                </w:tcPr>
                <w:p w14:paraId="4F61BF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p>
              </w:tc>
              <w:tc>
                <w:tcPr>
                  <w:tcW w:w="1230" w:type="dxa"/>
                  <w:vMerge w:val="continue"/>
                  <w:vAlign w:val="center"/>
                </w:tcPr>
                <w:p w14:paraId="6AC4FE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p>
              </w:tc>
              <w:tc>
                <w:tcPr>
                  <w:tcW w:w="634" w:type="dxa"/>
                  <w:vMerge w:val="continue"/>
                  <w:vAlign w:val="center"/>
                </w:tcPr>
                <w:p w14:paraId="5849DC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p>
              </w:tc>
              <w:tc>
                <w:tcPr>
                  <w:tcW w:w="1200" w:type="dxa"/>
                  <w:vAlign w:val="center"/>
                </w:tcPr>
                <w:p w14:paraId="350889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高度/m</w:t>
                  </w:r>
                </w:p>
              </w:tc>
              <w:tc>
                <w:tcPr>
                  <w:tcW w:w="1166" w:type="dxa"/>
                  <w:vAlign w:val="center"/>
                </w:tcPr>
                <w:p w14:paraId="32B4D7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内径/m</w:t>
                  </w:r>
                </w:p>
              </w:tc>
              <w:tc>
                <w:tcPr>
                  <w:tcW w:w="1362" w:type="dxa"/>
                  <w:vAlign w:val="center"/>
                </w:tcPr>
                <w:p w14:paraId="1874B5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出口温度/℃</w:t>
                  </w:r>
                </w:p>
              </w:tc>
            </w:tr>
            <w:tr w14:paraId="357FC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Align w:val="center"/>
                </w:tcPr>
                <w:p w14:paraId="71DABD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t>DA001</w:t>
                  </w:r>
                </w:p>
              </w:tc>
              <w:tc>
                <w:tcPr>
                  <w:tcW w:w="932" w:type="dxa"/>
                  <w:vAlign w:val="center"/>
                </w:tcPr>
                <w:p w14:paraId="6654E8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t>搅拌、缠绕、固化废气排放口</w:t>
                  </w:r>
                </w:p>
              </w:tc>
              <w:tc>
                <w:tcPr>
                  <w:tcW w:w="932" w:type="dxa"/>
                  <w:vAlign w:val="center"/>
                </w:tcPr>
                <w:p w14:paraId="3C8CF3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t>非甲烷总烃</w:t>
                  </w:r>
                </w:p>
              </w:tc>
              <w:tc>
                <w:tcPr>
                  <w:tcW w:w="1230" w:type="dxa"/>
                  <w:vAlign w:val="center"/>
                </w:tcPr>
                <w:p w14:paraId="60F8A7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t>107.428833</w:t>
                  </w:r>
                </w:p>
                <w:p w14:paraId="3FC108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t>34.349327</w:t>
                  </w:r>
                </w:p>
              </w:tc>
              <w:tc>
                <w:tcPr>
                  <w:tcW w:w="634" w:type="dxa"/>
                  <w:vAlign w:val="center"/>
                </w:tcPr>
                <w:p w14:paraId="5A9EDF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t>一般排放口</w:t>
                  </w:r>
                </w:p>
              </w:tc>
              <w:tc>
                <w:tcPr>
                  <w:tcW w:w="1200" w:type="dxa"/>
                  <w:vAlign w:val="center"/>
                </w:tcPr>
                <w:p w14:paraId="04C93E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t>15</w:t>
                  </w:r>
                </w:p>
              </w:tc>
              <w:tc>
                <w:tcPr>
                  <w:tcW w:w="1166" w:type="dxa"/>
                  <w:vAlign w:val="center"/>
                </w:tcPr>
                <w:p w14:paraId="5939CA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t>0.6</w:t>
                  </w:r>
                </w:p>
              </w:tc>
              <w:tc>
                <w:tcPr>
                  <w:tcW w:w="1362" w:type="dxa"/>
                  <w:vAlign w:val="center"/>
                </w:tcPr>
                <w:p w14:paraId="6C852F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t>常温</w:t>
                  </w:r>
                </w:p>
              </w:tc>
            </w:tr>
          </w:tbl>
          <w:p w14:paraId="59162575">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监测要求：</w:t>
            </w:r>
          </w:p>
          <w:p w14:paraId="537680AC">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 w:val="0"/>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 w:val="0"/>
                <w:bCs/>
                <w:color w:val="000000" w:themeColor="text1"/>
                <w:spacing w:val="-10"/>
                <w:sz w:val="24"/>
                <w:szCs w:val="24"/>
                <w:lang w:val="en-US" w:eastAsia="zh-CN"/>
                <w14:textFill>
                  <w14:solidFill>
                    <w14:schemeClr w14:val="tx1"/>
                  </w14:solidFill>
                </w14:textFill>
              </w:rPr>
              <w:t>根据项目从事玻璃纤维增强塑料制品制造，属于《国民经济行业分类》（GB/T4754-2017）中的C3062玻璃纤维增强塑料制品制造，该行业目前暂无排污许可证</w:t>
            </w:r>
            <w:r>
              <w:rPr>
                <w:rFonts w:hint="eastAsia" w:ascii="Times New Roman" w:hAnsi="Times New Roman" w:cs="Times New Roman"/>
                <w:b w:val="0"/>
                <w:bCs/>
                <w:color w:val="000000" w:themeColor="text1"/>
                <w:spacing w:val="-10"/>
                <w:sz w:val="24"/>
                <w:szCs w:val="24"/>
                <w:lang w:val="en-US" w:eastAsia="zh-CN"/>
                <w14:textFill>
                  <w14:solidFill>
                    <w14:schemeClr w14:val="tx1"/>
                  </w14:solidFill>
                </w14:textFill>
              </w:rPr>
              <w:t>申请与核发技术规范。本项目废气监测计划根据《排污单位自行监测技术指南 总则》（HJ819-2017），本项目扩建后原有无组织排放非甲烷总烃变为有组织排放，增加1根排气筒，污染因子不变，本项目监测计划具体如下表所示：</w:t>
            </w:r>
          </w:p>
          <w:p w14:paraId="4AB63C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spacing w:val="-10"/>
                <w:sz w:val="21"/>
                <w:szCs w:val="21"/>
                <w:lang w:val="en-US" w:eastAsia="zh-CN"/>
                <w14:textFill>
                  <w14:solidFill>
                    <w14:schemeClr w14:val="tx1"/>
                  </w14:solidFill>
                </w14:textFill>
              </w:rPr>
            </w:pPr>
            <w:r>
              <w:rPr>
                <w:rFonts w:hint="eastAsia" w:ascii="Times New Roman" w:hAnsi="Times New Roman" w:cs="Times New Roman"/>
                <w:b/>
                <w:bCs w:val="0"/>
                <w:color w:val="000000" w:themeColor="text1"/>
                <w:spacing w:val="-10"/>
                <w:sz w:val="21"/>
                <w:szCs w:val="21"/>
                <w:lang w:val="en-US" w:eastAsia="zh-CN"/>
                <w14:textFill>
                  <w14:solidFill>
                    <w14:schemeClr w14:val="tx1"/>
                  </w14:solidFill>
                </w14:textFill>
              </w:rPr>
              <w:t>表4-3  有组织废气监测计划</w:t>
            </w:r>
          </w:p>
          <w:tbl>
            <w:tblPr>
              <w:tblStyle w:val="15"/>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1677"/>
              <w:gridCol w:w="1322"/>
              <w:gridCol w:w="1393"/>
              <w:gridCol w:w="2319"/>
            </w:tblGrid>
            <w:tr w14:paraId="053E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dxa"/>
                  <w:vAlign w:val="center"/>
                </w:tcPr>
                <w:p w14:paraId="0D66B3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类型</w:t>
                  </w:r>
                </w:p>
              </w:tc>
              <w:tc>
                <w:tcPr>
                  <w:tcW w:w="1677" w:type="dxa"/>
                  <w:vAlign w:val="center"/>
                </w:tcPr>
                <w:p w14:paraId="2A03C8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污染源</w:t>
                  </w:r>
                </w:p>
              </w:tc>
              <w:tc>
                <w:tcPr>
                  <w:tcW w:w="1322" w:type="dxa"/>
                  <w:vAlign w:val="center"/>
                </w:tcPr>
                <w:p w14:paraId="69C6A0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监测因子</w:t>
                  </w:r>
                </w:p>
              </w:tc>
              <w:tc>
                <w:tcPr>
                  <w:tcW w:w="1393" w:type="dxa"/>
                  <w:vAlign w:val="center"/>
                </w:tcPr>
                <w:p w14:paraId="167DF1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监测频次</w:t>
                  </w:r>
                </w:p>
              </w:tc>
              <w:tc>
                <w:tcPr>
                  <w:tcW w:w="2319" w:type="dxa"/>
                  <w:vAlign w:val="center"/>
                </w:tcPr>
                <w:p w14:paraId="2A733C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执行标准</w:t>
                  </w:r>
                </w:p>
              </w:tc>
            </w:tr>
            <w:tr w14:paraId="0490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dxa"/>
                  <w:vMerge w:val="restart"/>
                  <w:vAlign w:val="center"/>
                </w:tcPr>
                <w:p w14:paraId="690246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t>废气</w:t>
                  </w:r>
                </w:p>
              </w:tc>
              <w:tc>
                <w:tcPr>
                  <w:tcW w:w="1677" w:type="dxa"/>
                  <w:vAlign w:val="center"/>
                </w:tcPr>
                <w:p w14:paraId="2B3BB9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t>DA001</w:t>
                  </w:r>
                </w:p>
              </w:tc>
              <w:tc>
                <w:tcPr>
                  <w:tcW w:w="1322" w:type="dxa"/>
                  <w:vAlign w:val="center"/>
                </w:tcPr>
                <w:p w14:paraId="66B3C4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t>非甲烷总烃</w:t>
                  </w:r>
                </w:p>
              </w:tc>
              <w:tc>
                <w:tcPr>
                  <w:tcW w:w="1393" w:type="dxa"/>
                  <w:vAlign w:val="center"/>
                </w:tcPr>
                <w:p w14:paraId="54BA44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t>1次/年</w:t>
                  </w:r>
                </w:p>
              </w:tc>
              <w:tc>
                <w:tcPr>
                  <w:tcW w:w="2319" w:type="dxa"/>
                  <w:vAlign w:val="center"/>
                </w:tcPr>
                <w:p w14:paraId="2767AB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重点行业玻璃钢（纤维增强塑料制品）绩效引领性指标排放限值要求</w:t>
                  </w:r>
                </w:p>
              </w:tc>
            </w:tr>
            <w:tr w14:paraId="00C5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dxa"/>
                  <w:vMerge w:val="continue"/>
                  <w:vAlign w:val="center"/>
                </w:tcPr>
                <w:p w14:paraId="55AA51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p>
              </w:tc>
              <w:tc>
                <w:tcPr>
                  <w:tcW w:w="1677" w:type="dxa"/>
                  <w:vMerge w:val="restart"/>
                  <w:vAlign w:val="center"/>
                </w:tcPr>
                <w:p w14:paraId="31624D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t>厂界</w:t>
                  </w:r>
                </w:p>
              </w:tc>
              <w:tc>
                <w:tcPr>
                  <w:tcW w:w="1322" w:type="dxa"/>
                  <w:vAlign w:val="center"/>
                </w:tcPr>
                <w:p w14:paraId="520EBA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t>颗粒物</w:t>
                  </w:r>
                </w:p>
              </w:tc>
              <w:tc>
                <w:tcPr>
                  <w:tcW w:w="1393" w:type="dxa"/>
                  <w:vAlign w:val="center"/>
                </w:tcPr>
                <w:p w14:paraId="4E836B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t>1次/年</w:t>
                  </w:r>
                </w:p>
              </w:tc>
              <w:tc>
                <w:tcPr>
                  <w:tcW w:w="2319" w:type="dxa"/>
                  <w:vAlign w:val="center"/>
                </w:tcPr>
                <w:p w14:paraId="4B0C1D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《大气污染物综合排放标准》（GB16297-1996）表2中周界外浓度最高点标准限值要求</w:t>
                  </w:r>
                </w:p>
              </w:tc>
            </w:tr>
            <w:tr w14:paraId="5AC1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dxa"/>
                  <w:vMerge w:val="continue"/>
                  <w:vAlign w:val="center"/>
                </w:tcPr>
                <w:p w14:paraId="516054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p>
              </w:tc>
              <w:tc>
                <w:tcPr>
                  <w:tcW w:w="1677" w:type="dxa"/>
                  <w:vMerge w:val="continue"/>
                  <w:vAlign w:val="center"/>
                </w:tcPr>
                <w:p w14:paraId="069D12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p>
              </w:tc>
              <w:tc>
                <w:tcPr>
                  <w:tcW w:w="1322" w:type="dxa"/>
                  <w:vAlign w:val="center"/>
                </w:tcPr>
                <w:p w14:paraId="252740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t>非甲烷总烃</w:t>
                  </w:r>
                </w:p>
              </w:tc>
              <w:tc>
                <w:tcPr>
                  <w:tcW w:w="1393" w:type="dxa"/>
                  <w:vAlign w:val="center"/>
                </w:tcPr>
                <w:p w14:paraId="4E15E0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t>1次/年</w:t>
                  </w:r>
                </w:p>
              </w:tc>
              <w:tc>
                <w:tcPr>
                  <w:tcW w:w="2319" w:type="dxa"/>
                  <w:vAlign w:val="center"/>
                </w:tcPr>
                <w:p w14:paraId="0CB607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《挥发性有机物排放控制标准》（DB61/T1061-2017）表3中标准限值要求</w:t>
                  </w:r>
                </w:p>
              </w:tc>
            </w:tr>
            <w:tr w14:paraId="1AB2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dxa"/>
                  <w:vMerge w:val="continue"/>
                  <w:vAlign w:val="center"/>
                </w:tcPr>
                <w:p w14:paraId="08E50C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p>
              </w:tc>
              <w:tc>
                <w:tcPr>
                  <w:tcW w:w="1677" w:type="dxa"/>
                  <w:vAlign w:val="center"/>
                </w:tcPr>
                <w:p w14:paraId="6E8237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t>厂区内</w:t>
                  </w:r>
                </w:p>
              </w:tc>
              <w:tc>
                <w:tcPr>
                  <w:tcW w:w="1322" w:type="dxa"/>
                  <w:vAlign w:val="center"/>
                </w:tcPr>
                <w:p w14:paraId="284192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t>非甲烷总烃</w:t>
                  </w:r>
                </w:p>
              </w:tc>
              <w:tc>
                <w:tcPr>
                  <w:tcW w:w="1393" w:type="dxa"/>
                  <w:vAlign w:val="center"/>
                </w:tcPr>
                <w:p w14:paraId="5FE3DC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t>1次/年</w:t>
                  </w:r>
                </w:p>
              </w:tc>
              <w:tc>
                <w:tcPr>
                  <w:tcW w:w="2319" w:type="dxa"/>
                  <w:vAlign w:val="center"/>
                </w:tcPr>
                <w:p w14:paraId="2616AC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重点行业玻璃钢（纤维增强塑料制品）绩效引领性指标排放限值要求”</w:t>
                  </w:r>
                </w:p>
              </w:tc>
            </w:tr>
          </w:tbl>
          <w:p w14:paraId="1DFBBEB8">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1.1大气污染物源强核算过程</w:t>
            </w:r>
          </w:p>
          <w:p w14:paraId="257B100F">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（1）搅拌、缠绕、固化工序废气产排量</w:t>
            </w:r>
          </w:p>
          <w:p w14:paraId="0FC9DB47">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在本项目的生产过程中，搅拌和缠绕工序使用的环氧树脂会自然挥发少量挥发性有机物；随后，纤维缠绕制品在加热固化过程中会产生少量有机废气；搅拌、缠绕、固化工序产生的主要污染物为非甲烷总</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烃（NMHC</w:t>
            </w:r>
            <w:r>
              <w:rPr>
                <w:rFonts w:hint="eastAsia" w:ascii="宋体" w:hAnsi="宋体" w:cs="宋体"/>
                <w:bCs/>
                <w:color w:val="000000" w:themeColor="text1"/>
                <w:spacing w:val="-10"/>
                <w:sz w:val="24"/>
                <w:szCs w:val="24"/>
                <w:lang w:val="en-US" w:eastAsia="zh-CN"/>
                <w14:textFill>
                  <w14:solidFill>
                    <w14:schemeClr w14:val="tx1"/>
                  </w14:solidFill>
                </w14:textFill>
              </w:rPr>
              <w:t>）。</w:t>
            </w:r>
          </w:p>
          <w:p w14:paraId="2A9D0D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由于</w:t>
            </w:r>
            <w:r>
              <w:rPr>
                <w:rFonts w:hint="eastAsia"/>
                <w:color w:val="000000" w:themeColor="text1"/>
                <w:sz w:val="24"/>
                <w:highlight w:val="none"/>
                <w:lang w:eastAsia="zh-CN"/>
                <w14:textFill>
                  <w14:solidFill>
                    <w14:schemeClr w14:val="tx1"/>
                  </w14:solidFill>
                </w14:textFill>
              </w:rPr>
              <w:t>《排放源统计调查产排污核</w:t>
            </w:r>
            <w:r>
              <w:rPr>
                <w:rFonts w:hint="default" w:ascii="Times New Roman" w:hAnsi="Times New Roman" w:cs="Times New Roman"/>
                <w:color w:val="000000" w:themeColor="text1"/>
                <w:sz w:val="24"/>
                <w:highlight w:val="none"/>
                <w:lang w:eastAsia="zh-CN"/>
                <w14:textFill>
                  <w14:solidFill>
                    <w14:schemeClr w14:val="tx1"/>
                  </w14:solidFill>
                </w14:textFill>
              </w:rPr>
              <w:t>算方法和系数手册》（公告2021年第24号）中《</w:t>
            </w:r>
            <w:r>
              <w:rPr>
                <w:rFonts w:hint="default" w:ascii="Times New Roman" w:hAnsi="Times New Roman" w:cs="Times New Roman"/>
                <w:color w:val="000000" w:themeColor="text1"/>
                <w:sz w:val="24"/>
                <w:highlight w:val="none"/>
                <w:lang w:val="en-US" w:eastAsia="zh-CN"/>
                <w14:textFill>
                  <w14:solidFill>
                    <w14:schemeClr w14:val="tx1"/>
                  </w14:solidFill>
                </w14:textFill>
              </w:rPr>
              <w:t>3062玻璃纤维增强塑料制品制造</w:t>
            </w:r>
            <w:r>
              <w:rPr>
                <w:rFonts w:hint="default" w:ascii="Times New Roman" w:hAnsi="Times New Roman" w:cs="Times New Roman"/>
                <w:color w:val="000000" w:themeColor="text1"/>
                <w:sz w:val="24"/>
                <w:highlight w:val="none"/>
                <w:lang w:eastAsia="zh-CN"/>
                <w14:textFill>
                  <w14:solidFill>
                    <w14:schemeClr w14:val="tx1"/>
                  </w14:solidFill>
                </w14:textFill>
              </w:rPr>
              <w:t>行业系数手册》</w:t>
            </w:r>
            <w:r>
              <w:rPr>
                <w:rFonts w:hint="default" w:ascii="Times New Roman" w:hAnsi="Times New Roman" w:cs="Times New Roman"/>
                <w:color w:val="000000" w:themeColor="text1"/>
                <w:sz w:val="24"/>
                <w:highlight w:val="none"/>
                <w:lang w:val="en-US" w:eastAsia="zh-CN"/>
                <w14:textFill>
                  <w14:solidFill>
                    <w14:schemeClr w14:val="tx1"/>
                  </w14:solidFill>
                </w14:textFill>
              </w:rPr>
              <w:t>和《3091石墨及碳素制品制造行业系数手册》无适用于本项目生产工艺</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本次</w:t>
            </w:r>
            <w:r>
              <w:rPr>
                <w:rFonts w:hint="eastAsia" w:ascii="Times New Roman" w:hAnsi="Times New Roman" w:cs="Times New Roman"/>
                <w:color w:val="000000" w:themeColor="text1"/>
                <w:sz w:val="24"/>
                <w:highlight w:val="none"/>
                <w:lang w:val="en-US" w:eastAsia="zh-CN"/>
                <w14:textFill>
                  <w14:solidFill>
                    <w14:schemeClr w14:val="tx1"/>
                  </w14:solidFill>
                </w14:textFill>
              </w:rPr>
              <w:t>评价类比《贵州博能新能源新型碳纤维/玻璃纤维增强塑料制品加工成型项目》，环氧树脂（环氧树脂、固化剂混合物）VOC含量为2%。</w:t>
            </w:r>
          </w:p>
          <w:p w14:paraId="2C1ACBB0">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项目建成后环氧树脂</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、固化剂</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使用量为</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13.11</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t/a，则项目环氧树脂搅拌、缠绕、固化过程中非甲烷总烃产生量约为：</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13.11×2%=0.2622</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t/a。项目年运行330天，一天两班制，每班8h，年运行时长5280h，</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经建设单位提供资料，项目每个产品搅拌、缠绕用时约0.5h，固化用时约4h（自然冷却），搅拌、缠绕过程非甲烷总烃产生量约为29.13kg</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/a</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、固化过程约为233.07kg</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/a</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经核算搅拌、缠绕</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工序非甲烷总烃产生量为0.0055</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kg/h</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固化工序非甲烷总烃产生量为0.0</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441</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kg/h。</w:t>
            </w:r>
          </w:p>
          <w:p w14:paraId="05AAA49C">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原有项目非甲烷总烃产生量为</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4.8×2%</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0.096t</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/a，项目建成后非甲烷总烃共计产生量为</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0.3582t</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/a，搅拌、缠绕过程非甲烷总烃产生量约为</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39.8</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kg/a、固化过程约为</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318.4</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kg/a，经核算搅拌、缠绕工序非甲烷总烃产生量为0.00</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75</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kg/h，固化工序非甲烷总烃产生量为0.</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0603</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kg/h。</w:t>
            </w:r>
          </w:p>
          <w:p w14:paraId="10B1A10A">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eastAsia" w:ascii="Times New Roman" w:hAnsi="Times New Roman" w:cs="Times New Roman"/>
                <w:b/>
                <w:bCs w:val="0"/>
                <w:color w:val="000000" w:themeColor="text1"/>
                <w:spacing w:val="-10"/>
                <w:sz w:val="24"/>
                <w:szCs w:val="24"/>
                <w:lang w:val="en-US" w:eastAsia="zh-CN"/>
                <w14:textFill>
                  <w14:solidFill>
                    <w14:schemeClr w14:val="tx1"/>
                  </w14:solidFill>
                </w14:textFill>
              </w:rPr>
              <w:t>①</w:t>
            </w:r>
            <w:r>
              <w:rPr>
                <w:rFonts w:hint="default" w:ascii="Times New Roman" w:hAnsi="Times New Roman" w:cs="Times New Roman"/>
                <w:b/>
                <w:bCs w:val="0"/>
                <w:color w:val="000000" w:themeColor="text1"/>
                <w:spacing w:val="-10"/>
                <w:sz w:val="24"/>
                <w:szCs w:val="24"/>
                <w:lang w:val="en-US" w:eastAsia="zh-CN"/>
                <w14:textFill>
                  <w14:solidFill>
                    <w14:schemeClr w14:val="tx1"/>
                  </w14:solidFill>
                </w14:textFill>
              </w:rPr>
              <w:t>有机废气治理措施：</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项目将搅拌</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桶</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、缠绕机设置密闭隔间内，同时在产污处上方设置集气罩（收集效率取80%），有机废气收集后经二级活性炭（活性炭吸附效率为</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60</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%）处理后通过15m排气筒（DA001）排放。</w:t>
            </w:r>
          </w:p>
          <w:p w14:paraId="01193F2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
                <w:bCs w:val="0"/>
                <w:color w:val="000000" w:themeColor="text1"/>
                <w:spacing w:val="-10"/>
                <w:sz w:val="21"/>
                <w:szCs w:val="21"/>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项目有机废气产排情况见下表。</w:t>
            </w:r>
          </w:p>
          <w:p w14:paraId="7A1E22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val="0"/>
                <w:color w:val="000000" w:themeColor="text1"/>
                <w:spacing w:val="-10"/>
                <w:sz w:val="21"/>
                <w:szCs w:val="21"/>
                <w:lang w:val="en-US" w:eastAsia="zh-CN"/>
                <w14:textFill>
                  <w14:solidFill>
                    <w14:schemeClr w14:val="tx1"/>
                  </w14:solidFill>
                </w14:textFill>
              </w:rPr>
            </w:pPr>
            <w:r>
              <w:rPr>
                <w:rFonts w:hint="eastAsia" w:ascii="宋体" w:hAnsi="宋体" w:cs="宋体"/>
                <w:b/>
                <w:bCs w:val="0"/>
                <w:color w:val="000000" w:themeColor="text1"/>
                <w:spacing w:val="-10"/>
                <w:sz w:val="21"/>
                <w:szCs w:val="21"/>
                <w:lang w:val="en-US" w:eastAsia="zh-CN"/>
                <w14:textFill>
                  <w14:solidFill>
                    <w14:schemeClr w14:val="tx1"/>
                  </w14:solidFill>
                </w14:textFill>
              </w:rPr>
              <w:t>表4-4  本项目有机废气产排情况一览表</w:t>
            </w:r>
          </w:p>
          <w:tbl>
            <w:tblPr>
              <w:tblStyle w:val="15"/>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104"/>
              <w:gridCol w:w="1200"/>
              <w:gridCol w:w="1219"/>
              <w:gridCol w:w="1049"/>
              <w:gridCol w:w="1049"/>
              <w:gridCol w:w="1049"/>
              <w:gridCol w:w="1049"/>
            </w:tblGrid>
            <w:tr w14:paraId="66AA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7CB0CC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产污环节</w:t>
                  </w:r>
                </w:p>
              </w:tc>
              <w:tc>
                <w:tcPr>
                  <w:tcW w:w="1104" w:type="dxa"/>
                  <w:vAlign w:val="center"/>
                </w:tcPr>
                <w:p w14:paraId="64E374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污染物</w:t>
                  </w:r>
                </w:p>
                <w:p w14:paraId="5EE682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名称</w:t>
                  </w:r>
                </w:p>
              </w:tc>
              <w:tc>
                <w:tcPr>
                  <w:tcW w:w="1200" w:type="dxa"/>
                  <w:vAlign w:val="center"/>
                </w:tcPr>
                <w:p w14:paraId="3267E6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有组织产生量（</w:t>
                  </w:r>
                  <w:r>
                    <w:rPr>
                      <w:rFonts w:hint="eastAsia"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kg</w:t>
                  </w: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/a）</w:t>
                  </w:r>
                </w:p>
              </w:tc>
              <w:tc>
                <w:tcPr>
                  <w:tcW w:w="1219" w:type="dxa"/>
                  <w:vAlign w:val="center"/>
                </w:tcPr>
                <w:p w14:paraId="60379F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产生浓度（mg/m³）</w:t>
                  </w:r>
                </w:p>
              </w:tc>
              <w:tc>
                <w:tcPr>
                  <w:tcW w:w="1049" w:type="dxa"/>
                  <w:vAlign w:val="center"/>
                </w:tcPr>
                <w:p w14:paraId="245747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治理措施</w:t>
                  </w:r>
                </w:p>
              </w:tc>
              <w:tc>
                <w:tcPr>
                  <w:tcW w:w="1049" w:type="dxa"/>
                  <w:vAlign w:val="center"/>
                </w:tcPr>
                <w:p w14:paraId="0B6E38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排放量（</w:t>
                  </w:r>
                  <w:r>
                    <w:rPr>
                      <w:rFonts w:hint="eastAsia"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kg</w:t>
                  </w: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/a）</w:t>
                  </w:r>
                </w:p>
              </w:tc>
              <w:tc>
                <w:tcPr>
                  <w:tcW w:w="1049" w:type="dxa"/>
                  <w:vAlign w:val="center"/>
                </w:tcPr>
                <w:p w14:paraId="45A0EA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排放浓度</w:t>
                  </w:r>
                </w:p>
                <w:p w14:paraId="1C018A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（mg/m³）</w:t>
                  </w:r>
                </w:p>
              </w:tc>
              <w:tc>
                <w:tcPr>
                  <w:tcW w:w="1049" w:type="dxa"/>
                  <w:vAlign w:val="center"/>
                </w:tcPr>
                <w:p w14:paraId="15A89D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vertAlign w:val="baseline"/>
                      <w:lang w:val="en-US" w:eastAsia="zh-CN"/>
                      <w14:textFill>
                        <w14:solidFill>
                          <w14:schemeClr w14:val="tx1"/>
                        </w14:solidFill>
                      </w14:textFill>
                    </w:rPr>
                    <w:t>排放速率（kg/h）</w:t>
                  </w:r>
                </w:p>
              </w:tc>
            </w:tr>
            <w:tr w14:paraId="4C59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10042F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搅拌、缠绕</w:t>
                  </w:r>
                </w:p>
              </w:tc>
              <w:tc>
                <w:tcPr>
                  <w:tcW w:w="1104" w:type="dxa"/>
                  <w:vMerge w:val="restart"/>
                  <w:vAlign w:val="center"/>
                </w:tcPr>
                <w:p w14:paraId="177343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非甲烷</w:t>
                  </w:r>
                </w:p>
                <w:p w14:paraId="448A56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总烃</w:t>
                  </w:r>
                </w:p>
              </w:tc>
              <w:tc>
                <w:tcPr>
                  <w:tcW w:w="1200" w:type="dxa"/>
                  <w:vAlign w:val="center"/>
                </w:tcPr>
                <w:p w14:paraId="32549B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10"/>
                      <w:sz w:val="21"/>
                      <w:szCs w:val="21"/>
                      <w:vertAlign w:val="baseline"/>
                      <w:lang w:val="en-US" w:eastAsia="zh-CN"/>
                      <w14:textFill>
                        <w14:solidFill>
                          <w14:schemeClr w14:val="tx1"/>
                        </w14:solidFill>
                      </w14:textFill>
                    </w:rPr>
                    <w:t>39.8</w:t>
                  </w:r>
                </w:p>
              </w:tc>
              <w:tc>
                <w:tcPr>
                  <w:tcW w:w="1219" w:type="dxa"/>
                  <w:vAlign w:val="center"/>
                </w:tcPr>
                <w:p w14:paraId="209BDD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10"/>
                      <w:sz w:val="21"/>
                      <w:szCs w:val="21"/>
                      <w:vertAlign w:val="baseline"/>
                      <w:lang w:val="en-US" w:eastAsia="zh-CN"/>
                      <w14:textFill>
                        <w14:solidFill>
                          <w14:schemeClr w14:val="tx1"/>
                        </w14:solidFill>
                      </w14:textFill>
                    </w:rPr>
                    <w:t>0.75</w:t>
                  </w:r>
                </w:p>
              </w:tc>
              <w:tc>
                <w:tcPr>
                  <w:tcW w:w="1049" w:type="dxa"/>
                  <w:vMerge w:val="restart"/>
                  <w:vAlign w:val="center"/>
                </w:tcPr>
                <w:p w14:paraId="13B4E6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废气经收集后引至1套活性炭吸附装置+1根15m高排气筒排放（DA001）</w:t>
                  </w:r>
                </w:p>
              </w:tc>
              <w:tc>
                <w:tcPr>
                  <w:tcW w:w="1049" w:type="dxa"/>
                  <w:vMerge w:val="restart"/>
                  <w:vAlign w:val="center"/>
                </w:tcPr>
                <w:p w14:paraId="0F5A5A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10"/>
                      <w:sz w:val="21"/>
                      <w:szCs w:val="21"/>
                      <w:vertAlign w:val="baseline"/>
                      <w:lang w:val="en-US" w:eastAsia="zh-CN"/>
                      <w14:textFill>
                        <w14:solidFill>
                          <w14:schemeClr w14:val="tx1"/>
                        </w14:solidFill>
                      </w14:textFill>
                    </w:rPr>
                    <w:t>114.624</w:t>
                  </w:r>
                </w:p>
              </w:tc>
              <w:tc>
                <w:tcPr>
                  <w:tcW w:w="1049" w:type="dxa"/>
                  <w:vMerge w:val="restart"/>
                  <w:vAlign w:val="center"/>
                </w:tcPr>
                <w:p w14:paraId="5DE9E1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10"/>
                      <w:sz w:val="21"/>
                      <w:szCs w:val="21"/>
                      <w:vertAlign w:val="baseline"/>
                      <w:lang w:val="en-US" w:eastAsia="zh-CN"/>
                      <w14:textFill>
                        <w14:solidFill>
                          <w14:schemeClr w14:val="tx1"/>
                        </w14:solidFill>
                      </w14:textFill>
                    </w:rPr>
                    <w:t>2.17</w:t>
                  </w:r>
                </w:p>
              </w:tc>
              <w:tc>
                <w:tcPr>
                  <w:tcW w:w="1049" w:type="dxa"/>
                  <w:vMerge w:val="restart"/>
                  <w:vAlign w:val="center"/>
                </w:tcPr>
                <w:p w14:paraId="567826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10"/>
                      <w:sz w:val="21"/>
                      <w:szCs w:val="21"/>
                      <w:vertAlign w:val="baseline"/>
                      <w:lang w:val="en-US" w:eastAsia="zh-CN"/>
                      <w14:textFill>
                        <w14:solidFill>
                          <w14:schemeClr w14:val="tx1"/>
                        </w14:solidFill>
                      </w14:textFill>
                    </w:rPr>
                    <w:t>0.0217</w:t>
                  </w:r>
                </w:p>
              </w:tc>
            </w:tr>
            <w:tr w14:paraId="7DE4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48803D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固化工序</w:t>
                  </w:r>
                </w:p>
              </w:tc>
              <w:tc>
                <w:tcPr>
                  <w:tcW w:w="1104" w:type="dxa"/>
                  <w:vMerge w:val="continue"/>
                  <w:vAlign w:val="center"/>
                </w:tcPr>
                <w:p w14:paraId="5C4CFE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1200" w:type="dxa"/>
                  <w:vAlign w:val="center"/>
                </w:tcPr>
                <w:p w14:paraId="49BFAA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10"/>
                      <w:sz w:val="21"/>
                      <w:szCs w:val="21"/>
                      <w:vertAlign w:val="baseline"/>
                      <w:lang w:val="en-US" w:eastAsia="zh-CN"/>
                      <w14:textFill>
                        <w14:solidFill>
                          <w14:schemeClr w14:val="tx1"/>
                        </w14:solidFill>
                      </w14:textFill>
                    </w:rPr>
                    <w:t>318.4</w:t>
                  </w:r>
                </w:p>
              </w:tc>
              <w:tc>
                <w:tcPr>
                  <w:tcW w:w="1219" w:type="dxa"/>
                  <w:vAlign w:val="center"/>
                </w:tcPr>
                <w:p w14:paraId="17A396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10"/>
                      <w:sz w:val="21"/>
                      <w:szCs w:val="21"/>
                      <w:vertAlign w:val="baseline"/>
                      <w:lang w:val="en-US" w:eastAsia="zh-CN"/>
                      <w14:textFill>
                        <w14:solidFill>
                          <w14:schemeClr w14:val="tx1"/>
                        </w14:solidFill>
                      </w14:textFill>
                    </w:rPr>
                    <w:t>6.03</w:t>
                  </w:r>
                </w:p>
              </w:tc>
              <w:tc>
                <w:tcPr>
                  <w:tcW w:w="1049" w:type="dxa"/>
                  <w:vMerge w:val="continue"/>
                  <w:vAlign w:val="center"/>
                </w:tcPr>
                <w:p w14:paraId="511628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1049" w:type="dxa"/>
                  <w:vMerge w:val="continue"/>
                  <w:vAlign w:val="center"/>
                </w:tcPr>
                <w:p w14:paraId="6C6C14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1049" w:type="dxa"/>
                  <w:vMerge w:val="continue"/>
                  <w:vAlign w:val="center"/>
                </w:tcPr>
                <w:p w14:paraId="03CE05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c>
                <w:tcPr>
                  <w:tcW w:w="1049" w:type="dxa"/>
                  <w:vMerge w:val="continue"/>
                  <w:vAlign w:val="center"/>
                </w:tcPr>
                <w:p w14:paraId="5EA9E4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p>
              </w:tc>
            </w:tr>
          </w:tbl>
          <w:p w14:paraId="049896FB">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②有机废气收集措施及收集效率分析</w:t>
            </w:r>
          </w:p>
          <w:p w14:paraId="3D9FE19C">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项目搅拌、缠绕、固化设备集气罩拟配置情况见下表所示：</w:t>
            </w:r>
          </w:p>
          <w:p w14:paraId="1B9F39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val="0"/>
                <w:color w:val="000000" w:themeColor="text1"/>
                <w:spacing w:val="-10"/>
                <w:sz w:val="21"/>
                <w:szCs w:val="21"/>
                <w:lang w:val="en-US" w:eastAsia="zh-CN"/>
                <w14:textFill>
                  <w14:solidFill>
                    <w14:schemeClr w14:val="tx1"/>
                  </w14:solidFill>
                </w14:textFill>
              </w:rPr>
            </w:pPr>
            <w:r>
              <w:rPr>
                <w:rFonts w:hint="eastAsia" w:ascii="宋体" w:hAnsi="宋体" w:cs="宋体"/>
                <w:b/>
                <w:bCs w:val="0"/>
                <w:color w:val="000000" w:themeColor="text1"/>
                <w:spacing w:val="-10"/>
                <w:sz w:val="21"/>
                <w:szCs w:val="21"/>
                <w:lang w:val="en-US" w:eastAsia="zh-CN"/>
                <w14:textFill>
                  <w14:solidFill>
                    <w14:schemeClr w14:val="tx1"/>
                  </w14:solidFill>
                </w14:textFill>
              </w:rPr>
              <w:t>表4-5  项目集气罩配置情况一览表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1677"/>
              <w:gridCol w:w="1678"/>
              <w:gridCol w:w="1678"/>
              <w:gridCol w:w="1678"/>
            </w:tblGrid>
            <w:tr w14:paraId="3203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dxa"/>
                  <w:vAlign w:val="center"/>
                </w:tcPr>
                <w:p w14:paraId="2AF2E4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设备</w:t>
                  </w:r>
                </w:p>
              </w:tc>
              <w:tc>
                <w:tcPr>
                  <w:tcW w:w="1677" w:type="dxa"/>
                  <w:vAlign w:val="center"/>
                </w:tcPr>
                <w:p w14:paraId="51AFF0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设备数量</w:t>
                  </w:r>
                </w:p>
              </w:tc>
              <w:tc>
                <w:tcPr>
                  <w:tcW w:w="1678" w:type="dxa"/>
                  <w:vAlign w:val="center"/>
                </w:tcPr>
                <w:p w14:paraId="584A72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使用工序</w:t>
                  </w:r>
                </w:p>
              </w:tc>
              <w:tc>
                <w:tcPr>
                  <w:tcW w:w="1678" w:type="dxa"/>
                  <w:vAlign w:val="center"/>
                </w:tcPr>
                <w:p w14:paraId="654994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集气罩尺寸（m）</w:t>
                  </w:r>
                </w:p>
              </w:tc>
              <w:tc>
                <w:tcPr>
                  <w:tcW w:w="1678" w:type="dxa"/>
                  <w:vAlign w:val="center"/>
                </w:tcPr>
                <w:p w14:paraId="2C0A30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集气罩数量</w:t>
                  </w:r>
                </w:p>
              </w:tc>
            </w:tr>
            <w:tr w14:paraId="1AD8D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dxa"/>
                  <w:vAlign w:val="center"/>
                </w:tcPr>
                <w:p w14:paraId="002C29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搅拌桶</w:t>
                  </w:r>
                </w:p>
              </w:tc>
              <w:tc>
                <w:tcPr>
                  <w:tcW w:w="1677" w:type="dxa"/>
                  <w:vAlign w:val="center"/>
                </w:tcPr>
                <w:p w14:paraId="091471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w:t>
                  </w:r>
                </w:p>
              </w:tc>
              <w:tc>
                <w:tcPr>
                  <w:tcW w:w="1678" w:type="dxa"/>
                  <w:vAlign w:val="center"/>
                </w:tcPr>
                <w:p w14:paraId="74770D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搅拌</w:t>
                  </w:r>
                </w:p>
              </w:tc>
              <w:tc>
                <w:tcPr>
                  <w:tcW w:w="1678" w:type="dxa"/>
                  <w:vAlign w:val="center"/>
                </w:tcPr>
                <w:p w14:paraId="3DFADA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0.8×0.6</w:t>
                  </w:r>
                </w:p>
              </w:tc>
              <w:tc>
                <w:tcPr>
                  <w:tcW w:w="1678" w:type="dxa"/>
                  <w:vAlign w:val="center"/>
                </w:tcPr>
                <w:p w14:paraId="5FFF3D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w:t>
                  </w:r>
                </w:p>
              </w:tc>
            </w:tr>
            <w:tr w14:paraId="2348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dxa"/>
                  <w:vAlign w:val="center"/>
                </w:tcPr>
                <w:p w14:paraId="2D5F7D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缠绕机</w:t>
                  </w:r>
                </w:p>
              </w:tc>
              <w:tc>
                <w:tcPr>
                  <w:tcW w:w="1677" w:type="dxa"/>
                  <w:vAlign w:val="center"/>
                </w:tcPr>
                <w:p w14:paraId="78E83E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2（本项目1个）</w:t>
                  </w:r>
                </w:p>
              </w:tc>
              <w:tc>
                <w:tcPr>
                  <w:tcW w:w="1678" w:type="dxa"/>
                  <w:vAlign w:val="center"/>
                </w:tcPr>
                <w:p w14:paraId="7C0652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缠绕</w:t>
                  </w:r>
                </w:p>
              </w:tc>
              <w:tc>
                <w:tcPr>
                  <w:tcW w:w="1678" w:type="dxa"/>
                  <w:vAlign w:val="center"/>
                </w:tcPr>
                <w:p w14:paraId="682C63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0.8×0.6</w:t>
                  </w:r>
                </w:p>
              </w:tc>
              <w:tc>
                <w:tcPr>
                  <w:tcW w:w="1678" w:type="dxa"/>
                  <w:vAlign w:val="center"/>
                </w:tcPr>
                <w:p w14:paraId="0377A8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w:t>
                  </w:r>
                </w:p>
              </w:tc>
            </w:tr>
            <w:tr w14:paraId="24FE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dxa"/>
                  <w:vAlign w:val="center"/>
                </w:tcPr>
                <w:p w14:paraId="115DD6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固化炉（电炉）</w:t>
                  </w:r>
                </w:p>
              </w:tc>
              <w:tc>
                <w:tcPr>
                  <w:tcW w:w="1677" w:type="dxa"/>
                  <w:vAlign w:val="center"/>
                </w:tcPr>
                <w:p w14:paraId="1FD9AB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7（本项目3个）</w:t>
                  </w:r>
                </w:p>
              </w:tc>
              <w:tc>
                <w:tcPr>
                  <w:tcW w:w="1678" w:type="dxa"/>
                  <w:vAlign w:val="center"/>
                </w:tcPr>
                <w:p w14:paraId="6C7434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固化</w:t>
                  </w:r>
                </w:p>
              </w:tc>
              <w:tc>
                <w:tcPr>
                  <w:tcW w:w="1678" w:type="dxa"/>
                  <w:vAlign w:val="center"/>
                </w:tcPr>
                <w:p w14:paraId="1B52F2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0.4×0.4</w:t>
                  </w:r>
                </w:p>
              </w:tc>
              <w:tc>
                <w:tcPr>
                  <w:tcW w:w="1678" w:type="dxa"/>
                  <w:vAlign w:val="center"/>
                </w:tcPr>
                <w:p w14:paraId="21EE8B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7</w:t>
                  </w:r>
                </w:p>
              </w:tc>
            </w:tr>
          </w:tbl>
          <w:p w14:paraId="23906720">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废气风量核算分析：</w:t>
            </w:r>
            <w:r>
              <w:rPr>
                <w:rFonts w:hint="eastAsia" w:ascii="宋体" w:hAnsi="宋体" w:cs="宋体"/>
                <w:b w:val="0"/>
                <w:bCs/>
                <w:color w:val="000000" w:themeColor="text1"/>
                <w:spacing w:val="-10"/>
                <w:sz w:val="24"/>
                <w:szCs w:val="24"/>
                <w:lang w:val="en-US" w:eastAsia="zh-CN"/>
                <w14:textFill>
                  <w14:solidFill>
                    <w14:schemeClr w14:val="tx1"/>
                  </w14:solidFill>
                </w14:textFill>
              </w:rPr>
              <w:t>风量参照《环境工程设计手册》中公式</w:t>
            </w:r>
          </w:p>
          <w:p w14:paraId="0879105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Q=kPHVx</w:t>
            </w:r>
          </w:p>
          <w:p w14:paraId="3C88B73C">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式中：Q-风量，m³/s</w:t>
            </w:r>
          </w:p>
          <w:p w14:paraId="6A2BE8FD">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K-考虑沿高度速度分布不均的安全系数，通常为k=1.4</w:t>
            </w:r>
          </w:p>
          <w:p w14:paraId="2CA97E3D">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P-罩口常开周长m</w:t>
            </w:r>
          </w:p>
          <w:p w14:paraId="4714E03D">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H-罩口距污染源的距离（本项目取0.1m）</w:t>
            </w:r>
          </w:p>
          <w:p w14:paraId="06E3C68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Vx=控制速度（本项目取</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1</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m/s）</w:t>
            </w:r>
          </w:p>
          <w:p w14:paraId="4A21938A">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Q搅拌=1.4×2.8×0.1×</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1</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×3600=</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1411.2</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m³/h</w:t>
            </w:r>
          </w:p>
          <w:p w14:paraId="1B8BFB19">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Q缠绕=1.4×2.8×0.1×</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1</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×3600×2=</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2822</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4</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m³/h</w:t>
            </w:r>
          </w:p>
          <w:p w14:paraId="417078E0">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Q固化=1.4×</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1.6</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×0.1×</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1</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×3600×7=</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5644.8</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m³/h</w:t>
            </w:r>
          </w:p>
          <w:p w14:paraId="09262C07">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经计算项目搅拌、缠绕、固化废气收集风量合计为</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9878.4</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m³/h，考虑废气收集及管道损失压力，本项目设计风机风量为</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10000</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m³/h，可满足工序所需风量要求。</w:t>
            </w:r>
          </w:p>
          <w:p w14:paraId="28147339">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（2）机加、打磨工序颗粒物产排量</w:t>
            </w:r>
          </w:p>
          <w:p w14:paraId="452D4F98">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切割打磨工序颗粒物产生源强：</w:t>
            </w:r>
          </w:p>
          <w:p w14:paraId="5CDA3448">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项目产品固化成型后，利用车床切边过程和打磨床打磨过程均会产生一定量的颗粒物，颗粒物产生量参考</w:t>
            </w:r>
            <w:r>
              <w:rPr>
                <w:rFonts w:hint="eastAsia"/>
                <w:color w:val="000000" w:themeColor="text1"/>
                <w:sz w:val="24"/>
                <w:highlight w:val="none"/>
                <w:lang w:eastAsia="zh-CN"/>
                <w14:textFill>
                  <w14:solidFill>
                    <w14:schemeClr w14:val="tx1"/>
                  </w14:solidFill>
                </w14:textFill>
              </w:rPr>
              <w:t>《排放源统计调查产排污核</w:t>
            </w:r>
            <w:r>
              <w:rPr>
                <w:rFonts w:hint="default" w:ascii="Times New Roman" w:hAnsi="Times New Roman" w:cs="Times New Roman"/>
                <w:color w:val="000000" w:themeColor="text1"/>
                <w:sz w:val="24"/>
                <w:highlight w:val="none"/>
                <w:lang w:eastAsia="zh-CN"/>
                <w14:textFill>
                  <w14:solidFill>
                    <w14:schemeClr w14:val="tx1"/>
                  </w14:solidFill>
                </w14:textFill>
              </w:rPr>
              <w:t>算方法和系数手册》（公告2021年第24号）</w:t>
            </w:r>
            <w:r>
              <w:rPr>
                <w:rFonts w:hint="eastAsia" w:ascii="Times New Roman" w:hAnsi="Times New Roman" w:cs="Times New Roman"/>
                <w:color w:val="000000" w:themeColor="text1"/>
                <w:sz w:val="24"/>
                <w:highlight w:val="none"/>
                <w:lang w:val="en-US" w:eastAsia="zh-CN"/>
                <w14:textFill>
                  <w14:solidFill>
                    <w14:schemeClr w14:val="tx1"/>
                  </w14:solidFill>
                </w14:textFill>
              </w:rPr>
              <w:t>中玻璃纤维增强塑料制品制造行业系数手册切割成型工序产污系数为3.78kg/t-原料，项目原料量20.85t/a，切割打磨工序年累计运行时间为5280h，经核算切割打磨工序颗粒物产生量为0.015kg/h、0.079t/a</w:t>
            </w:r>
          </w:p>
          <w:p w14:paraId="52CC4D3E">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颗粒物治理措施：</w:t>
            </w:r>
          </w:p>
          <w:p w14:paraId="7494B79F">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切割机床上方设置1个集气罩，配备1套袋式除尘器（处理效率取95%），打磨床为底吸，配备1套袋式除尘器（处理效率取95%），处理后无组织排放。</w:t>
            </w:r>
          </w:p>
          <w:p w14:paraId="3FA564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val="0"/>
                <w:color w:val="000000" w:themeColor="text1"/>
                <w:spacing w:val="-10"/>
                <w:sz w:val="21"/>
                <w:szCs w:val="21"/>
                <w:lang w:val="en-US" w:eastAsia="zh-CN"/>
                <w14:textFill>
                  <w14:solidFill>
                    <w14:schemeClr w14:val="tx1"/>
                  </w14:solidFill>
                </w14:textFill>
              </w:rPr>
            </w:pPr>
            <w:r>
              <w:rPr>
                <w:rFonts w:hint="eastAsia" w:ascii="宋体" w:hAnsi="宋体" w:cs="宋体"/>
                <w:b/>
                <w:bCs w:val="0"/>
                <w:color w:val="000000" w:themeColor="text1"/>
                <w:spacing w:val="-10"/>
                <w:sz w:val="21"/>
                <w:szCs w:val="21"/>
                <w:lang w:val="en-US" w:eastAsia="zh-CN"/>
                <w14:textFill>
                  <w14:solidFill>
                    <w14:schemeClr w14:val="tx1"/>
                  </w14:solidFill>
                </w14:textFill>
              </w:rPr>
              <w:t>表4-6  本项目颗粒物产排情况一览表</w:t>
            </w:r>
          </w:p>
          <w:tbl>
            <w:tblPr>
              <w:tblStyle w:val="15"/>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104"/>
              <w:gridCol w:w="1200"/>
              <w:gridCol w:w="1219"/>
              <w:gridCol w:w="1049"/>
              <w:gridCol w:w="1049"/>
              <w:gridCol w:w="1049"/>
              <w:gridCol w:w="1049"/>
            </w:tblGrid>
            <w:tr w14:paraId="0CD2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5490D7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产污环节</w:t>
                  </w:r>
                </w:p>
              </w:tc>
              <w:tc>
                <w:tcPr>
                  <w:tcW w:w="1104" w:type="dxa"/>
                  <w:vAlign w:val="center"/>
                </w:tcPr>
                <w:p w14:paraId="148E75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污染物</w:t>
                  </w:r>
                </w:p>
                <w:p w14:paraId="631976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名称</w:t>
                  </w:r>
                </w:p>
              </w:tc>
              <w:tc>
                <w:tcPr>
                  <w:tcW w:w="1200" w:type="dxa"/>
                  <w:vAlign w:val="center"/>
                </w:tcPr>
                <w:p w14:paraId="7D6FD9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无组织产生量（t/a）</w:t>
                  </w:r>
                </w:p>
              </w:tc>
              <w:tc>
                <w:tcPr>
                  <w:tcW w:w="1219" w:type="dxa"/>
                  <w:vAlign w:val="center"/>
                </w:tcPr>
                <w:p w14:paraId="02E534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产生浓度（mg/m³）</w:t>
                  </w:r>
                </w:p>
              </w:tc>
              <w:tc>
                <w:tcPr>
                  <w:tcW w:w="1049" w:type="dxa"/>
                  <w:vAlign w:val="center"/>
                </w:tcPr>
                <w:p w14:paraId="1F80A2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治理措施</w:t>
                  </w:r>
                </w:p>
              </w:tc>
              <w:tc>
                <w:tcPr>
                  <w:tcW w:w="1049" w:type="dxa"/>
                  <w:vAlign w:val="center"/>
                </w:tcPr>
                <w:p w14:paraId="0D0CE9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排放量（t/a）</w:t>
                  </w:r>
                </w:p>
              </w:tc>
              <w:tc>
                <w:tcPr>
                  <w:tcW w:w="1049" w:type="dxa"/>
                  <w:vAlign w:val="center"/>
                </w:tcPr>
                <w:p w14:paraId="28A427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排放浓度</w:t>
                  </w:r>
                </w:p>
                <w:p w14:paraId="6AF8CF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（mg/m³）</w:t>
                  </w:r>
                </w:p>
              </w:tc>
              <w:tc>
                <w:tcPr>
                  <w:tcW w:w="1049" w:type="dxa"/>
                  <w:vAlign w:val="center"/>
                </w:tcPr>
                <w:p w14:paraId="756497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排放速率（kg/h）</w:t>
                  </w:r>
                </w:p>
              </w:tc>
            </w:tr>
            <w:tr w14:paraId="214D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69" w:type="dxa"/>
                  <w:vAlign w:val="center"/>
                </w:tcPr>
                <w:p w14:paraId="751ED6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机加工序</w:t>
                  </w:r>
                </w:p>
              </w:tc>
              <w:tc>
                <w:tcPr>
                  <w:tcW w:w="1104" w:type="dxa"/>
                  <w:vMerge w:val="restart"/>
                  <w:vAlign w:val="center"/>
                </w:tcPr>
                <w:p w14:paraId="4BE759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颗粒物</w:t>
                  </w:r>
                </w:p>
              </w:tc>
              <w:tc>
                <w:tcPr>
                  <w:tcW w:w="1200" w:type="dxa"/>
                  <w:vMerge w:val="restart"/>
                  <w:vAlign w:val="center"/>
                </w:tcPr>
                <w:p w14:paraId="45153D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0.079</w:t>
                  </w:r>
                </w:p>
              </w:tc>
              <w:tc>
                <w:tcPr>
                  <w:tcW w:w="1219" w:type="dxa"/>
                  <w:vMerge w:val="restart"/>
                  <w:vAlign w:val="center"/>
                </w:tcPr>
                <w:p w14:paraId="5A299C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1049" w:type="dxa"/>
                  <w:vMerge w:val="restart"/>
                  <w:vAlign w:val="center"/>
                </w:tcPr>
                <w:p w14:paraId="46CFC4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布袋除尘器处理后无组织排放</w:t>
                  </w:r>
                </w:p>
              </w:tc>
              <w:tc>
                <w:tcPr>
                  <w:tcW w:w="1049" w:type="dxa"/>
                  <w:vMerge w:val="restart"/>
                  <w:vAlign w:val="center"/>
                </w:tcPr>
                <w:p w14:paraId="66609A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0.004</w:t>
                  </w:r>
                </w:p>
              </w:tc>
              <w:tc>
                <w:tcPr>
                  <w:tcW w:w="1049" w:type="dxa"/>
                  <w:vMerge w:val="restart"/>
                  <w:vAlign w:val="center"/>
                </w:tcPr>
                <w:p w14:paraId="3201B7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1049" w:type="dxa"/>
                  <w:vMerge w:val="restart"/>
                  <w:vAlign w:val="center"/>
                </w:tcPr>
                <w:p w14:paraId="42F0CA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0.0008</w:t>
                  </w:r>
                </w:p>
              </w:tc>
            </w:tr>
            <w:tr w14:paraId="5197D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69" w:type="dxa"/>
                  <w:vAlign w:val="center"/>
                </w:tcPr>
                <w:p w14:paraId="3CF5D3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打磨工序</w:t>
                  </w:r>
                </w:p>
              </w:tc>
              <w:tc>
                <w:tcPr>
                  <w:tcW w:w="1104" w:type="dxa"/>
                  <w:vMerge w:val="continue"/>
                  <w:vAlign w:val="center"/>
                </w:tcPr>
                <w:p w14:paraId="6308B0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1200" w:type="dxa"/>
                  <w:vMerge w:val="continue"/>
                  <w:vAlign w:val="center"/>
                </w:tcPr>
                <w:p w14:paraId="3C7DAD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1219" w:type="dxa"/>
                  <w:vMerge w:val="continue"/>
                  <w:vAlign w:val="center"/>
                </w:tcPr>
                <w:p w14:paraId="2F16EE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1049" w:type="dxa"/>
                  <w:vMerge w:val="continue"/>
                  <w:vAlign w:val="center"/>
                </w:tcPr>
                <w:p w14:paraId="7F8E70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1049" w:type="dxa"/>
                  <w:vMerge w:val="continue"/>
                  <w:vAlign w:val="center"/>
                </w:tcPr>
                <w:p w14:paraId="5F256C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1049" w:type="dxa"/>
                  <w:vMerge w:val="continue"/>
                  <w:vAlign w:val="center"/>
                </w:tcPr>
                <w:p w14:paraId="2BBEAD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c>
                <w:tcPr>
                  <w:tcW w:w="1049" w:type="dxa"/>
                  <w:vMerge w:val="continue"/>
                  <w:vAlign w:val="center"/>
                </w:tcPr>
                <w:p w14:paraId="199279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p>
              </w:tc>
            </w:tr>
          </w:tbl>
          <w:p w14:paraId="1FE048DC">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Times New Roman" w:hAnsi="Times New Roman" w:cs="Times New Roman"/>
                <w:b/>
                <w:bCs w:val="0"/>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
                <w:bCs w:val="0"/>
                <w:color w:val="000000" w:themeColor="text1"/>
                <w:spacing w:val="-10"/>
                <w:sz w:val="24"/>
                <w:szCs w:val="24"/>
                <w:lang w:val="en-US" w:eastAsia="zh-CN"/>
                <w14:textFill>
                  <w14:solidFill>
                    <w14:schemeClr w14:val="tx1"/>
                  </w14:solidFill>
                </w14:textFill>
              </w:rPr>
              <w:t>1.2废气污染防治措施可行性分析</w:t>
            </w:r>
          </w:p>
          <w:p w14:paraId="7FF6D6A6">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（1）有机废气治理措施可行性分析</w:t>
            </w:r>
          </w:p>
          <w:p w14:paraId="0AD5A211">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项目搅拌、缠绕、固化工序有机废气设置有二级活性炭吸附装置，通过1根15m高排气筒（DA001）排放，参考《排污许可证申请与核发技术规范橡胶和塑料制品工业》（HJ1122-2020），本项目有机废气质量措施属于可行技术。</w:t>
            </w:r>
          </w:p>
          <w:p w14:paraId="17291A90">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（2）颗粒物治理措施可行性分析</w:t>
            </w:r>
          </w:p>
          <w:p w14:paraId="26790F7E">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本项目机加、打磨工序颗粒物收集后采用布袋除尘器处理，参考排污许可证申请与核发技术规范橡胶和塑料制品工业》（HJ1122-2020），本项目采用布袋除尘器属于可行技术。</w:t>
            </w:r>
          </w:p>
          <w:p w14:paraId="77896F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val="0"/>
                <w:color w:val="000000" w:themeColor="text1"/>
                <w:spacing w:val="-10"/>
                <w:sz w:val="21"/>
                <w:szCs w:val="21"/>
                <w:lang w:val="en-US" w:eastAsia="zh-CN"/>
                <w14:textFill>
                  <w14:solidFill>
                    <w14:schemeClr w14:val="tx1"/>
                  </w14:solidFill>
                </w14:textFill>
              </w:rPr>
            </w:pPr>
            <w:r>
              <w:rPr>
                <w:rFonts w:hint="eastAsia" w:ascii="宋体" w:hAnsi="宋体" w:cs="宋体"/>
                <w:b/>
                <w:bCs w:val="0"/>
                <w:color w:val="000000" w:themeColor="text1"/>
                <w:spacing w:val="-10"/>
                <w:sz w:val="21"/>
                <w:szCs w:val="21"/>
                <w:lang w:val="en-US" w:eastAsia="zh-CN"/>
                <w14:textFill>
                  <w14:solidFill>
                    <w14:schemeClr w14:val="tx1"/>
                  </w14:solidFill>
                </w14:textFill>
              </w:rPr>
              <w:t>表4-7  项目废气污染治理设施技术可行性分析</w:t>
            </w:r>
          </w:p>
          <w:tbl>
            <w:tblPr>
              <w:tblStyle w:val="15"/>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132"/>
              <w:gridCol w:w="1513"/>
              <w:gridCol w:w="1637"/>
              <w:gridCol w:w="3096"/>
            </w:tblGrid>
            <w:tr w14:paraId="63C9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vAlign w:val="center"/>
                </w:tcPr>
                <w:p w14:paraId="4961D3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废气产</w:t>
                  </w:r>
                </w:p>
                <w:p w14:paraId="0E0720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生工序</w:t>
                  </w:r>
                </w:p>
              </w:tc>
              <w:tc>
                <w:tcPr>
                  <w:tcW w:w="1132" w:type="dxa"/>
                  <w:vAlign w:val="center"/>
                </w:tcPr>
                <w:p w14:paraId="6D432A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污染物</w:t>
                  </w:r>
                </w:p>
              </w:tc>
              <w:tc>
                <w:tcPr>
                  <w:tcW w:w="1513" w:type="dxa"/>
                  <w:vAlign w:val="center"/>
                </w:tcPr>
                <w:p w14:paraId="6593C3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采取的治理措施、工艺</w:t>
                  </w:r>
                </w:p>
              </w:tc>
              <w:tc>
                <w:tcPr>
                  <w:tcW w:w="1637" w:type="dxa"/>
                  <w:vAlign w:val="center"/>
                </w:tcPr>
                <w:p w14:paraId="665E76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是否为可行技术</w:t>
                  </w:r>
                </w:p>
              </w:tc>
              <w:tc>
                <w:tcPr>
                  <w:tcW w:w="3096" w:type="dxa"/>
                  <w:vAlign w:val="center"/>
                </w:tcPr>
                <w:p w14:paraId="27AC53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可行技术依据</w:t>
                  </w:r>
                </w:p>
              </w:tc>
            </w:tr>
            <w:tr w14:paraId="02A9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vAlign w:val="center"/>
                </w:tcPr>
                <w:p w14:paraId="23F154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18"/>
                      <w:szCs w:val="18"/>
                      <w:vertAlign w:val="baseline"/>
                      <w:lang w:val="en-US" w:eastAsia="zh-CN"/>
                      <w14:textFill>
                        <w14:solidFill>
                          <w14:schemeClr w14:val="tx1"/>
                        </w14:solidFill>
                      </w14:textFill>
                    </w:rPr>
                  </w:pPr>
                  <w:r>
                    <w:rPr>
                      <w:rFonts w:hint="eastAsia" w:ascii="宋体" w:hAnsi="宋体" w:cs="宋体"/>
                      <w:bCs/>
                      <w:color w:val="000000" w:themeColor="text1"/>
                      <w:spacing w:val="-10"/>
                      <w:sz w:val="18"/>
                      <w:szCs w:val="18"/>
                      <w:vertAlign w:val="baseline"/>
                      <w:lang w:val="en-US" w:eastAsia="zh-CN"/>
                      <w14:textFill>
                        <w14:solidFill>
                          <w14:schemeClr w14:val="tx1"/>
                        </w14:solidFill>
                      </w14:textFill>
                    </w:rPr>
                    <w:t>搅拌、缠绕、固化工序</w:t>
                  </w:r>
                </w:p>
              </w:tc>
              <w:tc>
                <w:tcPr>
                  <w:tcW w:w="1132" w:type="dxa"/>
                  <w:vAlign w:val="center"/>
                </w:tcPr>
                <w:p w14:paraId="721167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18"/>
                      <w:szCs w:val="18"/>
                      <w:vertAlign w:val="baseline"/>
                      <w:lang w:val="en-US" w:eastAsia="zh-CN"/>
                      <w14:textFill>
                        <w14:solidFill>
                          <w14:schemeClr w14:val="tx1"/>
                        </w14:solidFill>
                      </w14:textFill>
                    </w:rPr>
                  </w:pPr>
                  <w:r>
                    <w:rPr>
                      <w:rFonts w:hint="eastAsia" w:ascii="宋体" w:hAnsi="宋体" w:cs="宋体"/>
                      <w:bCs/>
                      <w:color w:val="000000" w:themeColor="text1"/>
                      <w:spacing w:val="-10"/>
                      <w:sz w:val="18"/>
                      <w:szCs w:val="18"/>
                      <w:vertAlign w:val="baseline"/>
                      <w:lang w:val="en-US" w:eastAsia="zh-CN"/>
                      <w14:textFill>
                        <w14:solidFill>
                          <w14:schemeClr w14:val="tx1"/>
                        </w14:solidFill>
                      </w14:textFill>
                    </w:rPr>
                    <w:t>非甲烷总烃</w:t>
                  </w:r>
                </w:p>
              </w:tc>
              <w:tc>
                <w:tcPr>
                  <w:tcW w:w="1513" w:type="dxa"/>
                  <w:vAlign w:val="center"/>
                </w:tcPr>
                <w:p w14:paraId="4FEDC5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18"/>
                      <w:szCs w:val="18"/>
                      <w:vertAlign w:val="baseline"/>
                      <w:lang w:val="en-US" w:eastAsia="zh-CN"/>
                      <w14:textFill>
                        <w14:solidFill>
                          <w14:schemeClr w14:val="tx1"/>
                        </w14:solidFill>
                      </w14:textFill>
                    </w:rPr>
                  </w:pPr>
                  <w:r>
                    <w:rPr>
                      <w:rFonts w:hint="eastAsia" w:ascii="宋体" w:hAnsi="宋体" w:cs="宋体"/>
                      <w:bCs/>
                      <w:color w:val="000000" w:themeColor="text1"/>
                      <w:spacing w:val="-10"/>
                      <w:sz w:val="18"/>
                      <w:szCs w:val="18"/>
                      <w:vertAlign w:val="baseline"/>
                      <w:lang w:val="en-US" w:eastAsia="zh-CN"/>
                      <w14:textFill>
                        <w14:solidFill>
                          <w14:schemeClr w14:val="tx1"/>
                        </w14:solidFill>
                      </w14:textFill>
                    </w:rPr>
                    <w:t>活性炭吸附法</w:t>
                  </w:r>
                </w:p>
              </w:tc>
              <w:tc>
                <w:tcPr>
                  <w:tcW w:w="1637" w:type="dxa"/>
                  <w:vAlign w:val="center"/>
                </w:tcPr>
                <w:p w14:paraId="4E4154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18"/>
                      <w:szCs w:val="18"/>
                      <w:vertAlign w:val="baseline"/>
                      <w:lang w:val="en-US" w:eastAsia="zh-CN"/>
                      <w14:textFill>
                        <w14:solidFill>
                          <w14:schemeClr w14:val="tx1"/>
                        </w14:solidFill>
                      </w14:textFill>
                    </w:rPr>
                  </w:pPr>
                  <w:r>
                    <w:rPr>
                      <w:rFonts w:hint="eastAsia" w:ascii="宋体" w:hAnsi="宋体" w:cs="宋体"/>
                      <w:bCs/>
                      <w:color w:val="000000" w:themeColor="text1"/>
                      <w:spacing w:val="-10"/>
                      <w:sz w:val="18"/>
                      <w:szCs w:val="18"/>
                      <w:vertAlign w:val="baseline"/>
                      <w:lang w:val="en-US" w:eastAsia="zh-CN"/>
                      <w14:textFill>
                        <w14:solidFill>
                          <w14:schemeClr w14:val="tx1"/>
                        </w14:solidFill>
                      </w14:textFill>
                    </w:rPr>
                    <w:t>是</w:t>
                  </w:r>
                </w:p>
              </w:tc>
              <w:tc>
                <w:tcPr>
                  <w:tcW w:w="3096" w:type="dxa"/>
                  <w:vAlign w:val="center"/>
                </w:tcPr>
                <w:p w14:paraId="22A4C1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18"/>
                      <w:szCs w:val="18"/>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lang w:val="en-US" w:eastAsia="zh-CN"/>
                      <w14:textFill>
                        <w14:solidFill>
                          <w14:schemeClr w14:val="tx1"/>
                        </w14:solidFill>
                      </w14:textFill>
                    </w:rPr>
                    <w:t>排污许可证申请与核发技术规范橡胶和塑料制品工业》（HJ1122-2020）</w:t>
                  </w:r>
                </w:p>
              </w:tc>
            </w:tr>
            <w:tr w14:paraId="4455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vAlign w:val="center"/>
                </w:tcPr>
                <w:p w14:paraId="15DB56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18"/>
                      <w:szCs w:val="18"/>
                      <w:vertAlign w:val="baseline"/>
                      <w:lang w:val="en-US" w:eastAsia="zh-CN"/>
                      <w14:textFill>
                        <w14:solidFill>
                          <w14:schemeClr w14:val="tx1"/>
                        </w14:solidFill>
                      </w14:textFill>
                    </w:rPr>
                  </w:pPr>
                  <w:r>
                    <w:rPr>
                      <w:rFonts w:hint="eastAsia" w:ascii="宋体" w:hAnsi="宋体" w:cs="宋体"/>
                      <w:bCs/>
                      <w:color w:val="000000" w:themeColor="text1"/>
                      <w:spacing w:val="-10"/>
                      <w:sz w:val="18"/>
                      <w:szCs w:val="18"/>
                      <w:vertAlign w:val="baseline"/>
                      <w:lang w:val="en-US" w:eastAsia="zh-CN"/>
                      <w14:textFill>
                        <w14:solidFill>
                          <w14:schemeClr w14:val="tx1"/>
                        </w14:solidFill>
                      </w14:textFill>
                    </w:rPr>
                    <w:t>机加、打磨工序</w:t>
                  </w:r>
                </w:p>
              </w:tc>
              <w:tc>
                <w:tcPr>
                  <w:tcW w:w="1132" w:type="dxa"/>
                  <w:vAlign w:val="center"/>
                </w:tcPr>
                <w:p w14:paraId="3E0EC7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18"/>
                      <w:szCs w:val="18"/>
                      <w:vertAlign w:val="baseline"/>
                      <w:lang w:val="en-US" w:eastAsia="zh-CN"/>
                      <w14:textFill>
                        <w14:solidFill>
                          <w14:schemeClr w14:val="tx1"/>
                        </w14:solidFill>
                      </w14:textFill>
                    </w:rPr>
                  </w:pPr>
                  <w:r>
                    <w:rPr>
                      <w:rFonts w:hint="eastAsia" w:ascii="宋体" w:hAnsi="宋体" w:cs="宋体"/>
                      <w:bCs/>
                      <w:color w:val="000000" w:themeColor="text1"/>
                      <w:spacing w:val="-10"/>
                      <w:sz w:val="18"/>
                      <w:szCs w:val="18"/>
                      <w:vertAlign w:val="baseline"/>
                      <w:lang w:val="en-US" w:eastAsia="zh-CN"/>
                      <w14:textFill>
                        <w14:solidFill>
                          <w14:schemeClr w14:val="tx1"/>
                        </w14:solidFill>
                      </w14:textFill>
                    </w:rPr>
                    <w:t>颗粒物</w:t>
                  </w:r>
                </w:p>
              </w:tc>
              <w:tc>
                <w:tcPr>
                  <w:tcW w:w="1513" w:type="dxa"/>
                  <w:vAlign w:val="center"/>
                </w:tcPr>
                <w:p w14:paraId="052E67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18"/>
                      <w:szCs w:val="18"/>
                      <w:vertAlign w:val="baseline"/>
                      <w:lang w:val="en-US" w:eastAsia="zh-CN"/>
                      <w14:textFill>
                        <w14:solidFill>
                          <w14:schemeClr w14:val="tx1"/>
                        </w14:solidFill>
                      </w14:textFill>
                    </w:rPr>
                  </w:pPr>
                  <w:r>
                    <w:rPr>
                      <w:rFonts w:hint="eastAsia" w:ascii="宋体" w:hAnsi="宋体" w:cs="宋体"/>
                      <w:bCs/>
                      <w:color w:val="000000" w:themeColor="text1"/>
                      <w:spacing w:val="-10"/>
                      <w:sz w:val="18"/>
                      <w:szCs w:val="18"/>
                      <w:vertAlign w:val="baseline"/>
                      <w:lang w:val="en-US" w:eastAsia="zh-CN"/>
                      <w14:textFill>
                        <w14:solidFill>
                          <w14:schemeClr w14:val="tx1"/>
                        </w14:solidFill>
                      </w14:textFill>
                    </w:rPr>
                    <w:t>布袋除尘器</w:t>
                  </w:r>
                </w:p>
              </w:tc>
              <w:tc>
                <w:tcPr>
                  <w:tcW w:w="1637" w:type="dxa"/>
                  <w:vAlign w:val="center"/>
                </w:tcPr>
                <w:p w14:paraId="5FFA38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18"/>
                      <w:szCs w:val="18"/>
                      <w:vertAlign w:val="baseline"/>
                      <w:lang w:val="en-US" w:eastAsia="zh-CN"/>
                      <w14:textFill>
                        <w14:solidFill>
                          <w14:schemeClr w14:val="tx1"/>
                        </w14:solidFill>
                      </w14:textFill>
                    </w:rPr>
                  </w:pPr>
                  <w:r>
                    <w:rPr>
                      <w:rFonts w:hint="eastAsia" w:ascii="宋体" w:hAnsi="宋体" w:cs="宋体"/>
                      <w:bCs/>
                      <w:color w:val="000000" w:themeColor="text1"/>
                      <w:spacing w:val="-10"/>
                      <w:sz w:val="18"/>
                      <w:szCs w:val="18"/>
                      <w:vertAlign w:val="baseline"/>
                      <w:lang w:val="en-US" w:eastAsia="zh-CN"/>
                      <w14:textFill>
                        <w14:solidFill>
                          <w14:schemeClr w14:val="tx1"/>
                        </w14:solidFill>
                      </w14:textFill>
                    </w:rPr>
                    <w:t>是</w:t>
                  </w:r>
                </w:p>
              </w:tc>
              <w:tc>
                <w:tcPr>
                  <w:tcW w:w="3096" w:type="dxa"/>
                  <w:vAlign w:val="center"/>
                </w:tcPr>
                <w:p w14:paraId="31648D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18"/>
                      <w:szCs w:val="18"/>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lang w:val="en-US" w:eastAsia="zh-CN"/>
                      <w14:textFill>
                        <w14:solidFill>
                          <w14:schemeClr w14:val="tx1"/>
                        </w14:solidFill>
                      </w14:textFill>
                    </w:rPr>
                    <w:t>排污许可证申请与核发技术规范橡胶和塑料制品工业》（HJ1122-2020）</w:t>
                  </w:r>
                </w:p>
              </w:tc>
            </w:tr>
          </w:tbl>
          <w:p w14:paraId="7E123F56">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1.3废气环境影响评价结论</w:t>
            </w:r>
          </w:p>
          <w:p w14:paraId="5AA0BFBB">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本项目所在地区为环境空气质量不达标区域，周边最近敏感点为靳家庄、赵家庄，距离本项目厂界最近距</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离分别为WN312m、NE417m，本项目废气主要污染因子为非甲烷总烃、颗粒物，本项目非甲烷总烃收集处理后，排放可满足</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重点行业玻璃钢（纤维增强塑料制品）绩效引领性指标排放限值要求”，厂界非甲烷总烃满足《挥发性有机物排放控制标准》（DB61/T1061-2017）表3中标准限值要求、颗粒物厂界无组织排放执行《大气污染物综合排放标准》（GB16297-1996）表2中周界外浓度最高点标准限值要求；厂区内非甲烷总烃无组织排放执行“重点行业玻璃钢（纤维增强塑料制品）绩效引领性指标排放限值要求”。</w:t>
            </w:r>
          </w:p>
          <w:p w14:paraId="727DA01F">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1.4非正常工况下污染源强</w:t>
            </w:r>
          </w:p>
          <w:p w14:paraId="52273744">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 w:val="0"/>
                <w:bCs/>
                <w:color w:val="000000" w:themeColor="text1"/>
                <w:spacing w:val="-10"/>
                <w:sz w:val="24"/>
                <w:szCs w:val="24"/>
                <w:lang w:val="en-US" w:eastAsia="zh-CN"/>
                <w14:textFill>
                  <w14:solidFill>
                    <w14:schemeClr w14:val="tx1"/>
                  </w14:solidFill>
                </w14:textFill>
              </w:rPr>
            </w:pPr>
            <w:r>
              <w:rPr>
                <w:rFonts w:hint="eastAsia" w:ascii="宋体" w:hAnsi="宋体" w:cs="宋体"/>
                <w:b w:val="0"/>
                <w:bCs/>
                <w:color w:val="000000" w:themeColor="text1"/>
                <w:spacing w:val="-10"/>
                <w:sz w:val="24"/>
                <w:szCs w:val="24"/>
                <w:lang w:val="en-US" w:eastAsia="zh-CN"/>
                <w14:textFill>
                  <w14:solidFill>
                    <w14:schemeClr w14:val="tx1"/>
                  </w14:solidFill>
                </w14:textFill>
              </w:rPr>
              <w:t>非正常排放一般包括开停车、检修、环保设施不达标三种情况。</w:t>
            </w:r>
          </w:p>
          <w:p w14:paraId="065202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b w:val="0"/>
                <w:bCs/>
                <w:color w:val="000000" w:themeColor="text1"/>
                <w:spacing w:val="-10"/>
                <w:sz w:val="24"/>
                <w:szCs w:val="24"/>
                <w:lang w:val="en-US" w:eastAsia="zh-CN"/>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本项目在开机时，首先运行废气处理装置，然后进行生产作业，使生产中的废气都能得到及时收集处理。停车时，废气处理装置继续运转，待生产过程中的废气完全排出后再关闭。设备检修以及突发性故障（如，区域性停电时的停车），企业会事先安排好设备正常停车，停止生产。项目在开、停车时排出污染物均可得到有效处理，排出的污染物和正常生产时的情况基本一致。因此，非正常工况考虑废气环保设施运行不正常的情况，处理效率下降至0。</w:t>
            </w:r>
          </w:p>
          <w:p w14:paraId="6DF4282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 w:val="0"/>
                <w:bCs/>
                <w:color w:val="000000" w:themeColor="text1"/>
                <w:spacing w:val="-10"/>
                <w:sz w:val="24"/>
                <w:szCs w:val="24"/>
                <w:lang w:val="en-US" w:eastAsia="zh-CN"/>
                <w14:textFill>
                  <w14:solidFill>
                    <w14:schemeClr w14:val="tx1"/>
                  </w14:solidFill>
                </w14:textFill>
              </w:rPr>
            </w:pPr>
            <w:r>
              <w:rPr>
                <w:rFonts w:hint="eastAsia" w:ascii="宋体" w:hAnsi="宋体" w:cs="宋体"/>
                <w:b w:val="0"/>
                <w:bCs/>
                <w:color w:val="000000" w:themeColor="text1"/>
                <w:spacing w:val="-10"/>
                <w:sz w:val="24"/>
                <w:szCs w:val="24"/>
                <w:lang w:val="en-US" w:eastAsia="zh-CN"/>
                <w14:textFill>
                  <w14:solidFill>
                    <w14:schemeClr w14:val="tx1"/>
                  </w14:solidFill>
                </w14:textFill>
              </w:rPr>
              <w:t>本项目非正常工况为废气处理装置发生故障，废气污染物产生与排放情况年发生1次，每次1h。非正常工况下，污染物排放情况如下表所示。</w:t>
            </w:r>
          </w:p>
          <w:p w14:paraId="2E85DF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val="0"/>
                <w:color w:val="000000" w:themeColor="text1"/>
                <w:spacing w:val="-10"/>
                <w:sz w:val="21"/>
                <w:szCs w:val="21"/>
                <w:lang w:val="en-US" w:eastAsia="zh-CN"/>
                <w14:textFill>
                  <w14:solidFill>
                    <w14:schemeClr w14:val="tx1"/>
                  </w14:solidFill>
                </w14:textFill>
              </w:rPr>
            </w:pPr>
            <w:r>
              <w:rPr>
                <w:rFonts w:hint="eastAsia" w:ascii="宋体" w:hAnsi="宋体" w:cs="宋体"/>
                <w:b/>
                <w:bCs w:val="0"/>
                <w:color w:val="000000" w:themeColor="text1"/>
                <w:spacing w:val="-10"/>
                <w:sz w:val="21"/>
                <w:szCs w:val="21"/>
                <w:lang w:val="en-US" w:eastAsia="zh-CN"/>
                <w14:textFill>
                  <w14:solidFill>
                    <w14:schemeClr w14:val="tx1"/>
                  </w14:solidFill>
                </w14:textFill>
              </w:rPr>
              <w:t>表4-8  非正常工况废气污染源产排表</w:t>
            </w:r>
          </w:p>
          <w:tbl>
            <w:tblPr>
              <w:tblStyle w:val="15"/>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1677"/>
              <w:gridCol w:w="1678"/>
              <w:gridCol w:w="1678"/>
              <w:gridCol w:w="1678"/>
            </w:tblGrid>
            <w:tr w14:paraId="2B7D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8" w:type="dxa"/>
                  <w:gridSpan w:val="5"/>
                  <w:vAlign w:val="center"/>
                </w:tcPr>
                <w:p w14:paraId="0A3ED0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非正常工况有组织废气污染源产排情况</w:t>
                  </w:r>
                </w:p>
              </w:tc>
            </w:tr>
            <w:tr w14:paraId="51EB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dxa"/>
                  <w:vAlign w:val="center"/>
                </w:tcPr>
                <w:p w14:paraId="1B26B7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污染源编号</w:t>
                  </w:r>
                </w:p>
              </w:tc>
              <w:tc>
                <w:tcPr>
                  <w:tcW w:w="1677" w:type="dxa"/>
                  <w:vAlign w:val="center"/>
                </w:tcPr>
                <w:p w14:paraId="3991B0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污染物名称</w:t>
                  </w:r>
                </w:p>
              </w:tc>
              <w:tc>
                <w:tcPr>
                  <w:tcW w:w="1678" w:type="dxa"/>
                  <w:vAlign w:val="center"/>
                </w:tcPr>
                <w:p w14:paraId="5F0654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初始产排速率（kg/h）</w:t>
                  </w:r>
                </w:p>
              </w:tc>
              <w:tc>
                <w:tcPr>
                  <w:tcW w:w="1678" w:type="dxa"/>
                  <w:vAlign w:val="center"/>
                </w:tcPr>
                <w:p w14:paraId="2E9154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排放量（kg/a）</w:t>
                  </w:r>
                </w:p>
              </w:tc>
              <w:tc>
                <w:tcPr>
                  <w:tcW w:w="1678" w:type="dxa"/>
                  <w:vAlign w:val="center"/>
                </w:tcPr>
                <w:p w14:paraId="7C7246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年排放时间</w:t>
                  </w:r>
                </w:p>
              </w:tc>
            </w:tr>
            <w:tr w14:paraId="5DD8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677" w:type="dxa"/>
                  <w:vMerge w:val="restart"/>
                  <w:vAlign w:val="center"/>
                </w:tcPr>
                <w:p w14:paraId="0B7734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t>DA001</w:t>
                  </w:r>
                </w:p>
              </w:tc>
              <w:tc>
                <w:tcPr>
                  <w:tcW w:w="1677" w:type="dxa"/>
                  <w:vMerge w:val="restart"/>
                  <w:vAlign w:val="center"/>
                </w:tcPr>
                <w:p w14:paraId="26673F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t>非甲烷总烃</w:t>
                  </w:r>
                </w:p>
              </w:tc>
              <w:tc>
                <w:tcPr>
                  <w:tcW w:w="1678" w:type="dxa"/>
                  <w:vAlign w:val="center"/>
                </w:tcPr>
                <w:p w14:paraId="6724EA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10"/>
                      <w:sz w:val="21"/>
                      <w:szCs w:val="21"/>
                      <w:vertAlign w:val="baseline"/>
                      <w:lang w:val="en-US" w:eastAsia="zh-CN"/>
                      <w14:textFill>
                        <w14:solidFill>
                          <w14:schemeClr w14:val="tx1"/>
                        </w14:solidFill>
                      </w14:textFill>
                    </w:rPr>
                    <w:t>0.042</w:t>
                  </w:r>
                </w:p>
              </w:tc>
              <w:tc>
                <w:tcPr>
                  <w:tcW w:w="1678" w:type="dxa"/>
                  <w:vMerge w:val="restart"/>
                  <w:vAlign w:val="center"/>
                </w:tcPr>
                <w:p w14:paraId="223B00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t>0.375</w:t>
                  </w:r>
                </w:p>
              </w:tc>
              <w:tc>
                <w:tcPr>
                  <w:tcW w:w="1678" w:type="dxa"/>
                  <w:vMerge w:val="restart"/>
                  <w:vAlign w:val="center"/>
                </w:tcPr>
                <w:p w14:paraId="7A8E4F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t>1h</w:t>
                  </w:r>
                </w:p>
              </w:tc>
            </w:tr>
            <w:tr w14:paraId="7593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677" w:type="dxa"/>
                  <w:vMerge w:val="continue"/>
                  <w:vAlign w:val="center"/>
                </w:tcPr>
                <w:p w14:paraId="7AAB25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p>
              </w:tc>
              <w:tc>
                <w:tcPr>
                  <w:tcW w:w="1677" w:type="dxa"/>
                  <w:vMerge w:val="continue"/>
                  <w:vAlign w:val="center"/>
                </w:tcPr>
                <w:p w14:paraId="2365A9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p>
              </w:tc>
              <w:tc>
                <w:tcPr>
                  <w:tcW w:w="1678" w:type="dxa"/>
                  <w:vAlign w:val="center"/>
                </w:tcPr>
                <w:p w14:paraId="66038A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10"/>
                      <w:sz w:val="21"/>
                      <w:szCs w:val="21"/>
                      <w:vertAlign w:val="baseline"/>
                      <w:lang w:val="en-US" w:eastAsia="zh-CN"/>
                      <w14:textFill>
                        <w14:solidFill>
                          <w14:schemeClr w14:val="tx1"/>
                        </w14:solidFill>
                      </w14:textFill>
                    </w:rPr>
                    <w:t>0.333</w:t>
                  </w:r>
                </w:p>
              </w:tc>
              <w:tc>
                <w:tcPr>
                  <w:tcW w:w="1678" w:type="dxa"/>
                  <w:vMerge w:val="continue"/>
                  <w:vAlign w:val="center"/>
                </w:tcPr>
                <w:p w14:paraId="0DD2F8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pPr>
                </w:p>
              </w:tc>
              <w:tc>
                <w:tcPr>
                  <w:tcW w:w="1678" w:type="dxa"/>
                  <w:vMerge w:val="continue"/>
                  <w:vAlign w:val="center"/>
                </w:tcPr>
                <w:p w14:paraId="43AF98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pPr>
                </w:p>
              </w:tc>
            </w:tr>
            <w:tr w14:paraId="3428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8" w:type="dxa"/>
                  <w:gridSpan w:val="5"/>
                  <w:vAlign w:val="center"/>
                </w:tcPr>
                <w:p w14:paraId="7F3A64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非正常工况无组织废气污染源产排情况</w:t>
                  </w:r>
                </w:p>
              </w:tc>
            </w:tr>
            <w:tr w14:paraId="1317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4" w:type="dxa"/>
                  <w:gridSpan w:val="2"/>
                  <w:vAlign w:val="center"/>
                </w:tcPr>
                <w:p w14:paraId="2F1C63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污染物名称</w:t>
                  </w:r>
                </w:p>
              </w:tc>
              <w:tc>
                <w:tcPr>
                  <w:tcW w:w="5034" w:type="dxa"/>
                  <w:gridSpan w:val="3"/>
                  <w:vAlign w:val="center"/>
                </w:tcPr>
                <w:p w14:paraId="7FA5DF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污染物排放量（kg/a）</w:t>
                  </w:r>
                </w:p>
              </w:tc>
            </w:tr>
            <w:tr w14:paraId="625F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4" w:type="dxa"/>
                  <w:gridSpan w:val="2"/>
                  <w:vAlign w:val="center"/>
                </w:tcPr>
                <w:p w14:paraId="0C131B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t>颗粒物</w:t>
                  </w:r>
                </w:p>
              </w:tc>
              <w:tc>
                <w:tcPr>
                  <w:tcW w:w="5034" w:type="dxa"/>
                  <w:gridSpan w:val="3"/>
                  <w:vAlign w:val="center"/>
                </w:tcPr>
                <w:p w14:paraId="216601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val="0"/>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val="0"/>
                      <w:bCs/>
                      <w:color w:val="000000" w:themeColor="text1"/>
                      <w:spacing w:val="-10"/>
                      <w:sz w:val="21"/>
                      <w:szCs w:val="21"/>
                      <w:vertAlign w:val="baseline"/>
                      <w:lang w:val="en-US" w:eastAsia="zh-CN"/>
                      <w14:textFill>
                        <w14:solidFill>
                          <w14:schemeClr w14:val="tx1"/>
                        </w14:solidFill>
                      </w14:textFill>
                    </w:rPr>
                    <w:t>79</w:t>
                  </w:r>
                </w:p>
              </w:tc>
            </w:tr>
          </w:tbl>
          <w:p w14:paraId="3107A240">
            <w:pPr>
              <w:adjustRightInd w:val="0"/>
              <w:snapToGrid w:val="0"/>
              <w:spacing w:line="360" w:lineRule="auto"/>
              <w:ind w:firstLine="44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cs="宋体"/>
                <w:bCs/>
                <w:color w:val="000000" w:themeColor="text1"/>
                <w:spacing w:val="-10"/>
                <w:sz w:val="24"/>
                <w14:textFill>
                  <w14:solidFill>
                    <w14:schemeClr w14:val="tx1"/>
                  </w14:solidFill>
                </w14:textFill>
              </w:rPr>
              <w:t>项目非正常工况污染源主要考虑生产设施开停机导致的废气非正常排放，本项目生产设备均使用电能，运行工况稳定，开机正常排污，停机则污染停止，因此，不存在生产设施开停机的非正常排污情况。</w:t>
            </w:r>
          </w:p>
          <w:p w14:paraId="17C7C4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b w:val="0"/>
                <w:bCs/>
                <w:color w:val="000000" w:themeColor="text1"/>
                <w:spacing w:val="-10"/>
                <w:sz w:val="24"/>
                <w:szCs w:val="24"/>
                <w:lang w:val="en-US" w:eastAsia="zh-CN"/>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非正常工况防范措施</w:t>
            </w:r>
            <w:r>
              <w:rPr>
                <w:rFonts w:hint="eastAsia" w:ascii="宋体" w:hAnsi="宋体" w:eastAsia="宋体" w:cs="宋体"/>
                <w:color w:val="000000" w:themeColor="text1"/>
                <w:sz w:val="24"/>
                <w:szCs w:val="24"/>
                <w:lang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为确保项目废气处理装置正常运行，建设单位在日常运行过程中，拟采取如下措施：①由公司委派专人负责每日巡检废气收集措施、处理措施，包括封闭措施、废气收集管道等，做好巡检记录。②当发现废气处理设施故障并导致废气非正常排放时，应立即停止废气产生工序生产，待废气处理装置故障排除后并可正常运行时方可恢复相关生产。③定期对袋式除尘器滤袋、活性炭吸附装置等进行维护保养，并定期更换，以保证废气处理效率，并做好检修维护台账。④建立废气处理装置运行管理台账，由专人负责记录。</w:t>
            </w:r>
          </w:p>
          <w:p w14:paraId="3245AD36">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2、废水</w:t>
            </w:r>
          </w:p>
          <w:p w14:paraId="41CEFE2A">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根据现场勘察，本项目</w:t>
            </w:r>
            <w:r>
              <w:rPr>
                <w:rFonts w:hint="eastAsia" w:ascii="宋体" w:hAnsi="宋体" w:cs="宋体"/>
                <w:bCs/>
                <w:color w:val="000000" w:themeColor="text1"/>
                <w:sz w:val="24"/>
                <w:szCs w:val="24"/>
                <w:lang w:val="en-US" w:eastAsia="zh-CN"/>
                <w14:textFill>
                  <w14:solidFill>
                    <w14:schemeClr w14:val="tx1"/>
                  </w14:solidFill>
                </w14:textFill>
              </w:rPr>
              <w:t>生活污水经化粪池处理后排入市政管网</w:t>
            </w:r>
            <w:r>
              <w:rPr>
                <w:rFonts w:hint="eastAsia" w:ascii="宋体" w:hAnsi="宋体" w:cs="宋体"/>
                <w:bCs/>
                <w:color w:val="000000" w:themeColor="text1"/>
                <w:spacing w:val="-10"/>
                <w:sz w:val="24"/>
                <w:szCs w:val="24"/>
                <w:lang w:val="en-US" w:eastAsia="zh-CN"/>
                <w14:textFill>
                  <w14:solidFill>
                    <w14:schemeClr w14:val="tx1"/>
                  </w14:solidFill>
                </w14:textFill>
              </w:rPr>
              <w:t>。产品密封性检验废水不含溶于水的有机废物等有害物质，循环水箱内储存，循环使用不外排，仅排放循环水箱排污水，用于地面清洁，因此本项目无外排污水，不设置污水排放口。</w:t>
            </w:r>
          </w:p>
          <w:p w14:paraId="475CC459">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2.1废水源强</w:t>
            </w:r>
          </w:p>
          <w:p w14:paraId="2A22E02E">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（1）生活污水</w:t>
            </w:r>
          </w:p>
          <w:p w14:paraId="0A90D4A4">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本项目</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和原有项目</w:t>
            </w:r>
            <w:r>
              <w:rPr>
                <w:rFonts w:hint="default" w:ascii="Times New Roman" w:hAnsi="Times New Roman" w:cs="Times New Roman"/>
                <w:bCs/>
                <w:color w:val="000000" w:themeColor="text1"/>
                <w:sz w:val="24"/>
                <w:szCs w:val="24"/>
                <w:lang w:val="en-US" w:eastAsia="zh-CN"/>
                <w14:textFill>
                  <w14:solidFill>
                    <w14:schemeClr w14:val="tx1"/>
                  </w14:solidFill>
                </w14:textFill>
              </w:rPr>
              <w:t>生活污水经化粪池处理后排入市政管网，</w:t>
            </w:r>
            <w:r>
              <w:rPr>
                <w:rFonts w:hint="eastAsia" w:ascii="Times New Roman" w:hAnsi="Times New Roman" w:cs="Times New Roman"/>
                <w:bCs/>
                <w:color w:val="000000" w:themeColor="text1"/>
                <w:sz w:val="24"/>
                <w:szCs w:val="24"/>
                <w:lang w:val="en-US" w:eastAsia="zh-CN"/>
                <w14:textFill>
                  <w14:solidFill>
                    <w14:schemeClr w14:val="tx1"/>
                  </w14:solidFill>
                </w14:textFill>
              </w:rPr>
              <w:t>原有项目和本项目</w:t>
            </w:r>
            <w:r>
              <w:rPr>
                <w:rFonts w:hint="default" w:ascii="Times New Roman" w:hAnsi="Times New Roman" w:cs="Times New Roman"/>
                <w:bCs/>
                <w:color w:val="000000" w:themeColor="text1"/>
                <w:sz w:val="24"/>
                <w:szCs w:val="24"/>
                <w:lang w:val="en-US" w:eastAsia="zh-CN"/>
                <w14:textFill>
                  <w14:solidFill>
                    <w14:schemeClr w14:val="tx1"/>
                  </w14:solidFill>
                </w14:textFill>
              </w:rPr>
              <w:t>生活用水量</w:t>
            </w:r>
            <w:r>
              <w:rPr>
                <w:rFonts w:hint="eastAsia" w:ascii="Times New Roman" w:hAnsi="Times New Roman" w:cs="Times New Roman"/>
                <w:bCs/>
                <w:color w:val="000000" w:themeColor="text1"/>
                <w:sz w:val="24"/>
                <w:szCs w:val="24"/>
                <w:lang w:val="en-US" w:eastAsia="zh-CN"/>
                <w14:textFill>
                  <w14:solidFill>
                    <w14:schemeClr w14:val="tx1"/>
                  </w14:solidFill>
                </w14:textFill>
              </w:rPr>
              <w:t>合计</w:t>
            </w:r>
            <w:r>
              <w:rPr>
                <w:rFonts w:hint="default" w:ascii="Times New Roman" w:hAnsi="Times New Roman" w:cs="Times New Roman"/>
                <w:bCs/>
                <w:color w:val="000000" w:themeColor="text1"/>
                <w:sz w:val="24"/>
                <w:szCs w:val="24"/>
                <w:lang w:val="en-US" w:eastAsia="zh-CN"/>
                <w14:textFill>
                  <w14:solidFill>
                    <w14:schemeClr w14:val="tx1"/>
                  </w14:solidFill>
                </w14:textFill>
              </w:rPr>
              <w:t>为</w:t>
            </w:r>
            <w:r>
              <w:rPr>
                <w:rFonts w:hint="eastAsia" w:ascii="Times New Roman" w:hAnsi="Times New Roman" w:cs="Times New Roman"/>
                <w:bCs/>
                <w:color w:val="000000" w:themeColor="text1"/>
                <w:sz w:val="24"/>
                <w:szCs w:val="24"/>
                <w:lang w:val="en-US" w:eastAsia="zh-CN"/>
                <w14:textFill>
                  <w14:solidFill>
                    <w14:schemeClr w14:val="tx1"/>
                  </w14:solidFill>
                </w14:textFill>
              </w:rPr>
              <w:t>418.5</w:t>
            </w:r>
            <w:r>
              <w:rPr>
                <w:rFonts w:hint="default" w:ascii="Times New Roman" w:hAnsi="Times New Roman" w:cs="Times New Roman"/>
                <w:bCs/>
                <w:color w:val="000000" w:themeColor="text1"/>
                <w:sz w:val="24"/>
                <w:szCs w:val="24"/>
                <w:lang w:val="en-US" w:eastAsia="zh-CN"/>
                <w14:textFill>
                  <w14:solidFill>
                    <w14:schemeClr w14:val="tx1"/>
                  </w14:solidFill>
                </w14:textFill>
              </w:rPr>
              <w:t>t/a</w:t>
            </w:r>
            <w:r>
              <w:rPr>
                <w:rFonts w:hint="eastAsia" w:ascii="Times New Roman" w:hAnsi="Times New Roman" w:cs="Times New Roman"/>
                <w:bCs/>
                <w:color w:val="000000" w:themeColor="text1"/>
                <w:sz w:val="24"/>
                <w:szCs w:val="24"/>
                <w:lang w:val="en-US" w:eastAsia="zh-CN"/>
                <w14:textFill>
                  <w14:solidFill>
                    <w14:schemeClr w14:val="tx1"/>
                  </w14:solidFill>
                </w14:textFill>
              </w:rPr>
              <w:t>，生活污水产生量按照用水量的80%计，则生活污水产生量为334.8</w:t>
            </w:r>
            <w:r>
              <w:rPr>
                <w:rFonts w:hint="default" w:ascii="Times New Roman" w:hAnsi="Times New Roman" w:cs="Times New Roman"/>
                <w:bCs/>
                <w:color w:val="000000" w:themeColor="text1"/>
                <w:sz w:val="24"/>
                <w:szCs w:val="24"/>
                <w:lang w:val="en-US" w:eastAsia="zh-CN"/>
                <w14:textFill>
                  <w14:solidFill>
                    <w14:schemeClr w14:val="tx1"/>
                  </w14:solidFill>
                </w14:textFill>
              </w:rPr>
              <w:t>t/a</w:t>
            </w:r>
            <w:r>
              <w:rPr>
                <w:rFonts w:hint="eastAsia" w:ascii="Times New Roman" w:hAnsi="Times New Roman" w:cs="Times New Roman"/>
                <w:bCs/>
                <w:color w:val="000000" w:themeColor="text1"/>
                <w:sz w:val="24"/>
                <w:szCs w:val="24"/>
                <w:lang w:val="en-US" w:eastAsia="zh-CN"/>
                <w14:textFill>
                  <w14:solidFill>
                    <w14:schemeClr w14:val="tx1"/>
                  </w14:solidFill>
                </w14:textFill>
              </w:rPr>
              <w:t>，生活污水主要污染物为COD、BOD5、SS、氨氮等</w:t>
            </w:r>
            <w:r>
              <w:rPr>
                <w:rFonts w:hint="default" w:ascii="Times New Roman" w:hAnsi="Times New Roman" w:cs="Times New Roman"/>
                <w:bCs/>
                <w:color w:val="000000" w:themeColor="text1"/>
                <w:sz w:val="24"/>
                <w:szCs w:val="24"/>
                <w:lang w:val="en-US" w:eastAsia="zh-CN"/>
                <w14:textFill>
                  <w14:solidFill>
                    <w14:schemeClr w14:val="tx1"/>
                  </w14:solidFill>
                </w14:textFill>
              </w:rPr>
              <w:t>。</w:t>
            </w:r>
          </w:p>
          <w:p w14:paraId="53D68A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生活污水各污染物浓度采用类比法，本次评价类比《宝鸡晨源金属钛丝加工项目环境影响报告表》，项目生活污水排放情况见下表。</w:t>
            </w:r>
          </w:p>
          <w:p w14:paraId="33279C3D">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表4-9  生活污水产生情况一览表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2516"/>
              <w:gridCol w:w="1276"/>
              <w:gridCol w:w="1168"/>
              <w:gridCol w:w="1006"/>
              <w:gridCol w:w="1077"/>
            </w:tblGrid>
            <w:tr w14:paraId="03BB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1" w:type="dxa"/>
                  <w:gridSpan w:val="2"/>
                  <w:vAlign w:val="center"/>
                </w:tcPr>
                <w:p w14:paraId="15F47B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项目</w:t>
                  </w:r>
                </w:p>
              </w:tc>
              <w:tc>
                <w:tcPr>
                  <w:tcW w:w="1276" w:type="dxa"/>
                  <w:shd w:val="clear" w:color="auto" w:fill="auto"/>
                  <w:vAlign w:val="center"/>
                </w:tcPr>
                <w:p w14:paraId="30F096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COD</w:t>
                  </w:r>
                </w:p>
              </w:tc>
              <w:tc>
                <w:tcPr>
                  <w:tcW w:w="1168" w:type="dxa"/>
                  <w:shd w:val="clear" w:color="auto" w:fill="auto"/>
                  <w:vAlign w:val="center"/>
                </w:tcPr>
                <w:p w14:paraId="046270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BOD</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5</w:t>
                  </w:r>
                </w:p>
              </w:tc>
              <w:tc>
                <w:tcPr>
                  <w:tcW w:w="1006" w:type="dxa"/>
                  <w:shd w:val="clear" w:color="auto" w:fill="auto"/>
                  <w:vAlign w:val="center"/>
                </w:tcPr>
                <w:p w14:paraId="6BDECB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SS</w:t>
                  </w:r>
                </w:p>
              </w:tc>
              <w:tc>
                <w:tcPr>
                  <w:tcW w:w="1077" w:type="dxa"/>
                  <w:shd w:val="clear" w:color="auto" w:fill="auto"/>
                  <w:vAlign w:val="center"/>
                </w:tcPr>
                <w:p w14:paraId="38B5A7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氨氮</w:t>
                  </w:r>
                </w:p>
              </w:tc>
            </w:tr>
            <w:tr w14:paraId="5B3B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vMerge w:val="restart"/>
                  <w:vAlign w:val="center"/>
                </w:tcPr>
                <w:p w14:paraId="047AC1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生活污水</w:t>
                  </w:r>
                </w:p>
              </w:tc>
              <w:tc>
                <w:tcPr>
                  <w:tcW w:w="2516" w:type="dxa"/>
                  <w:vAlign w:val="center"/>
                </w:tcPr>
                <w:p w14:paraId="3C5FA5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进水水质（mg/L）</w:t>
                  </w:r>
                </w:p>
              </w:tc>
              <w:tc>
                <w:tcPr>
                  <w:tcW w:w="1276" w:type="dxa"/>
                  <w:vAlign w:val="center"/>
                </w:tcPr>
                <w:p w14:paraId="785EBE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400</w:t>
                  </w:r>
                </w:p>
              </w:tc>
              <w:tc>
                <w:tcPr>
                  <w:tcW w:w="1168" w:type="dxa"/>
                  <w:vAlign w:val="center"/>
                </w:tcPr>
                <w:p w14:paraId="18EE81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220</w:t>
                  </w:r>
                </w:p>
              </w:tc>
              <w:tc>
                <w:tcPr>
                  <w:tcW w:w="1006" w:type="dxa"/>
                  <w:vAlign w:val="center"/>
                </w:tcPr>
                <w:p w14:paraId="44776A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200</w:t>
                  </w:r>
                </w:p>
              </w:tc>
              <w:tc>
                <w:tcPr>
                  <w:tcW w:w="1077" w:type="dxa"/>
                  <w:vAlign w:val="center"/>
                </w:tcPr>
                <w:p w14:paraId="0123D4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25</w:t>
                  </w:r>
                </w:p>
              </w:tc>
            </w:tr>
            <w:tr w14:paraId="6F87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vMerge w:val="continue"/>
                  <w:vAlign w:val="center"/>
                </w:tcPr>
                <w:p w14:paraId="7B1261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p>
              </w:tc>
              <w:tc>
                <w:tcPr>
                  <w:tcW w:w="2516" w:type="dxa"/>
                  <w:vAlign w:val="center"/>
                </w:tcPr>
                <w:p w14:paraId="75CCEC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产生量（t/a）</w:t>
                  </w:r>
                </w:p>
              </w:tc>
              <w:tc>
                <w:tcPr>
                  <w:tcW w:w="1276" w:type="dxa"/>
                  <w:vAlign w:val="center"/>
                </w:tcPr>
                <w:p w14:paraId="4FAD8B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0.134</w:t>
                  </w:r>
                </w:p>
              </w:tc>
              <w:tc>
                <w:tcPr>
                  <w:tcW w:w="1168" w:type="dxa"/>
                  <w:vAlign w:val="center"/>
                </w:tcPr>
                <w:p w14:paraId="1D7B11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0.074</w:t>
                  </w:r>
                </w:p>
              </w:tc>
              <w:tc>
                <w:tcPr>
                  <w:tcW w:w="1006" w:type="dxa"/>
                  <w:vAlign w:val="center"/>
                </w:tcPr>
                <w:p w14:paraId="0136FE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0.067</w:t>
                  </w:r>
                </w:p>
              </w:tc>
              <w:tc>
                <w:tcPr>
                  <w:tcW w:w="1077" w:type="dxa"/>
                  <w:vAlign w:val="center"/>
                </w:tcPr>
                <w:p w14:paraId="114F66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0.008</w:t>
                  </w:r>
                </w:p>
              </w:tc>
            </w:tr>
            <w:tr w14:paraId="2A5E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vMerge w:val="restart"/>
                  <w:vAlign w:val="center"/>
                </w:tcPr>
                <w:p w14:paraId="1C68FC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化粪池</w:t>
                  </w:r>
                </w:p>
              </w:tc>
              <w:tc>
                <w:tcPr>
                  <w:tcW w:w="2516" w:type="dxa"/>
                  <w:vAlign w:val="center"/>
                </w:tcPr>
                <w:p w14:paraId="040C3B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处理效率（%）</w:t>
                  </w:r>
                </w:p>
              </w:tc>
              <w:tc>
                <w:tcPr>
                  <w:tcW w:w="1276" w:type="dxa"/>
                  <w:vAlign w:val="center"/>
                </w:tcPr>
                <w:p w14:paraId="5346EF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15</w:t>
                  </w:r>
                </w:p>
              </w:tc>
              <w:tc>
                <w:tcPr>
                  <w:tcW w:w="1168" w:type="dxa"/>
                  <w:vAlign w:val="center"/>
                </w:tcPr>
                <w:p w14:paraId="7A1AF9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9</w:t>
                  </w:r>
                </w:p>
              </w:tc>
              <w:tc>
                <w:tcPr>
                  <w:tcW w:w="1006" w:type="dxa"/>
                  <w:vAlign w:val="center"/>
                </w:tcPr>
                <w:p w14:paraId="1A9C19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30</w:t>
                  </w:r>
                </w:p>
              </w:tc>
              <w:tc>
                <w:tcPr>
                  <w:tcW w:w="1077" w:type="dxa"/>
                  <w:vAlign w:val="center"/>
                </w:tcPr>
                <w:p w14:paraId="7873F2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0</w:t>
                  </w:r>
                </w:p>
              </w:tc>
            </w:tr>
            <w:tr w14:paraId="3453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vMerge w:val="continue"/>
                  <w:vAlign w:val="center"/>
                </w:tcPr>
                <w:p w14:paraId="007243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p>
              </w:tc>
              <w:tc>
                <w:tcPr>
                  <w:tcW w:w="2516" w:type="dxa"/>
                  <w:vAlign w:val="center"/>
                </w:tcPr>
                <w:p w14:paraId="674183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排放浓度（mg/L）</w:t>
                  </w:r>
                </w:p>
              </w:tc>
              <w:tc>
                <w:tcPr>
                  <w:tcW w:w="1276" w:type="dxa"/>
                  <w:vAlign w:val="center"/>
                </w:tcPr>
                <w:p w14:paraId="0E8D05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340</w:t>
                  </w:r>
                </w:p>
              </w:tc>
              <w:tc>
                <w:tcPr>
                  <w:tcW w:w="1168" w:type="dxa"/>
                  <w:vAlign w:val="center"/>
                </w:tcPr>
                <w:p w14:paraId="3BB34C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200.2</w:t>
                  </w:r>
                </w:p>
              </w:tc>
              <w:tc>
                <w:tcPr>
                  <w:tcW w:w="1006" w:type="dxa"/>
                  <w:vAlign w:val="center"/>
                </w:tcPr>
                <w:p w14:paraId="395262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140</w:t>
                  </w:r>
                </w:p>
              </w:tc>
              <w:tc>
                <w:tcPr>
                  <w:tcW w:w="1077" w:type="dxa"/>
                  <w:vAlign w:val="center"/>
                </w:tcPr>
                <w:p w14:paraId="1A76AA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25</w:t>
                  </w:r>
                </w:p>
              </w:tc>
            </w:tr>
            <w:tr w14:paraId="4182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vMerge w:val="continue"/>
                  <w:vAlign w:val="center"/>
                </w:tcPr>
                <w:p w14:paraId="19983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p>
              </w:tc>
              <w:tc>
                <w:tcPr>
                  <w:tcW w:w="2516" w:type="dxa"/>
                  <w:vAlign w:val="center"/>
                </w:tcPr>
                <w:p w14:paraId="41E2D6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污染物排放量（t/a）</w:t>
                  </w:r>
                </w:p>
              </w:tc>
              <w:tc>
                <w:tcPr>
                  <w:tcW w:w="1276" w:type="dxa"/>
                  <w:vAlign w:val="center"/>
                </w:tcPr>
                <w:p w14:paraId="7ECB21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0.114</w:t>
                  </w:r>
                </w:p>
              </w:tc>
              <w:tc>
                <w:tcPr>
                  <w:tcW w:w="1168" w:type="dxa"/>
                  <w:vAlign w:val="center"/>
                </w:tcPr>
                <w:p w14:paraId="758E69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0.067</w:t>
                  </w:r>
                </w:p>
              </w:tc>
              <w:tc>
                <w:tcPr>
                  <w:tcW w:w="1006" w:type="dxa"/>
                  <w:vAlign w:val="center"/>
                </w:tcPr>
                <w:p w14:paraId="2B2501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0.047</w:t>
                  </w:r>
                </w:p>
              </w:tc>
              <w:tc>
                <w:tcPr>
                  <w:tcW w:w="1077" w:type="dxa"/>
                  <w:vAlign w:val="center"/>
                </w:tcPr>
                <w:p w14:paraId="7C7853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0.008</w:t>
                  </w:r>
                </w:p>
              </w:tc>
            </w:tr>
            <w:tr w14:paraId="024C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1" w:type="dxa"/>
                  <w:gridSpan w:val="2"/>
                  <w:vAlign w:val="center"/>
                </w:tcPr>
                <w:p w14:paraId="371720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GB8978-1996三级标准</w:t>
                  </w:r>
                </w:p>
                <w:p w14:paraId="389433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GB/T31962-2015</w:t>
                  </w:r>
                </w:p>
              </w:tc>
              <w:tc>
                <w:tcPr>
                  <w:tcW w:w="1276" w:type="dxa"/>
                  <w:vAlign w:val="center"/>
                </w:tcPr>
                <w:p w14:paraId="68DE22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500</w:t>
                  </w:r>
                </w:p>
              </w:tc>
              <w:tc>
                <w:tcPr>
                  <w:tcW w:w="1168" w:type="dxa"/>
                  <w:vAlign w:val="center"/>
                </w:tcPr>
                <w:p w14:paraId="42AB15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300</w:t>
                  </w:r>
                </w:p>
              </w:tc>
              <w:tc>
                <w:tcPr>
                  <w:tcW w:w="1006" w:type="dxa"/>
                  <w:vAlign w:val="center"/>
                </w:tcPr>
                <w:p w14:paraId="6291D8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400</w:t>
                  </w:r>
                </w:p>
              </w:tc>
              <w:tc>
                <w:tcPr>
                  <w:tcW w:w="1077" w:type="dxa"/>
                  <w:vAlign w:val="center"/>
                </w:tcPr>
                <w:p w14:paraId="3305AA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25</w:t>
                  </w:r>
                </w:p>
              </w:tc>
            </w:tr>
          </w:tbl>
          <w:p w14:paraId="20CB4F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生活污水经化粪池处理达到《污水综合排放标准》（</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GB8979-1996</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）中的三级标准及《污水排入城镇下水道水质标准》（</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GB/T 31962-2015</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）中的</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B</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级标准，城市污水管网进入高新污水处理厂深度处理达标后排入渭河。</w:t>
            </w:r>
          </w:p>
          <w:p w14:paraId="57BE9B2C">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（2）检验废水</w:t>
            </w:r>
          </w:p>
          <w:p w14:paraId="07B61FF7">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项目产品密封性检验废水循环使用不外排，由于自然蒸发会有少量的损耗，需定期补充新鲜水，根据建设单位提供资料，检验工序补充水量为5t/a。</w:t>
            </w:r>
          </w:p>
          <w:p w14:paraId="2489B0AB">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2.2废水监测要求</w:t>
            </w:r>
          </w:p>
          <w:p w14:paraId="74A971F6">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根据《排污单位自行监测技术指南 总则》（HJ819-2017）对监测指标要求，本项目废水监测计划表，见表4-10。</w:t>
            </w:r>
          </w:p>
          <w:p w14:paraId="140C10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val="0"/>
                <w:color w:val="000000" w:themeColor="text1"/>
                <w:spacing w:val="-10"/>
                <w:sz w:val="21"/>
                <w:szCs w:val="21"/>
                <w:lang w:val="en-US" w:eastAsia="zh-CN"/>
                <w14:textFill>
                  <w14:solidFill>
                    <w14:schemeClr w14:val="tx1"/>
                  </w14:solidFill>
                </w14:textFill>
              </w:rPr>
            </w:pPr>
            <w:r>
              <w:rPr>
                <w:rFonts w:hint="eastAsia" w:ascii="宋体" w:hAnsi="宋体" w:cs="宋体"/>
                <w:b/>
                <w:bCs w:val="0"/>
                <w:color w:val="000000" w:themeColor="text1"/>
                <w:spacing w:val="-10"/>
                <w:sz w:val="21"/>
                <w:szCs w:val="21"/>
                <w:lang w:val="en-US" w:eastAsia="zh-CN"/>
                <w14:textFill>
                  <w14:solidFill>
                    <w14:schemeClr w14:val="tx1"/>
                  </w14:solidFill>
                </w14:textFill>
              </w:rPr>
              <w:t>表4-10  运营期生活污水监测内容及计划</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1677"/>
              <w:gridCol w:w="1678"/>
              <w:gridCol w:w="1678"/>
              <w:gridCol w:w="1678"/>
            </w:tblGrid>
            <w:tr w14:paraId="3C0D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dxa"/>
                  <w:vAlign w:val="center"/>
                </w:tcPr>
                <w:p w14:paraId="740E30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污染源</w:t>
                  </w:r>
                </w:p>
              </w:tc>
              <w:tc>
                <w:tcPr>
                  <w:tcW w:w="1677" w:type="dxa"/>
                  <w:vAlign w:val="center"/>
                </w:tcPr>
                <w:p w14:paraId="1E3D70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排放方式</w:t>
                  </w:r>
                </w:p>
              </w:tc>
              <w:tc>
                <w:tcPr>
                  <w:tcW w:w="1678" w:type="dxa"/>
                  <w:vAlign w:val="center"/>
                </w:tcPr>
                <w:p w14:paraId="6DE275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监测点位</w:t>
                  </w:r>
                </w:p>
              </w:tc>
              <w:tc>
                <w:tcPr>
                  <w:tcW w:w="1678" w:type="dxa"/>
                  <w:vAlign w:val="center"/>
                </w:tcPr>
                <w:p w14:paraId="781C3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监测项目</w:t>
                  </w:r>
                </w:p>
              </w:tc>
              <w:tc>
                <w:tcPr>
                  <w:tcW w:w="1678" w:type="dxa"/>
                  <w:vAlign w:val="center"/>
                </w:tcPr>
                <w:p w14:paraId="3538D0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监测频次</w:t>
                  </w:r>
                </w:p>
              </w:tc>
            </w:tr>
            <w:tr w14:paraId="5CAB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dxa"/>
                  <w:vAlign w:val="center"/>
                </w:tcPr>
                <w:p w14:paraId="69DB3D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生活污水</w:t>
                  </w:r>
                </w:p>
              </w:tc>
              <w:tc>
                <w:tcPr>
                  <w:tcW w:w="1677" w:type="dxa"/>
                  <w:vAlign w:val="center"/>
                </w:tcPr>
                <w:p w14:paraId="3898F4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间接排放</w:t>
                  </w:r>
                </w:p>
              </w:tc>
              <w:tc>
                <w:tcPr>
                  <w:tcW w:w="1678" w:type="dxa"/>
                  <w:vAlign w:val="center"/>
                </w:tcPr>
                <w:p w14:paraId="63CC5D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废水总排口DW001</w:t>
                  </w:r>
                </w:p>
              </w:tc>
              <w:tc>
                <w:tcPr>
                  <w:tcW w:w="1678" w:type="dxa"/>
                  <w:vAlign w:val="center"/>
                </w:tcPr>
                <w:p w14:paraId="2140BB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pH、COD、BOD</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、SS、氨氮</w:t>
                  </w:r>
                </w:p>
              </w:tc>
              <w:tc>
                <w:tcPr>
                  <w:tcW w:w="1678" w:type="dxa"/>
                  <w:vAlign w:val="center"/>
                </w:tcPr>
                <w:p w14:paraId="169CF6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1次/年</w:t>
                  </w:r>
                </w:p>
              </w:tc>
            </w:tr>
          </w:tbl>
          <w:p w14:paraId="11EF7465">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3、噪声</w:t>
            </w:r>
          </w:p>
          <w:p w14:paraId="3A9B4D80">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3.1噪声污染源强汇总</w:t>
            </w:r>
          </w:p>
          <w:p w14:paraId="2577BD5F">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本项目噪声主要为生产过程中各设施运行产生的机械噪声，本项目运营期噪声污染源源强核算结果及相关参数见下表。</w:t>
            </w:r>
          </w:p>
          <w:p w14:paraId="7DE702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val="0"/>
                <w:color w:val="000000" w:themeColor="text1"/>
                <w:spacing w:val="-10"/>
                <w:sz w:val="21"/>
                <w:szCs w:val="21"/>
                <w:lang w:val="en-US" w:eastAsia="zh-CN"/>
                <w14:textFill>
                  <w14:solidFill>
                    <w14:schemeClr w14:val="tx1"/>
                  </w14:solidFill>
                </w14:textFill>
              </w:rPr>
            </w:pPr>
            <w:r>
              <w:rPr>
                <w:rFonts w:hint="eastAsia" w:ascii="宋体" w:hAnsi="宋体" w:cs="宋体"/>
                <w:b/>
                <w:bCs w:val="0"/>
                <w:color w:val="000000" w:themeColor="text1"/>
                <w:spacing w:val="-10"/>
                <w:sz w:val="21"/>
                <w:szCs w:val="21"/>
                <w:lang w:val="en-US" w:eastAsia="zh-CN"/>
                <w14:textFill>
                  <w14:solidFill>
                    <w14:schemeClr w14:val="tx1"/>
                  </w14:solidFill>
                </w14:textFill>
              </w:rPr>
              <w:t>表4-9  噪声污染源源强核算结果及相关参数一览表</w:t>
            </w:r>
          </w:p>
          <w:tbl>
            <w:tblPr>
              <w:tblStyle w:val="14"/>
              <w:tblpPr w:leftFromText="181" w:rightFromText="181" w:vertAnchor="text" w:horzAnchor="page" w:tblpX="86"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701"/>
              <w:gridCol w:w="748"/>
              <w:gridCol w:w="976"/>
              <w:gridCol w:w="955"/>
              <w:gridCol w:w="659"/>
              <w:gridCol w:w="1135"/>
              <w:gridCol w:w="885"/>
              <w:gridCol w:w="1038"/>
            </w:tblGrid>
            <w:tr w14:paraId="025D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blHeader/>
              </w:trPr>
              <w:tc>
                <w:tcPr>
                  <w:tcW w:w="764" w:type="pct"/>
                  <w:vMerge w:val="restart"/>
                  <w:noWrap w:val="0"/>
                  <w:vAlign w:val="center"/>
                </w:tcPr>
                <w:p w14:paraId="7576B4C8">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噪声源</w:t>
                  </w:r>
                </w:p>
              </w:tc>
              <w:tc>
                <w:tcPr>
                  <w:tcW w:w="418" w:type="pct"/>
                  <w:vMerge w:val="restart"/>
                  <w:shd w:val="clear" w:color="auto" w:fill="auto"/>
                  <w:noWrap w:val="0"/>
                  <w:vAlign w:val="center"/>
                </w:tcPr>
                <w:p w14:paraId="6ADAD3DD">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数量</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台/套</w:t>
                  </w:r>
                  <w:r>
                    <w:rPr>
                      <w:rFonts w:hint="default" w:ascii="Times New Roman" w:hAnsi="Times New Roman" w:cs="Times New Roman"/>
                      <w:color w:val="000000" w:themeColor="text1"/>
                      <w:szCs w:val="21"/>
                      <w:lang w:eastAsia="zh-CN"/>
                      <w14:textFill>
                        <w14:solidFill>
                          <w14:schemeClr w14:val="tx1"/>
                        </w14:solidFill>
                      </w14:textFill>
                    </w:rPr>
                    <w:t>）</w:t>
                  </w:r>
                </w:p>
              </w:tc>
              <w:tc>
                <w:tcPr>
                  <w:tcW w:w="446" w:type="pct"/>
                  <w:vMerge w:val="restart"/>
                  <w:noWrap w:val="0"/>
                  <w:vAlign w:val="center"/>
                </w:tcPr>
                <w:p w14:paraId="0D8F8A86">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声源</w:t>
                  </w:r>
                </w:p>
                <w:p w14:paraId="76145CF4">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类型</w:t>
                  </w:r>
                </w:p>
              </w:tc>
              <w:tc>
                <w:tcPr>
                  <w:tcW w:w="1152" w:type="pct"/>
                  <w:gridSpan w:val="2"/>
                  <w:noWrap w:val="0"/>
                  <w:vAlign w:val="center"/>
                </w:tcPr>
                <w:p w14:paraId="51647BD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噪声产生量（距声源1m处）</w:t>
                  </w:r>
                </w:p>
              </w:tc>
              <w:tc>
                <w:tcPr>
                  <w:tcW w:w="1070" w:type="pct"/>
                  <w:gridSpan w:val="2"/>
                  <w:noWrap w:val="0"/>
                  <w:vAlign w:val="center"/>
                </w:tcPr>
                <w:p w14:paraId="16ED5942">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降噪措施</w:t>
                  </w:r>
                </w:p>
              </w:tc>
              <w:tc>
                <w:tcPr>
                  <w:tcW w:w="1147" w:type="pct"/>
                  <w:gridSpan w:val="2"/>
                  <w:noWrap w:val="0"/>
                  <w:vAlign w:val="center"/>
                </w:tcPr>
                <w:p w14:paraId="080F10BD">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噪声排放量</w:t>
                  </w:r>
                </w:p>
              </w:tc>
            </w:tr>
            <w:tr w14:paraId="216B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blHeader/>
              </w:trPr>
              <w:tc>
                <w:tcPr>
                  <w:tcW w:w="764" w:type="pct"/>
                  <w:vMerge w:val="continue"/>
                  <w:noWrap w:val="0"/>
                  <w:vAlign w:val="center"/>
                </w:tcPr>
                <w:p w14:paraId="4B647F15">
                  <w:pPr>
                    <w:jc w:val="center"/>
                    <w:rPr>
                      <w:rFonts w:hint="default" w:ascii="Times New Roman" w:hAnsi="Times New Roman" w:cs="Times New Roman"/>
                      <w:color w:val="000000" w:themeColor="text1"/>
                      <w14:textFill>
                        <w14:solidFill>
                          <w14:schemeClr w14:val="tx1"/>
                        </w14:solidFill>
                      </w14:textFill>
                    </w:rPr>
                  </w:pPr>
                </w:p>
              </w:tc>
              <w:tc>
                <w:tcPr>
                  <w:tcW w:w="418" w:type="pct"/>
                  <w:vMerge w:val="continue"/>
                  <w:shd w:val="clear" w:color="auto" w:fill="auto"/>
                  <w:noWrap w:val="0"/>
                  <w:vAlign w:val="center"/>
                </w:tcPr>
                <w:p w14:paraId="631013D0">
                  <w:pPr>
                    <w:jc w:val="center"/>
                    <w:rPr>
                      <w:rFonts w:hint="default" w:ascii="Times New Roman" w:hAnsi="Times New Roman" w:cs="Times New Roman"/>
                      <w:color w:val="000000" w:themeColor="text1"/>
                      <w14:textFill>
                        <w14:solidFill>
                          <w14:schemeClr w14:val="tx1"/>
                        </w14:solidFill>
                      </w14:textFill>
                    </w:rPr>
                  </w:pPr>
                </w:p>
              </w:tc>
              <w:tc>
                <w:tcPr>
                  <w:tcW w:w="446" w:type="pct"/>
                  <w:vMerge w:val="continue"/>
                  <w:noWrap w:val="0"/>
                  <w:vAlign w:val="center"/>
                </w:tcPr>
                <w:p w14:paraId="2B2FC777">
                  <w:pPr>
                    <w:jc w:val="center"/>
                    <w:rPr>
                      <w:rFonts w:hint="default" w:ascii="Times New Roman" w:hAnsi="Times New Roman" w:cs="Times New Roman"/>
                      <w:color w:val="000000" w:themeColor="text1"/>
                      <w14:textFill>
                        <w14:solidFill>
                          <w14:schemeClr w14:val="tx1"/>
                        </w14:solidFill>
                      </w14:textFill>
                    </w:rPr>
                  </w:pPr>
                </w:p>
              </w:tc>
              <w:tc>
                <w:tcPr>
                  <w:tcW w:w="582" w:type="pct"/>
                  <w:noWrap w:val="0"/>
                  <w:vAlign w:val="center"/>
                </w:tcPr>
                <w:p w14:paraId="1FFAC38D">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核算</w:t>
                  </w:r>
                </w:p>
                <w:p w14:paraId="7576902D">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方法</w:t>
                  </w:r>
                </w:p>
              </w:tc>
              <w:tc>
                <w:tcPr>
                  <w:tcW w:w="569" w:type="pct"/>
                  <w:noWrap w:val="0"/>
                  <w:vAlign w:val="center"/>
                </w:tcPr>
                <w:p w14:paraId="6DABF6FE">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声源值/dB（A）</w:t>
                  </w:r>
                </w:p>
              </w:tc>
              <w:tc>
                <w:tcPr>
                  <w:tcW w:w="393" w:type="pct"/>
                  <w:noWrap w:val="0"/>
                  <w:vAlign w:val="center"/>
                </w:tcPr>
                <w:p w14:paraId="3381DADE">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工艺</w:t>
                  </w:r>
                </w:p>
              </w:tc>
              <w:tc>
                <w:tcPr>
                  <w:tcW w:w="677" w:type="pct"/>
                  <w:noWrap w:val="0"/>
                  <w:vAlign w:val="center"/>
                </w:tcPr>
                <w:p w14:paraId="2254C495">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降噪效果</w:t>
                  </w:r>
                  <w:r>
                    <w:rPr>
                      <w:rFonts w:hint="default" w:ascii="Times New Roman" w:hAnsi="Times New Roman" w:cs="Times New Roman"/>
                      <w:bCs/>
                      <w:color w:val="000000" w:themeColor="text1"/>
                      <w:lang w:val="en-US" w:eastAsia="zh-CN"/>
                      <w14:textFill>
                        <w14:solidFill>
                          <w14:schemeClr w14:val="tx1"/>
                        </w14:solidFill>
                      </w14:textFill>
                    </w:rPr>
                    <w:t>/</w:t>
                  </w:r>
                  <w:r>
                    <w:rPr>
                      <w:rFonts w:hint="default" w:ascii="Times New Roman" w:hAnsi="Times New Roman" w:cs="Times New Roman"/>
                      <w:bCs/>
                      <w:color w:val="000000" w:themeColor="text1"/>
                      <w14:textFill>
                        <w14:solidFill>
                          <w14:schemeClr w14:val="tx1"/>
                        </w14:solidFill>
                      </w14:textFill>
                    </w:rPr>
                    <w:t>dB（A）</w:t>
                  </w:r>
                </w:p>
              </w:tc>
              <w:tc>
                <w:tcPr>
                  <w:tcW w:w="528" w:type="pct"/>
                  <w:noWrap w:val="0"/>
                  <w:vAlign w:val="center"/>
                </w:tcPr>
                <w:p w14:paraId="12C24D53">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核算</w:t>
                  </w:r>
                </w:p>
                <w:p w14:paraId="4B00C6DC">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方法</w:t>
                  </w:r>
                </w:p>
              </w:tc>
              <w:tc>
                <w:tcPr>
                  <w:tcW w:w="619" w:type="pct"/>
                  <w:noWrap w:val="0"/>
                  <w:vAlign w:val="center"/>
                </w:tcPr>
                <w:p w14:paraId="327D560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lang w:val="en-US" w:eastAsia="zh-CN"/>
                      <w14:textFill>
                        <w14:solidFill>
                          <w14:schemeClr w14:val="tx1"/>
                        </w14:solidFill>
                      </w14:textFill>
                    </w:rPr>
                    <w:t>声源值/</w:t>
                  </w:r>
                  <w:r>
                    <w:rPr>
                      <w:rFonts w:hint="default" w:ascii="Times New Roman" w:hAnsi="Times New Roman" w:cs="Times New Roman"/>
                      <w:bCs/>
                      <w:color w:val="000000" w:themeColor="text1"/>
                      <w14:textFill>
                        <w14:solidFill>
                          <w14:schemeClr w14:val="tx1"/>
                        </w14:solidFill>
                      </w14:textFill>
                    </w:rPr>
                    <w:t>dB（A）</w:t>
                  </w:r>
                </w:p>
              </w:tc>
            </w:tr>
            <w:tr w14:paraId="676B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noWrap w:val="0"/>
                  <w:vAlign w:val="center"/>
                </w:tcPr>
                <w:p w14:paraId="0AEB5142">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多轴智能位纤维缠绕机</w:t>
                  </w:r>
                </w:p>
              </w:tc>
              <w:tc>
                <w:tcPr>
                  <w:tcW w:w="418" w:type="pct"/>
                  <w:shd w:val="clear" w:color="auto" w:fill="auto"/>
                  <w:noWrap w:val="0"/>
                  <w:vAlign w:val="center"/>
                </w:tcPr>
                <w:p w14:paraId="323EE81B">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446" w:type="pct"/>
                  <w:noWrap w:val="0"/>
                  <w:vAlign w:val="center"/>
                </w:tcPr>
                <w:p w14:paraId="7AAC4EBC">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频发</w:t>
                  </w:r>
                </w:p>
              </w:tc>
              <w:tc>
                <w:tcPr>
                  <w:tcW w:w="582" w:type="pct"/>
                  <w:noWrap w:val="0"/>
                  <w:vAlign w:val="center"/>
                </w:tcPr>
                <w:p w14:paraId="7B8425EB">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类比法</w:t>
                  </w:r>
                </w:p>
              </w:tc>
              <w:tc>
                <w:tcPr>
                  <w:tcW w:w="569" w:type="pct"/>
                  <w:noWrap w:val="0"/>
                  <w:vAlign w:val="center"/>
                </w:tcPr>
                <w:p w14:paraId="7E59F941">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w:t>
                  </w:r>
                </w:p>
              </w:tc>
              <w:tc>
                <w:tcPr>
                  <w:tcW w:w="393" w:type="pct"/>
                  <w:noWrap w:val="0"/>
                  <w:vAlign w:val="center"/>
                </w:tcPr>
                <w:p w14:paraId="57C8356D">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厂房隔声</w:t>
                  </w:r>
                </w:p>
              </w:tc>
              <w:tc>
                <w:tcPr>
                  <w:tcW w:w="677" w:type="pct"/>
                  <w:noWrap w:val="0"/>
                  <w:vAlign w:val="center"/>
                </w:tcPr>
                <w:p w14:paraId="247781C7">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528" w:type="pct"/>
                  <w:shd w:val="clear" w:color="auto" w:fill="auto"/>
                  <w:noWrap w:val="0"/>
                  <w:vAlign w:val="center"/>
                </w:tcPr>
                <w:p w14:paraId="22AB3737">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类比法</w:t>
                  </w:r>
                </w:p>
              </w:tc>
              <w:tc>
                <w:tcPr>
                  <w:tcW w:w="619" w:type="pct"/>
                  <w:noWrap w:val="0"/>
                  <w:vAlign w:val="center"/>
                </w:tcPr>
                <w:p w14:paraId="09875B20">
                  <w:pPr>
                    <w:pStyle w:val="26"/>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65</w:t>
                  </w:r>
                </w:p>
              </w:tc>
            </w:tr>
            <w:tr w14:paraId="6C8A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noWrap w:val="0"/>
                  <w:vAlign w:val="center"/>
                </w:tcPr>
                <w:p w14:paraId="791A23DC">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车床</w:t>
                  </w:r>
                </w:p>
              </w:tc>
              <w:tc>
                <w:tcPr>
                  <w:tcW w:w="418" w:type="pct"/>
                  <w:shd w:val="clear" w:color="auto" w:fill="auto"/>
                  <w:noWrap w:val="0"/>
                  <w:vAlign w:val="center"/>
                </w:tcPr>
                <w:p w14:paraId="47DC62B9">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446" w:type="pct"/>
                  <w:noWrap w:val="0"/>
                  <w:vAlign w:val="center"/>
                </w:tcPr>
                <w:p w14:paraId="31EF47A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频发</w:t>
                  </w:r>
                </w:p>
              </w:tc>
              <w:tc>
                <w:tcPr>
                  <w:tcW w:w="582" w:type="pct"/>
                  <w:noWrap w:val="0"/>
                  <w:vAlign w:val="center"/>
                </w:tcPr>
                <w:p w14:paraId="383E8CC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类比法</w:t>
                  </w:r>
                </w:p>
              </w:tc>
              <w:tc>
                <w:tcPr>
                  <w:tcW w:w="569" w:type="pct"/>
                  <w:noWrap w:val="0"/>
                  <w:vAlign w:val="center"/>
                </w:tcPr>
                <w:p w14:paraId="7F2B4B3B">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3" w:type="pct"/>
                  <w:noWrap w:val="0"/>
                  <w:vAlign w:val="center"/>
                </w:tcPr>
                <w:p w14:paraId="014CB2B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厂房隔声</w:t>
                  </w:r>
                </w:p>
              </w:tc>
              <w:tc>
                <w:tcPr>
                  <w:tcW w:w="677" w:type="pct"/>
                  <w:noWrap w:val="0"/>
                  <w:vAlign w:val="center"/>
                </w:tcPr>
                <w:p w14:paraId="7BE82A3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528" w:type="pct"/>
                  <w:shd w:val="clear" w:color="auto" w:fill="auto"/>
                  <w:noWrap w:val="0"/>
                  <w:vAlign w:val="center"/>
                </w:tcPr>
                <w:p w14:paraId="49ABCE15">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类比法</w:t>
                  </w:r>
                </w:p>
              </w:tc>
              <w:tc>
                <w:tcPr>
                  <w:tcW w:w="619" w:type="pct"/>
                  <w:noWrap w:val="0"/>
                  <w:vAlign w:val="center"/>
                </w:tcPr>
                <w:p w14:paraId="50567061">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55</w:t>
                  </w:r>
                </w:p>
              </w:tc>
            </w:tr>
            <w:tr w14:paraId="4888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noWrap w:val="0"/>
                  <w:vAlign w:val="center"/>
                </w:tcPr>
                <w:p w14:paraId="34CB117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数控机床</w:t>
                  </w:r>
                </w:p>
              </w:tc>
              <w:tc>
                <w:tcPr>
                  <w:tcW w:w="418" w:type="pct"/>
                  <w:shd w:val="clear" w:color="auto" w:fill="auto"/>
                  <w:noWrap w:val="0"/>
                  <w:vAlign w:val="center"/>
                </w:tcPr>
                <w:p w14:paraId="3819248D">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446" w:type="pct"/>
                  <w:noWrap w:val="0"/>
                  <w:vAlign w:val="center"/>
                </w:tcPr>
                <w:p w14:paraId="3D2658A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频发</w:t>
                  </w:r>
                </w:p>
              </w:tc>
              <w:tc>
                <w:tcPr>
                  <w:tcW w:w="582" w:type="pct"/>
                  <w:noWrap w:val="0"/>
                  <w:vAlign w:val="center"/>
                </w:tcPr>
                <w:p w14:paraId="603C948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类比法</w:t>
                  </w:r>
                </w:p>
              </w:tc>
              <w:tc>
                <w:tcPr>
                  <w:tcW w:w="569" w:type="pct"/>
                  <w:noWrap w:val="0"/>
                  <w:vAlign w:val="center"/>
                </w:tcPr>
                <w:p w14:paraId="4B657133">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393" w:type="pct"/>
                  <w:noWrap w:val="0"/>
                  <w:vAlign w:val="center"/>
                </w:tcPr>
                <w:p w14:paraId="791FEACC">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厂房隔声</w:t>
                  </w:r>
                </w:p>
              </w:tc>
              <w:tc>
                <w:tcPr>
                  <w:tcW w:w="677" w:type="pct"/>
                  <w:noWrap w:val="0"/>
                  <w:vAlign w:val="center"/>
                </w:tcPr>
                <w:p w14:paraId="01B6C7D2">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528" w:type="pct"/>
                  <w:shd w:val="clear" w:color="auto" w:fill="auto"/>
                  <w:noWrap w:val="0"/>
                  <w:vAlign w:val="center"/>
                </w:tcPr>
                <w:p w14:paraId="7A57B9E7">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类比法</w:t>
                  </w:r>
                </w:p>
              </w:tc>
              <w:tc>
                <w:tcPr>
                  <w:tcW w:w="619" w:type="pct"/>
                  <w:noWrap w:val="0"/>
                  <w:vAlign w:val="center"/>
                </w:tcPr>
                <w:p w14:paraId="4836B4AD">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55</w:t>
                  </w:r>
                </w:p>
              </w:tc>
            </w:tr>
            <w:tr w14:paraId="4D59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noWrap w:val="0"/>
                  <w:vAlign w:val="center"/>
                </w:tcPr>
                <w:p w14:paraId="47048DC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纤维布数控切割机</w:t>
                  </w:r>
                </w:p>
              </w:tc>
              <w:tc>
                <w:tcPr>
                  <w:tcW w:w="418" w:type="pct"/>
                  <w:shd w:val="clear" w:color="auto" w:fill="auto"/>
                  <w:noWrap w:val="0"/>
                  <w:vAlign w:val="center"/>
                </w:tcPr>
                <w:p w14:paraId="155DEC7A">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446" w:type="pct"/>
                  <w:noWrap w:val="0"/>
                  <w:vAlign w:val="center"/>
                </w:tcPr>
                <w:p w14:paraId="486543A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频发</w:t>
                  </w:r>
                </w:p>
              </w:tc>
              <w:tc>
                <w:tcPr>
                  <w:tcW w:w="582" w:type="pct"/>
                  <w:noWrap w:val="0"/>
                  <w:vAlign w:val="center"/>
                </w:tcPr>
                <w:p w14:paraId="467C80F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类比法</w:t>
                  </w:r>
                </w:p>
              </w:tc>
              <w:tc>
                <w:tcPr>
                  <w:tcW w:w="569" w:type="pct"/>
                  <w:noWrap w:val="0"/>
                  <w:vAlign w:val="center"/>
                </w:tcPr>
                <w:p w14:paraId="31CACAED">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85</w:t>
                  </w:r>
                </w:p>
              </w:tc>
              <w:tc>
                <w:tcPr>
                  <w:tcW w:w="393" w:type="pct"/>
                  <w:noWrap w:val="0"/>
                  <w:vAlign w:val="center"/>
                </w:tcPr>
                <w:p w14:paraId="7159D2F2">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厂房隔声</w:t>
                  </w:r>
                </w:p>
              </w:tc>
              <w:tc>
                <w:tcPr>
                  <w:tcW w:w="677" w:type="pct"/>
                  <w:noWrap w:val="0"/>
                  <w:vAlign w:val="center"/>
                </w:tcPr>
                <w:p w14:paraId="63D86F2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528" w:type="pct"/>
                  <w:shd w:val="clear" w:color="auto" w:fill="auto"/>
                  <w:noWrap w:val="0"/>
                  <w:vAlign w:val="center"/>
                </w:tcPr>
                <w:p w14:paraId="7E77BCA7">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类比法</w:t>
                  </w:r>
                </w:p>
              </w:tc>
              <w:tc>
                <w:tcPr>
                  <w:tcW w:w="619" w:type="pct"/>
                  <w:noWrap w:val="0"/>
                  <w:vAlign w:val="center"/>
                </w:tcPr>
                <w:p w14:paraId="0E751C19">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w:t>
                  </w:r>
                </w:p>
              </w:tc>
            </w:tr>
            <w:tr w14:paraId="5EF8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noWrap w:val="0"/>
                  <w:vAlign w:val="center"/>
                </w:tcPr>
                <w:p w14:paraId="4D105BC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中温固化炉（电炉）</w:t>
                  </w:r>
                </w:p>
              </w:tc>
              <w:tc>
                <w:tcPr>
                  <w:tcW w:w="418" w:type="pct"/>
                  <w:shd w:val="clear" w:color="auto" w:fill="auto"/>
                  <w:noWrap w:val="0"/>
                  <w:vAlign w:val="center"/>
                </w:tcPr>
                <w:p w14:paraId="6D0D577F">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446" w:type="pct"/>
                  <w:noWrap w:val="0"/>
                  <w:vAlign w:val="center"/>
                </w:tcPr>
                <w:p w14:paraId="502D0ACF">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频发</w:t>
                  </w:r>
                </w:p>
              </w:tc>
              <w:tc>
                <w:tcPr>
                  <w:tcW w:w="582" w:type="pct"/>
                  <w:noWrap w:val="0"/>
                  <w:vAlign w:val="center"/>
                </w:tcPr>
                <w:p w14:paraId="63ECD6C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类比法</w:t>
                  </w:r>
                </w:p>
              </w:tc>
              <w:tc>
                <w:tcPr>
                  <w:tcW w:w="569" w:type="pct"/>
                  <w:noWrap w:val="0"/>
                  <w:vAlign w:val="center"/>
                </w:tcPr>
                <w:p w14:paraId="7ABDEBAA">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393" w:type="pct"/>
                  <w:noWrap w:val="0"/>
                  <w:vAlign w:val="center"/>
                </w:tcPr>
                <w:p w14:paraId="38F876E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厂房隔声</w:t>
                  </w:r>
                </w:p>
              </w:tc>
              <w:tc>
                <w:tcPr>
                  <w:tcW w:w="677" w:type="pct"/>
                  <w:noWrap w:val="0"/>
                  <w:vAlign w:val="center"/>
                </w:tcPr>
                <w:p w14:paraId="4B09849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528" w:type="pct"/>
                  <w:shd w:val="clear" w:color="auto" w:fill="auto"/>
                  <w:noWrap w:val="0"/>
                  <w:vAlign w:val="center"/>
                </w:tcPr>
                <w:p w14:paraId="159F0E24">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类比法</w:t>
                  </w:r>
                </w:p>
              </w:tc>
              <w:tc>
                <w:tcPr>
                  <w:tcW w:w="619" w:type="pct"/>
                  <w:noWrap w:val="0"/>
                  <w:vAlign w:val="center"/>
                </w:tcPr>
                <w:p w14:paraId="14CD484C">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w:t>
                  </w:r>
                </w:p>
              </w:tc>
            </w:tr>
          </w:tbl>
          <w:p w14:paraId="4FB265C6">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3.2达标分析</w:t>
            </w:r>
          </w:p>
          <w:p w14:paraId="21495DDB">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（1）预测方案</w:t>
            </w:r>
          </w:p>
          <w:p w14:paraId="371CD15B">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由于本项目是扩建，因此本次环评采用理论预测的方法对扩建项目噪声排放情况进行预测及分析评价，并同时考虑原噪声源的叠加影响，本项目厂界50m范围内无声环境保护目标，因此本次预测厂界噪声值。</w:t>
            </w:r>
          </w:p>
          <w:p w14:paraId="45CAFBA6">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（2）预测条件假设</w:t>
            </w:r>
          </w:p>
          <w:p w14:paraId="0186531F">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①所有产噪设备均在正常工况条件下运行；</w:t>
            </w:r>
          </w:p>
          <w:p w14:paraId="3CDD3482">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②室内噪声源考虑声源所在厂房围护结构的隔声作用；</w:t>
            </w:r>
          </w:p>
          <w:p w14:paraId="330E35E1">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③考虑声源至预测点的距离衰减，忽略传播中地面反射以及空气吸收、雨、雪、温度等影响。</w:t>
            </w:r>
          </w:p>
          <w:p w14:paraId="6CCB6D82">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（3）预测模式</w:t>
            </w:r>
          </w:p>
          <w:p w14:paraId="43A40CD2">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1）室内声源噪声预测模式</w:t>
            </w:r>
          </w:p>
          <w:p w14:paraId="73FCA95B">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室内声源噪声预测，根据已知条件，采用以下计算公式：</w:t>
            </w:r>
          </w:p>
          <w:p w14:paraId="08F1575D">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如果房间中心到预测点距离大于房间几何尺寸</w:t>
            </w:r>
            <w:r>
              <w:rPr>
                <w:rFonts w:hint="default" w:ascii="宋体" w:hAnsi="宋体" w:cs="宋体"/>
                <w:bCs/>
                <w:color w:val="000000" w:themeColor="text1"/>
                <w:spacing w:val="-10"/>
                <w:sz w:val="24"/>
                <w:szCs w:val="24"/>
                <w:lang w:val="en-US" w:eastAsia="zh-CN"/>
                <w14:textFill>
                  <w14:solidFill>
                    <w14:schemeClr w14:val="tx1"/>
                  </w14:solidFill>
                </w14:textFill>
              </w:rPr>
              <w:t>2</w:t>
            </w:r>
            <w:r>
              <w:rPr>
                <w:rFonts w:hint="eastAsia" w:ascii="宋体" w:hAnsi="宋体" w:cs="宋体"/>
                <w:bCs/>
                <w:color w:val="000000" w:themeColor="text1"/>
                <w:spacing w:val="-10"/>
                <w:sz w:val="24"/>
                <w:szCs w:val="24"/>
                <w:lang w:val="en-US" w:eastAsia="zh-CN"/>
                <w14:textFill>
                  <w14:solidFill>
                    <w14:schemeClr w14:val="tx1"/>
                  </w14:solidFill>
                </w14:textFill>
              </w:rPr>
              <w:t>倍时，已知室内声源</w:t>
            </w:r>
            <w:r>
              <w:rPr>
                <w:rFonts w:hint="default" w:ascii="宋体" w:hAnsi="宋体" w:cs="宋体"/>
                <w:bCs/>
                <w:color w:val="000000" w:themeColor="text1"/>
                <w:spacing w:val="-10"/>
                <w:sz w:val="24"/>
                <w:szCs w:val="24"/>
                <w:lang w:val="en-US" w:eastAsia="zh-CN"/>
                <w14:textFill>
                  <w14:solidFill>
                    <w14:schemeClr w14:val="tx1"/>
                  </w14:solidFill>
                </w14:textFill>
              </w:rPr>
              <w:t>r</w:t>
            </w:r>
            <w:r>
              <w:rPr>
                <w:rFonts w:hint="default" w:ascii="宋体" w:hAnsi="宋体" w:cs="宋体"/>
                <w:bCs/>
                <w:color w:val="000000" w:themeColor="text1"/>
                <w:spacing w:val="-10"/>
                <w:sz w:val="24"/>
                <w:szCs w:val="24"/>
                <w:vertAlign w:val="subscript"/>
                <w:lang w:val="en-US" w:eastAsia="zh-CN"/>
                <w14:textFill>
                  <w14:solidFill>
                    <w14:schemeClr w14:val="tx1"/>
                  </w14:solidFill>
                </w14:textFill>
              </w:rPr>
              <w:t>0</w:t>
            </w:r>
            <w:r>
              <w:rPr>
                <w:rFonts w:hint="eastAsia" w:ascii="宋体" w:hAnsi="宋体" w:cs="宋体"/>
                <w:bCs/>
                <w:color w:val="000000" w:themeColor="text1"/>
                <w:spacing w:val="-10"/>
                <w:sz w:val="24"/>
                <w:szCs w:val="24"/>
                <w:lang w:val="en-US" w:eastAsia="zh-CN"/>
                <w14:textFill>
                  <w14:solidFill>
                    <w14:schemeClr w14:val="tx1"/>
                  </w14:solidFill>
                </w14:textFill>
              </w:rPr>
              <w:t>处的声压级</w:t>
            </w:r>
          </w:p>
          <w:p w14:paraId="2A732B02">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Cs/>
                <w:color w:val="000000" w:themeColor="text1"/>
                <w:spacing w:val="-10"/>
                <w:sz w:val="24"/>
                <w:szCs w:val="24"/>
                <w:lang w:val="en-US" w:eastAsia="zh-CN"/>
                <w14:textFill>
                  <w14:solidFill>
                    <w14:schemeClr w14:val="tx1"/>
                  </w14:solidFill>
                </w14:textFill>
              </w:rPr>
            </w:pPr>
            <w:r>
              <w:rPr>
                <w:rFonts w:hint="default" w:ascii="宋体" w:hAnsi="宋体" w:cs="宋体"/>
                <w:bCs/>
                <w:color w:val="000000" w:themeColor="text1"/>
                <w:spacing w:val="-10"/>
                <w:sz w:val="24"/>
                <w:szCs w:val="24"/>
                <w:lang w:val="en-US" w:eastAsia="zh-CN"/>
                <w14:textFill>
                  <w14:solidFill>
                    <w14:schemeClr w14:val="tx1"/>
                  </w14:solidFill>
                </w14:textFill>
              </w:rPr>
              <w:t>L</w:t>
            </w:r>
            <w:r>
              <w:rPr>
                <w:rFonts w:hint="default" w:ascii="宋体" w:hAnsi="宋体" w:cs="宋体"/>
                <w:bCs/>
                <w:color w:val="000000" w:themeColor="text1"/>
                <w:spacing w:val="-10"/>
                <w:sz w:val="24"/>
                <w:szCs w:val="24"/>
                <w:vertAlign w:val="subscript"/>
                <w:lang w:val="en-US" w:eastAsia="zh-CN"/>
                <w14:textFill>
                  <w14:solidFill>
                    <w14:schemeClr w14:val="tx1"/>
                  </w14:solidFill>
                </w14:textFill>
              </w:rPr>
              <w:t>p0</w:t>
            </w:r>
            <w:r>
              <w:rPr>
                <w:rFonts w:hint="eastAsia" w:ascii="宋体" w:hAnsi="宋体" w:cs="宋体"/>
                <w:bCs/>
                <w:color w:val="000000" w:themeColor="text1"/>
                <w:spacing w:val="-10"/>
                <w:sz w:val="24"/>
                <w:szCs w:val="24"/>
                <w:lang w:val="en-US" w:eastAsia="zh-CN"/>
                <w14:textFill>
                  <w14:solidFill>
                    <w14:schemeClr w14:val="tx1"/>
                  </w14:solidFill>
                </w14:textFill>
              </w:rPr>
              <w:t>，则室外预测点声压级可根据下式计算：</w:t>
            </w:r>
          </w:p>
          <w:p w14:paraId="676647E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194560" cy="308610"/>
                  <wp:effectExtent l="0" t="0" r="15240" b="1524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4"/>
                          <a:stretch>
                            <a:fillRect/>
                          </a:stretch>
                        </pic:blipFill>
                        <pic:spPr>
                          <a:xfrm>
                            <a:off x="0" y="0"/>
                            <a:ext cx="2194560" cy="308610"/>
                          </a:xfrm>
                          <a:prstGeom prst="rect">
                            <a:avLst/>
                          </a:prstGeom>
                          <a:noFill/>
                          <a:ln>
                            <a:noFill/>
                          </a:ln>
                        </pic:spPr>
                      </pic:pic>
                    </a:graphicData>
                  </a:graphic>
                </wp:inline>
              </w:drawing>
            </w:r>
          </w:p>
          <w:p w14:paraId="6EA9ABD7">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式中：</w:t>
            </w:r>
          </w:p>
          <w:p w14:paraId="3F14F09A">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p0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为在室内测量的、距声源</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0</w:t>
            </w:r>
            <w:r>
              <w:rPr>
                <w:rFonts w:hint="eastAsia" w:ascii="宋体" w:hAnsi="宋体" w:eastAsia="宋体" w:cs="宋体"/>
                <w:color w:val="000000" w:themeColor="text1"/>
                <w:kern w:val="0"/>
                <w:sz w:val="24"/>
                <w:szCs w:val="24"/>
                <w:lang w:val="en-US" w:eastAsia="zh-CN" w:bidi="ar"/>
                <w14:textFill>
                  <w14:solidFill>
                    <w14:schemeClr w14:val="tx1"/>
                  </w14:solidFill>
                </w14:textFill>
              </w:rPr>
              <w:t>处的声压级。如果没有实测数据，一般可选用比源强稍大的声压级来近似；</w:t>
            </w:r>
          </w:p>
          <w:p w14:paraId="3F91ED09">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TL-</w:t>
            </w:r>
            <w:r>
              <w:rPr>
                <w:rFonts w:hint="eastAsia" w:ascii="宋体" w:hAnsi="宋体" w:eastAsia="宋体" w:cs="宋体"/>
                <w:color w:val="000000" w:themeColor="text1"/>
                <w:kern w:val="0"/>
                <w:sz w:val="24"/>
                <w:szCs w:val="24"/>
                <w:lang w:val="en-US" w:eastAsia="zh-CN" w:bidi="ar"/>
                <w14:textFill>
                  <w14:solidFill>
                    <w14:schemeClr w14:val="tx1"/>
                  </w14:solidFill>
                </w14:textFill>
              </w:rPr>
              <w:t>为整个房间的平均隔声量，一般车间墙、窗组合结构取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TL=15dB(A)</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14:paraId="3DED6F67">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color w:val="000000" w:themeColor="text1"/>
                <w14:textFill>
                  <w14:solidFill>
                    <w14:schemeClr w14:val="tx1"/>
                  </w14:solidFill>
                </w14:textFill>
              </w:rPr>
            </w:pPr>
            <w:r>
              <w:rPr>
                <w:rFonts w:ascii="Symbol" w:hAnsi="Symbol" w:eastAsia="宋体" w:cs="Symbol"/>
                <w:i/>
                <w:iCs/>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房间的平均吸声系数，对于未经处理的抹灰墙，</w:t>
            </w:r>
            <w:r>
              <w:rPr>
                <w:rFonts w:hint="default" w:ascii="Symbol" w:hAnsi="Symbol" w:eastAsia="宋体" w:cs="Symbol"/>
                <w:i/>
                <w:iCs/>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=0.15</w:t>
            </w:r>
            <w:r>
              <w:rPr>
                <w:rFonts w:hint="eastAsia" w:ascii="宋体" w:hAnsi="宋体" w:eastAsia="宋体" w:cs="宋体"/>
                <w:color w:val="000000" w:themeColor="text1"/>
                <w:kern w:val="0"/>
                <w:sz w:val="24"/>
                <w:szCs w:val="24"/>
                <w:lang w:val="en-US" w:eastAsia="zh-CN" w:bidi="ar"/>
                <w14:textFill>
                  <w14:solidFill>
                    <w14:schemeClr w14:val="tx1"/>
                  </w14:solidFill>
                </w14:textFill>
              </w:rPr>
              <w:t>，对于有吸声材料处理的墙面，取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0.3-0.5</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14:paraId="2EF815BF">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测量声源声压级时距声源</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声中心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的距离，如测量时距设备表面</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1m</w:t>
            </w:r>
            <w:r>
              <w:rPr>
                <w:rFonts w:hint="eastAsia" w:ascii="宋体" w:hAnsi="宋体" w:eastAsia="宋体" w:cs="宋体"/>
                <w:color w:val="000000" w:themeColor="text1"/>
                <w:kern w:val="0"/>
                <w:sz w:val="24"/>
                <w:szCs w:val="24"/>
                <w:lang w:val="en-US" w:eastAsia="zh-CN" w:bidi="ar"/>
                <w14:textFill>
                  <w14:solidFill>
                    <w14:schemeClr w14:val="tx1"/>
                  </w14:solidFill>
                </w14:textFill>
              </w:rPr>
              <w:t>处测量，那么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Symbol" w:hAnsi="Symbol" w:eastAsia="宋体" w:cs="Symbol"/>
                <w:i/>
                <w:iCs/>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3"/>
                <w:szCs w:val="23"/>
                <w:lang w:val="en-US" w:eastAsia="zh-CN" w:bidi="ar"/>
                <w14:textFill>
                  <w14:solidFill>
                    <w14:schemeClr w14:val="tx1"/>
                  </w14:solidFill>
                </w14:textFill>
              </w:rPr>
              <w:t>d</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，其中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宋体" w:hAnsi="宋体" w:eastAsia="宋体" w:cs="宋体"/>
                <w:color w:val="000000" w:themeColor="text1"/>
                <w:kern w:val="0"/>
                <w:sz w:val="24"/>
                <w:szCs w:val="24"/>
                <w:lang w:val="en-US" w:eastAsia="zh-CN" w:bidi="ar"/>
                <w14:textFill>
                  <w14:solidFill>
                    <w14:schemeClr w14:val="tx1"/>
                  </w14:solidFill>
                </w14:textFill>
              </w:rPr>
              <w:t>为设备的最大尺寸。</w:t>
            </w:r>
          </w:p>
          <w:p w14:paraId="1569760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2）总等效声级</w:t>
            </w:r>
          </w:p>
          <w:p w14:paraId="4CF2CD01">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由上述计算模式计算结果再叠加本底值进行计算，叠加模式为：</w:t>
            </w:r>
          </w:p>
          <w:p w14:paraId="2F33CFA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1327785" cy="474980"/>
                  <wp:effectExtent l="0" t="0" r="5715" b="127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5"/>
                          <a:stretch>
                            <a:fillRect/>
                          </a:stretch>
                        </pic:blipFill>
                        <pic:spPr>
                          <a:xfrm>
                            <a:off x="0" y="0"/>
                            <a:ext cx="1327785" cy="474980"/>
                          </a:xfrm>
                          <a:prstGeom prst="rect">
                            <a:avLst/>
                          </a:prstGeom>
                          <a:noFill/>
                          <a:ln>
                            <a:noFill/>
                          </a:ln>
                        </pic:spPr>
                      </pic:pic>
                    </a:graphicData>
                  </a:graphic>
                </wp:inline>
              </w:drawing>
            </w:r>
          </w:p>
          <w:p w14:paraId="2C62B5CA">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式中：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总声压级，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442C2439">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Li—</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各声源在此点的声压级，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666822FC">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n—</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点声源数。</w:t>
            </w:r>
          </w:p>
          <w:p w14:paraId="12A028E9">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（4）预测输入清单</w:t>
            </w:r>
          </w:p>
          <w:p w14:paraId="1892BF77">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噪声源位置及与厂界、敏感点距离见下表。</w:t>
            </w:r>
          </w:p>
          <w:p w14:paraId="68B036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val="0"/>
                <w:color w:val="000000" w:themeColor="text1"/>
                <w:spacing w:val="-10"/>
                <w:sz w:val="21"/>
                <w:szCs w:val="21"/>
                <w:lang w:val="en-US" w:eastAsia="zh-CN"/>
                <w14:textFill>
                  <w14:solidFill>
                    <w14:schemeClr w14:val="tx1"/>
                  </w14:solidFill>
                </w14:textFill>
              </w:rPr>
            </w:pPr>
            <w:r>
              <w:rPr>
                <w:rFonts w:hint="eastAsia" w:ascii="宋体" w:hAnsi="宋体" w:cs="宋体"/>
                <w:b/>
                <w:bCs w:val="0"/>
                <w:color w:val="000000" w:themeColor="text1"/>
                <w:spacing w:val="-10"/>
                <w:sz w:val="21"/>
                <w:szCs w:val="21"/>
                <w:lang w:val="en-US" w:eastAsia="zh-CN"/>
                <w14:textFill>
                  <w14:solidFill>
                    <w14:schemeClr w14:val="tx1"/>
                  </w14:solidFill>
                </w14:textFill>
              </w:rPr>
              <w:t>表4-10  噪声源位置及与厂界距离</w:t>
            </w:r>
          </w:p>
          <w:tbl>
            <w:tblPr>
              <w:tblStyle w:val="15"/>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5"/>
              <w:gridCol w:w="1296"/>
              <w:gridCol w:w="1158"/>
              <w:gridCol w:w="932"/>
              <w:gridCol w:w="1285"/>
              <w:gridCol w:w="792"/>
            </w:tblGrid>
            <w:tr w14:paraId="3C8D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Merge w:val="restart"/>
                  <w:vAlign w:val="center"/>
                </w:tcPr>
                <w:p w14:paraId="708D34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设备</w:t>
                  </w:r>
                </w:p>
              </w:tc>
              <w:tc>
                <w:tcPr>
                  <w:tcW w:w="1296" w:type="dxa"/>
                  <w:vMerge w:val="restart"/>
                  <w:vAlign w:val="center"/>
                </w:tcPr>
                <w:p w14:paraId="48CB5A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声压级</w:t>
                  </w: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（dB）</w:t>
                  </w:r>
                </w:p>
              </w:tc>
              <w:tc>
                <w:tcPr>
                  <w:tcW w:w="4167" w:type="dxa"/>
                  <w:gridSpan w:val="4"/>
                  <w:vAlign w:val="center"/>
                </w:tcPr>
                <w:p w14:paraId="624F71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噪声源距厂界距离（m）</w:t>
                  </w:r>
                </w:p>
              </w:tc>
            </w:tr>
            <w:tr w14:paraId="63115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Merge w:val="continue"/>
                  <w:vAlign w:val="center"/>
                </w:tcPr>
                <w:p w14:paraId="19D892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c>
                <w:tcPr>
                  <w:tcW w:w="1296" w:type="dxa"/>
                  <w:vMerge w:val="continue"/>
                  <w:vAlign w:val="center"/>
                </w:tcPr>
                <w:p w14:paraId="64722E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c>
                <w:tcPr>
                  <w:tcW w:w="1158" w:type="dxa"/>
                  <w:vAlign w:val="center"/>
                </w:tcPr>
                <w:p w14:paraId="3FAFFF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东</w:t>
                  </w:r>
                </w:p>
              </w:tc>
              <w:tc>
                <w:tcPr>
                  <w:tcW w:w="932" w:type="dxa"/>
                  <w:vAlign w:val="center"/>
                </w:tcPr>
                <w:p w14:paraId="073503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南</w:t>
                  </w:r>
                </w:p>
              </w:tc>
              <w:tc>
                <w:tcPr>
                  <w:tcW w:w="1285" w:type="dxa"/>
                  <w:vAlign w:val="center"/>
                </w:tcPr>
                <w:p w14:paraId="602BD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西</w:t>
                  </w:r>
                </w:p>
              </w:tc>
              <w:tc>
                <w:tcPr>
                  <w:tcW w:w="792" w:type="dxa"/>
                  <w:vAlign w:val="center"/>
                </w:tcPr>
                <w:p w14:paraId="028C7E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北</w:t>
                  </w:r>
                </w:p>
              </w:tc>
            </w:tr>
            <w:tr w14:paraId="0A4C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15BA57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多轴智能位纤维缠绕机1#</w:t>
                  </w:r>
                </w:p>
              </w:tc>
              <w:tc>
                <w:tcPr>
                  <w:tcW w:w="1296" w:type="dxa"/>
                  <w:vAlign w:val="center"/>
                </w:tcPr>
                <w:p w14:paraId="1972F1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w:t>
                  </w:r>
                </w:p>
              </w:tc>
              <w:tc>
                <w:tcPr>
                  <w:tcW w:w="1158" w:type="dxa"/>
                  <w:vAlign w:val="center"/>
                </w:tcPr>
                <w:p w14:paraId="15F076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15</w:t>
                  </w:r>
                </w:p>
              </w:tc>
              <w:tc>
                <w:tcPr>
                  <w:tcW w:w="932" w:type="dxa"/>
                  <w:vAlign w:val="center"/>
                </w:tcPr>
                <w:p w14:paraId="3962E2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22</w:t>
                  </w:r>
                </w:p>
              </w:tc>
              <w:tc>
                <w:tcPr>
                  <w:tcW w:w="1285" w:type="dxa"/>
                  <w:vAlign w:val="center"/>
                </w:tcPr>
                <w:p w14:paraId="1D5B4C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56</w:t>
                  </w:r>
                </w:p>
              </w:tc>
              <w:tc>
                <w:tcPr>
                  <w:tcW w:w="792" w:type="dxa"/>
                  <w:vAlign w:val="center"/>
                </w:tcPr>
                <w:p w14:paraId="3A420C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w:t>
                  </w:r>
                </w:p>
              </w:tc>
            </w:tr>
            <w:tr w14:paraId="1B06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6F4DB8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多轴智能位纤维缠绕机2#</w:t>
                  </w:r>
                </w:p>
              </w:tc>
              <w:tc>
                <w:tcPr>
                  <w:tcW w:w="1296" w:type="dxa"/>
                  <w:vAlign w:val="center"/>
                </w:tcPr>
                <w:p w14:paraId="180824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w:t>
                  </w:r>
                </w:p>
              </w:tc>
              <w:tc>
                <w:tcPr>
                  <w:tcW w:w="1158" w:type="dxa"/>
                  <w:vAlign w:val="center"/>
                </w:tcPr>
                <w:p w14:paraId="052F6F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15</w:t>
                  </w:r>
                </w:p>
              </w:tc>
              <w:tc>
                <w:tcPr>
                  <w:tcW w:w="932" w:type="dxa"/>
                  <w:vAlign w:val="center"/>
                </w:tcPr>
                <w:p w14:paraId="180CDF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20</w:t>
                  </w:r>
                </w:p>
              </w:tc>
              <w:tc>
                <w:tcPr>
                  <w:tcW w:w="1285" w:type="dxa"/>
                  <w:vAlign w:val="center"/>
                </w:tcPr>
                <w:p w14:paraId="582BFA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56</w:t>
                  </w:r>
                </w:p>
              </w:tc>
              <w:tc>
                <w:tcPr>
                  <w:tcW w:w="792" w:type="dxa"/>
                  <w:vAlign w:val="center"/>
                </w:tcPr>
                <w:p w14:paraId="61D2B5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7</w:t>
                  </w:r>
                </w:p>
              </w:tc>
            </w:tr>
            <w:tr w14:paraId="430C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224AD3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车床1#</w:t>
                  </w:r>
                </w:p>
              </w:tc>
              <w:tc>
                <w:tcPr>
                  <w:tcW w:w="1296" w:type="dxa"/>
                  <w:vAlign w:val="center"/>
                </w:tcPr>
                <w:p w14:paraId="22A269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1158" w:type="dxa"/>
                  <w:vAlign w:val="center"/>
                </w:tcPr>
                <w:p w14:paraId="3D0FF4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22</w:t>
                  </w:r>
                </w:p>
              </w:tc>
              <w:tc>
                <w:tcPr>
                  <w:tcW w:w="932" w:type="dxa"/>
                  <w:vAlign w:val="center"/>
                </w:tcPr>
                <w:p w14:paraId="5BDC64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7</w:t>
                  </w:r>
                </w:p>
              </w:tc>
              <w:tc>
                <w:tcPr>
                  <w:tcW w:w="1285" w:type="dxa"/>
                  <w:vAlign w:val="center"/>
                </w:tcPr>
                <w:p w14:paraId="04F63A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50</w:t>
                  </w:r>
                </w:p>
              </w:tc>
              <w:tc>
                <w:tcPr>
                  <w:tcW w:w="792" w:type="dxa"/>
                  <w:vAlign w:val="center"/>
                </w:tcPr>
                <w:p w14:paraId="668C8D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17</w:t>
                  </w:r>
                </w:p>
              </w:tc>
            </w:tr>
            <w:tr w14:paraId="5280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5A0C3A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车床2#</w:t>
                  </w:r>
                </w:p>
              </w:tc>
              <w:tc>
                <w:tcPr>
                  <w:tcW w:w="1296" w:type="dxa"/>
                  <w:vAlign w:val="center"/>
                </w:tcPr>
                <w:p w14:paraId="35835A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1158" w:type="dxa"/>
                  <w:vAlign w:val="center"/>
                </w:tcPr>
                <w:p w14:paraId="055202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24</w:t>
                  </w:r>
                </w:p>
              </w:tc>
              <w:tc>
                <w:tcPr>
                  <w:tcW w:w="932" w:type="dxa"/>
                  <w:vAlign w:val="center"/>
                </w:tcPr>
                <w:p w14:paraId="0BF34C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7</w:t>
                  </w:r>
                </w:p>
              </w:tc>
              <w:tc>
                <w:tcPr>
                  <w:tcW w:w="1285" w:type="dxa"/>
                  <w:vAlign w:val="center"/>
                </w:tcPr>
                <w:p w14:paraId="2EC81B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48</w:t>
                  </w:r>
                </w:p>
              </w:tc>
              <w:tc>
                <w:tcPr>
                  <w:tcW w:w="792" w:type="dxa"/>
                  <w:vAlign w:val="center"/>
                </w:tcPr>
                <w:p w14:paraId="5E3A7A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17</w:t>
                  </w:r>
                </w:p>
              </w:tc>
            </w:tr>
            <w:tr w14:paraId="7760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0E2981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数控机床1#</w:t>
                  </w:r>
                </w:p>
              </w:tc>
              <w:tc>
                <w:tcPr>
                  <w:tcW w:w="1296" w:type="dxa"/>
                  <w:vAlign w:val="center"/>
                </w:tcPr>
                <w:p w14:paraId="05CCF8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1158" w:type="dxa"/>
                  <w:vAlign w:val="center"/>
                </w:tcPr>
                <w:p w14:paraId="6F2507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26</w:t>
                  </w:r>
                </w:p>
              </w:tc>
              <w:tc>
                <w:tcPr>
                  <w:tcW w:w="932" w:type="dxa"/>
                  <w:vAlign w:val="center"/>
                </w:tcPr>
                <w:p w14:paraId="6F01D6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7</w:t>
                  </w:r>
                </w:p>
              </w:tc>
              <w:tc>
                <w:tcPr>
                  <w:tcW w:w="1285" w:type="dxa"/>
                  <w:vAlign w:val="center"/>
                </w:tcPr>
                <w:p w14:paraId="6B501D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46</w:t>
                  </w:r>
                </w:p>
              </w:tc>
              <w:tc>
                <w:tcPr>
                  <w:tcW w:w="792" w:type="dxa"/>
                  <w:vAlign w:val="center"/>
                </w:tcPr>
                <w:p w14:paraId="5CD56F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17</w:t>
                  </w:r>
                </w:p>
              </w:tc>
            </w:tr>
            <w:tr w14:paraId="1056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74820A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数控机床2#</w:t>
                  </w:r>
                </w:p>
              </w:tc>
              <w:tc>
                <w:tcPr>
                  <w:tcW w:w="1296" w:type="dxa"/>
                  <w:vAlign w:val="center"/>
                </w:tcPr>
                <w:p w14:paraId="673D2B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1158" w:type="dxa"/>
                  <w:vAlign w:val="center"/>
                </w:tcPr>
                <w:p w14:paraId="0B3094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28</w:t>
                  </w:r>
                </w:p>
              </w:tc>
              <w:tc>
                <w:tcPr>
                  <w:tcW w:w="932" w:type="dxa"/>
                  <w:vAlign w:val="center"/>
                </w:tcPr>
                <w:p w14:paraId="7FDB2E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7</w:t>
                  </w:r>
                </w:p>
              </w:tc>
              <w:tc>
                <w:tcPr>
                  <w:tcW w:w="1285" w:type="dxa"/>
                  <w:vAlign w:val="center"/>
                </w:tcPr>
                <w:p w14:paraId="625134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44</w:t>
                  </w:r>
                </w:p>
              </w:tc>
              <w:tc>
                <w:tcPr>
                  <w:tcW w:w="792" w:type="dxa"/>
                  <w:vAlign w:val="center"/>
                </w:tcPr>
                <w:p w14:paraId="649531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17</w:t>
                  </w:r>
                </w:p>
              </w:tc>
            </w:tr>
            <w:tr w14:paraId="239B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2C1056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数控机床3#</w:t>
                  </w:r>
                </w:p>
              </w:tc>
              <w:tc>
                <w:tcPr>
                  <w:tcW w:w="1296" w:type="dxa"/>
                  <w:vAlign w:val="center"/>
                </w:tcPr>
                <w:p w14:paraId="3616D6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1158" w:type="dxa"/>
                  <w:vAlign w:val="center"/>
                </w:tcPr>
                <w:p w14:paraId="3734A1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30</w:t>
                  </w:r>
                </w:p>
              </w:tc>
              <w:tc>
                <w:tcPr>
                  <w:tcW w:w="932" w:type="dxa"/>
                  <w:vAlign w:val="center"/>
                </w:tcPr>
                <w:p w14:paraId="7E3A59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7</w:t>
                  </w:r>
                </w:p>
              </w:tc>
              <w:tc>
                <w:tcPr>
                  <w:tcW w:w="1285" w:type="dxa"/>
                  <w:vAlign w:val="center"/>
                </w:tcPr>
                <w:p w14:paraId="70C951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42</w:t>
                  </w:r>
                </w:p>
              </w:tc>
              <w:tc>
                <w:tcPr>
                  <w:tcW w:w="792" w:type="dxa"/>
                  <w:vAlign w:val="center"/>
                </w:tcPr>
                <w:p w14:paraId="1CF190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17</w:t>
                  </w:r>
                </w:p>
              </w:tc>
            </w:tr>
            <w:tr w14:paraId="014A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41BB72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数控机床4#</w:t>
                  </w:r>
                </w:p>
              </w:tc>
              <w:tc>
                <w:tcPr>
                  <w:tcW w:w="1296" w:type="dxa"/>
                  <w:vAlign w:val="center"/>
                </w:tcPr>
                <w:p w14:paraId="4B6C14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1158" w:type="dxa"/>
                  <w:vAlign w:val="center"/>
                </w:tcPr>
                <w:p w14:paraId="667A9F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32</w:t>
                  </w:r>
                </w:p>
              </w:tc>
              <w:tc>
                <w:tcPr>
                  <w:tcW w:w="932" w:type="dxa"/>
                  <w:vAlign w:val="center"/>
                </w:tcPr>
                <w:p w14:paraId="1A4C34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7</w:t>
                  </w:r>
                </w:p>
              </w:tc>
              <w:tc>
                <w:tcPr>
                  <w:tcW w:w="1285" w:type="dxa"/>
                  <w:vAlign w:val="center"/>
                </w:tcPr>
                <w:p w14:paraId="31D401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40</w:t>
                  </w:r>
                </w:p>
              </w:tc>
              <w:tc>
                <w:tcPr>
                  <w:tcW w:w="792" w:type="dxa"/>
                  <w:vAlign w:val="center"/>
                </w:tcPr>
                <w:p w14:paraId="3B7B18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17</w:t>
                  </w:r>
                </w:p>
              </w:tc>
            </w:tr>
            <w:tr w14:paraId="4BA5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72F3FE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中温固化炉（电炉）1#</w:t>
                  </w:r>
                </w:p>
              </w:tc>
              <w:tc>
                <w:tcPr>
                  <w:tcW w:w="1296" w:type="dxa"/>
                  <w:vAlign w:val="center"/>
                </w:tcPr>
                <w:p w14:paraId="662A3F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1158" w:type="dxa"/>
                  <w:vAlign w:val="center"/>
                </w:tcPr>
                <w:p w14:paraId="084524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20</w:t>
                  </w:r>
                </w:p>
              </w:tc>
              <w:tc>
                <w:tcPr>
                  <w:tcW w:w="932" w:type="dxa"/>
                  <w:vAlign w:val="center"/>
                </w:tcPr>
                <w:p w14:paraId="638823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20</w:t>
                  </w:r>
                </w:p>
              </w:tc>
              <w:tc>
                <w:tcPr>
                  <w:tcW w:w="1285" w:type="dxa"/>
                  <w:vAlign w:val="center"/>
                </w:tcPr>
                <w:p w14:paraId="7E211C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54</w:t>
                  </w:r>
                </w:p>
              </w:tc>
              <w:tc>
                <w:tcPr>
                  <w:tcW w:w="792" w:type="dxa"/>
                  <w:vAlign w:val="center"/>
                </w:tcPr>
                <w:p w14:paraId="055204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6</w:t>
                  </w:r>
                </w:p>
              </w:tc>
            </w:tr>
            <w:tr w14:paraId="054B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26BE1B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中温固化炉（电炉）2#</w:t>
                  </w:r>
                </w:p>
              </w:tc>
              <w:tc>
                <w:tcPr>
                  <w:tcW w:w="1296" w:type="dxa"/>
                  <w:vAlign w:val="center"/>
                </w:tcPr>
                <w:p w14:paraId="7CC15D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1158" w:type="dxa"/>
                  <w:vAlign w:val="center"/>
                </w:tcPr>
                <w:p w14:paraId="7EEEE5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21</w:t>
                  </w:r>
                </w:p>
              </w:tc>
              <w:tc>
                <w:tcPr>
                  <w:tcW w:w="932" w:type="dxa"/>
                  <w:vAlign w:val="center"/>
                </w:tcPr>
                <w:p w14:paraId="3A3A04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20</w:t>
                  </w:r>
                </w:p>
              </w:tc>
              <w:tc>
                <w:tcPr>
                  <w:tcW w:w="1285" w:type="dxa"/>
                  <w:vAlign w:val="center"/>
                </w:tcPr>
                <w:p w14:paraId="067C6A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53</w:t>
                  </w:r>
                </w:p>
              </w:tc>
              <w:tc>
                <w:tcPr>
                  <w:tcW w:w="792" w:type="dxa"/>
                  <w:vAlign w:val="center"/>
                </w:tcPr>
                <w:p w14:paraId="4B435C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6</w:t>
                  </w:r>
                </w:p>
              </w:tc>
            </w:tr>
            <w:tr w14:paraId="4173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14247F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中温固化炉（电炉）3#</w:t>
                  </w:r>
                </w:p>
              </w:tc>
              <w:tc>
                <w:tcPr>
                  <w:tcW w:w="1296" w:type="dxa"/>
                  <w:vAlign w:val="center"/>
                </w:tcPr>
                <w:p w14:paraId="4F81EA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1158" w:type="dxa"/>
                  <w:vAlign w:val="center"/>
                </w:tcPr>
                <w:p w14:paraId="35465E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22</w:t>
                  </w:r>
                </w:p>
              </w:tc>
              <w:tc>
                <w:tcPr>
                  <w:tcW w:w="932" w:type="dxa"/>
                  <w:vAlign w:val="center"/>
                </w:tcPr>
                <w:p w14:paraId="0E5BBC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20</w:t>
                  </w:r>
                </w:p>
              </w:tc>
              <w:tc>
                <w:tcPr>
                  <w:tcW w:w="1285" w:type="dxa"/>
                  <w:vAlign w:val="center"/>
                </w:tcPr>
                <w:p w14:paraId="4E8542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52</w:t>
                  </w:r>
                </w:p>
              </w:tc>
              <w:tc>
                <w:tcPr>
                  <w:tcW w:w="792" w:type="dxa"/>
                  <w:vAlign w:val="center"/>
                </w:tcPr>
                <w:p w14:paraId="3E44C5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6</w:t>
                  </w:r>
                </w:p>
              </w:tc>
            </w:tr>
            <w:tr w14:paraId="488C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772D54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中温固化炉（电炉）4#</w:t>
                  </w:r>
                </w:p>
              </w:tc>
              <w:tc>
                <w:tcPr>
                  <w:tcW w:w="1296" w:type="dxa"/>
                  <w:vAlign w:val="center"/>
                </w:tcPr>
                <w:p w14:paraId="61C262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1158" w:type="dxa"/>
                  <w:vAlign w:val="center"/>
                </w:tcPr>
                <w:p w14:paraId="04FDE8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23</w:t>
                  </w:r>
                </w:p>
              </w:tc>
              <w:tc>
                <w:tcPr>
                  <w:tcW w:w="932" w:type="dxa"/>
                  <w:vAlign w:val="center"/>
                </w:tcPr>
                <w:p w14:paraId="0C1AA2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20</w:t>
                  </w:r>
                </w:p>
              </w:tc>
              <w:tc>
                <w:tcPr>
                  <w:tcW w:w="1285" w:type="dxa"/>
                  <w:vAlign w:val="center"/>
                </w:tcPr>
                <w:p w14:paraId="672A41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51</w:t>
                  </w:r>
                </w:p>
              </w:tc>
              <w:tc>
                <w:tcPr>
                  <w:tcW w:w="792" w:type="dxa"/>
                  <w:vAlign w:val="center"/>
                </w:tcPr>
                <w:p w14:paraId="20A5C5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6</w:t>
                  </w:r>
                </w:p>
              </w:tc>
            </w:tr>
            <w:tr w14:paraId="4469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374343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中温固化炉（电炉）5#</w:t>
                  </w:r>
                </w:p>
              </w:tc>
              <w:tc>
                <w:tcPr>
                  <w:tcW w:w="1296" w:type="dxa"/>
                  <w:vAlign w:val="center"/>
                </w:tcPr>
                <w:p w14:paraId="5A9260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1158" w:type="dxa"/>
                  <w:vAlign w:val="center"/>
                </w:tcPr>
                <w:p w14:paraId="23C83C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24</w:t>
                  </w:r>
                </w:p>
              </w:tc>
              <w:tc>
                <w:tcPr>
                  <w:tcW w:w="932" w:type="dxa"/>
                  <w:vAlign w:val="center"/>
                </w:tcPr>
                <w:p w14:paraId="2AE70B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20</w:t>
                  </w:r>
                </w:p>
              </w:tc>
              <w:tc>
                <w:tcPr>
                  <w:tcW w:w="1285" w:type="dxa"/>
                  <w:vAlign w:val="center"/>
                </w:tcPr>
                <w:p w14:paraId="53A08F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50</w:t>
                  </w:r>
                </w:p>
              </w:tc>
              <w:tc>
                <w:tcPr>
                  <w:tcW w:w="792" w:type="dxa"/>
                  <w:vAlign w:val="center"/>
                </w:tcPr>
                <w:p w14:paraId="6AFDA2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6</w:t>
                  </w:r>
                </w:p>
              </w:tc>
            </w:tr>
            <w:tr w14:paraId="5F12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0899E4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中温固化炉（电炉）6#</w:t>
                  </w:r>
                </w:p>
              </w:tc>
              <w:tc>
                <w:tcPr>
                  <w:tcW w:w="1296" w:type="dxa"/>
                  <w:vAlign w:val="center"/>
                </w:tcPr>
                <w:p w14:paraId="0611D9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1158" w:type="dxa"/>
                  <w:vAlign w:val="center"/>
                </w:tcPr>
                <w:p w14:paraId="19999A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25</w:t>
                  </w:r>
                </w:p>
              </w:tc>
              <w:tc>
                <w:tcPr>
                  <w:tcW w:w="932" w:type="dxa"/>
                  <w:vAlign w:val="center"/>
                </w:tcPr>
                <w:p w14:paraId="0CF4CA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20</w:t>
                  </w:r>
                </w:p>
              </w:tc>
              <w:tc>
                <w:tcPr>
                  <w:tcW w:w="1285" w:type="dxa"/>
                  <w:vAlign w:val="center"/>
                </w:tcPr>
                <w:p w14:paraId="3B692C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49</w:t>
                  </w:r>
                </w:p>
              </w:tc>
              <w:tc>
                <w:tcPr>
                  <w:tcW w:w="792" w:type="dxa"/>
                  <w:vAlign w:val="center"/>
                </w:tcPr>
                <w:p w14:paraId="42D613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6</w:t>
                  </w:r>
                </w:p>
              </w:tc>
            </w:tr>
            <w:tr w14:paraId="52A9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418562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中温固化炉（电炉）7#</w:t>
                  </w:r>
                </w:p>
              </w:tc>
              <w:tc>
                <w:tcPr>
                  <w:tcW w:w="1296" w:type="dxa"/>
                  <w:vAlign w:val="center"/>
                </w:tcPr>
                <w:p w14:paraId="60340C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1158" w:type="dxa"/>
                  <w:vAlign w:val="center"/>
                </w:tcPr>
                <w:p w14:paraId="60CB0E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26</w:t>
                  </w:r>
                </w:p>
              </w:tc>
              <w:tc>
                <w:tcPr>
                  <w:tcW w:w="932" w:type="dxa"/>
                  <w:vAlign w:val="center"/>
                </w:tcPr>
                <w:p w14:paraId="3A4E17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20</w:t>
                  </w:r>
                </w:p>
              </w:tc>
              <w:tc>
                <w:tcPr>
                  <w:tcW w:w="1285" w:type="dxa"/>
                  <w:vAlign w:val="center"/>
                </w:tcPr>
                <w:p w14:paraId="603FB1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48</w:t>
                  </w:r>
                </w:p>
              </w:tc>
              <w:tc>
                <w:tcPr>
                  <w:tcW w:w="792" w:type="dxa"/>
                  <w:vAlign w:val="center"/>
                </w:tcPr>
                <w:p w14:paraId="1CF9C6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6</w:t>
                  </w:r>
                </w:p>
              </w:tc>
            </w:tr>
            <w:tr w14:paraId="0779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6319DD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纤维布数控切割机</w:t>
                  </w:r>
                </w:p>
              </w:tc>
              <w:tc>
                <w:tcPr>
                  <w:tcW w:w="1296" w:type="dxa"/>
                  <w:vAlign w:val="center"/>
                </w:tcPr>
                <w:p w14:paraId="374B42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85</w:t>
                  </w:r>
                </w:p>
              </w:tc>
              <w:tc>
                <w:tcPr>
                  <w:tcW w:w="1158" w:type="dxa"/>
                  <w:vAlign w:val="center"/>
                </w:tcPr>
                <w:p w14:paraId="36B744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7</w:t>
                  </w:r>
                </w:p>
              </w:tc>
              <w:tc>
                <w:tcPr>
                  <w:tcW w:w="932" w:type="dxa"/>
                  <w:vAlign w:val="center"/>
                </w:tcPr>
                <w:p w14:paraId="723C05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24</w:t>
                  </w:r>
                </w:p>
              </w:tc>
              <w:tc>
                <w:tcPr>
                  <w:tcW w:w="1285" w:type="dxa"/>
                  <w:vAlign w:val="center"/>
                </w:tcPr>
                <w:p w14:paraId="6B1309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65</w:t>
                  </w:r>
                </w:p>
              </w:tc>
              <w:tc>
                <w:tcPr>
                  <w:tcW w:w="792" w:type="dxa"/>
                  <w:vAlign w:val="center"/>
                </w:tcPr>
                <w:p w14:paraId="534585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6</w:t>
                  </w:r>
                </w:p>
              </w:tc>
            </w:tr>
            <w:tr w14:paraId="6A05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765E16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加工中心</w:t>
                  </w:r>
                </w:p>
              </w:tc>
              <w:tc>
                <w:tcPr>
                  <w:tcW w:w="1296" w:type="dxa"/>
                  <w:vAlign w:val="center"/>
                </w:tcPr>
                <w:p w14:paraId="55B918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1158" w:type="dxa"/>
                  <w:vAlign w:val="center"/>
                </w:tcPr>
                <w:p w14:paraId="1EDDAB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34</w:t>
                  </w:r>
                </w:p>
              </w:tc>
              <w:tc>
                <w:tcPr>
                  <w:tcW w:w="932" w:type="dxa"/>
                  <w:vAlign w:val="center"/>
                </w:tcPr>
                <w:p w14:paraId="073DAA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7</w:t>
                  </w:r>
                </w:p>
              </w:tc>
              <w:tc>
                <w:tcPr>
                  <w:tcW w:w="1285" w:type="dxa"/>
                  <w:vAlign w:val="center"/>
                </w:tcPr>
                <w:p w14:paraId="463B11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38</w:t>
                  </w:r>
                </w:p>
              </w:tc>
              <w:tc>
                <w:tcPr>
                  <w:tcW w:w="792" w:type="dxa"/>
                  <w:vAlign w:val="center"/>
                </w:tcPr>
                <w:p w14:paraId="6A27C7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17</w:t>
                  </w:r>
                </w:p>
              </w:tc>
            </w:tr>
            <w:tr w14:paraId="72D1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0EFE30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除尘打磨平台</w:t>
                  </w:r>
                </w:p>
              </w:tc>
              <w:tc>
                <w:tcPr>
                  <w:tcW w:w="1296" w:type="dxa"/>
                  <w:vAlign w:val="center"/>
                </w:tcPr>
                <w:p w14:paraId="029D36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85</w:t>
                  </w:r>
                </w:p>
              </w:tc>
              <w:tc>
                <w:tcPr>
                  <w:tcW w:w="1158" w:type="dxa"/>
                  <w:vAlign w:val="center"/>
                </w:tcPr>
                <w:p w14:paraId="549E44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25</w:t>
                  </w:r>
                </w:p>
              </w:tc>
              <w:tc>
                <w:tcPr>
                  <w:tcW w:w="932" w:type="dxa"/>
                  <w:vAlign w:val="center"/>
                </w:tcPr>
                <w:p w14:paraId="42E659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20</w:t>
                  </w:r>
                </w:p>
              </w:tc>
              <w:tc>
                <w:tcPr>
                  <w:tcW w:w="1285" w:type="dxa"/>
                  <w:vAlign w:val="center"/>
                </w:tcPr>
                <w:p w14:paraId="58EDB7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47</w:t>
                  </w:r>
                </w:p>
              </w:tc>
              <w:tc>
                <w:tcPr>
                  <w:tcW w:w="792" w:type="dxa"/>
                  <w:vAlign w:val="center"/>
                </w:tcPr>
                <w:p w14:paraId="6D7218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6</w:t>
                  </w:r>
                </w:p>
              </w:tc>
            </w:tr>
            <w:tr w14:paraId="05E9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447181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无尘脉冲喷砂机</w:t>
                  </w:r>
                </w:p>
              </w:tc>
              <w:tc>
                <w:tcPr>
                  <w:tcW w:w="1296" w:type="dxa"/>
                  <w:vAlign w:val="center"/>
                </w:tcPr>
                <w:p w14:paraId="4A81CA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85</w:t>
                  </w:r>
                </w:p>
              </w:tc>
              <w:tc>
                <w:tcPr>
                  <w:tcW w:w="1158" w:type="dxa"/>
                  <w:vAlign w:val="center"/>
                </w:tcPr>
                <w:p w14:paraId="1B7950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18</w:t>
                  </w:r>
                </w:p>
              </w:tc>
              <w:tc>
                <w:tcPr>
                  <w:tcW w:w="932" w:type="dxa"/>
                  <w:vAlign w:val="center"/>
                </w:tcPr>
                <w:p w14:paraId="7FB03A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3</w:t>
                  </w:r>
                </w:p>
              </w:tc>
              <w:tc>
                <w:tcPr>
                  <w:tcW w:w="1285" w:type="dxa"/>
                  <w:vAlign w:val="center"/>
                </w:tcPr>
                <w:p w14:paraId="613D97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57</w:t>
                  </w:r>
                </w:p>
              </w:tc>
              <w:tc>
                <w:tcPr>
                  <w:tcW w:w="792" w:type="dxa"/>
                  <w:vAlign w:val="center"/>
                </w:tcPr>
                <w:p w14:paraId="1E1922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21</w:t>
                  </w:r>
                </w:p>
              </w:tc>
            </w:tr>
            <w:tr w14:paraId="530C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091B6E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管带式砂光机</w:t>
                  </w:r>
                </w:p>
              </w:tc>
              <w:tc>
                <w:tcPr>
                  <w:tcW w:w="1296" w:type="dxa"/>
                  <w:vAlign w:val="center"/>
                </w:tcPr>
                <w:p w14:paraId="211626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85</w:t>
                  </w:r>
                </w:p>
              </w:tc>
              <w:tc>
                <w:tcPr>
                  <w:tcW w:w="1158" w:type="dxa"/>
                  <w:vAlign w:val="center"/>
                </w:tcPr>
                <w:p w14:paraId="159C3F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52</w:t>
                  </w:r>
                </w:p>
              </w:tc>
              <w:tc>
                <w:tcPr>
                  <w:tcW w:w="932" w:type="dxa"/>
                  <w:vAlign w:val="center"/>
                </w:tcPr>
                <w:p w14:paraId="05B38A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6</w:t>
                  </w:r>
                </w:p>
              </w:tc>
              <w:tc>
                <w:tcPr>
                  <w:tcW w:w="1285" w:type="dxa"/>
                  <w:vAlign w:val="center"/>
                </w:tcPr>
                <w:p w14:paraId="611538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22</w:t>
                  </w:r>
                </w:p>
              </w:tc>
              <w:tc>
                <w:tcPr>
                  <w:tcW w:w="792" w:type="dxa"/>
                  <w:vAlign w:val="center"/>
                </w:tcPr>
                <w:p w14:paraId="6E7250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16</w:t>
                  </w:r>
                </w:p>
              </w:tc>
            </w:tr>
          </w:tbl>
          <w:p w14:paraId="4F107A7E">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（5）预测结果</w:t>
            </w:r>
          </w:p>
          <w:p w14:paraId="64F45362">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利</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用EIAProN软</w:t>
            </w:r>
            <w:r>
              <w:rPr>
                <w:rFonts w:hint="eastAsia" w:ascii="宋体" w:hAnsi="宋体" w:cs="宋体"/>
                <w:bCs/>
                <w:color w:val="000000" w:themeColor="text1"/>
                <w:spacing w:val="-10"/>
                <w:sz w:val="24"/>
                <w:szCs w:val="24"/>
                <w:lang w:val="en-US" w:eastAsia="zh-CN"/>
                <w14:textFill>
                  <w14:solidFill>
                    <w14:schemeClr w14:val="tx1"/>
                  </w14:solidFill>
                </w14:textFill>
              </w:rPr>
              <w:t>件预测结果见下表。</w:t>
            </w:r>
          </w:p>
          <w:p w14:paraId="5BB059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val="0"/>
                <w:color w:val="000000" w:themeColor="text1"/>
                <w:spacing w:val="-10"/>
                <w:sz w:val="21"/>
                <w:szCs w:val="21"/>
                <w:lang w:val="en-US" w:eastAsia="zh-CN"/>
                <w14:textFill>
                  <w14:solidFill>
                    <w14:schemeClr w14:val="tx1"/>
                  </w14:solidFill>
                </w14:textFill>
              </w:rPr>
            </w:pPr>
            <w:r>
              <w:rPr>
                <w:rFonts w:hint="eastAsia" w:ascii="宋体" w:hAnsi="宋体" w:cs="宋体"/>
                <w:b/>
                <w:bCs w:val="0"/>
                <w:color w:val="000000" w:themeColor="text1"/>
                <w:spacing w:val="-10"/>
                <w:sz w:val="21"/>
                <w:szCs w:val="21"/>
                <w:lang w:val="en-US" w:eastAsia="zh-CN"/>
                <w14:textFill>
                  <w14:solidFill>
                    <w14:schemeClr w14:val="tx1"/>
                  </w14:solidFill>
                </w14:textFill>
              </w:rPr>
              <w:t>表4-11  厂界噪声预测结果</w:t>
            </w:r>
          </w:p>
          <w:tbl>
            <w:tblPr>
              <w:tblStyle w:val="15"/>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839"/>
              <w:gridCol w:w="1677"/>
              <w:gridCol w:w="1678"/>
              <w:gridCol w:w="1678"/>
              <w:gridCol w:w="1678"/>
            </w:tblGrid>
            <w:tr w14:paraId="7E5B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dxa"/>
                  <w:gridSpan w:val="2"/>
                  <w:vMerge w:val="restart"/>
                  <w:vAlign w:val="center"/>
                </w:tcPr>
                <w:p w14:paraId="1774CF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项目</w:t>
                  </w:r>
                </w:p>
              </w:tc>
              <w:tc>
                <w:tcPr>
                  <w:tcW w:w="6711" w:type="dxa"/>
                  <w:gridSpan w:val="4"/>
                  <w:vAlign w:val="center"/>
                </w:tcPr>
                <w:p w14:paraId="7E3B28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预测结果dB（A）</w:t>
                  </w:r>
                </w:p>
              </w:tc>
            </w:tr>
            <w:tr w14:paraId="3EF1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dxa"/>
                  <w:gridSpan w:val="2"/>
                  <w:vMerge w:val="continue"/>
                  <w:vAlign w:val="center"/>
                </w:tcPr>
                <w:p w14:paraId="395C3D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p>
              </w:tc>
              <w:tc>
                <w:tcPr>
                  <w:tcW w:w="1677" w:type="dxa"/>
                  <w:vAlign w:val="center"/>
                </w:tcPr>
                <w:p w14:paraId="6EEBC5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东厂界</w:t>
                  </w:r>
                </w:p>
              </w:tc>
              <w:tc>
                <w:tcPr>
                  <w:tcW w:w="1678" w:type="dxa"/>
                  <w:vAlign w:val="center"/>
                </w:tcPr>
                <w:p w14:paraId="44133B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南厂界</w:t>
                  </w:r>
                </w:p>
              </w:tc>
              <w:tc>
                <w:tcPr>
                  <w:tcW w:w="1678" w:type="dxa"/>
                  <w:vAlign w:val="center"/>
                </w:tcPr>
                <w:p w14:paraId="64C751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西厂界</w:t>
                  </w:r>
                </w:p>
              </w:tc>
              <w:tc>
                <w:tcPr>
                  <w:tcW w:w="1678" w:type="dxa"/>
                  <w:vAlign w:val="center"/>
                </w:tcPr>
                <w:p w14:paraId="202059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bCs w:val="0"/>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
                      <w:bCs w:val="0"/>
                      <w:color w:val="000000" w:themeColor="text1"/>
                      <w:spacing w:val="-10"/>
                      <w:sz w:val="21"/>
                      <w:szCs w:val="21"/>
                      <w:vertAlign w:val="baseline"/>
                      <w:lang w:val="en-US" w:eastAsia="zh-CN"/>
                      <w14:textFill>
                        <w14:solidFill>
                          <w14:schemeClr w14:val="tx1"/>
                        </w14:solidFill>
                      </w14:textFill>
                    </w:rPr>
                    <w:t>北厂界</w:t>
                  </w:r>
                </w:p>
              </w:tc>
            </w:tr>
            <w:tr w14:paraId="3E20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38" w:type="dxa"/>
                  <w:vMerge w:val="restart"/>
                  <w:vAlign w:val="center"/>
                </w:tcPr>
                <w:p w14:paraId="3C4392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贡献值</w:t>
                  </w:r>
                </w:p>
              </w:tc>
              <w:tc>
                <w:tcPr>
                  <w:tcW w:w="839" w:type="dxa"/>
                  <w:vAlign w:val="center"/>
                </w:tcPr>
                <w:p w14:paraId="012769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昼间</w:t>
                  </w:r>
                </w:p>
              </w:tc>
              <w:tc>
                <w:tcPr>
                  <w:tcW w:w="1677" w:type="dxa"/>
                  <w:vAlign w:val="center"/>
                </w:tcPr>
                <w:p w14:paraId="2E9F0B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58</w:t>
                  </w:r>
                </w:p>
              </w:tc>
              <w:tc>
                <w:tcPr>
                  <w:tcW w:w="1678" w:type="dxa"/>
                  <w:vAlign w:val="center"/>
                </w:tcPr>
                <w:p w14:paraId="60946B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55</w:t>
                  </w:r>
                </w:p>
              </w:tc>
              <w:tc>
                <w:tcPr>
                  <w:tcW w:w="1678" w:type="dxa"/>
                  <w:vAlign w:val="center"/>
                </w:tcPr>
                <w:p w14:paraId="75716F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56</w:t>
                  </w:r>
                </w:p>
              </w:tc>
              <w:tc>
                <w:tcPr>
                  <w:tcW w:w="1678" w:type="dxa"/>
                  <w:vAlign w:val="center"/>
                </w:tcPr>
                <w:p w14:paraId="3D0284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57</w:t>
                  </w:r>
                </w:p>
              </w:tc>
            </w:tr>
            <w:tr w14:paraId="47E0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38" w:type="dxa"/>
                  <w:vMerge w:val="continue"/>
                  <w:vAlign w:val="center"/>
                </w:tcPr>
                <w:p w14:paraId="4EC135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p>
              </w:tc>
              <w:tc>
                <w:tcPr>
                  <w:tcW w:w="839" w:type="dxa"/>
                  <w:vAlign w:val="center"/>
                </w:tcPr>
                <w:p w14:paraId="71836A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夜间</w:t>
                  </w:r>
                </w:p>
              </w:tc>
              <w:tc>
                <w:tcPr>
                  <w:tcW w:w="1677" w:type="dxa"/>
                  <w:vAlign w:val="center"/>
                </w:tcPr>
                <w:p w14:paraId="505919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48</w:t>
                  </w:r>
                </w:p>
              </w:tc>
              <w:tc>
                <w:tcPr>
                  <w:tcW w:w="1678" w:type="dxa"/>
                  <w:vAlign w:val="center"/>
                </w:tcPr>
                <w:p w14:paraId="260266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42</w:t>
                  </w:r>
                </w:p>
              </w:tc>
              <w:tc>
                <w:tcPr>
                  <w:tcW w:w="1678" w:type="dxa"/>
                  <w:vAlign w:val="center"/>
                </w:tcPr>
                <w:p w14:paraId="182B55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45</w:t>
                  </w:r>
                </w:p>
              </w:tc>
              <w:tc>
                <w:tcPr>
                  <w:tcW w:w="1678" w:type="dxa"/>
                  <w:vAlign w:val="center"/>
                </w:tcPr>
                <w:p w14:paraId="3D5812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47</w:t>
                  </w:r>
                </w:p>
              </w:tc>
            </w:tr>
            <w:tr w14:paraId="6484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38" w:type="dxa"/>
                  <w:vMerge w:val="restart"/>
                  <w:vAlign w:val="center"/>
                </w:tcPr>
                <w:p w14:paraId="755994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现状监测值</w:t>
                  </w:r>
                </w:p>
              </w:tc>
              <w:tc>
                <w:tcPr>
                  <w:tcW w:w="839" w:type="dxa"/>
                  <w:shd w:val="clear" w:color="auto" w:fill="auto"/>
                  <w:vAlign w:val="center"/>
                </w:tcPr>
                <w:p w14:paraId="6AB895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昼间</w:t>
                  </w:r>
                </w:p>
              </w:tc>
              <w:tc>
                <w:tcPr>
                  <w:tcW w:w="1677" w:type="dxa"/>
                  <w:vAlign w:val="center"/>
                </w:tcPr>
                <w:p w14:paraId="64ADB2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52</w:t>
                  </w:r>
                </w:p>
              </w:tc>
              <w:tc>
                <w:tcPr>
                  <w:tcW w:w="1678" w:type="dxa"/>
                  <w:vAlign w:val="center"/>
                </w:tcPr>
                <w:p w14:paraId="52BF89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51</w:t>
                  </w:r>
                </w:p>
              </w:tc>
              <w:tc>
                <w:tcPr>
                  <w:tcW w:w="1678" w:type="dxa"/>
                  <w:vAlign w:val="center"/>
                </w:tcPr>
                <w:p w14:paraId="06178C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52</w:t>
                  </w:r>
                </w:p>
              </w:tc>
              <w:tc>
                <w:tcPr>
                  <w:tcW w:w="1678" w:type="dxa"/>
                  <w:vAlign w:val="center"/>
                </w:tcPr>
                <w:p w14:paraId="50A7F0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55</w:t>
                  </w:r>
                </w:p>
              </w:tc>
            </w:tr>
            <w:tr w14:paraId="321E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38" w:type="dxa"/>
                  <w:vMerge w:val="continue"/>
                  <w:vAlign w:val="center"/>
                </w:tcPr>
                <w:p w14:paraId="4961A4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p>
              </w:tc>
              <w:tc>
                <w:tcPr>
                  <w:tcW w:w="839" w:type="dxa"/>
                  <w:shd w:val="clear" w:color="auto" w:fill="auto"/>
                  <w:vAlign w:val="center"/>
                </w:tcPr>
                <w:p w14:paraId="65868A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夜间</w:t>
                  </w:r>
                </w:p>
              </w:tc>
              <w:tc>
                <w:tcPr>
                  <w:tcW w:w="1677" w:type="dxa"/>
                  <w:vAlign w:val="center"/>
                </w:tcPr>
                <w:p w14:paraId="36AA31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1678" w:type="dxa"/>
                  <w:vAlign w:val="center"/>
                </w:tcPr>
                <w:p w14:paraId="01B0A1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1678" w:type="dxa"/>
                  <w:vAlign w:val="center"/>
                </w:tcPr>
                <w:p w14:paraId="7ACEF1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1678" w:type="dxa"/>
                  <w:vAlign w:val="center"/>
                </w:tcPr>
                <w:p w14:paraId="03CF00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r>
            <w:tr w14:paraId="698C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38" w:type="dxa"/>
                  <w:vMerge w:val="restart"/>
                  <w:vAlign w:val="center"/>
                </w:tcPr>
                <w:p w14:paraId="03EC90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预测值</w:t>
                  </w:r>
                </w:p>
              </w:tc>
              <w:tc>
                <w:tcPr>
                  <w:tcW w:w="839" w:type="dxa"/>
                  <w:shd w:val="clear" w:color="auto" w:fill="auto"/>
                  <w:vAlign w:val="center"/>
                </w:tcPr>
                <w:p w14:paraId="4373C9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昼间</w:t>
                  </w:r>
                </w:p>
              </w:tc>
              <w:tc>
                <w:tcPr>
                  <w:tcW w:w="1677" w:type="dxa"/>
                  <w:shd w:val="clear" w:color="auto" w:fill="auto"/>
                  <w:vAlign w:val="center"/>
                </w:tcPr>
                <w:p w14:paraId="46B47D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58</w:t>
                  </w:r>
                </w:p>
              </w:tc>
              <w:tc>
                <w:tcPr>
                  <w:tcW w:w="1678" w:type="dxa"/>
                  <w:shd w:val="clear" w:color="auto" w:fill="auto"/>
                  <w:vAlign w:val="center"/>
                </w:tcPr>
                <w:p w14:paraId="751D6E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55</w:t>
                  </w:r>
                </w:p>
              </w:tc>
              <w:tc>
                <w:tcPr>
                  <w:tcW w:w="1678" w:type="dxa"/>
                  <w:shd w:val="clear" w:color="auto" w:fill="auto"/>
                  <w:vAlign w:val="center"/>
                </w:tcPr>
                <w:p w14:paraId="0BC690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56</w:t>
                  </w:r>
                </w:p>
              </w:tc>
              <w:tc>
                <w:tcPr>
                  <w:tcW w:w="1678" w:type="dxa"/>
                  <w:shd w:val="clear" w:color="auto" w:fill="auto"/>
                  <w:vAlign w:val="center"/>
                </w:tcPr>
                <w:p w14:paraId="073B51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57</w:t>
                  </w:r>
                </w:p>
              </w:tc>
            </w:tr>
            <w:tr w14:paraId="6CCE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838" w:type="dxa"/>
                  <w:vMerge w:val="continue"/>
                  <w:vAlign w:val="center"/>
                </w:tcPr>
                <w:p w14:paraId="7EE62F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p>
              </w:tc>
              <w:tc>
                <w:tcPr>
                  <w:tcW w:w="839" w:type="dxa"/>
                  <w:shd w:val="clear" w:color="auto" w:fill="auto"/>
                  <w:vAlign w:val="center"/>
                </w:tcPr>
                <w:p w14:paraId="5DB2B1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夜间</w:t>
                  </w:r>
                </w:p>
              </w:tc>
              <w:tc>
                <w:tcPr>
                  <w:tcW w:w="1677" w:type="dxa"/>
                  <w:shd w:val="clear" w:color="auto" w:fill="auto"/>
                  <w:vAlign w:val="center"/>
                </w:tcPr>
                <w:p w14:paraId="4EDBC4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48</w:t>
                  </w:r>
                </w:p>
              </w:tc>
              <w:tc>
                <w:tcPr>
                  <w:tcW w:w="1678" w:type="dxa"/>
                  <w:shd w:val="clear" w:color="auto" w:fill="auto"/>
                  <w:vAlign w:val="center"/>
                </w:tcPr>
                <w:p w14:paraId="0FB768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42</w:t>
                  </w:r>
                </w:p>
              </w:tc>
              <w:tc>
                <w:tcPr>
                  <w:tcW w:w="1678" w:type="dxa"/>
                  <w:shd w:val="clear" w:color="auto" w:fill="auto"/>
                  <w:vAlign w:val="center"/>
                </w:tcPr>
                <w:p w14:paraId="00B154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45</w:t>
                  </w:r>
                </w:p>
              </w:tc>
              <w:tc>
                <w:tcPr>
                  <w:tcW w:w="1678" w:type="dxa"/>
                  <w:shd w:val="clear" w:color="auto" w:fill="auto"/>
                  <w:vAlign w:val="center"/>
                </w:tcPr>
                <w:p w14:paraId="694514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47</w:t>
                  </w:r>
                </w:p>
              </w:tc>
            </w:tr>
            <w:tr w14:paraId="31CC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38" w:type="dxa"/>
                  <w:vMerge w:val="restart"/>
                  <w:vAlign w:val="center"/>
                </w:tcPr>
                <w:p w14:paraId="5D124B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标准值</w:t>
                  </w:r>
                </w:p>
              </w:tc>
              <w:tc>
                <w:tcPr>
                  <w:tcW w:w="839" w:type="dxa"/>
                  <w:shd w:val="clear" w:color="auto" w:fill="auto"/>
                  <w:vAlign w:val="center"/>
                </w:tcPr>
                <w:p w14:paraId="161111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昼间</w:t>
                  </w:r>
                </w:p>
              </w:tc>
              <w:tc>
                <w:tcPr>
                  <w:tcW w:w="1677" w:type="dxa"/>
                  <w:vAlign w:val="center"/>
                </w:tcPr>
                <w:p w14:paraId="06B31A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65</w:t>
                  </w:r>
                </w:p>
              </w:tc>
              <w:tc>
                <w:tcPr>
                  <w:tcW w:w="1678" w:type="dxa"/>
                  <w:vAlign w:val="center"/>
                </w:tcPr>
                <w:p w14:paraId="531FC6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65</w:t>
                  </w:r>
                </w:p>
              </w:tc>
              <w:tc>
                <w:tcPr>
                  <w:tcW w:w="1678" w:type="dxa"/>
                  <w:vAlign w:val="center"/>
                </w:tcPr>
                <w:p w14:paraId="394823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65</w:t>
                  </w:r>
                </w:p>
              </w:tc>
              <w:tc>
                <w:tcPr>
                  <w:tcW w:w="1678" w:type="dxa"/>
                  <w:vAlign w:val="center"/>
                </w:tcPr>
                <w:p w14:paraId="6EC526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65</w:t>
                  </w:r>
                </w:p>
              </w:tc>
            </w:tr>
            <w:tr w14:paraId="0915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38" w:type="dxa"/>
                  <w:vMerge w:val="continue"/>
                  <w:vAlign w:val="center"/>
                </w:tcPr>
                <w:p w14:paraId="4ABF2B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p>
              </w:tc>
              <w:tc>
                <w:tcPr>
                  <w:tcW w:w="839" w:type="dxa"/>
                  <w:shd w:val="clear" w:color="auto" w:fill="auto"/>
                  <w:vAlign w:val="center"/>
                </w:tcPr>
                <w:p w14:paraId="17652A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夜间</w:t>
                  </w:r>
                </w:p>
              </w:tc>
              <w:tc>
                <w:tcPr>
                  <w:tcW w:w="1677" w:type="dxa"/>
                  <w:vAlign w:val="center"/>
                </w:tcPr>
                <w:p w14:paraId="2664C2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55</w:t>
                  </w:r>
                </w:p>
              </w:tc>
              <w:tc>
                <w:tcPr>
                  <w:tcW w:w="1678" w:type="dxa"/>
                  <w:vAlign w:val="center"/>
                </w:tcPr>
                <w:p w14:paraId="2C77BF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55</w:t>
                  </w:r>
                </w:p>
              </w:tc>
              <w:tc>
                <w:tcPr>
                  <w:tcW w:w="1678" w:type="dxa"/>
                  <w:vAlign w:val="center"/>
                </w:tcPr>
                <w:p w14:paraId="7BE322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55</w:t>
                  </w:r>
                </w:p>
              </w:tc>
              <w:tc>
                <w:tcPr>
                  <w:tcW w:w="1678" w:type="dxa"/>
                  <w:vAlign w:val="center"/>
                </w:tcPr>
                <w:p w14:paraId="7F4F65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55</w:t>
                  </w:r>
                </w:p>
              </w:tc>
            </w:tr>
            <w:tr w14:paraId="41F2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38" w:type="dxa"/>
                  <w:vMerge w:val="restart"/>
                  <w:vAlign w:val="center"/>
                </w:tcPr>
                <w:p w14:paraId="21EF85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是否</w:t>
                  </w:r>
                </w:p>
                <w:p w14:paraId="434C42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达标</w:t>
                  </w:r>
                </w:p>
              </w:tc>
              <w:tc>
                <w:tcPr>
                  <w:tcW w:w="839" w:type="dxa"/>
                  <w:shd w:val="clear" w:color="auto" w:fill="auto"/>
                  <w:vAlign w:val="center"/>
                </w:tcPr>
                <w:p w14:paraId="274D6E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昼间</w:t>
                  </w:r>
                </w:p>
              </w:tc>
              <w:tc>
                <w:tcPr>
                  <w:tcW w:w="1677" w:type="dxa"/>
                  <w:vAlign w:val="center"/>
                </w:tcPr>
                <w:p w14:paraId="17826B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达标</w:t>
                  </w:r>
                </w:p>
              </w:tc>
              <w:tc>
                <w:tcPr>
                  <w:tcW w:w="1678" w:type="dxa"/>
                  <w:vAlign w:val="center"/>
                </w:tcPr>
                <w:p w14:paraId="7E35BF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达标</w:t>
                  </w:r>
                </w:p>
              </w:tc>
              <w:tc>
                <w:tcPr>
                  <w:tcW w:w="1678" w:type="dxa"/>
                  <w:vAlign w:val="center"/>
                </w:tcPr>
                <w:p w14:paraId="12000C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达标</w:t>
                  </w:r>
                </w:p>
              </w:tc>
              <w:tc>
                <w:tcPr>
                  <w:tcW w:w="1678" w:type="dxa"/>
                  <w:vAlign w:val="center"/>
                </w:tcPr>
                <w:p w14:paraId="363EDF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达标</w:t>
                  </w:r>
                </w:p>
              </w:tc>
            </w:tr>
            <w:tr w14:paraId="3E8F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38" w:type="dxa"/>
                  <w:vMerge w:val="continue"/>
                  <w:vAlign w:val="center"/>
                </w:tcPr>
                <w:p w14:paraId="07E2FA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p>
              </w:tc>
              <w:tc>
                <w:tcPr>
                  <w:tcW w:w="839" w:type="dxa"/>
                  <w:shd w:val="clear" w:color="auto" w:fill="auto"/>
                  <w:vAlign w:val="center"/>
                </w:tcPr>
                <w:p w14:paraId="633632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夜间</w:t>
                  </w:r>
                </w:p>
              </w:tc>
              <w:tc>
                <w:tcPr>
                  <w:tcW w:w="1677" w:type="dxa"/>
                  <w:vAlign w:val="center"/>
                </w:tcPr>
                <w:p w14:paraId="75DB74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达标</w:t>
                  </w:r>
                </w:p>
              </w:tc>
              <w:tc>
                <w:tcPr>
                  <w:tcW w:w="1678" w:type="dxa"/>
                  <w:vAlign w:val="center"/>
                </w:tcPr>
                <w:p w14:paraId="2B55D6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达标</w:t>
                  </w:r>
                </w:p>
              </w:tc>
              <w:tc>
                <w:tcPr>
                  <w:tcW w:w="1678" w:type="dxa"/>
                  <w:vAlign w:val="center"/>
                </w:tcPr>
                <w:p w14:paraId="432D7D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达标</w:t>
                  </w:r>
                </w:p>
              </w:tc>
              <w:tc>
                <w:tcPr>
                  <w:tcW w:w="1678" w:type="dxa"/>
                  <w:vAlign w:val="center"/>
                </w:tcPr>
                <w:p w14:paraId="5799A9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达标</w:t>
                  </w:r>
                </w:p>
              </w:tc>
            </w:tr>
          </w:tbl>
          <w:p w14:paraId="0A59AD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本项目运营期厂界四周昼</w:t>
            </w:r>
            <w:r>
              <w:rPr>
                <w:rFonts w:hint="eastAsia"/>
                <w:color w:val="000000" w:themeColor="text1"/>
                <w:sz w:val="24"/>
                <w14:textFill>
                  <w14:solidFill>
                    <w14:schemeClr w14:val="tx1"/>
                  </w14:solidFill>
                </w14:textFill>
              </w:rPr>
              <w:t>夜</w:t>
            </w:r>
            <w:r>
              <w:rPr>
                <w:color w:val="000000" w:themeColor="text1"/>
                <w:sz w:val="24"/>
                <w14:textFill>
                  <w14:solidFill>
                    <w14:schemeClr w14:val="tx1"/>
                  </w14:solidFill>
                </w14:textFill>
              </w:rPr>
              <w:t>间噪声预测值均可达到《工业企业厂界环境噪声排</w:t>
            </w:r>
            <w:r>
              <w:rPr>
                <w:rFonts w:hint="default" w:ascii="Times New Roman" w:hAnsi="Times New Roman" w:cs="Times New Roman"/>
                <w:color w:val="000000" w:themeColor="text1"/>
                <w:sz w:val="24"/>
                <w14:textFill>
                  <w14:solidFill>
                    <w14:schemeClr w14:val="tx1"/>
                  </w14:solidFill>
                </w14:textFill>
              </w:rPr>
              <w:t>放标准》（GB12348-2008）</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val="zh-TW" w:eastAsia="zh-TW"/>
                <w14:textFill>
                  <w14:solidFill>
                    <w14:schemeClr w14:val="tx1"/>
                  </w14:solidFill>
                </w14:textFill>
              </w:rPr>
              <w:t>类</w:t>
            </w:r>
            <w:r>
              <w:rPr>
                <w:color w:val="000000" w:themeColor="text1"/>
                <w:sz w:val="24"/>
                <w:lang w:val="zh-TW" w:eastAsia="zh-TW"/>
                <w14:textFill>
                  <w14:solidFill>
                    <w14:schemeClr w14:val="tx1"/>
                  </w14:solidFill>
                </w14:textFill>
              </w:rPr>
              <w:t>标准要求</w:t>
            </w:r>
            <w:r>
              <w:rPr>
                <w:rFonts w:hint="eastAsia"/>
                <w:color w:val="000000" w:themeColor="text1"/>
                <w:sz w:val="24"/>
                <w:lang w:val="zh-TW" w:eastAsia="zh-CN"/>
                <w14:textFill>
                  <w14:solidFill>
                    <w14:schemeClr w14:val="tx1"/>
                  </w14:solidFill>
                </w14:textFill>
              </w:rPr>
              <w:t>。</w:t>
            </w:r>
            <w:r>
              <w:rPr>
                <w:color w:val="000000" w:themeColor="text1"/>
                <w:sz w:val="24"/>
                <w14:textFill>
                  <w14:solidFill>
                    <w14:schemeClr w14:val="tx1"/>
                  </w14:solidFill>
                </w14:textFill>
              </w:rPr>
              <w:t>因此本项目的产噪设备在经隔声、降噪后，厂界噪声可达标排放，不会对周围声环境造成明显影响。</w:t>
            </w:r>
          </w:p>
          <w:p w14:paraId="392C7951">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3.3噪声监测要求</w:t>
            </w:r>
          </w:p>
          <w:p w14:paraId="1BAF9642">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参照《排污单位自行监测技术指南总则》</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（HJ819-2017），</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企业现有监测执行</w:t>
            </w:r>
            <w:r>
              <w:rPr>
                <w:color w:val="000000" w:themeColor="text1"/>
                <w:sz w:val="24"/>
                <w14:textFill>
                  <w14:solidFill>
                    <w14:schemeClr w14:val="tx1"/>
                  </w14:solidFill>
                </w14:textFill>
              </w:rPr>
              <w:t>《工业企业厂界环境噪声排</w:t>
            </w:r>
            <w:r>
              <w:rPr>
                <w:rFonts w:hint="default" w:ascii="Times New Roman" w:hAnsi="Times New Roman" w:cs="Times New Roman"/>
                <w:color w:val="000000" w:themeColor="text1"/>
                <w:sz w:val="24"/>
                <w14:textFill>
                  <w14:solidFill>
                    <w14:schemeClr w14:val="tx1"/>
                  </w14:solidFill>
                </w14:textFill>
              </w:rPr>
              <w:t>放标准》（GB12348-2008）</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val="zh-TW" w:eastAsia="zh-TW"/>
                <w14:textFill>
                  <w14:solidFill>
                    <w14:schemeClr w14:val="tx1"/>
                  </w14:solidFill>
                </w14:textFill>
              </w:rPr>
              <w:t>类</w:t>
            </w:r>
            <w:r>
              <w:rPr>
                <w:color w:val="000000" w:themeColor="text1"/>
                <w:sz w:val="24"/>
                <w:lang w:val="zh-TW" w:eastAsia="zh-TW"/>
                <w14:textFill>
                  <w14:solidFill>
                    <w14:schemeClr w14:val="tx1"/>
                  </w14:solidFill>
                </w14:textFill>
              </w:rPr>
              <w:t>标准要求</w:t>
            </w:r>
            <w:r>
              <w:rPr>
                <w:rFonts w:hint="eastAsia"/>
                <w:color w:val="000000" w:themeColor="text1"/>
                <w:sz w:val="24"/>
                <w:lang w:val="zh-TW"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本项目建成后厂界</w:t>
            </w:r>
            <w:r>
              <w:rPr>
                <w:rFonts w:hint="eastAsia" w:ascii="宋体" w:hAnsi="宋体" w:cs="宋体"/>
                <w:bCs/>
                <w:color w:val="000000" w:themeColor="text1"/>
                <w:spacing w:val="-10"/>
                <w:sz w:val="24"/>
                <w:szCs w:val="24"/>
                <w:lang w:val="en-US" w:eastAsia="zh-CN"/>
                <w14:textFill>
                  <w14:solidFill>
                    <w14:schemeClr w14:val="tx1"/>
                  </w14:solidFill>
                </w14:textFill>
              </w:rPr>
              <w:t>噪声监测要求见下表。</w:t>
            </w:r>
          </w:p>
          <w:p w14:paraId="26A682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b/>
                <w:bCs w:val="0"/>
                <w:color w:val="000000" w:themeColor="text1"/>
                <w:spacing w:val="-10"/>
                <w:sz w:val="21"/>
                <w:szCs w:val="21"/>
                <w:lang w:val="en-US" w:eastAsia="zh-CN"/>
                <w14:textFill>
                  <w14:solidFill>
                    <w14:schemeClr w14:val="tx1"/>
                  </w14:solidFill>
                </w14:textFill>
              </w:rPr>
            </w:pPr>
          </w:p>
          <w:p w14:paraId="32F707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val="0"/>
                <w:color w:val="000000" w:themeColor="text1"/>
                <w:spacing w:val="-10"/>
                <w:sz w:val="21"/>
                <w:szCs w:val="21"/>
                <w:lang w:val="en-US" w:eastAsia="zh-CN"/>
                <w14:textFill>
                  <w14:solidFill>
                    <w14:schemeClr w14:val="tx1"/>
                  </w14:solidFill>
                </w14:textFill>
              </w:rPr>
            </w:pPr>
            <w:r>
              <w:rPr>
                <w:rFonts w:hint="eastAsia" w:ascii="宋体" w:hAnsi="宋体" w:cs="宋体"/>
                <w:b/>
                <w:bCs w:val="0"/>
                <w:color w:val="000000" w:themeColor="text1"/>
                <w:spacing w:val="-10"/>
                <w:sz w:val="21"/>
                <w:szCs w:val="21"/>
                <w:lang w:val="en-US" w:eastAsia="zh-CN"/>
                <w14:textFill>
                  <w14:solidFill>
                    <w14:schemeClr w14:val="tx1"/>
                  </w14:solidFill>
                </w14:textFill>
              </w:rPr>
              <w:t>表4-12  噪声污染源监测计划</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2097"/>
              <w:gridCol w:w="2097"/>
              <w:gridCol w:w="2097"/>
            </w:tblGrid>
            <w:tr w14:paraId="35C6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7" w:type="dxa"/>
                  <w:vAlign w:val="center"/>
                </w:tcPr>
                <w:p w14:paraId="5F8C06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监测项目</w:t>
                  </w:r>
                </w:p>
              </w:tc>
              <w:tc>
                <w:tcPr>
                  <w:tcW w:w="2097" w:type="dxa"/>
                  <w:vAlign w:val="center"/>
                </w:tcPr>
                <w:p w14:paraId="39D852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监测点位</w:t>
                  </w:r>
                </w:p>
              </w:tc>
              <w:tc>
                <w:tcPr>
                  <w:tcW w:w="2097" w:type="dxa"/>
                  <w:vAlign w:val="center"/>
                </w:tcPr>
                <w:p w14:paraId="29DFAF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监测频次</w:t>
                  </w:r>
                </w:p>
              </w:tc>
              <w:tc>
                <w:tcPr>
                  <w:tcW w:w="2097" w:type="dxa"/>
                  <w:vAlign w:val="center"/>
                </w:tcPr>
                <w:p w14:paraId="69DF6B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执行标准</w:t>
                  </w:r>
                </w:p>
              </w:tc>
            </w:tr>
            <w:tr w14:paraId="2871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7" w:type="dxa"/>
                  <w:vAlign w:val="center"/>
                </w:tcPr>
                <w:p w14:paraId="0407A0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厂界噪声Leq（A）</w:t>
                  </w:r>
                </w:p>
              </w:tc>
              <w:tc>
                <w:tcPr>
                  <w:tcW w:w="2097" w:type="dxa"/>
                  <w:vAlign w:val="center"/>
                </w:tcPr>
                <w:p w14:paraId="7E30A8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厂界四周边界外1m处</w:t>
                  </w:r>
                </w:p>
              </w:tc>
              <w:tc>
                <w:tcPr>
                  <w:tcW w:w="2097" w:type="dxa"/>
                  <w:vAlign w:val="center"/>
                </w:tcPr>
                <w:p w14:paraId="4F0AF3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1次/季度</w:t>
                  </w:r>
                </w:p>
              </w:tc>
              <w:tc>
                <w:tcPr>
                  <w:tcW w:w="2097" w:type="dxa"/>
                  <w:vAlign w:val="center"/>
                </w:tcPr>
                <w:p w14:paraId="1645DD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Times New Roman" w:hAnsi="宋体"/>
                      <w:bCs/>
                      <w:color w:val="000000" w:themeColor="text1"/>
                      <w:sz w:val="21"/>
                      <w:szCs w:val="21"/>
                      <w14:textFill>
                        <w14:solidFill>
                          <w14:schemeClr w14:val="tx1"/>
                        </w14:solidFill>
                      </w14:textFill>
                    </w:rPr>
                    <w:t>《工业企业厂界环境噪声排放标准》（</w:t>
                  </w:r>
                  <w:r>
                    <w:rPr>
                      <w:rFonts w:ascii="Times New Roman" w:hAnsi="宋体"/>
                      <w:bCs/>
                      <w:color w:val="000000" w:themeColor="text1"/>
                      <w:sz w:val="21"/>
                      <w:szCs w:val="21"/>
                      <w14:textFill>
                        <w14:solidFill>
                          <w14:schemeClr w14:val="tx1"/>
                        </w14:solidFill>
                      </w14:textFill>
                    </w:rPr>
                    <w:t>GB12348-2008</w:t>
                  </w:r>
                  <w:r>
                    <w:rPr>
                      <w:rFonts w:hint="eastAsia" w:ascii="Times New Roman" w:hAnsi="宋体"/>
                      <w:bCs/>
                      <w:color w:val="000000" w:themeColor="text1"/>
                      <w:sz w:val="21"/>
                      <w:szCs w:val="21"/>
                      <w14:textFill>
                        <w14:solidFill>
                          <w14:schemeClr w14:val="tx1"/>
                        </w14:solidFill>
                      </w14:textFill>
                    </w:rPr>
                    <w:t>）</w:t>
                  </w:r>
                  <w:r>
                    <w:rPr>
                      <w:rFonts w:hint="eastAsia" w:ascii="Times New Roman" w:hAnsi="宋体"/>
                      <w:bCs/>
                      <w:color w:val="000000" w:themeColor="text1"/>
                      <w:sz w:val="21"/>
                      <w:szCs w:val="21"/>
                      <w:lang w:val="en-US" w:eastAsia="zh-CN"/>
                      <w14:textFill>
                        <w14:solidFill>
                          <w14:schemeClr w14:val="tx1"/>
                        </w14:solidFill>
                      </w14:textFill>
                    </w:rPr>
                    <w:t>3</w:t>
                  </w:r>
                  <w:r>
                    <w:rPr>
                      <w:rFonts w:hint="eastAsia" w:ascii="Times New Roman" w:hAnsi="宋体"/>
                      <w:bCs/>
                      <w:color w:val="000000" w:themeColor="text1"/>
                      <w:sz w:val="21"/>
                      <w:szCs w:val="21"/>
                      <w14:textFill>
                        <w14:solidFill>
                          <w14:schemeClr w14:val="tx1"/>
                        </w14:solidFill>
                      </w14:textFill>
                    </w:rPr>
                    <w:t>类标准限值的要求</w:t>
                  </w:r>
                </w:p>
              </w:tc>
            </w:tr>
          </w:tbl>
          <w:p w14:paraId="42524284">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4、固体废物</w:t>
            </w:r>
          </w:p>
          <w:p w14:paraId="0EBD28D3">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4.1固废种类及产生量</w:t>
            </w:r>
          </w:p>
          <w:p w14:paraId="15649692">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（1）固体废物产生环节</w:t>
            </w:r>
          </w:p>
          <w:p w14:paraId="13A316F4">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本项目产生的固废包括搅拌工序产生的纤维包装箱、机加工序产生的废边角料、缠绕工序产生的环氧树脂包装桶、检验工序产生的不合格产品、设备检修产生的废机油及机油桶和含油废抹布、手套、废气处理产生的废活性炭箱和废活性炭、办公生活垃圾等。</w:t>
            </w:r>
          </w:p>
          <w:p w14:paraId="44F84EC1">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（2）一般固体废物产生情况</w:t>
            </w:r>
          </w:p>
          <w:p w14:paraId="24E7F5BF">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①</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纤维包装箱</w:t>
            </w:r>
          </w:p>
          <w:p w14:paraId="02F4C68B">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项目搅拌侵料工序产生</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纤维包装箱</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，根据建设单位生产经验，本项目</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纤维包装箱</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约为3kg/a。属于一般工业固废，收集贮存于车间内一般固废暂存区，定期外售物资公司。</w:t>
            </w:r>
          </w:p>
          <w:p w14:paraId="1E59ACC7">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②机加工序边角料（含环氧树脂）</w:t>
            </w:r>
          </w:p>
          <w:p w14:paraId="0F478897">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碳纤维/玻璃纤维边角废料产生量约为原料用量的5%</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项目原料合计用量约20.85t/a，经核算项目边角废料产生量为1.04t/a，根据《固体废物分类与代码目录》（公告2024年第4号），碳纤维/玻璃纤维边角废料废物类别为SW17可再生类废物，废物代码为900-011-S17，经收集后暂存于一般固废暂存区，定期外售物资回收公司。</w:t>
            </w:r>
          </w:p>
          <w:p w14:paraId="36F8472D">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③收尘灰</w:t>
            </w:r>
          </w:p>
          <w:p w14:paraId="435C30B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项目生产过程中会产生少量粉</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尘，被布袋收集，布袋收集到的粉尘年产量约为75kg/a。</w:t>
            </w:r>
          </w:p>
          <w:p w14:paraId="6F490084">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Times New Roman" w:hAnsi="Times New Roman" w:cs="Times New Roman"/>
                <w:bCs/>
                <w:color w:val="000000" w:themeColor="text1"/>
                <w:spacing w:val="-10"/>
                <w:sz w:val="24"/>
                <w:szCs w:val="24"/>
                <w:lang w:val="en-US" w:eastAsia="zh-CN"/>
                <w14:textFill>
                  <w14:solidFill>
                    <w14:schemeClr w14:val="tx1"/>
                  </w14:solidFill>
                </w14:textFill>
              </w:rPr>
            </w:pP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④活性炭包装箱</w:t>
            </w:r>
          </w:p>
          <w:p w14:paraId="234A4A0C">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本项目活性炭填充量为0.4t，根据建设单位提供资料，每箱活性炭重量约10kg，则活性炭包装箱产量为40个，每个活性炭箱重量约为0.5kg，则活性炭包装箱产量为20kg/a。</w:t>
            </w:r>
          </w:p>
          <w:p w14:paraId="435F0F67">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（3）危险废物</w:t>
            </w:r>
          </w:p>
          <w:p w14:paraId="331890C7">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①废包装桶</w:t>
            </w:r>
          </w:p>
          <w:p w14:paraId="4EE9B672">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根据建设单位提供资料，</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本项目</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固化剂和</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环氧树脂包装桶产生量约28.5kg/a，属于《国家危险废物名录》（2025年版）中的HW49其他废物，废物代码900-041-49，经</w:t>
            </w:r>
            <w:r>
              <w:rPr>
                <w:rFonts w:hint="eastAsia" w:ascii="宋体" w:hAnsi="宋体" w:cs="宋体"/>
                <w:bCs/>
                <w:color w:val="000000" w:themeColor="text1"/>
                <w:spacing w:val="-10"/>
                <w:sz w:val="24"/>
                <w:szCs w:val="24"/>
                <w:lang w:val="en-US" w:eastAsia="zh-CN"/>
                <w14:textFill>
                  <w14:solidFill>
                    <w14:schemeClr w14:val="tx1"/>
                  </w14:solidFill>
                </w14:textFill>
              </w:rPr>
              <w:t>收集后存放在危险废物暂存间内，交由有危废处置资质的单位回收处置。</w:t>
            </w:r>
          </w:p>
          <w:p w14:paraId="18A40EA5">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②废机油</w:t>
            </w:r>
          </w:p>
          <w:p w14:paraId="1E6861A7">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本项目生产设备运行过程中需使用机油，主要为设备润滑，根据建设单位提供资料，本项目废机油产生量约为0.1t/a，属于</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《国家危险废物名录》（2025年版）中的HW</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08</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其他废物，废物代码900-</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217</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08</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，经</w:t>
            </w:r>
            <w:r>
              <w:rPr>
                <w:rFonts w:hint="eastAsia" w:ascii="宋体" w:hAnsi="宋体" w:cs="宋体"/>
                <w:bCs/>
                <w:color w:val="000000" w:themeColor="text1"/>
                <w:spacing w:val="-10"/>
                <w:sz w:val="24"/>
                <w:szCs w:val="24"/>
                <w:lang w:val="en-US" w:eastAsia="zh-CN"/>
                <w14:textFill>
                  <w14:solidFill>
                    <w14:schemeClr w14:val="tx1"/>
                  </w14:solidFill>
                </w14:textFill>
              </w:rPr>
              <w:t>收集后存放在危险废物暂存间内，交由有危废处置资质的单位回收处置。</w:t>
            </w:r>
          </w:p>
          <w:p w14:paraId="41A0375A">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③废机油桶</w:t>
            </w:r>
          </w:p>
          <w:p w14:paraId="0DDA29F8">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根据建设单位提供资料，项目年使用机油约为一个标准油桶量，经查一个标准镀锌铁皮机油桶重量约为21kg，因此，项目产生的废机油桶为21kg/a，属于</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《国家危险废物名录》（2025年版）中的HW</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49</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其他废物，废物代码900-</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041</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49</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，经</w:t>
            </w:r>
            <w:r>
              <w:rPr>
                <w:rFonts w:hint="eastAsia" w:ascii="宋体" w:hAnsi="宋体" w:cs="宋体"/>
                <w:bCs/>
                <w:color w:val="000000" w:themeColor="text1"/>
                <w:spacing w:val="-10"/>
                <w:sz w:val="24"/>
                <w:szCs w:val="24"/>
                <w:lang w:val="en-US" w:eastAsia="zh-CN"/>
                <w14:textFill>
                  <w14:solidFill>
                    <w14:schemeClr w14:val="tx1"/>
                  </w14:solidFill>
                </w14:textFill>
              </w:rPr>
              <w:t>收集后存放在危险废物暂存间内，交由有危废处置资质的单位回收处置。</w:t>
            </w:r>
          </w:p>
          <w:p w14:paraId="4F59E33D">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④废含油抹布和手套</w:t>
            </w:r>
          </w:p>
          <w:p w14:paraId="62D52FB9">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在设备停机检修时会产生含油抹布和手套，根据建设单位提供资料，项目废含油抹布、手套产量约为0.01t/a，属于</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《国家危险废物名录》（2025年版）中的HW</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49</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其他废物，废物代码900-</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041</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49</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，经</w:t>
            </w:r>
            <w:r>
              <w:rPr>
                <w:rFonts w:hint="eastAsia" w:ascii="宋体" w:hAnsi="宋体" w:cs="宋体"/>
                <w:bCs/>
                <w:color w:val="000000" w:themeColor="text1"/>
                <w:spacing w:val="-10"/>
                <w:sz w:val="24"/>
                <w:szCs w:val="24"/>
                <w:lang w:val="en-US" w:eastAsia="zh-CN"/>
                <w14:textFill>
                  <w14:solidFill>
                    <w14:schemeClr w14:val="tx1"/>
                  </w14:solidFill>
                </w14:textFill>
              </w:rPr>
              <w:t>收集后存放在危险废物暂存间内，交由有危废处置资质的单位回收处置。</w:t>
            </w:r>
          </w:p>
          <w:p w14:paraId="63D3893E">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⑤废活性炭</w:t>
            </w:r>
          </w:p>
          <w:p w14:paraId="1ADAB9B0">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项目有机废气设置一套活性炭吸附装置，企业活性炭箱采用柱状活性炭，填充体积为0.8m³，本项目活性炭箱填充量为0.4t，每年更换一次，每次更换后废活性炭量为0.4t，</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属于</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《国家危险废物名录》（2025年版）中的HW49其他废物，废物代码900-039-49，经收集后存放在危险废物暂存间内，交由有危废处置资质的单位回收处置。</w:t>
            </w:r>
          </w:p>
          <w:p w14:paraId="46D1E87E">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（3）生活垃圾</w:t>
            </w:r>
          </w:p>
          <w:p w14:paraId="3CAAFEAD">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项目员工20人，每天人均生活垃圾产生量按0.35kg计，每天产生生活垃圾量7kg，年工作330天，预计生活垃圾产生量为2.31t/a。</w:t>
            </w:r>
            <w:r>
              <w:rPr>
                <w:rFonts w:hint="eastAsia" w:ascii="宋体" w:hAnsi="宋体" w:cs="宋体"/>
                <w:bCs/>
                <w:color w:val="000000" w:themeColor="text1"/>
                <w:spacing w:val="-10"/>
                <w:sz w:val="24"/>
                <w:szCs w:val="24"/>
                <w:lang w:val="en-US" w:eastAsia="zh-CN"/>
                <w14:textFill>
                  <w14:solidFill>
                    <w14:schemeClr w14:val="tx1"/>
                  </w14:solidFill>
                </w14:textFill>
              </w:rPr>
              <w:t>垃圾桶集中收集，由环卫部门统一处理。</w:t>
            </w:r>
          </w:p>
          <w:p w14:paraId="37B334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b/>
                <w:bCs w:val="0"/>
                <w:color w:val="000000" w:themeColor="text1"/>
                <w:spacing w:val="-10"/>
                <w:sz w:val="21"/>
                <w:szCs w:val="21"/>
                <w:lang w:val="en-US" w:eastAsia="zh-CN"/>
                <w14:textFill>
                  <w14:solidFill>
                    <w14:schemeClr w14:val="tx1"/>
                  </w14:solidFill>
                </w14:textFill>
              </w:rPr>
            </w:pPr>
          </w:p>
          <w:p w14:paraId="4A7EBE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b/>
                <w:bCs w:val="0"/>
                <w:color w:val="000000" w:themeColor="text1"/>
                <w:spacing w:val="-10"/>
                <w:sz w:val="21"/>
                <w:szCs w:val="21"/>
                <w:lang w:val="en-US" w:eastAsia="zh-CN"/>
                <w14:textFill>
                  <w14:solidFill>
                    <w14:schemeClr w14:val="tx1"/>
                  </w14:solidFill>
                </w14:textFill>
              </w:rPr>
            </w:pPr>
          </w:p>
          <w:p w14:paraId="3FE433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b/>
                <w:bCs w:val="0"/>
                <w:color w:val="000000" w:themeColor="text1"/>
                <w:spacing w:val="-10"/>
                <w:sz w:val="21"/>
                <w:szCs w:val="21"/>
                <w:lang w:val="en-US" w:eastAsia="zh-CN"/>
                <w14:textFill>
                  <w14:solidFill>
                    <w14:schemeClr w14:val="tx1"/>
                  </w14:solidFill>
                </w14:textFill>
              </w:rPr>
            </w:pPr>
          </w:p>
          <w:p w14:paraId="756011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val="0"/>
                <w:color w:val="000000" w:themeColor="text1"/>
                <w:spacing w:val="-10"/>
                <w:sz w:val="21"/>
                <w:szCs w:val="21"/>
                <w:lang w:val="en-US" w:eastAsia="zh-CN"/>
                <w14:textFill>
                  <w14:solidFill>
                    <w14:schemeClr w14:val="tx1"/>
                  </w14:solidFill>
                </w14:textFill>
              </w:rPr>
            </w:pPr>
            <w:r>
              <w:rPr>
                <w:rFonts w:hint="eastAsia" w:ascii="宋体" w:hAnsi="宋体" w:cs="宋体"/>
                <w:b/>
                <w:bCs w:val="0"/>
                <w:color w:val="000000" w:themeColor="text1"/>
                <w:spacing w:val="-10"/>
                <w:sz w:val="21"/>
                <w:szCs w:val="21"/>
                <w:lang w:val="en-US" w:eastAsia="zh-CN"/>
                <w14:textFill>
                  <w14:solidFill>
                    <w14:schemeClr w14:val="tx1"/>
                  </w14:solidFill>
                </w14:textFill>
              </w:rPr>
              <w:t>表4-13  固体废物产生排放一览表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196"/>
              <w:gridCol w:w="1519"/>
              <w:gridCol w:w="1290"/>
              <w:gridCol w:w="1125"/>
              <w:gridCol w:w="2052"/>
            </w:tblGrid>
            <w:tr w14:paraId="4EAC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454741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产污环节</w:t>
                  </w:r>
                </w:p>
              </w:tc>
              <w:tc>
                <w:tcPr>
                  <w:tcW w:w="1196" w:type="dxa"/>
                  <w:vAlign w:val="center"/>
                </w:tcPr>
                <w:p w14:paraId="0B0B16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搅拌</w:t>
                  </w:r>
                </w:p>
              </w:tc>
              <w:tc>
                <w:tcPr>
                  <w:tcW w:w="1519" w:type="dxa"/>
                  <w:vAlign w:val="center"/>
                </w:tcPr>
                <w:p w14:paraId="4965F4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机加</w:t>
                  </w:r>
                </w:p>
              </w:tc>
              <w:tc>
                <w:tcPr>
                  <w:tcW w:w="1290" w:type="dxa"/>
                  <w:vAlign w:val="center"/>
                </w:tcPr>
                <w:p w14:paraId="37ACA3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打磨</w:t>
                  </w:r>
                </w:p>
              </w:tc>
              <w:tc>
                <w:tcPr>
                  <w:tcW w:w="1125" w:type="dxa"/>
                  <w:vAlign w:val="center"/>
                </w:tcPr>
                <w:p w14:paraId="5D1DA7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废气处理</w:t>
                  </w:r>
                </w:p>
              </w:tc>
              <w:tc>
                <w:tcPr>
                  <w:tcW w:w="2052" w:type="dxa"/>
                  <w:vAlign w:val="center"/>
                </w:tcPr>
                <w:p w14:paraId="5C4EDD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搅拌</w:t>
                  </w:r>
                </w:p>
              </w:tc>
            </w:tr>
            <w:tr w14:paraId="2EC8B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05F6E3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名称</w:t>
                  </w:r>
                </w:p>
              </w:tc>
              <w:tc>
                <w:tcPr>
                  <w:tcW w:w="1196" w:type="dxa"/>
                  <w:vAlign w:val="center"/>
                </w:tcPr>
                <w:p w14:paraId="2051CF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纤维包装箱</w:t>
                  </w:r>
                </w:p>
              </w:tc>
              <w:tc>
                <w:tcPr>
                  <w:tcW w:w="1519" w:type="dxa"/>
                  <w:vAlign w:val="center"/>
                </w:tcPr>
                <w:p w14:paraId="77FF93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废边角料</w:t>
                  </w:r>
                </w:p>
              </w:tc>
              <w:tc>
                <w:tcPr>
                  <w:tcW w:w="1290" w:type="dxa"/>
                  <w:vAlign w:val="center"/>
                </w:tcPr>
                <w:p w14:paraId="69AA6D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收尘灰</w:t>
                  </w:r>
                </w:p>
              </w:tc>
              <w:tc>
                <w:tcPr>
                  <w:tcW w:w="1125" w:type="dxa"/>
                  <w:vAlign w:val="center"/>
                </w:tcPr>
                <w:p w14:paraId="18E4B0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活性炭箱</w:t>
                  </w:r>
                </w:p>
              </w:tc>
              <w:tc>
                <w:tcPr>
                  <w:tcW w:w="2052" w:type="dxa"/>
                  <w:vAlign w:val="center"/>
                </w:tcPr>
                <w:p w14:paraId="419199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废包装桶</w:t>
                  </w:r>
                </w:p>
              </w:tc>
            </w:tr>
            <w:tr w14:paraId="4299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54CA25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属性</w:t>
                  </w:r>
                </w:p>
              </w:tc>
              <w:tc>
                <w:tcPr>
                  <w:tcW w:w="5130" w:type="dxa"/>
                  <w:gridSpan w:val="4"/>
                  <w:vAlign w:val="center"/>
                </w:tcPr>
                <w:p w14:paraId="2B05C2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一般工业固废</w:t>
                  </w:r>
                </w:p>
              </w:tc>
              <w:tc>
                <w:tcPr>
                  <w:tcW w:w="2052" w:type="dxa"/>
                  <w:vAlign w:val="center"/>
                </w:tcPr>
                <w:p w14:paraId="645E6E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危险废物</w:t>
                  </w:r>
                </w:p>
              </w:tc>
            </w:tr>
            <w:tr w14:paraId="419E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764D45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废物类别及代码</w:t>
                  </w:r>
                </w:p>
              </w:tc>
              <w:tc>
                <w:tcPr>
                  <w:tcW w:w="1196" w:type="dxa"/>
                  <w:vAlign w:val="center"/>
                </w:tcPr>
                <w:p w14:paraId="7F2591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1519" w:type="dxa"/>
                  <w:vAlign w:val="center"/>
                </w:tcPr>
                <w:p w14:paraId="28EF0B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1290" w:type="dxa"/>
                  <w:vAlign w:val="center"/>
                </w:tcPr>
                <w:p w14:paraId="1B20B2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1125" w:type="dxa"/>
                  <w:vAlign w:val="center"/>
                </w:tcPr>
                <w:p w14:paraId="54EEC2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2052" w:type="dxa"/>
                  <w:vAlign w:val="center"/>
                </w:tcPr>
                <w:p w14:paraId="213EDE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HW49</w:t>
                  </w:r>
                  <w:r>
                    <w:rPr>
                      <w:rFonts w:hint="eastAsia" w:ascii="Times New Roman" w:hAnsi="Times New Roman" w:cs="Times New Roman"/>
                      <w:bCs/>
                      <w:color w:val="000000" w:themeColor="text1"/>
                      <w:spacing w:val="-10"/>
                      <w:sz w:val="21"/>
                      <w:szCs w:val="21"/>
                      <w:vertAlign w:val="baseline"/>
                      <w:lang w:val="en-US" w:eastAsia="zh-CN"/>
                      <w14:textFill>
                        <w14:solidFill>
                          <w14:schemeClr w14:val="tx1"/>
                        </w14:solidFill>
                      </w14:textFill>
                    </w:rPr>
                    <w:t xml:space="preserve">  </w:t>
                  </w: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900-041-49</w:t>
                  </w:r>
                </w:p>
              </w:tc>
            </w:tr>
            <w:tr w14:paraId="7D6C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0C8FA9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有毒有害物质名称</w:t>
                  </w:r>
                </w:p>
              </w:tc>
              <w:tc>
                <w:tcPr>
                  <w:tcW w:w="1196" w:type="dxa"/>
                  <w:vAlign w:val="center"/>
                </w:tcPr>
                <w:p w14:paraId="437C25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1519" w:type="dxa"/>
                  <w:vAlign w:val="center"/>
                </w:tcPr>
                <w:p w14:paraId="0A5646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1290" w:type="dxa"/>
                  <w:vAlign w:val="center"/>
                </w:tcPr>
                <w:p w14:paraId="30BF59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1125" w:type="dxa"/>
                  <w:vAlign w:val="center"/>
                </w:tcPr>
                <w:p w14:paraId="7EF72E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2052" w:type="dxa"/>
                  <w:vAlign w:val="center"/>
                </w:tcPr>
                <w:p w14:paraId="0F76AE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含有沾染环氧树脂、固化剂包装桶</w:t>
                  </w:r>
                </w:p>
              </w:tc>
            </w:tr>
            <w:tr w14:paraId="4873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3D908D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物理性状</w:t>
                  </w:r>
                </w:p>
              </w:tc>
              <w:tc>
                <w:tcPr>
                  <w:tcW w:w="1196" w:type="dxa"/>
                  <w:vAlign w:val="center"/>
                </w:tcPr>
                <w:p w14:paraId="1A16AC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固态</w:t>
                  </w:r>
                </w:p>
              </w:tc>
              <w:tc>
                <w:tcPr>
                  <w:tcW w:w="1519" w:type="dxa"/>
                  <w:vAlign w:val="center"/>
                </w:tcPr>
                <w:p w14:paraId="19384C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固态</w:t>
                  </w:r>
                </w:p>
              </w:tc>
              <w:tc>
                <w:tcPr>
                  <w:tcW w:w="1290" w:type="dxa"/>
                  <w:vAlign w:val="center"/>
                </w:tcPr>
                <w:p w14:paraId="602423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固态</w:t>
                  </w:r>
                </w:p>
              </w:tc>
              <w:tc>
                <w:tcPr>
                  <w:tcW w:w="1125" w:type="dxa"/>
                  <w:vAlign w:val="center"/>
                </w:tcPr>
                <w:p w14:paraId="7B5148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固态</w:t>
                  </w:r>
                </w:p>
              </w:tc>
              <w:tc>
                <w:tcPr>
                  <w:tcW w:w="2052" w:type="dxa"/>
                  <w:vAlign w:val="center"/>
                </w:tcPr>
                <w:p w14:paraId="65737E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固态</w:t>
                  </w:r>
                </w:p>
              </w:tc>
            </w:tr>
            <w:tr w14:paraId="20A9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6AA934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环境危险特性</w:t>
                  </w:r>
                </w:p>
              </w:tc>
              <w:tc>
                <w:tcPr>
                  <w:tcW w:w="1196" w:type="dxa"/>
                  <w:vAlign w:val="center"/>
                </w:tcPr>
                <w:p w14:paraId="2DD9B6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1519" w:type="dxa"/>
                  <w:vAlign w:val="center"/>
                </w:tcPr>
                <w:p w14:paraId="03609E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1290" w:type="dxa"/>
                  <w:vAlign w:val="center"/>
                </w:tcPr>
                <w:p w14:paraId="4545C0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1125" w:type="dxa"/>
                  <w:vAlign w:val="center"/>
                </w:tcPr>
                <w:p w14:paraId="41C137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2052" w:type="dxa"/>
                  <w:vAlign w:val="center"/>
                </w:tcPr>
                <w:p w14:paraId="1B6B9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T（毒性）</w:t>
                  </w:r>
                </w:p>
              </w:tc>
            </w:tr>
            <w:tr w14:paraId="51A0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4B691F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年产量（t/a）</w:t>
                  </w:r>
                </w:p>
              </w:tc>
              <w:tc>
                <w:tcPr>
                  <w:tcW w:w="1196" w:type="dxa"/>
                  <w:vAlign w:val="center"/>
                </w:tcPr>
                <w:p w14:paraId="4CF452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3kg/a</w:t>
                  </w:r>
                </w:p>
              </w:tc>
              <w:tc>
                <w:tcPr>
                  <w:tcW w:w="1519" w:type="dxa"/>
                  <w:vAlign w:val="center"/>
                </w:tcPr>
                <w:p w14:paraId="5461F9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1.04t/a</w:t>
                  </w:r>
                </w:p>
              </w:tc>
              <w:tc>
                <w:tcPr>
                  <w:tcW w:w="1290" w:type="dxa"/>
                  <w:vAlign w:val="center"/>
                </w:tcPr>
                <w:p w14:paraId="1A8BD6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75kg/a</w:t>
                  </w:r>
                </w:p>
              </w:tc>
              <w:tc>
                <w:tcPr>
                  <w:tcW w:w="1125" w:type="dxa"/>
                  <w:vAlign w:val="center"/>
                </w:tcPr>
                <w:p w14:paraId="224311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10"/>
                      <w:sz w:val="21"/>
                      <w:szCs w:val="21"/>
                      <w:lang w:val="en-US" w:eastAsia="zh-CN"/>
                      <w14:textFill>
                        <w14:solidFill>
                          <w14:schemeClr w14:val="tx1"/>
                        </w14:solidFill>
                      </w14:textFill>
                    </w:rPr>
                    <w:t>20kg/a</w:t>
                  </w:r>
                </w:p>
              </w:tc>
              <w:tc>
                <w:tcPr>
                  <w:tcW w:w="2052" w:type="dxa"/>
                  <w:vAlign w:val="center"/>
                </w:tcPr>
                <w:p w14:paraId="399528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28.5kg/a</w:t>
                  </w:r>
                </w:p>
              </w:tc>
            </w:tr>
            <w:tr w14:paraId="27D5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3FBCFD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贮存方式</w:t>
                  </w:r>
                </w:p>
              </w:tc>
              <w:tc>
                <w:tcPr>
                  <w:tcW w:w="1196" w:type="dxa"/>
                  <w:vAlign w:val="center"/>
                </w:tcPr>
                <w:p w14:paraId="767BE9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袋装</w:t>
                  </w:r>
                </w:p>
              </w:tc>
              <w:tc>
                <w:tcPr>
                  <w:tcW w:w="1519" w:type="dxa"/>
                  <w:vAlign w:val="center"/>
                </w:tcPr>
                <w:p w14:paraId="176590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袋装</w:t>
                  </w:r>
                </w:p>
              </w:tc>
              <w:tc>
                <w:tcPr>
                  <w:tcW w:w="1290" w:type="dxa"/>
                  <w:vAlign w:val="center"/>
                </w:tcPr>
                <w:p w14:paraId="1E5D59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袋装</w:t>
                  </w:r>
                </w:p>
              </w:tc>
              <w:tc>
                <w:tcPr>
                  <w:tcW w:w="1125" w:type="dxa"/>
                  <w:vAlign w:val="center"/>
                </w:tcPr>
                <w:p w14:paraId="083134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堆存</w:t>
                  </w:r>
                </w:p>
              </w:tc>
              <w:tc>
                <w:tcPr>
                  <w:tcW w:w="2052" w:type="dxa"/>
                  <w:vAlign w:val="center"/>
                </w:tcPr>
                <w:p w14:paraId="09C949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堆存</w:t>
                  </w:r>
                </w:p>
              </w:tc>
            </w:tr>
            <w:tr w14:paraId="02D6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7A4DBB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利用处置方式和去向</w:t>
                  </w:r>
                </w:p>
              </w:tc>
              <w:tc>
                <w:tcPr>
                  <w:tcW w:w="5130" w:type="dxa"/>
                  <w:gridSpan w:val="4"/>
                  <w:vAlign w:val="center"/>
                </w:tcPr>
                <w:p w14:paraId="137A57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贮存于车间内一般工业固废暂存区，定期外售物资回收公司</w:t>
                  </w:r>
                </w:p>
              </w:tc>
              <w:tc>
                <w:tcPr>
                  <w:tcW w:w="2052" w:type="dxa"/>
                  <w:vAlign w:val="center"/>
                </w:tcPr>
                <w:p w14:paraId="0F1620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贮存于危废间，定期交由有资质单位处置</w:t>
                  </w:r>
                </w:p>
              </w:tc>
            </w:tr>
            <w:tr w14:paraId="076D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75667D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利用或处置量</w:t>
                  </w:r>
                </w:p>
              </w:tc>
              <w:tc>
                <w:tcPr>
                  <w:tcW w:w="1196" w:type="dxa"/>
                  <w:shd w:val="clear" w:color="auto" w:fill="auto"/>
                  <w:vAlign w:val="center"/>
                </w:tcPr>
                <w:p w14:paraId="1B045D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3kg/a</w:t>
                  </w:r>
                </w:p>
              </w:tc>
              <w:tc>
                <w:tcPr>
                  <w:tcW w:w="1519" w:type="dxa"/>
                  <w:shd w:val="clear" w:color="auto" w:fill="auto"/>
                  <w:vAlign w:val="center"/>
                </w:tcPr>
                <w:p w14:paraId="54719F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1.04t/a</w:t>
                  </w:r>
                </w:p>
              </w:tc>
              <w:tc>
                <w:tcPr>
                  <w:tcW w:w="1290" w:type="dxa"/>
                  <w:shd w:val="clear" w:color="auto" w:fill="auto"/>
                  <w:vAlign w:val="center"/>
                </w:tcPr>
                <w:p w14:paraId="5A40A5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75kg/a</w:t>
                  </w:r>
                </w:p>
              </w:tc>
              <w:tc>
                <w:tcPr>
                  <w:tcW w:w="1125" w:type="dxa"/>
                  <w:shd w:val="clear" w:color="auto" w:fill="auto"/>
                  <w:vAlign w:val="center"/>
                </w:tcPr>
                <w:p w14:paraId="19193D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color w:val="000000" w:themeColor="text1"/>
                      <w:spacing w:val="-10"/>
                      <w:sz w:val="21"/>
                      <w:szCs w:val="21"/>
                      <w:lang w:val="en-US" w:eastAsia="zh-CN"/>
                      <w14:textFill>
                        <w14:solidFill>
                          <w14:schemeClr w14:val="tx1"/>
                        </w14:solidFill>
                      </w14:textFill>
                    </w:rPr>
                    <w:t>20kg/a</w:t>
                  </w:r>
                </w:p>
              </w:tc>
              <w:tc>
                <w:tcPr>
                  <w:tcW w:w="2052" w:type="dxa"/>
                  <w:vAlign w:val="center"/>
                </w:tcPr>
                <w:p w14:paraId="5A28B5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28.5kg/a</w:t>
                  </w:r>
                </w:p>
              </w:tc>
            </w:tr>
          </w:tbl>
          <w:p w14:paraId="00CE12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val="0"/>
                <w:color w:val="000000" w:themeColor="text1"/>
                <w:spacing w:val="-10"/>
                <w:sz w:val="21"/>
                <w:szCs w:val="21"/>
                <w:lang w:val="en-US" w:eastAsia="zh-CN"/>
                <w14:textFill>
                  <w14:solidFill>
                    <w14:schemeClr w14:val="tx1"/>
                  </w14:solidFill>
                </w14:textFill>
              </w:rPr>
            </w:pPr>
            <w:r>
              <w:rPr>
                <w:rFonts w:hint="eastAsia" w:ascii="宋体" w:hAnsi="宋体" w:cs="宋体"/>
                <w:b/>
                <w:bCs w:val="0"/>
                <w:color w:val="000000" w:themeColor="text1"/>
                <w:spacing w:val="-10"/>
                <w:sz w:val="21"/>
                <w:szCs w:val="21"/>
                <w:lang w:val="en-US" w:eastAsia="zh-CN"/>
                <w14:textFill>
                  <w14:solidFill>
                    <w14:schemeClr w14:val="tx1"/>
                  </w14:solidFill>
                </w14:textFill>
              </w:rPr>
              <w:t>续表4-13  固体废物产生排放一览表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831"/>
              <w:gridCol w:w="1785"/>
              <w:gridCol w:w="1800"/>
              <w:gridCol w:w="1437"/>
            </w:tblGrid>
            <w:tr w14:paraId="667D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auto"/>
                  <w:vAlign w:val="center"/>
                </w:tcPr>
                <w:p w14:paraId="7717C2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产污环节</w:t>
                  </w:r>
                </w:p>
              </w:tc>
              <w:tc>
                <w:tcPr>
                  <w:tcW w:w="5416" w:type="dxa"/>
                  <w:gridSpan w:val="3"/>
                  <w:vAlign w:val="center"/>
                </w:tcPr>
                <w:p w14:paraId="4D8306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设备维修保养</w:t>
                  </w:r>
                </w:p>
              </w:tc>
              <w:tc>
                <w:tcPr>
                  <w:tcW w:w="1437" w:type="dxa"/>
                  <w:vAlign w:val="center"/>
                </w:tcPr>
                <w:p w14:paraId="2BCAC0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废气处理</w:t>
                  </w:r>
                </w:p>
              </w:tc>
            </w:tr>
            <w:tr w14:paraId="0501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auto"/>
                  <w:vAlign w:val="center"/>
                </w:tcPr>
                <w:p w14:paraId="5029DC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名称</w:t>
                  </w:r>
                </w:p>
              </w:tc>
              <w:tc>
                <w:tcPr>
                  <w:tcW w:w="1831" w:type="dxa"/>
                  <w:vAlign w:val="center"/>
                </w:tcPr>
                <w:p w14:paraId="576024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废机油</w:t>
                  </w:r>
                </w:p>
              </w:tc>
              <w:tc>
                <w:tcPr>
                  <w:tcW w:w="1785" w:type="dxa"/>
                  <w:vAlign w:val="center"/>
                </w:tcPr>
                <w:p w14:paraId="72B0D1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废机油桶</w:t>
                  </w:r>
                </w:p>
              </w:tc>
              <w:tc>
                <w:tcPr>
                  <w:tcW w:w="1800" w:type="dxa"/>
                  <w:vAlign w:val="center"/>
                </w:tcPr>
                <w:p w14:paraId="00222B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含油废抹布、手套</w:t>
                  </w:r>
                </w:p>
              </w:tc>
              <w:tc>
                <w:tcPr>
                  <w:tcW w:w="1437" w:type="dxa"/>
                  <w:vAlign w:val="center"/>
                </w:tcPr>
                <w:p w14:paraId="6AE210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废活性炭</w:t>
                  </w:r>
                </w:p>
              </w:tc>
            </w:tr>
            <w:tr w14:paraId="0E94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auto"/>
                  <w:vAlign w:val="center"/>
                </w:tcPr>
                <w:p w14:paraId="76E4B1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属性</w:t>
                  </w:r>
                </w:p>
              </w:tc>
              <w:tc>
                <w:tcPr>
                  <w:tcW w:w="6853" w:type="dxa"/>
                  <w:gridSpan w:val="4"/>
                  <w:vAlign w:val="center"/>
                </w:tcPr>
                <w:p w14:paraId="6D23CA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危险废物</w:t>
                  </w:r>
                </w:p>
              </w:tc>
            </w:tr>
            <w:tr w14:paraId="2FAF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auto"/>
                  <w:vAlign w:val="center"/>
                </w:tcPr>
                <w:p w14:paraId="3F8C05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废物类别</w:t>
                  </w:r>
                </w:p>
                <w:p w14:paraId="70B3D8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及代码</w:t>
                  </w:r>
                </w:p>
              </w:tc>
              <w:tc>
                <w:tcPr>
                  <w:tcW w:w="1831" w:type="dxa"/>
                  <w:vAlign w:val="center"/>
                </w:tcPr>
                <w:p w14:paraId="4CF5DC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HW08  900-217-08</w:t>
                  </w:r>
                </w:p>
              </w:tc>
              <w:tc>
                <w:tcPr>
                  <w:tcW w:w="3585" w:type="dxa"/>
                  <w:gridSpan w:val="2"/>
                  <w:vAlign w:val="center"/>
                </w:tcPr>
                <w:p w14:paraId="20643E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HW49  900-041-49</w:t>
                  </w:r>
                </w:p>
              </w:tc>
              <w:tc>
                <w:tcPr>
                  <w:tcW w:w="1437" w:type="dxa"/>
                  <w:vAlign w:val="center"/>
                </w:tcPr>
                <w:p w14:paraId="63AE32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HW49  900-039-49</w:t>
                  </w:r>
                </w:p>
              </w:tc>
            </w:tr>
            <w:tr w14:paraId="26D0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auto"/>
                  <w:vAlign w:val="center"/>
                </w:tcPr>
                <w:p w14:paraId="072002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有毒有害</w:t>
                  </w:r>
                </w:p>
                <w:p w14:paraId="709C96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物质名称</w:t>
                  </w:r>
                </w:p>
              </w:tc>
              <w:tc>
                <w:tcPr>
                  <w:tcW w:w="1831" w:type="dxa"/>
                  <w:vAlign w:val="center"/>
                </w:tcPr>
                <w:p w14:paraId="3AB2BB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机械设备润滑过程中产生的废机油</w:t>
                  </w:r>
                </w:p>
              </w:tc>
              <w:tc>
                <w:tcPr>
                  <w:tcW w:w="3585" w:type="dxa"/>
                  <w:gridSpan w:val="2"/>
                  <w:vAlign w:val="center"/>
                </w:tcPr>
                <w:p w14:paraId="418E20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沾染毒性、感染性的废气包装物</w:t>
                  </w:r>
                </w:p>
              </w:tc>
              <w:tc>
                <w:tcPr>
                  <w:tcW w:w="1437" w:type="dxa"/>
                  <w:vAlign w:val="center"/>
                </w:tcPr>
                <w:p w14:paraId="17C072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有机废气治理过程产生的废活性炭</w:t>
                  </w:r>
                </w:p>
              </w:tc>
            </w:tr>
            <w:tr w14:paraId="1A48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auto"/>
                  <w:vAlign w:val="center"/>
                </w:tcPr>
                <w:p w14:paraId="72F019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物理性状</w:t>
                  </w:r>
                </w:p>
              </w:tc>
              <w:tc>
                <w:tcPr>
                  <w:tcW w:w="1831" w:type="dxa"/>
                  <w:vAlign w:val="center"/>
                </w:tcPr>
                <w:p w14:paraId="212B64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液态</w:t>
                  </w:r>
                </w:p>
              </w:tc>
              <w:tc>
                <w:tcPr>
                  <w:tcW w:w="1785" w:type="dxa"/>
                  <w:vAlign w:val="center"/>
                </w:tcPr>
                <w:p w14:paraId="018637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固态</w:t>
                  </w:r>
                </w:p>
              </w:tc>
              <w:tc>
                <w:tcPr>
                  <w:tcW w:w="1800" w:type="dxa"/>
                  <w:vAlign w:val="center"/>
                </w:tcPr>
                <w:p w14:paraId="7F3D23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固态</w:t>
                  </w:r>
                </w:p>
              </w:tc>
              <w:tc>
                <w:tcPr>
                  <w:tcW w:w="1437" w:type="dxa"/>
                  <w:vAlign w:val="center"/>
                </w:tcPr>
                <w:p w14:paraId="642C58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固态</w:t>
                  </w:r>
                </w:p>
              </w:tc>
            </w:tr>
            <w:tr w14:paraId="2D4B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auto"/>
                  <w:vAlign w:val="center"/>
                </w:tcPr>
                <w:p w14:paraId="7E3515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环境危险特性</w:t>
                  </w:r>
                </w:p>
              </w:tc>
              <w:tc>
                <w:tcPr>
                  <w:tcW w:w="1831" w:type="dxa"/>
                  <w:vAlign w:val="center"/>
                </w:tcPr>
                <w:p w14:paraId="5A31FD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T/I（毒性、易燃）</w:t>
                  </w:r>
                </w:p>
              </w:tc>
              <w:tc>
                <w:tcPr>
                  <w:tcW w:w="1785" w:type="dxa"/>
                  <w:vAlign w:val="center"/>
                </w:tcPr>
                <w:p w14:paraId="0AB06A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T/I（毒性、易燃）</w:t>
                  </w:r>
                </w:p>
              </w:tc>
              <w:tc>
                <w:tcPr>
                  <w:tcW w:w="1800" w:type="dxa"/>
                  <w:vAlign w:val="center"/>
                </w:tcPr>
                <w:p w14:paraId="3CB59D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T/In（毒性、感染性）</w:t>
                  </w:r>
                </w:p>
              </w:tc>
              <w:tc>
                <w:tcPr>
                  <w:tcW w:w="1437" w:type="dxa"/>
                  <w:vAlign w:val="center"/>
                </w:tcPr>
                <w:p w14:paraId="70E424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T（毒性）</w:t>
                  </w:r>
                </w:p>
              </w:tc>
            </w:tr>
            <w:tr w14:paraId="31A2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auto"/>
                  <w:vAlign w:val="center"/>
                </w:tcPr>
                <w:p w14:paraId="762AA4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年产量（t/a）</w:t>
                  </w:r>
                </w:p>
              </w:tc>
              <w:tc>
                <w:tcPr>
                  <w:tcW w:w="1831" w:type="dxa"/>
                  <w:vAlign w:val="center"/>
                </w:tcPr>
                <w:p w14:paraId="727E6C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0.1</w:t>
                  </w:r>
                </w:p>
              </w:tc>
              <w:tc>
                <w:tcPr>
                  <w:tcW w:w="1785" w:type="dxa"/>
                  <w:vAlign w:val="center"/>
                </w:tcPr>
                <w:p w14:paraId="3D94F0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21kg/a</w:t>
                  </w:r>
                </w:p>
              </w:tc>
              <w:tc>
                <w:tcPr>
                  <w:tcW w:w="1800" w:type="dxa"/>
                  <w:vAlign w:val="center"/>
                </w:tcPr>
                <w:p w14:paraId="3F6B68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0.01</w:t>
                  </w:r>
                </w:p>
              </w:tc>
              <w:tc>
                <w:tcPr>
                  <w:tcW w:w="1437" w:type="dxa"/>
                  <w:vAlign w:val="center"/>
                </w:tcPr>
                <w:p w14:paraId="6E75F5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0.4</w:t>
                  </w:r>
                </w:p>
              </w:tc>
            </w:tr>
            <w:tr w14:paraId="0A4B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auto"/>
                  <w:vAlign w:val="center"/>
                </w:tcPr>
                <w:p w14:paraId="0A06E9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贮存方式</w:t>
                  </w:r>
                </w:p>
              </w:tc>
              <w:tc>
                <w:tcPr>
                  <w:tcW w:w="1831" w:type="dxa"/>
                  <w:vAlign w:val="center"/>
                </w:tcPr>
                <w:p w14:paraId="10DAB0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桶装</w:t>
                  </w:r>
                </w:p>
              </w:tc>
              <w:tc>
                <w:tcPr>
                  <w:tcW w:w="5022" w:type="dxa"/>
                  <w:gridSpan w:val="3"/>
                  <w:vAlign w:val="center"/>
                </w:tcPr>
                <w:p w14:paraId="45E3B1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桶装</w:t>
                  </w:r>
                </w:p>
              </w:tc>
            </w:tr>
            <w:tr w14:paraId="11F7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auto"/>
                  <w:vAlign w:val="center"/>
                </w:tcPr>
                <w:p w14:paraId="0DFFD0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利用处置方</w:t>
                  </w:r>
                </w:p>
                <w:p w14:paraId="44CEDD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式和去向</w:t>
                  </w:r>
                </w:p>
              </w:tc>
              <w:tc>
                <w:tcPr>
                  <w:tcW w:w="6853" w:type="dxa"/>
                  <w:gridSpan w:val="4"/>
                  <w:vAlign w:val="center"/>
                </w:tcPr>
                <w:p w14:paraId="62ACFB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贮存于车间内危险废物暂存间，定期交由有资质单位回收处置</w:t>
                  </w:r>
                </w:p>
              </w:tc>
            </w:tr>
            <w:tr w14:paraId="0594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auto"/>
                  <w:vAlign w:val="center"/>
                </w:tcPr>
                <w:p w14:paraId="679CCE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000000" w:themeColor="text1"/>
                      <w:spacing w:val="-10"/>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利用或处置量（t/a）</w:t>
                  </w:r>
                </w:p>
              </w:tc>
              <w:tc>
                <w:tcPr>
                  <w:tcW w:w="1831" w:type="dxa"/>
                  <w:vAlign w:val="center"/>
                </w:tcPr>
                <w:p w14:paraId="0B98F6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0.1</w:t>
                  </w:r>
                </w:p>
              </w:tc>
              <w:tc>
                <w:tcPr>
                  <w:tcW w:w="1785" w:type="dxa"/>
                  <w:vAlign w:val="center"/>
                </w:tcPr>
                <w:p w14:paraId="6A91D1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21kg/a</w:t>
                  </w:r>
                </w:p>
              </w:tc>
              <w:tc>
                <w:tcPr>
                  <w:tcW w:w="1800" w:type="dxa"/>
                  <w:vAlign w:val="center"/>
                </w:tcPr>
                <w:p w14:paraId="680D2A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0.01</w:t>
                  </w:r>
                </w:p>
              </w:tc>
              <w:tc>
                <w:tcPr>
                  <w:tcW w:w="1437" w:type="dxa"/>
                  <w:vAlign w:val="center"/>
                </w:tcPr>
                <w:p w14:paraId="6F9CEE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0.4</w:t>
                  </w:r>
                </w:p>
              </w:tc>
            </w:tr>
          </w:tbl>
          <w:p w14:paraId="6970936B">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4.2环境管理要求</w:t>
            </w:r>
          </w:p>
          <w:p w14:paraId="2AFE2341">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（1）管理现状</w:t>
            </w:r>
          </w:p>
          <w:p w14:paraId="65F4D185">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①一般工业固废贮存场所</w:t>
            </w:r>
          </w:p>
          <w:p w14:paraId="77D61497">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现有一般工业固废贮存区位于生产车间</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西北角</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，面积</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12</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m</w:t>
            </w:r>
            <w:r>
              <w:rPr>
                <w:rFonts w:hint="default" w:ascii="Times New Roman" w:hAnsi="Times New Roman" w:cs="Times New Roman"/>
                <w:bCs/>
                <w:color w:val="000000" w:themeColor="text1"/>
                <w:spacing w:val="-10"/>
                <w:sz w:val="24"/>
                <w:szCs w:val="24"/>
                <w:vertAlign w:val="superscript"/>
                <w:lang w:val="en-US" w:eastAsia="zh-CN"/>
                <w14:textFill>
                  <w14:solidFill>
                    <w14:schemeClr w14:val="tx1"/>
                  </w14:solidFill>
                </w14:textFill>
              </w:rPr>
              <w:t>2</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暂存废包装物、切割边角料，原有项目一般工业固废最大暂存量为28kg，暂存方式为袋装、堆积，最大使用面积2</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m</w:t>
            </w:r>
            <w:r>
              <w:rPr>
                <w:rFonts w:hint="default" w:ascii="Times New Roman" w:hAnsi="Times New Roman" w:cs="Times New Roman"/>
                <w:bCs/>
                <w:color w:val="000000" w:themeColor="text1"/>
                <w:spacing w:val="-10"/>
                <w:sz w:val="24"/>
                <w:szCs w:val="24"/>
                <w:vertAlign w:val="superscript"/>
                <w:lang w:val="en-US" w:eastAsia="zh-CN"/>
                <w14:textFill>
                  <w14:solidFill>
                    <w14:schemeClr w14:val="tx1"/>
                  </w14:solidFill>
                </w14:textFill>
              </w:rPr>
              <w:t>2</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，一般固废储存区已通过竣工环境保护验收。</w:t>
            </w:r>
          </w:p>
          <w:p w14:paraId="509446A5">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本项目在生产车间东南角新建1处一般工业固废暂存区，面积53.3</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m</w:t>
            </w:r>
            <w:r>
              <w:rPr>
                <w:rFonts w:hint="default" w:ascii="Times New Roman" w:hAnsi="Times New Roman" w:cs="Times New Roman"/>
                <w:bCs/>
                <w:color w:val="000000" w:themeColor="text1"/>
                <w:spacing w:val="-10"/>
                <w:sz w:val="24"/>
                <w:szCs w:val="24"/>
                <w:vertAlign w:val="superscript"/>
                <w:lang w:val="en-US" w:eastAsia="zh-CN"/>
                <w14:textFill>
                  <w14:solidFill>
                    <w14:schemeClr w14:val="tx1"/>
                  </w14:solidFill>
                </w14:textFill>
              </w:rPr>
              <w:t>2</w:t>
            </w:r>
            <w:r>
              <w:rPr>
                <w:rFonts w:hint="eastAsia" w:ascii="Times New Roman" w:hAnsi="Times New Roman" w:cs="Times New Roman"/>
                <w:bCs/>
                <w:color w:val="000000" w:themeColor="text1"/>
                <w:spacing w:val="-10"/>
                <w:sz w:val="24"/>
                <w:szCs w:val="24"/>
                <w:vertAlign w:val="baseline"/>
                <w:lang w:val="en-US" w:eastAsia="zh-CN"/>
                <w14:textFill>
                  <w14:solidFill>
                    <w14:schemeClr w14:val="tx1"/>
                  </w14:solidFill>
                </w14:textFill>
              </w:rPr>
              <w:t>，产生的废包装袋、边角料、收尘灰、活性炭箱合计最大暂存量为1.138t，暂存方式为袋装、桶装、堆存，最大使用面积5</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m</w:t>
            </w:r>
            <w:r>
              <w:rPr>
                <w:rFonts w:hint="default" w:ascii="Times New Roman" w:hAnsi="Times New Roman" w:cs="Times New Roman"/>
                <w:bCs/>
                <w:color w:val="000000" w:themeColor="text1"/>
                <w:spacing w:val="-10"/>
                <w:sz w:val="24"/>
                <w:szCs w:val="24"/>
                <w:vertAlign w:val="superscript"/>
                <w:lang w:val="en-US" w:eastAsia="zh-CN"/>
                <w14:textFill>
                  <w14:solidFill>
                    <w14:schemeClr w14:val="tx1"/>
                  </w14:solidFill>
                </w14:textFill>
              </w:rPr>
              <w:t>2</w:t>
            </w:r>
            <w:r>
              <w:rPr>
                <w:rFonts w:hint="eastAsia" w:ascii="Times New Roman" w:hAnsi="Times New Roman" w:cs="Times New Roman"/>
                <w:bCs/>
                <w:color w:val="000000" w:themeColor="text1"/>
                <w:spacing w:val="-10"/>
                <w:sz w:val="24"/>
                <w:szCs w:val="24"/>
                <w:vertAlign w:val="baseline"/>
                <w:lang w:val="en-US" w:eastAsia="zh-CN"/>
                <w14:textFill>
                  <w14:solidFill>
                    <w14:schemeClr w14:val="tx1"/>
                  </w14:solidFill>
                </w14:textFill>
              </w:rPr>
              <w:t>，转运频次为1次/年。</w:t>
            </w:r>
          </w:p>
          <w:p w14:paraId="398E9A8F">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②危险废物贮存场所</w:t>
            </w:r>
          </w:p>
          <w:p w14:paraId="07B58144">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eastAsiaTheme="minorEastAsia"/>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现有危废间位于生产厂房西南角，面积11.76</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m</w:t>
            </w:r>
            <w:r>
              <w:rPr>
                <w:rFonts w:hint="default" w:ascii="Times New Roman" w:hAnsi="Times New Roman" w:cs="Times New Roman"/>
                <w:bCs/>
                <w:color w:val="000000" w:themeColor="text1"/>
                <w:spacing w:val="-10"/>
                <w:sz w:val="24"/>
                <w:szCs w:val="24"/>
                <w:vertAlign w:val="superscript"/>
                <w:lang w:val="en-US" w:eastAsia="zh-CN"/>
                <w14:textFill>
                  <w14:solidFill>
                    <w14:schemeClr w14:val="tx1"/>
                  </w14:solidFill>
                </w14:textFill>
              </w:rPr>
              <w:t>2</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暂存废油桶及废机油、废原料桶、废树脂类，合计最大暂存量68.5kg/a，暂存方式为桶装，最大使用面积2</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m</w:t>
            </w:r>
            <w:r>
              <w:rPr>
                <w:rFonts w:hint="default" w:ascii="Times New Roman" w:hAnsi="Times New Roman" w:cs="Times New Roman"/>
                <w:bCs/>
                <w:color w:val="000000" w:themeColor="text1"/>
                <w:spacing w:val="-10"/>
                <w:sz w:val="24"/>
                <w:szCs w:val="24"/>
                <w:vertAlign w:val="superscript"/>
                <w:lang w:val="en-US" w:eastAsia="zh-CN"/>
                <w14:textFill>
                  <w14:solidFill>
                    <w14:schemeClr w14:val="tx1"/>
                  </w14:solidFill>
                </w14:textFill>
              </w:rPr>
              <w:t>2</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危废间已分区，收集桶下部设置托盘，危险废物暂存间已通过竣工环境保护验收，按要求设置转运联单，并委托</w:t>
            </w:r>
            <w:r>
              <w:rPr>
                <w:rFonts w:hint="eastAsia" w:ascii="Times New Roman" w:hAnsiTheme="minorEastAsia" w:eastAsiaTheme="minorEastAsia"/>
                <w:color w:val="000000" w:themeColor="text1"/>
                <w:sz w:val="24"/>
                <w:szCs w:val="24"/>
                <w14:textFill>
                  <w14:solidFill>
                    <w14:schemeClr w14:val="tx1"/>
                  </w14:solidFill>
                </w14:textFill>
              </w:rPr>
              <w:t>千阳海创环保科技有限责任公司</w:t>
            </w:r>
            <w:r>
              <w:rPr>
                <w:rFonts w:hint="eastAsia" w:ascii="Times New Roman" w:hAnsiTheme="minorEastAsia"/>
                <w:color w:val="000000" w:themeColor="text1"/>
                <w:sz w:val="24"/>
                <w:szCs w:val="24"/>
                <w:lang w:val="en-US" w:eastAsia="zh-CN"/>
                <w14:textFill>
                  <w14:solidFill>
                    <w14:schemeClr w14:val="tx1"/>
                  </w14:solidFill>
                </w14:textFill>
              </w:rPr>
              <w:t>进行处置。</w:t>
            </w:r>
          </w:p>
          <w:p w14:paraId="62CEECC1">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本项目危废依托原有危废间，剩余9.76</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m</w:t>
            </w:r>
            <w:r>
              <w:rPr>
                <w:rFonts w:hint="default" w:ascii="Times New Roman" w:hAnsi="Times New Roman" w:cs="Times New Roman"/>
                <w:bCs/>
                <w:color w:val="000000" w:themeColor="text1"/>
                <w:spacing w:val="-10"/>
                <w:sz w:val="24"/>
                <w:szCs w:val="24"/>
                <w:vertAlign w:val="superscript"/>
                <w:lang w:val="en-US" w:eastAsia="zh-CN"/>
                <w14:textFill>
                  <w14:solidFill>
                    <w14:schemeClr w14:val="tx1"/>
                  </w14:solidFill>
                </w14:textFill>
              </w:rPr>
              <w:t>2</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产生的环氧树脂桶、废机油及废机油桶、含油废抹布手套、废活性炭最大暂存量为5.595t/a，暂存方式为桶装，最大使用面积5</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m</w:t>
            </w:r>
            <w:r>
              <w:rPr>
                <w:rFonts w:hint="default" w:ascii="Times New Roman" w:hAnsi="Times New Roman" w:cs="Times New Roman"/>
                <w:bCs/>
                <w:color w:val="000000" w:themeColor="text1"/>
                <w:spacing w:val="-10"/>
                <w:sz w:val="24"/>
                <w:szCs w:val="24"/>
                <w:vertAlign w:val="superscript"/>
                <w:lang w:val="en-US" w:eastAsia="zh-CN"/>
                <w14:textFill>
                  <w14:solidFill>
                    <w14:schemeClr w14:val="tx1"/>
                  </w14:solidFill>
                </w14:textFill>
              </w:rPr>
              <w:t>2</w:t>
            </w:r>
            <w:r>
              <w:rPr>
                <w:rFonts w:hint="eastAsia" w:ascii="Times New Roman" w:hAnsi="Times New Roman" w:cs="Times New Roman"/>
                <w:bCs/>
                <w:color w:val="000000" w:themeColor="text1"/>
                <w:spacing w:val="-10"/>
                <w:sz w:val="24"/>
                <w:szCs w:val="24"/>
                <w:vertAlign w:val="baseline"/>
                <w:lang w:val="en-US" w:eastAsia="zh-CN"/>
                <w14:textFill>
                  <w14:solidFill>
                    <w14:schemeClr w14:val="tx1"/>
                  </w14:solidFill>
                </w14:textFill>
              </w:rPr>
              <w:t>，依托可行。</w:t>
            </w:r>
          </w:p>
          <w:p w14:paraId="3BE7B762">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③生活垃圾</w:t>
            </w:r>
          </w:p>
          <w:p w14:paraId="4CC501C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本项目依托原有生活垃圾桶进行收集贮存，定期交由环卫部门清运。</w:t>
            </w:r>
          </w:p>
          <w:p w14:paraId="0E7680B4">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5、地下水及土壤环境</w:t>
            </w:r>
          </w:p>
          <w:p w14:paraId="7685CB19">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（1）地下水</w:t>
            </w:r>
          </w:p>
          <w:p w14:paraId="74481E05">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本项目生产车间及原料和成品堆放区等地面均已进行水泥硬化处理，本评价要求加强日常环境管理、日常巡查，严格控制设备和管道的跑、冒、滴、漏现象，本项目严格执行本评价提出的各项措施后，不存在地下水环境污染途径。</w:t>
            </w:r>
          </w:p>
          <w:p w14:paraId="48AF43FC">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（2）土壤</w:t>
            </w:r>
          </w:p>
          <w:p w14:paraId="4D275D51">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本项目生产车间、原料和成品堆放区均已做硬化处理，做到了地面平整无裂缝，不渗水、不吸水、防腐、防滑，并进行封闭式生产，本项目不存在土壤环境污染途径。</w:t>
            </w:r>
          </w:p>
          <w:p w14:paraId="46E1E0F7">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宋体" w:hAnsi="宋体" w:cs="宋体"/>
                <w:b/>
                <w:bCs w:val="0"/>
                <w:color w:val="000000" w:themeColor="text1"/>
                <w:spacing w:val="-10"/>
                <w:sz w:val="24"/>
                <w:szCs w:val="24"/>
                <w:lang w:val="en-US" w:eastAsia="zh-CN"/>
                <w14:textFill>
                  <w14:solidFill>
                    <w14:schemeClr w14:val="tx1"/>
                  </w14:solidFill>
                </w14:textFill>
              </w:rPr>
            </w:pPr>
            <w:r>
              <w:rPr>
                <w:rFonts w:hint="eastAsia" w:ascii="宋体" w:hAnsi="宋体" w:cs="宋体"/>
                <w:b/>
                <w:bCs w:val="0"/>
                <w:color w:val="000000" w:themeColor="text1"/>
                <w:spacing w:val="-10"/>
                <w:sz w:val="24"/>
                <w:szCs w:val="24"/>
                <w:lang w:val="en-US" w:eastAsia="zh-CN"/>
                <w14:textFill>
                  <w14:solidFill>
                    <w14:schemeClr w14:val="tx1"/>
                  </w14:solidFill>
                </w14:textFill>
              </w:rPr>
              <w:t>6、环境风险</w:t>
            </w:r>
          </w:p>
          <w:p w14:paraId="57805C2D">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（1）环境风险识别</w:t>
            </w:r>
          </w:p>
          <w:p w14:paraId="2AE76998">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default" w:ascii="宋体" w:hAnsi="宋体" w:cs="宋体"/>
                <w:bCs/>
                <w:color w:val="000000" w:themeColor="text1"/>
                <w:spacing w:val="-10"/>
                <w:sz w:val="24"/>
                <w:szCs w:val="24"/>
                <w:lang w:val="en-US" w:eastAsia="zh-CN"/>
                <w14:textFill>
                  <w14:solidFill>
                    <w14:schemeClr w14:val="tx1"/>
                  </w14:solidFill>
                </w14:textFill>
              </w:rPr>
              <w:t>根据本项目所使用的主要原辅料、中间产品、最终产品以及生产过程排放的“三废”污染物情况，经查阅《建设项目环境风险评价技术导则》（</w:t>
            </w:r>
            <w:r>
              <w:rPr>
                <w:rFonts w:hint="eastAsia" w:ascii="宋体" w:hAnsi="宋体" w:cs="宋体"/>
                <w:bCs/>
                <w:color w:val="000000" w:themeColor="text1"/>
                <w:spacing w:val="-10"/>
                <w:sz w:val="24"/>
                <w:szCs w:val="24"/>
                <w:lang w:val="en-US" w:eastAsia="zh-CN"/>
                <w14:textFill>
                  <w14:solidFill>
                    <w14:schemeClr w14:val="tx1"/>
                  </w14:solidFill>
                </w14:textFill>
              </w:rPr>
              <w:t>HJ 169-2018</w:t>
            </w:r>
            <w:r>
              <w:rPr>
                <w:rFonts w:hint="default" w:ascii="宋体" w:hAnsi="宋体" w:cs="宋体"/>
                <w:bCs/>
                <w:color w:val="000000" w:themeColor="text1"/>
                <w:spacing w:val="-10"/>
                <w:sz w:val="24"/>
                <w:szCs w:val="24"/>
                <w:lang w:val="en-US" w:eastAsia="zh-CN"/>
                <w14:textFill>
                  <w14:solidFill>
                    <w14:schemeClr w14:val="tx1"/>
                  </w14:solidFill>
                </w14:textFill>
              </w:rPr>
              <w:t>）附录B可知，项目涉及的主要风险物质有</w:t>
            </w:r>
            <w:r>
              <w:rPr>
                <w:rFonts w:hint="eastAsia" w:ascii="宋体" w:hAnsi="宋体" w:cs="宋体"/>
                <w:bCs/>
                <w:color w:val="000000" w:themeColor="text1"/>
                <w:spacing w:val="-10"/>
                <w:sz w:val="24"/>
                <w:szCs w:val="24"/>
                <w:lang w:val="en-US" w:eastAsia="zh-CN"/>
                <w14:textFill>
                  <w14:solidFill>
                    <w14:schemeClr w14:val="tx1"/>
                  </w14:solidFill>
                </w14:textFill>
              </w:rPr>
              <w:t>机油</w:t>
            </w:r>
            <w:r>
              <w:rPr>
                <w:rFonts w:hint="default" w:ascii="宋体" w:hAnsi="宋体" w:cs="宋体"/>
                <w:bCs/>
                <w:color w:val="000000" w:themeColor="text1"/>
                <w:spacing w:val="-10"/>
                <w:sz w:val="24"/>
                <w:szCs w:val="24"/>
                <w:lang w:val="en-US" w:eastAsia="zh-CN"/>
                <w14:textFill>
                  <w14:solidFill>
                    <w14:schemeClr w14:val="tx1"/>
                  </w14:solidFill>
                </w14:textFill>
              </w:rPr>
              <w:t>、环氧树脂，其中</w:t>
            </w:r>
            <w:r>
              <w:rPr>
                <w:rFonts w:hint="eastAsia" w:ascii="宋体" w:hAnsi="宋体" w:cs="宋体"/>
                <w:bCs/>
                <w:color w:val="000000" w:themeColor="text1"/>
                <w:spacing w:val="-10"/>
                <w:sz w:val="24"/>
                <w:szCs w:val="24"/>
                <w:lang w:val="en-US" w:eastAsia="zh-CN"/>
                <w14:textFill>
                  <w14:solidFill>
                    <w14:schemeClr w14:val="tx1"/>
                  </w14:solidFill>
                </w14:textFill>
              </w:rPr>
              <w:t>机油</w:t>
            </w:r>
            <w:r>
              <w:rPr>
                <w:rFonts w:hint="default" w:ascii="宋体" w:hAnsi="宋体" w:cs="宋体"/>
                <w:bCs/>
                <w:color w:val="000000" w:themeColor="text1"/>
                <w:spacing w:val="-10"/>
                <w:sz w:val="24"/>
                <w:szCs w:val="24"/>
                <w:lang w:val="en-US" w:eastAsia="zh-CN"/>
                <w14:textFill>
                  <w14:solidFill>
                    <w14:schemeClr w14:val="tx1"/>
                  </w14:solidFill>
                </w14:textFill>
              </w:rPr>
              <w:t>一次最大储存量为</w:t>
            </w:r>
            <w:r>
              <w:rPr>
                <w:rFonts w:hint="eastAsia" w:ascii="宋体" w:hAnsi="宋体" w:cs="宋体"/>
                <w:bCs/>
                <w:color w:val="000000" w:themeColor="text1"/>
                <w:spacing w:val="-10"/>
                <w:sz w:val="24"/>
                <w:szCs w:val="24"/>
                <w:lang w:val="en-US" w:eastAsia="zh-CN"/>
                <w14:textFill>
                  <w14:solidFill>
                    <w14:schemeClr w14:val="tx1"/>
                  </w14:solidFill>
                </w14:textFill>
              </w:rPr>
              <w:t>0.2</w:t>
            </w:r>
            <w:r>
              <w:rPr>
                <w:rFonts w:hint="default" w:ascii="宋体" w:hAnsi="宋体" w:cs="宋体"/>
                <w:bCs/>
                <w:color w:val="000000" w:themeColor="text1"/>
                <w:spacing w:val="-10"/>
                <w:sz w:val="24"/>
                <w:szCs w:val="24"/>
                <w:lang w:val="en-US" w:eastAsia="zh-CN"/>
                <w14:textFill>
                  <w14:solidFill>
                    <w14:schemeClr w14:val="tx1"/>
                  </w14:solidFill>
                </w14:textFill>
              </w:rPr>
              <w:t>t；环氧树脂贮存在</w:t>
            </w:r>
            <w:r>
              <w:rPr>
                <w:rFonts w:hint="eastAsia" w:ascii="宋体" w:hAnsi="宋体" w:cs="宋体"/>
                <w:bCs/>
                <w:color w:val="000000" w:themeColor="text1"/>
                <w:spacing w:val="-10"/>
                <w:sz w:val="24"/>
                <w:szCs w:val="24"/>
                <w:lang w:val="en-US" w:eastAsia="zh-CN"/>
                <w14:textFill>
                  <w14:solidFill>
                    <w14:schemeClr w14:val="tx1"/>
                  </w14:solidFill>
                </w14:textFill>
              </w:rPr>
              <w:t>密闭缠桃间内</w:t>
            </w:r>
            <w:r>
              <w:rPr>
                <w:rFonts w:hint="default" w:ascii="宋体" w:hAnsi="宋体" w:cs="宋体"/>
                <w:bCs/>
                <w:color w:val="000000" w:themeColor="text1"/>
                <w:spacing w:val="-10"/>
                <w:sz w:val="24"/>
                <w:szCs w:val="24"/>
                <w:lang w:val="en-US" w:eastAsia="zh-CN"/>
                <w14:textFill>
                  <w14:solidFill>
                    <w14:schemeClr w14:val="tx1"/>
                  </w14:solidFill>
                </w14:textFill>
              </w:rPr>
              <w:t>，环氧树脂最大储存量为</w:t>
            </w:r>
            <w:r>
              <w:rPr>
                <w:rFonts w:hint="eastAsia" w:ascii="宋体" w:hAnsi="宋体" w:cs="宋体"/>
                <w:bCs/>
                <w:color w:val="000000" w:themeColor="text1"/>
                <w:spacing w:val="-10"/>
                <w:sz w:val="24"/>
                <w:szCs w:val="24"/>
                <w:lang w:val="en-US" w:eastAsia="zh-CN"/>
                <w14:textFill>
                  <w14:solidFill>
                    <w14:schemeClr w14:val="tx1"/>
                  </w14:solidFill>
                </w14:textFill>
              </w:rPr>
              <w:t>1</w:t>
            </w:r>
            <w:r>
              <w:rPr>
                <w:rFonts w:hint="default" w:ascii="宋体" w:hAnsi="宋体" w:cs="宋体"/>
                <w:bCs/>
                <w:color w:val="000000" w:themeColor="text1"/>
                <w:spacing w:val="-10"/>
                <w:sz w:val="24"/>
                <w:szCs w:val="24"/>
                <w:lang w:val="en-US" w:eastAsia="zh-CN"/>
                <w14:textFill>
                  <w14:solidFill>
                    <w14:schemeClr w14:val="tx1"/>
                  </w14:solidFill>
                </w14:textFill>
              </w:rPr>
              <w:t>t</w:t>
            </w:r>
            <w:r>
              <w:rPr>
                <w:rFonts w:hint="eastAsia" w:ascii="宋体" w:hAnsi="宋体" w:cs="宋体"/>
                <w:bCs/>
                <w:color w:val="000000" w:themeColor="text1"/>
                <w:spacing w:val="-10"/>
                <w:sz w:val="24"/>
                <w:szCs w:val="24"/>
                <w:lang w:val="en-US" w:eastAsia="zh-CN"/>
                <w14:textFill>
                  <w14:solidFill>
                    <w14:schemeClr w14:val="tx1"/>
                  </w14:solidFill>
                </w14:textFill>
              </w:rPr>
              <w:t>。</w:t>
            </w:r>
          </w:p>
          <w:p w14:paraId="2FB52EEA">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（2）环境风险</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潜势及评价等级判定</w:t>
            </w:r>
          </w:p>
          <w:p w14:paraId="41CECA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pacing w:val="-1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按照《建设项目环境风险评价技术导则》（HJ169-2018）的规定，环境风险 评价工作等级划分为一级、二级、三级。根据建设项目涉及的物质及工艺系统危 险性和所在地的环境敏感性确定环境风险潜势，风险潜势为</w:t>
            </w:r>
            <w:r>
              <w:rPr>
                <w:rFonts w:hint="eastAsia" w:ascii="Times New Roman" w:hAnsi="Times New Roman" w:eastAsia="宋体" w:cs="Times New Roman"/>
                <w:color w:val="000000" w:themeColor="text1"/>
                <w:sz w:val="24"/>
                <w:szCs w:val="24"/>
                <w:lang w:eastAsia="zh-CN"/>
                <w14:textFill>
                  <w14:solidFill>
                    <w14:schemeClr w14:val="tx1"/>
                  </w14:solidFill>
                </w14:textFill>
              </w:rPr>
              <w:t>Ⅳ</w:t>
            </w:r>
            <w:r>
              <w:rPr>
                <w:rFonts w:hint="default" w:ascii="Times New Roman" w:hAnsi="Times New Roman" w:eastAsia="宋体" w:cs="Times New Roman"/>
                <w:color w:val="000000" w:themeColor="text1"/>
                <w:sz w:val="24"/>
                <w:szCs w:val="24"/>
                <w14:textFill>
                  <w14:solidFill>
                    <w14:schemeClr w14:val="tx1"/>
                  </w14:solidFill>
                </w14:textFill>
              </w:rPr>
              <w:t>及以上，进行一级 评价；风险潜势为</w:t>
            </w:r>
            <w:r>
              <w:rPr>
                <w:rFonts w:hint="eastAsia" w:ascii="Times New Roman" w:hAnsi="Times New Roman" w:eastAsia="宋体" w:cs="Times New Roman"/>
                <w:color w:val="000000" w:themeColor="text1"/>
                <w:sz w:val="24"/>
                <w:szCs w:val="24"/>
                <w:lang w:eastAsia="zh-CN"/>
                <w14:textFill>
                  <w14:solidFill>
                    <w14:schemeClr w14:val="tx1"/>
                  </w14:solidFill>
                </w14:textFill>
              </w:rPr>
              <w:t>Ⅲ</w:t>
            </w:r>
            <w:r>
              <w:rPr>
                <w:rFonts w:hint="default" w:ascii="Times New Roman" w:hAnsi="Times New Roman" w:eastAsia="宋体" w:cs="Times New Roman"/>
                <w:color w:val="000000" w:themeColor="text1"/>
                <w:sz w:val="24"/>
                <w:szCs w:val="24"/>
                <w14:textFill>
                  <w14:solidFill>
                    <w14:schemeClr w14:val="tx1"/>
                  </w14:solidFill>
                </w14:textFill>
              </w:rPr>
              <w:t>，进行二级评价；风险潜势为</w:t>
            </w:r>
            <w:r>
              <w:rPr>
                <w:rFonts w:hint="eastAsia" w:ascii="Times New Roman" w:hAnsi="Times New Roman" w:eastAsia="宋体" w:cs="Times New Roman"/>
                <w:color w:val="000000" w:themeColor="text1"/>
                <w:sz w:val="24"/>
                <w:szCs w:val="24"/>
                <w:lang w:eastAsia="zh-CN"/>
                <w14:textFill>
                  <w14:solidFill>
                    <w14:schemeClr w14:val="tx1"/>
                  </w14:solidFill>
                </w14:textFill>
              </w:rPr>
              <w:t>Ⅱ</w:t>
            </w:r>
            <w:r>
              <w:rPr>
                <w:rFonts w:hint="default" w:ascii="Times New Roman" w:hAnsi="Times New Roman" w:eastAsia="宋体" w:cs="Times New Roman"/>
                <w:color w:val="000000" w:themeColor="text1"/>
                <w:sz w:val="24"/>
                <w:szCs w:val="24"/>
                <w14:textFill>
                  <w14:solidFill>
                    <w14:schemeClr w14:val="tx1"/>
                  </w14:solidFill>
                </w14:textFill>
              </w:rPr>
              <w:t>，进行三级评价；风险潜势为I，可开展简单分析。评价工作等级的划分依据具体见表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w:t>
            </w:r>
          </w:p>
          <w:p w14:paraId="0A26CF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spacing w:val="-10"/>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pacing w:val="-10"/>
                <w:sz w:val="21"/>
                <w:szCs w:val="21"/>
                <w:lang w:val="en-US" w:eastAsia="zh-CN"/>
                <w14:textFill>
                  <w14:solidFill>
                    <w14:schemeClr w14:val="tx1"/>
                  </w14:solidFill>
                </w14:textFill>
              </w:rPr>
              <w:t>表4-1</w:t>
            </w:r>
            <w:r>
              <w:rPr>
                <w:rFonts w:hint="eastAsia" w:ascii="Times New Roman" w:hAnsi="Times New Roman" w:cs="Times New Roman"/>
                <w:b/>
                <w:bCs w:val="0"/>
                <w:color w:val="000000" w:themeColor="text1"/>
                <w:spacing w:val="-10"/>
                <w:sz w:val="21"/>
                <w:szCs w:val="21"/>
                <w:lang w:val="en-US" w:eastAsia="zh-CN"/>
                <w14:textFill>
                  <w14:solidFill>
                    <w14:schemeClr w14:val="tx1"/>
                  </w14:solidFill>
                </w14:textFill>
              </w:rPr>
              <w:t>4</w:t>
            </w:r>
            <w:r>
              <w:rPr>
                <w:rFonts w:hint="default" w:ascii="Times New Roman" w:hAnsi="Times New Roman" w:cs="Times New Roman"/>
                <w:b/>
                <w:bCs w:val="0"/>
                <w:color w:val="000000" w:themeColor="text1"/>
                <w:spacing w:val="-10"/>
                <w:sz w:val="21"/>
                <w:szCs w:val="21"/>
                <w:lang w:val="en-US" w:eastAsia="zh-CN"/>
                <w14:textFill>
                  <w14:solidFill>
                    <w14:schemeClr w14:val="tx1"/>
                  </w14:solidFill>
                </w14:textFill>
              </w:rPr>
              <w:t xml:space="preserve">  评价工作等级的划分依据</w:t>
            </w:r>
          </w:p>
          <w:tbl>
            <w:tblPr>
              <w:tblStyle w:val="15"/>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1677"/>
              <w:gridCol w:w="1678"/>
              <w:gridCol w:w="1678"/>
              <w:gridCol w:w="1678"/>
            </w:tblGrid>
            <w:tr w14:paraId="52CD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7" w:type="dxa"/>
                  <w:vAlign w:val="center"/>
                </w:tcPr>
                <w:p w14:paraId="2B8D28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环境风险潜势</w:t>
                  </w:r>
                </w:p>
              </w:tc>
              <w:tc>
                <w:tcPr>
                  <w:tcW w:w="1677" w:type="dxa"/>
                  <w:vAlign w:val="center"/>
                </w:tcPr>
                <w:p w14:paraId="510F9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eastAsia="微软雅黑" w:cs="Times New Roman"/>
                      <w:bCs/>
                      <w:color w:val="000000" w:themeColor="text1"/>
                      <w:spacing w:val="-10"/>
                      <w:sz w:val="21"/>
                      <w:szCs w:val="21"/>
                      <w:vertAlign w:val="baseline"/>
                      <w:lang w:val="en-US" w:eastAsia="zh-CN"/>
                      <w14:textFill>
                        <w14:solidFill>
                          <w14:schemeClr w14:val="tx1"/>
                        </w14:solidFill>
                      </w14:textFill>
                    </w:rPr>
                    <w:t>Ⅳ</w:t>
                  </w: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w:t>
                  </w:r>
                  <w:r>
                    <w:rPr>
                      <w:rFonts w:hint="default" w:ascii="Times New Roman" w:hAnsi="Times New Roman" w:eastAsia="微软雅黑" w:cs="Times New Roman"/>
                      <w:bCs/>
                      <w:color w:val="000000" w:themeColor="text1"/>
                      <w:spacing w:val="-10"/>
                      <w:sz w:val="21"/>
                      <w:szCs w:val="21"/>
                      <w:vertAlign w:val="baseline"/>
                      <w:lang w:val="en-US" w:eastAsia="zh-CN"/>
                      <w14:textFill>
                        <w14:solidFill>
                          <w14:schemeClr w14:val="tx1"/>
                        </w14:solidFill>
                      </w14:textFill>
                    </w:rPr>
                    <w:t>Ⅳ+</w:t>
                  </w:r>
                </w:p>
              </w:tc>
              <w:tc>
                <w:tcPr>
                  <w:tcW w:w="1678" w:type="dxa"/>
                  <w:vAlign w:val="center"/>
                </w:tcPr>
                <w:p w14:paraId="243980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eastAsia="微软雅黑" w:cs="Times New Roman"/>
                      <w:bCs/>
                      <w:color w:val="000000" w:themeColor="text1"/>
                      <w:spacing w:val="-10"/>
                      <w:sz w:val="21"/>
                      <w:szCs w:val="21"/>
                      <w:vertAlign w:val="baseline"/>
                      <w:lang w:val="en-US" w:eastAsia="zh-CN"/>
                      <w14:textFill>
                        <w14:solidFill>
                          <w14:schemeClr w14:val="tx1"/>
                        </w14:solidFill>
                      </w14:textFill>
                    </w:rPr>
                    <w:t>Ⅲ</w:t>
                  </w:r>
                </w:p>
              </w:tc>
              <w:tc>
                <w:tcPr>
                  <w:tcW w:w="1678" w:type="dxa"/>
                  <w:vAlign w:val="center"/>
                </w:tcPr>
                <w:p w14:paraId="2E8D61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eastAsia="微软雅黑" w:cs="Times New Roman"/>
                      <w:bCs/>
                      <w:color w:val="000000" w:themeColor="text1"/>
                      <w:spacing w:val="-10"/>
                      <w:sz w:val="21"/>
                      <w:szCs w:val="21"/>
                      <w:vertAlign w:val="baseline"/>
                      <w:lang w:val="en-US" w:eastAsia="zh-CN"/>
                      <w14:textFill>
                        <w14:solidFill>
                          <w14:schemeClr w14:val="tx1"/>
                        </w14:solidFill>
                      </w14:textFill>
                    </w:rPr>
                    <w:t>Ⅱ</w:t>
                  </w:r>
                </w:p>
              </w:tc>
              <w:tc>
                <w:tcPr>
                  <w:tcW w:w="1678" w:type="dxa"/>
                  <w:vAlign w:val="center"/>
                </w:tcPr>
                <w:p w14:paraId="3ADCF5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eastAsia="微软雅黑" w:cs="Times New Roman"/>
                      <w:bCs/>
                      <w:color w:val="000000" w:themeColor="text1"/>
                      <w:spacing w:val="-10"/>
                      <w:sz w:val="21"/>
                      <w:szCs w:val="21"/>
                      <w:vertAlign w:val="baseline"/>
                      <w:lang w:val="en-US" w:eastAsia="zh-CN"/>
                      <w14:textFill>
                        <w14:solidFill>
                          <w14:schemeClr w14:val="tx1"/>
                        </w14:solidFill>
                      </w14:textFill>
                    </w:rPr>
                    <w:t>Ⅰ</w:t>
                  </w:r>
                </w:p>
              </w:tc>
            </w:tr>
            <w:tr w14:paraId="5E11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dxa"/>
                  <w:vAlign w:val="center"/>
                </w:tcPr>
                <w:p w14:paraId="25A9C4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评价工作等级</w:t>
                  </w:r>
                </w:p>
              </w:tc>
              <w:tc>
                <w:tcPr>
                  <w:tcW w:w="1677" w:type="dxa"/>
                  <w:vAlign w:val="center"/>
                </w:tcPr>
                <w:p w14:paraId="0B6BD0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一</w:t>
                  </w:r>
                </w:p>
              </w:tc>
              <w:tc>
                <w:tcPr>
                  <w:tcW w:w="1678" w:type="dxa"/>
                  <w:vAlign w:val="center"/>
                </w:tcPr>
                <w:p w14:paraId="37D559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二</w:t>
                  </w:r>
                </w:p>
              </w:tc>
              <w:tc>
                <w:tcPr>
                  <w:tcW w:w="1678" w:type="dxa"/>
                  <w:vAlign w:val="center"/>
                </w:tcPr>
                <w:p w14:paraId="30666D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三</w:t>
                  </w:r>
                </w:p>
              </w:tc>
              <w:tc>
                <w:tcPr>
                  <w:tcW w:w="1678" w:type="dxa"/>
                  <w:vAlign w:val="center"/>
                </w:tcPr>
                <w:p w14:paraId="500106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简单分析a</w:t>
                  </w:r>
                </w:p>
              </w:tc>
            </w:tr>
            <w:tr w14:paraId="4BAF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8" w:type="dxa"/>
                  <w:gridSpan w:val="5"/>
                  <w:vAlign w:val="center"/>
                </w:tcPr>
                <w:p w14:paraId="256C131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是相对于详细评价工作内容而言，在描述危险物质、环境影响途径、环境危害后果、风险 防范措施等方面给出定性的说明。见《建设项目环境风险评价技术导则》（HJ169-2018） 附录A。</w:t>
                  </w:r>
                </w:p>
              </w:tc>
            </w:tr>
          </w:tbl>
          <w:p w14:paraId="196C2C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计算所涉及的每种危险物质在厂界内的最大存在总量与其在《建设项目环境 风险评价技术导则》（HJ169-2018）附录B中对应临界量的比值Q。在不同厂区 的同一种物质，按其在厂界内的最大存在总量计算。对于长输管线项目，按照两个截断阀室之间管段危险物质最大</w:t>
            </w:r>
            <w:r>
              <w:rPr>
                <w:rFonts w:hint="eastAsia" w:ascii="宋体" w:hAnsi="宋体" w:eastAsia="宋体" w:cs="宋体"/>
                <w:color w:val="000000" w:themeColor="text1"/>
                <w:sz w:val="24"/>
                <w:szCs w:val="24"/>
                <w:lang w:eastAsia="zh-CN"/>
                <w14:textFill>
                  <w14:solidFill>
                    <w14:schemeClr w14:val="tx1"/>
                  </w14:solidFill>
                </w14:textFill>
              </w:rPr>
              <w:t>存放</w:t>
            </w:r>
            <w:r>
              <w:rPr>
                <w:rFonts w:ascii="宋体" w:hAnsi="宋体" w:eastAsia="宋体" w:cs="宋体"/>
                <w:color w:val="000000" w:themeColor="text1"/>
                <w:sz w:val="24"/>
                <w:szCs w:val="24"/>
                <w14:textFill>
                  <w14:solidFill>
                    <w14:schemeClr w14:val="tx1"/>
                  </w14:solidFill>
                </w14:textFill>
              </w:rPr>
              <w:t>总量计算。危险物质的临界量见表</w:t>
            </w:r>
            <w:r>
              <w:rPr>
                <w:rFonts w:hint="eastAsia" w:ascii="宋体" w:hAnsi="宋体" w:eastAsia="宋体" w:cs="宋体"/>
                <w:color w:val="000000" w:themeColor="text1"/>
                <w:sz w:val="24"/>
                <w:szCs w:val="24"/>
                <w:lang w:val="en-US" w:eastAsia="zh-CN"/>
                <w14:textFill>
                  <w14:solidFill>
                    <w14:schemeClr w14:val="tx1"/>
                  </w14:solidFill>
                </w14:textFill>
              </w:rPr>
              <w:t>4-15</w:t>
            </w:r>
            <w:r>
              <w:rPr>
                <w:rFonts w:ascii="宋体" w:hAnsi="宋体" w:eastAsia="宋体" w:cs="宋体"/>
                <w:color w:val="000000" w:themeColor="text1"/>
                <w:sz w:val="24"/>
                <w:szCs w:val="24"/>
                <w14:textFill>
                  <w14:solidFill>
                    <w14:schemeClr w14:val="tx1"/>
                  </w14:solidFill>
                </w14:textFill>
              </w:rPr>
              <w:t>。</w:t>
            </w:r>
          </w:p>
          <w:p w14:paraId="5F5D9A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val="0"/>
                <w:color w:val="000000" w:themeColor="text1"/>
                <w:spacing w:val="-10"/>
                <w:sz w:val="21"/>
                <w:szCs w:val="21"/>
                <w:lang w:val="en-US" w:eastAsia="zh-CN"/>
                <w14:textFill>
                  <w14:solidFill>
                    <w14:schemeClr w14:val="tx1"/>
                  </w14:solidFill>
                </w14:textFill>
              </w:rPr>
            </w:pPr>
            <w:r>
              <w:rPr>
                <w:rFonts w:hint="eastAsia" w:ascii="宋体" w:hAnsi="宋体" w:cs="宋体"/>
                <w:b/>
                <w:bCs w:val="0"/>
                <w:color w:val="000000" w:themeColor="text1"/>
                <w:spacing w:val="-10"/>
                <w:sz w:val="21"/>
                <w:szCs w:val="21"/>
                <w:lang w:val="en-US" w:eastAsia="zh-CN"/>
                <w14:textFill>
                  <w14:solidFill>
                    <w14:schemeClr w14:val="tx1"/>
                  </w14:solidFill>
                </w14:textFill>
              </w:rPr>
              <w:t>表4-15  突发环境事件风险物质及临界量一览表</w:t>
            </w:r>
          </w:p>
          <w:tbl>
            <w:tblPr>
              <w:tblStyle w:val="15"/>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398"/>
              <w:gridCol w:w="1398"/>
              <w:gridCol w:w="1398"/>
              <w:gridCol w:w="1398"/>
              <w:gridCol w:w="1398"/>
            </w:tblGrid>
            <w:tr w14:paraId="6A7F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58CD1A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序号</w:t>
                  </w:r>
                </w:p>
              </w:tc>
              <w:tc>
                <w:tcPr>
                  <w:tcW w:w="1398" w:type="dxa"/>
                  <w:vAlign w:val="center"/>
                </w:tcPr>
                <w:p w14:paraId="066BE9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原材料名称</w:t>
                  </w:r>
                </w:p>
              </w:tc>
              <w:tc>
                <w:tcPr>
                  <w:tcW w:w="1398" w:type="dxa"/>
                  <w:vAlign w:val="center"/>
                </w:tcPr>
                <w:p w14:paraId="59F289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单位</w:t>
                  </w:r>
                </w:p>
              </w:tc>
              <w:tc>
                <w:tcPr>
                  <w:tcW w:w="1398" w:type="dxa"/>
                  <w:vAlign w:val="center"/>
                </w:tcPr>
                <w:p w14:paraId="6F9E56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存储量</w:t>
                  </w:r>
                </w:p>
              </w:tc>
              <w:tc>
                <w:tcPr>
                  <w:tcW w:w="1398" w:type="dxa"/>
                  <w:vAlign w:val="center"/>
                </w:tcPr>
                <w:p w14:paraId="4BB5D8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临界存储量</w:t>
                  </w:r>
                </w:p>
              </w:tc>
              <w:tc>
                <w:tcPr>
                  <w:tcW w:w="1398" w:type="dxa"/>
                  <w:vAlign w:val="center"/>
                </w:tcPr>
                <w:p w14:paraId="00F0C5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q1/Q1</w:t>
                  </w:r>
                </w:p>
              </w:tc>
            </w:tr>
            <w:tr w14:paraId="469D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5DD9D9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w:t>
                  </w:r>
                </w:p>
              </w:tc>
              <w:tc>
                <w:tcPr>
                  <w:tcW w:w="1398" w:type="dxa"/>
                  <w:vAlign w:val="center"/>
                </w:tcPr>
                <w:p w14:paraId="460692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机油</w:t>
                  </w:r>
                </w:p>
              </w:tc>
              <w:tc>
                <w:tcPr>
                  <w:tcW w:w="1398" w:type="dxa"/>
                  <w:vAlign w:val="center"/>
                </w:tcPr>
                <w:p w14:paraId="7BD60D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t</w:t>
                  </w:r>
                </w:p>
              </w:tc>
              <w:tc>
                <w:tcPr>
                  <w:tcW w:w="1398" w:type="dxa"/>
                  <w:vAlign w:val="center"/>
                </w:tcPr>
                <w:p w14:paraId="651AD7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0.2</w:t>
                  </w:r>
                </w:p>
              </w:tc>
              <w:tc>
                <w:tcPr>
                  <w:tcW w:w="1398" w:type="dxa"/>
                  <w:vAlign w:val="center"/>
                </w:tcPr>
                <w:p w14:paraId="1DEE23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2500</w:t>
                  </w:r>
                </w:p>
              </w:tc>
              <w:tc>
                <w:tcPr>
                  <w:tcW w:w="1398" w:type="dxa"/>
                  <w:vAlign w:val="center"/>
                </w:tcPr>
                <w:p w14:paraId="58D61A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0.00008</w:t>
                  </w:r>
                </w:p>
              </w:tc>
            </w:tr>
            <w:tr w14:paraId="009D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0" w:type="dxa"/>
                  <w:gridSpan w:val="5"/>
                  <w:vAlign w:val="center"/>
                </w:tcPr>
                <w:p w14:paraId="2B7BA3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加和项q1/Q1+q2/Q2+...+qn/Qn</w:t>
                  </w:r>
                </w:p>
              </w:tc>
              <w:tc>
                <w:tcPr>
                  <w:tcW w:w="1398" w:type="dxa"/>
                  <w:vAlign w:val="center"/>
                </w:tcPr>
                <w:p w14:paraId="0AD026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0.00008</w:t>
                  </w:r>
                </w:p>
              </w:tc>
            </w:tr>
          </w:tbl>
          <w:p w14:paraId="697829A7">
            <w:pPr>
              <w:spacing w:line="360" w:lineRule="auto"/>
              <w:ind w:firstLine="44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经计算，</w:t>
            </w:r>
            <w:r>
              <w:rPr>
                <w:rFonts w:hint="eastAsia" w:ascii="Times New Roman" w:hAnsi="Times New Roman" w:cs="Times New Roman"/>
                <w:bCs/>
                <w:color w:val="000000" w:themeColor="text1"/>
                <w:spacing w:val="-10"/>
                <w:sz w:val="24"/>
                <w:szCs w:val="24"/>
                <w:lang w:val="en-US" w:eastAsia="zh-CN"/>
                <w14:textFill>
                  <w14:solidFill>
                    <w14:schemeClr w14:val="tx1"/>
                  </w14:solidFill>
                </w14:textFill>
              </w:rPr>
              <w:t>本项目</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Q＜1，本项目环境风险潜势为Ⅰ，</w:t>
            </w:r>
            <w:r>
              <w:rPr>
                <w:rFonts w:hint="default" w:ascii="Times New Roman" w:hAnsi="Times New Roman" w:cs="Times New Roman"/>
                <w:color w:val="000000" w:themeColor="text1"/>
                <w:sz w:val="24"/>
                <w14:textFill>
                  <w14:solidFill>
                    <w14:schemeClr w14:val="tx1"/>
                  </w14:solidFill>
                </w14:textFill>
              </w:rPr>
              <w:t>根据《建设项目环境风险评价技术导则》（HJ169-2018）中4.3评价工作等级划分，环境风险潜势为I时，按照附录A环境风险仅需进行简单分析即可。</w:t>
            </w:r>
          </w:p>
          <w:p w14:paraId="433EC9A1">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（3）影响途径</w:t>
            </w:r>
          </w:p>
          <w:p w14:paraId="6D22584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本项目矿物油（含废矿物油）和环氧树脂，在贮存及搬运过程中，由于受到撞击或受到日光暴晒等原因，盛放机油和环氧树脂的容器有可能发生破损，从而造成机油泄漏，机油泄漏后如遇明火会引发火灾、环氧树脂挥发性物质无组织挥发，有可能会影响周边大气环境。</w:t>
            </w:r>
          </w:p>
          <w:p w14:paraId="4B6A5C4A">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（4）防范措施</w:t>
            </w:r>
          </w:p>
          <w:p w14:paraId="4B2F429C">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①严格控制厂内风险物质暂存量，从源头降低风险源强；</w:t>
            </w:r>
          </w:p>
          <w:p w14:paraId="67676D5C">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②建立健全环境应急管理体系，进一步落实环境风险防控重点岗位责任人，落实环境风险设施定期巡检和维护责任制度；</w:t>
            </w:r>
          </w:p>
          <w:p w14:paraId="52B424EA">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③库房、危废间按要求进行防漏、防渗处理，并落实台账管理；</w:t>
            </w:r>
          </w:p>
          <w:p w14:paraId="0EE7B90F">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④定期开展环境风险和环境应急管理宣传和培训活动，定期进行突发环境事件应急演练并归档；</w:t>
            </w:r>
          </w:p>
          <w:p w14:paraId="12297509">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⑤落实并完善环境安全隐患排查制度，定期开展环境安全动员大会和定期组织员工进行专题培训。</w:t>
            </w:r>
          </w:p>
          <w:p w14:paraId="1D6111EF">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7、环保投资估算</w:t>
            </w:r>
          </w:p>
          <w:p w14:paraId="4D3D635E">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highlight w:val="none"/>
                <w:lang w:val="en-US" w:eastAsia="zh-CN"/>
                <w14:textFill>
                  <w14:solidFill>
                    <w14:schemeClr w14:val="tx1"/>
                  </w14:solidFill>
                </w14:textFill>
              </w:rPr>
            </w:pPr>
            <w:r>
              <w:rPr>
                <w:rFonts w:hint="eastAsia" w:ascii="宋体" w:hAnsi="宋体" w:cs="宋体"/>
                <w:bCs/>
                <w:color w:val="000000" w:themeColor="text1"/>
                <w:spacing w:val="-10"/>
                <w:sz w:val="24"/>
                <w:szCs w:val="24"/>
                <w:lang w:val="en-US" w:eastAsia="zh-CN"/>
                <w14:textFill>
                  <w14:solidFill>
                    <w14:schemeClr w14:val="tx1"/>
                  </w14:solidFill>
                </w14:textFill>
              </w:rPr>
              <w:t>本项目总</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投资600万元，其中环保投资为</w:t>
            </w:r>
            <w:r>
              <w:rPr>
                <w:rFonts w:hint="default" w:ascii="Times New Roman" w:hAnsi="Times New Roman" w:cs="Times New Roman"/>
                <w:bCs/>
                <w:color w:val="000000" w:themeColor="text1"/>
                <w:spacing w:val="-10"/>
                <w:sz w:val="24"/>
                <w:szCs w:val="24"/>
                <w:highlight w:val="none"/>
                <w:lang w:val="en-US" w:eastAsia="zh-CN"/>
                <w14:textFill>
                  <w14:solidFill>
                    <w14:schemeClr w14:val="tx1"/>
                  </w14:solidFill>
                </w14:textFill>
              </w:rPr>
              <w:t>11.</w:t>
            </w:r>
            <w:r>
              <w:rPr>
                <w:rFonts w:hint="eastAsia" w:ascii="Times New Roman" w:hAnsi="Times New Roman" w:cs="Times New Roman"/>
                <w:bCs/>
                <w:color w:val="000000" w:themeColor="text1"/>
                <w:spacing w:val="-10"/>
                <w:sz w:val="24"/>
                <w:szCs w:val="24"/>
                <w:highlight w:val="none"/>
                <w:lang w:val="en-US" w:eastAsia="zh-CN"/>
                <w14:textFill>
                  <w14:solidFill>
                    <w14:schemeClr w14:val="tx1"/>
                  </w14:solidFill>
                </w14:textFill>
              </w:rPr>
              <w:t>3</w:t>
            </w:r>
            <w:r>
              <w:rPr>
                <w:rFonts w:hint="default" w:ascii="Times New Roman" w:hAnsi="Times New Roman" w:cs="Times New Roman"/>
                <w:bCs/>
                <w:color w:val="000000" w:themeColor="text1"/>
                <w:spacing w:val="-10"/>
                <w:sz w:val="24"/>
                <w:szCs w:val="24"/>
                <w:highlight w:val="none"/>
                <w:lang w:val="en-US" w:eastAsia="zh-CN"/>
                <w14:textFill>
                  <w14:solidFill>
                    <w14:schemeClr w14:val="tx1"/>
                  </w14:solidFill>
                </w14:textFill>
              </w:rPr>
              <w:t>万元，环保投资约占项目总投资的1.8</w:t>
            </w:r>
            <w:r>
              <w:rPr>
                <w:rFonts w:hint="eastAsia" w:ascii="Times New Roman" w:hAnsi="Times New Roman" w:cs="Times New Roman"/>
                <w:bCs/>
                <w:color w:val="000000" w:themeColor="text1"/>
                <w:spacing w:val="-10"/>
                <w:sz w:val="24"/>
                <w:szCs w:val="24"/>
                <w:highlight w:val="none"/>
                <w:lang w:val="en-US" w:eastAsia="zh-CN"/>
                <w14:textFill>
                  <w14:solidFill>
                    <w14:schemeClr w14:val="tx1"/>
                  </w14:solidFill>
                </w14:textFill>
              </w:rPr>
              <w:t>8</w:t>
            </w:r>
            <w:r>
              <w:rPr>
                <w:rFonts w:hint="default" w:ascii="Times New Roman" w:hAnsi="Times New Roman" w:cs="Times New Roman"/>
                <w:bCs/>
                <w:color w:val="000000" w:themeColor="text1"/>
                <w:spacing w:val="-10"/>
                <w:sz w:val="24"/>
                <w:szCs w:val="24"/>
                <w:highlight w:val="none"/>
                <w:lang w:val="en-US" w:eastAsia="zh-CN"/>
                <w14:textFill>
                  <w14:solidFill>
                    <w14:schemeClr w14:val="tx1"/>
                  </w14:solidFill>
                </w14:textFill>
              </w:rPr>
              <w:t>%，为了确</w:t>
            </w:r>
            <w:r>
              <w:rPr>
                <w:rFonts w:hint="eastAsia" w:ascii="宋体" w:hAnsi="宋体" w:cs="宋体"/>
                <w:bCs/>
                <w:color w:val="000000" w:themeColor="text1"/>
                <w:spacing w:val="-10"/>
                <w:sz w:val="24"/>
                <w:szCs w:val="24"/>
                <w:highlight w:val="none"/>
                <w:lang w:val="en-US" w:eastAsia="zh-CN"/>
                <w14:textFill>
                  <w14:solidFill>
                    <w14:schemeClr w14:val="tx1"/>
                  </w14:solidFill>
                </w14:textFill>
              </w:rPr>
              <w:t>保本项目排放的废气、噪声、固废等符合国家有关排放标准要求，减轻生产过程中所带来的环境污染，根据本评价中提出的环保治理措施和对策，对该项目的环保设施投资进行估算，详见下表。</w:t>
            </w:r>
          </w:p>
          <w:p w14:paraId="492F0E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bCs w:val="0"/>
                <w:color w:val="000000" w:themeColor="text1"/>
                <w:spacing w:val="-10"/>
                <w:sz w:val="21"/>
                <w:szCs w:val="21"/>
                <w:lang w:val="en-US" w:eastAsia="zh-CN"/>
                <w14:textFill>
                  <w14:solidFill>
                    <w14:schemeClr w14:val="tx1"/>
                  </w14:solidFill>
                </w14:textFill>
              </w:rPr>
            </w:pPr>
            <w:r>
              <w:rPr>
                <w:rFonts w:hint="eastAsia" w:ascii="宋体" w:hAnsi="宋体" w:cs="宋体"/>
                <w:b/>
                <w:bCs w:val="0"/>
                <w:color w:val="000000" w:themeColor="text1"/>
                <w:spacing w:val="-10"/>
                <w:sz w:val="21"/>
                <w:szCs w:val="21"/>
                <w:lang w:val="en-US" w:eastAsia="zh-CN"/>
                <w14:textFill>
                  <w14:solidFill>
                    <w14:schemeClr w14:val="tx1"/>
                  </w14:solidFill>
                </w14:textFill>
              </w:rPr>
              <w:t>表4-16  环保投资估算一览表</w:t>
            </w:r>
          </w:p>
          <w:tbl>
            <w:tblPr>
              <w:tblStyle w:val="15"/>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571"/>
              <w:gridCol w:w="1410"/>
              <w:gridCol w:w="2331"/>
              <w:gridCol w:w="988"/>
              <w:gridCol w:w="971"/>
              <w:gridCol w:w="1637"/>
            </w:tblGrid>
            <w:tr w14:paraId="6F44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gridSpan w:val="3"/>
                  <w:vAlign w:val="center"/>
                </w:tcPr>
                <w:p w14:paraId="5CF27E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项目</w:t>
                  </w:r>
                </w:p>
              </w:tc>
              <w:tc>
                <w:tcPr>
                  <w:tcW w:w="2331" w:type="dxa"/>
                  <w:vAlign w:val="center"/>
                </w:tcPr>
                <w:p w14:paraId="302E59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拟采取的环保措施</w:t>
                  </w:r>
                </w:p>
              </w:tc>
              <w:tc>
                <w:tcPr>
                  <w:tcW w:w="988" w:type="dxa"/>
                  <w:vAlign w:val="center"/>
                </w:tcPr>
                <w:p w14:paraId="09504C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数量</w:t>
                  </w:r>
                </w:p>
              </w:tc>
              <w:tc>
                <w:tcPr>
                  <w:tcW w:w="971" w:type="dxa"/>
                  <w:vAlign w:val="center"/>
                </w:tcPr>
                <w:p w14:paraId="22315A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单位</w:t>
                  </w:r>
                </w:p>
              </w:tc>
              <w:tc>
                <w:tcPr>
                  <w:tcW w:w="1637" w:type="dxa"/>
                  <w:vAlign w:val="center"/>
                </w:tcPr>
                <w:p w14:paraId="3AE1A9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投资（万元）</w:t>
                  </w:r>
                </w:p>
              </w:tc>
            </w:tr>
            <w:tr w14:paraId="614B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8" w:type="dxa"/>
                  <w:gridSpan w:val="7"/>
                  <w:vAlign w:val="center"/>
                </w:tcPr>
                <w:p w14:paraId="53B57E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一、废气治理措施</w:t>
                  </w:r>
                </w:p>
              </w:tc>
            </w:tr>
            <w:tr w14:paraId="6C23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5249F6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w:t>
                  </w:r>
                </w:p>
              </w:tc>
              <w:tc>
                <w:tcPr>
                  <w:tcW w:w="571" w:type="dxa"/>
                  <w:vMerge w:val="restart"/>
                  <w:vAlign w:val="center"/>
                </w:tcPr>
                <w:p w14:paraId="45A623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废气</w:t>
                  </w:r>
                </w:p>
              </w:tc>
              <w:tc>
                <w:tcPr>
                  <w:tcW w:w="1410" w:type="dxa"/>
                  <w:vAlign w:val="center"/>
                </w:tcPr>
                <w:p w14:paraId="7F760D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搅拌废气</w:t>
                  </w:r>
                </w:p>
              </w:tc>
              <w:tc>
                <w:tcPr>
                  <w:tcW w:w="2331" w:type="dxa"/>
                  <w:vMerge w:val="restart"/>
                  <w:vAlign w:val="center"/>
                </w:tcPr>
                <w:p w14:paraId="52724B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集气罩+二级活性炭吸附—+15m排气筒</w:t>
                  </w:r>
                </w:p>
              </w:tc>
              <w:tc>
                <w:tcPr>
                  <w:tcW w:w="988" w:type="dxa"/>
                  <w:vMerge w:val="restart"/>
                  <w:vAlign w:val="center"/>
                </w:tcPr>
                <w:p w14:paraId="6BD3C1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w:t>
                  </w:r>
                </w:p>
              </w:tc>
              <w:tc>
                <w:tcPr>
                  <w:tcW w:w="971" w:type="dxa"/>
                  <w:vMerge w:val="restart"/>
                  <w:vAlign w:val="center"/>
                </w:tcPr>
                <w:p w14:paraId="47C848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套</w:t>
                  </w:r>
                </w:p>
              </w:tc>
              <w:tc>
                <w:tcPr>
                  <w:tcW w:w="1637" w:type="dxa"/>
                  <w:vMerge w:val="restart"/>
                  <w:vAlign w:val="center"/>
                </w:tcPr>
                <w:p w14:paraId="31A09F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10</w:t>
                  </w:r>
                </w:p>
              </w:tc>
            </w:tr>
            <w:tr w14:paraId="1386E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49798E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2</w:t>
                  </w:r>
                </w:p>
              </w:tc>
              <w:tc>
                <w:tcPr>
                  <w:tcW w:w="571" w:type="dxa"/>
                  <w:vMerge w:val="continue"/>
                  <w:vAlign w:val="center"/>
                </w:tcPr>
                <w:p w14:paraId="417AF7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c>
                <w:tcPr>
                  <w:tcW w:w="1410" w:type="dxa"/>
                  <w:vAlign w:val="center"/>
                </w:tcPr>
                <w:p w14:paraId="16E1D5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缠绕废气</w:t>
                  </w:r>
                </w:p>
              </w:tc>
              <w:tc>
                <w:tcPr>
                  <w:tcW w:w="2331" w:type="dxa"/>
                  <w:vMerge w:val="continue"/>
                  <w:vAlign w:val="center"/>
                </w:tcPr>
                <w:p w14:paraId="40A747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c>
                <w:tcPr>
                  <w:tcW w:w="988" w:type="dxa"/>
                  <w:vMerge w:val="continue"/>
                  <w:vAlign w:val="center"/>
                </w:tcPr>
                <w:p w14:paraId="6C8485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c>
                <w:tcPr>
                  <w:tcW w:w="971" w:type="dxa"/>
                  <w:vMerge w:val="continue"/>
                  <w:vAlign w:val="center"/>
                </w:tcPr>
                <w:p w14:paraId="578DF4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c>
                <w:tcPr>
                  <w:tcW w:w="1637" w:type="dxa"/>
                  <w:vMerge w:val="continue"/>
                  <w:vAlign w:val="center"/>
                </w:tcPr>
                <w:p w14:paraId="34D00B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r>
            <w:tr w14:paraId="6ECA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6AAADE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3</w:t>
                  </w:r>
                </w:p>
              </w:tc>
              <w:tc>
                <w:tcPr>
                  <w:tcW w:w="571" w:type="dxa"/>
                  <w:vMerge w:val="continue"/>
                  <w:vAlign w:val="center"/>
                </w:tcPr>
                <w:p w14:paraId="7BAD58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c>
                <w:tcPr>
                  <w:tcW w:w="1410" w:type="dxa"/>
                  <w:vAlign w:val="center"/>
                </w:tcPr>
                <w:p w14:paraId="3AB1C9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固化废气</w:t>
                  </w:r>
                </w:p>
              </w:tc>
              <w:tc>
                <w:tcPr>
                  <w:tcW w:w="2331" w:type="dxa"/>
                  <w:vMerge w:val="continue"/>
                  <w:vAlign w:val="center"/>
                </w:tcPr>
                <w:p w14:paraId="6B49CC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c>
                <w:tcPr>
                  <w:tcW w:w="988" w:type="dxa"/>
                  <w:vMerge w:val="continue"/>
                  <w:vAlign w:val="center"/>
                </w:tcPr>
                <w:p w14:paraId="124C41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c>
                <w:tcPr>
                  <w:tcW w:w="971" w:type="dxa"/>
                  <w:vMerge w:val="continue"/>
                  <w:vAlign w:val="center"/>
                </w:tcPr>
                <w:p w14:paraId="276FE9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c>
                <w:tcPr>
                  <w:tcW w:w="1637" w:type="dxa"/>
                  <w:vMerge w:val="continue"/>
                  <w:vAlign w:val="center"/>
                </w:tcPr>
                <w:p w14:paraId="21B70E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r>
            <w:tr w14:paraId="5CF3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4B0105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4</w:t>
                  </w:r>
                </w:p>
              </w:tc>
              <w:tc>
                <w:tcPr>
                  <w:tcW w:w="571" w:type="dxa"/>
                  <w:vMerge w:val="continue"/>
                  <w:vAlign w:val="center"/>
                </w:tcPr>
                <w:p w14:paraId="0B39D1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c>
                <w:tcPr>
                  <w:tcW w:w="1410" w:type="dxa"/>
                  <w:vAlign w:val="center"/>
                </w:tcPr>
                <w:p w14:paraId="180135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机加废气</w:t>
                  </w:r>
                </w:p>
              </w:tc>
              <w:tc>
                <w:tcPr>
                  <w:tcW w:w="2331" w:type="dxa"/>
                  <w:vAlign w:val="center"/>
                </w:tcPr>
                <w:p w14:paraId="2249F0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布袋除尘</w:t>
                  </w:r>
                </w:p>
              </w:tc>
              <w:tc>
                <w:tcPr>
                  <w:tcW w:w="988" w:type="dxa"/>
                  <w:vAlign w:val="center"/>
                </w:tcPr>
                <w:p w14:paraId="3ECF47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w:t>
                  </w:r>
                </w:p>
              </w:tc>
              <w:tc>
                <w:tcPr>
                  <w:tcW w:w="971" w:type="dxa"/>
                  <w:vAlign w:val="center"/>
                </w:tcPr>
                <w:p w14:paraId="0E97F0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套</w:t>
                  </w:r>
                </w:p>
              </w:tc>
              <w:tc>
                <w:tcPr>
                  <w:tcW w:w="1637" w:type="dxa"/>
                  <w:vAlign w:val="center"/>
                </w:tcPr>
                <w:p w14:paraId="5DCC7C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0.5</w:t>
                  </w:r>
                </w:p>
              </w:tc>
            </w:tr>
            <w:tr w14:paraId="49A8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65B89C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5</w:t>
                  </w:r>
                </w:p>
              </w:tc>
              <w:tc>
                <w:tcPr>
                  <w:tcW w:w="571" w:type="dxa"/>
                  <w:vMerge w:val="continue"/>
                  <w:vAlign w:val="center"/>
                </w:tcPr>
                <w:p w14:paraId="62081E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c>
                <w:tcPr>
                  <w:tcW w:w="1410" w:type="dxa"/>
                  <w:vAlign w:val="center"/>
                </w:tcPr>
                <w:p w14:paraId="0510C5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打磨废气</w:t>
                  </w:r>
                </w:p>
              </w:tc>
              <w:tc>
                <w:tcPr>
                  <w:tcW w:w="2331" w:type="dxa"/>
                  <w:vAlign w:val="center"/>
                </w:tcPr>
                <w:p w14:paraId="53D80F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布袋除尘</w:t>
                  </w:r>
                </w:p>
              </w:tc>
              <w:tc>
                <w:tcPr>
                  <w:tcW w:w="988" w:type="dxa"/>
                  <w:vAlign w:val="center"/>
                </w:tcPr>
                <w:p w14:paraId="4E1E48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w:t>
                  </w:r>
                </w:p>
              </w:tc>
              <w:tc>
                <w:tcPr>
                  <w:tcW w:w="971" w:type="dxa"/>
                  <w:vAlign w:val="center"/>
                </w:tcPr>
                <w:p w14:paraId="3A182A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套</w:t>
                  </w:r>
                </w:p>
              </w:tc>
              <w:tc>
                <w:tcPr>
                  <w:tcW w:w="1637" w:type="dxa"/>
                  <w:vAlign w:val="center"/>
                </w:tcPr>
                <w:p w14:paraId="3EE496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0.5</w:t>
                  </w:r>
                </w:p>
              </w:tc>
            </w:tr>
            <w:tr w14:paraId="0FE6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8" w:type="dxa"/>
                  <w:gridSpan w:val="7"/>
                  <w:vAlign w:val="center"/>
                </w:tcPr>
                <w:p w14:paraId="68E81A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二、废水治理措施</w:t>
                  </w:r>
                </w:p>
              </w:tc>
            </w:tr>
            <w:tr w14:paraId="69A0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055B5A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6</w:t>
                  </w:r>
                </w:p>
              </w:tc>
              <w:tc>
                <w:tcPr>
                  <w:tcW w:w="571" w:type="dxa"/>
                  <w:vMerge w:val="restart"/>
                  <w:vAlign w:val="center"/>
                </w:tcPr>
                <w:p w14:paraId="641C5C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废水</w:t>
                  </w:r>
                </w:p>
              </w:tc>
              <w:tc>
                <w:tcPr>
                  <w:tcW w:w="1410" w:type="dxa"/>
                  <w:vAlign w:val="center"/>
                </w:tcPr>
                <w:p w14:paraId="7DF669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生活污水</w:t>
                  </w:r>
                </w:p>
              </w:tc>
              <w:tc>
                <w:tcPr>
                  <w:tcW w:w="2331" w:type="dxa"/>
                  <w:vAlign w:val="center"/>
                </w:tcPr>
                <w:p w14:paraId="0B0D6E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化粪池（厂房配套）</w:t>
                  </w:r>
                </w:p>
              </w:tc>
              <w:tc>
                <w:tcPr>
                  <w:tcW w:w="988" w:type="dxa"/>
                  <w:vAlign w:val="center"/>
                </w:tcPr>
                <w:p w14:paraId="6734EA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w:t>
                  </w:r>
                </w:p>
              </w:tc>
              <w:tc>
                <w:tcPr>
                  <w:tcW w:w="971" w:type="dxa"/>
                  <w:vAlign w:val="center"/>
                </w:tcPr>
                <w:p w14:paraId="0285F8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套</w:t>
                  </w:r>
                </w:p>
              </w:tc>
              <w:tc>
                <w:tcPr>
                  <w:tcW w:w="1637" w:type="dxa"/>
                  <w:vAlign w:val="center"/>
                </w:tcPr>
                <w:p w14:paraId="70D6D5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r>
            <w:tr w14:paraId="0A4B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22ADF5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7</w:t>
                  </w:r>
                </w:p>
              </w:tc>
              <w:tc>
                <w:tcPr>
                  <w:tcW w:w="571" w:type="dxa"/>
                  <w:vMerge w:val="continue"/>
                  <w:vAlign w:val="center"/>
                </w:tcPr>
                <w:p w14:paraId="40E296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c>
                <w:tcPr>
                  <w:tcW w:w="1410" w:type="dxa"/>
                  <w:vAlign w:val="center"/>
                </w:tcPr>
                <w:p w14:paraId="4E5EC6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生产废水</w:t>
                  </w:r>
                </w:p>
              </w:tc>
              <w:tc>
                <w:tcPr>
                  <w:tcW w:w="2331" w:type="dxa"/>
                  <w:vAlign w:val="center"/>
                </w:tcPr>
                <w:p w14:paraId="15BDE4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循环水箱</w:t>
                  </w:r>
                </w:p>
              </w:tc>
              <w:tc>
                <w:tcPr>
                  <w:tcW w:w="988" w:type="dxa"/>
                  <w:vAlign w:val="center"/>
                </w:tcPr>
                <w:p w14:paraId="1D5B8A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w:t>
                  </w:r>
                </w:p>
              </w:tc>
              <w:tc>
                <w:tcPr>
                  <w:tcW w:w="971" w:type="dxa"/>
                  <w:vAlign w:val="center"/>
                </w:tcPr>
                <w:p w14:paraId="3A8113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个</w:t>
                  </w:r>
                </w:p>
              </w:tc>
              <w:tc>
                <w:tcPr>
                  <w:tcW w:w="1637" w:type="dxa"/>
                  <w:vAlign w:val="center"/>
                </w:tcPr>
                <w:p w14:paraId="59A1E6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0.1</w:t>
                  </w:r>
                </w:p>
              </w:tc>
            </w:tr>
            <w:tr w14:paraId="0A5A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8" w:type="dxa"/>
                  <w:gridSpan w:val="7"/>
                  <w:vAlign w:val="center"/>
                </w:tcPr>
                <w:p w14:paraId="2D357F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三、噪声治理设施</w:t>
                  </w:r>
                </w:p>
              </w:tc>
            </w:tr>
            <w:tr w14:paraId="6A83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1ED11B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8</w:t>
                  </w:r>
                </w:p>
              </w:tc>
              <w:tc>
                <w:tcPr>
                  <w:tcW w:w="1981" w:type="dxa"/>
                  <w:gridSpan w:val="2"/>
                  <w:vAlign w:val="center"/>
                </w:tcPr>
                <w:p w14:paraId="0FE662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降噪</w:t>
                  </w:r>
                </w:p>
              </w:tc>
              <w:tc>
                <w:tcPr>
                  <w:tcW w:w="2331" w:type="dxa"/>
                  <w:vAlign w:val="center"/>
                </w:tcPr>
                <w:p w14:paraId="27A2F7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选用高效低噪设备；对产生噪声的设备采用软连接、厂房隔声</w:t>
                  </w:r>
                </w:p>
              </w:tc>
              <w:tc>
                <w:tcPr>
                  <w:tcW w:w="988" w:type="dxa"/>
                  <w:vAlign w:val="center"/>
                </w:tcPr>
                <w:p w14:paraId="693173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971" w:type="dxa"/>
                  <w:vAlign w:val="center"/>
                </w:tcPr>
                <w:p w14:paraId="22DBCC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c>
                <w:tcPr>
                  <w:tcW w:w="1637" w:type="dxa"/>
                  <w:vAlign w:val="center"/>
                </w:tcPr>
                <w:p w14:paraId="577F24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r>
            <w:tr w14:paraId="2D6E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8" w:type="dxa"/>
                  <w:gridSpan w:val="7"/>
                  <w:vAlign w:val="center"/>
                </w:tcPr>
                <w:p w14:paraId="656D2F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四、固废治理措施</w:t>
                  </w:r>
                </w:p>
              </w:tc>
            </w:tr>
            <w:tr w14:paraId="13CD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2B5641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9</w:t>
                  </w:r>
                </w:p>
              </w:tc>
              <w:tc>
                <w:tcPr>
                  <w:tcW w:w="571" w:type="dxa"/>
                  <w:vMerge w:val="restart"/>
                  <w:vAlign w:val="center"/>
                </w:tcPr>
                <w:p w14:paraId="60DC33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固废</w:t>
                  </w:r>
                </w:p>
              </w:tc>
              <w:tc>
                <w:tcPr>
                  <w:tcW w:w="1410" w:type="dxa"/>
                  <w:vAlign w:val="center"/>
                </w:tcPr>
                <w:p w14:paraId="75C2D3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生活垃圾</w:t>
                  </w:r>
                </w:p>
              </w:tc>
              <w:tc>
                <w:tcPr>
                  <w:tcW w:w="2331" w:type="dxa"/>
                  <w:vAlign w:val="center"/>
                </w:tcPr>
                <w:p w14:paraId="2B710F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依托原有垃圾桶</w:t>
                  </w:r>
                </w:p>
              </w:tc>
              <w:tc>
                <w:tcPr>
                  <w:tcW w:w="988" w:type="dxa"/>
                  <w:vAlign w:val="center"/>
                </w:tcPr>
                <w:p w14:paraId="297989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个</w:t>
                  </w:r>
                </w:p>
              </w:tc>
              <w:tc>
                <w:tcPr>
                  <w:tcW w:w="971" w:type="dxa"/>
                  <w:vAlign w:val="center"/>
                </w:tcPr>
                <w:p w14:paraId="4E8FFF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w:t>
                  </w:r>
                </w:p>
              </w:tc>
              <w:tc>
                <w:tcPr>
                  <w:tcW w:w="1637" w:type="dxa"/>
                  <w:vAlign w:val="center"/>
                </w:tcPr>
                <w:p w14:paraId="7DDC38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r>
            <w:tr w14:paraId="35E1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4CCD38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10</w:t>
                  </w:r>
                </w:p>
              </w:tc>
              <w:tc>
                <w:tcPr>
                  <w:tcW w:w="571" w:type="dxa"/>
                  <w:vMerge w:val="continue"/>
                  <w:vAlign w:val="center"/>
                </w:tcPr>
                <w:p w14:paraId="75BE2F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c>
                <w:tcPr>
                  <w:tcW w:w="1410" w:type="dxa"/>
                  <w:vAlign w:val="center"/>
                </w:tcPr>
                <w:p w14:paraId="219660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一般固废</w:t>
                  </w:r>
                </w:p>
              </w:tc>
              <w:tc>
                <w:tcPr>
                  <w:tcW w:w="2331" w:type="dxa"/>
                  <w:vAlign w:val="center"/>
                </w:tcPr>
                <w:p w14:paraId="29C25C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新建1处一般固废贮存区</w:t>
                  </w:r>
                </w:p>
              </w:tc>
              <w:tc>
                <w:tcPr>
                  <w:tcW w:w="988" w:type="dxa"/>
                  <w:vAlign w:val="center"/>
                </w:tcPr>
                <w:p w14:paraId="726946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个</w:t>
                  </w:r>
                </w:p>
              </w:tc>
              <w:tc>
                <w:tcPr>
                  <w:tcW w:w="971" w:type="dxa"/>
                  <w:vAlign w:val="center"/>
                </w:tcPr>
                <w:p w14:paraId="1FD1BA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w:t>
                  </w:r>
                </w:p>
              </w:tc>
              <w:tc>
                <w:tcPr>
                  <w:tcW w:w="1637" w:type="dxa"/>
                  <w:vAlign w:val="center"/>
                </w:tcPr>
                <w:p w14:paraId="241248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0.2</w:t>
                  </w:r>
                </w:p>
              </w:tc>
            </w:tr>
            <w:tr w14:paraId="73EA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7A303A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11</w:t>
                  </w:r>
                </w:p>
              </w:tc>
              <w:tc>
                <w:tcPr>
                  <w:tcW w:w="571" w:type="dxa"/>
                  <w:vMerge w:val="continue"/>
                  <w:vAlign w:val="center"/>
                </w:tcPr>
                <w:p w14:paraId="157DEA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p>
              </w:tc>
              <w:tc>
                <w:tcPr>
                  <w:tcW w:w="1410" w:type="dxa"/>
                  <w:vAlign w:val="center"/>
                </w:tcPr>
                <w:p w14:paraId="1ED141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危险废物</w:t>
                  </w:r>
                </w:p>
              </w:tc>
              <w:tc>
                <w:tcPr>
                  <w:tcW w:w="2331" w:type="dxa"/>
                  <w:vAlign w:val="center"/>
                </w:tcPr>
                <w:p w14:paraId="557AD5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依托现有危废间</w:t>
                  </w:r>
                </w:p>
              </w:tc>
              <w:tc>
                <w:tcPr>
                  <w:tcW w:w="988" w:type="dxa"/>
                  <w:vAlign w:val="center"/>
                </w:tcPr>
                <w:p w14:paraId="05FAAF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间</w:t>
                  </w:r>
                </w:p>
              </w:tc>
              <w:tc>
                <w:tcPr>
                  <w:tcW w:w="971" w:type="dxa"/>
                  <w:vAlign w:val="center"/>
                </w:tcPr>
                <w:p w14:paraId="768FCD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w:t>
                  </w:r>
                </w:p>
              </w:tc>
              <w:tc>
                <w:tcPr>
                  <w:tcW w:w="1637" w:type="dxa"/>
                  <w:vAlign w:val="center"/>
                </w:tcPr>
                <w:p w14:paraId="78DEB3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w:t>
                  </w:r>
                </w:p>
              </w:tc>
            </w:tr>
            <w:tr w14:paraId="2182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450F59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12</w:t>
                  </w:r>
                </w:p>
              </w:tc>
              <w:tc>
                <w:tcPr>
                  <w:tcW w:w="6271" w:type="dxa"/>
                  <w:gridSpan w:val="5"/>
                  <w:vAlign w:val="center"/>
                </w:tcPr>
                <w:p w14:paraId="1B75FC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合计</w:t>
                  </w:r>
                </w:p>
              </w:tc>
              <w:tc>
                <w:tcPr>
                  <w:tcW w:w="1637" w:type="dxa"/>
                  <w:vAlign w:val="center"/>
                </w:tcPr>
                <w:p w14:paraId="365653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color w:val="000000" w:themeColor="text1"/>
                      <w:spacing w:val="-10"/>
                      <w:sz w:val="21"/>
                      <w:szCs w:val="21"/>
                      <w:vertAlign w:val="baseline"/>
                      <w:lang w:val="en-US" w:eastAsia="zh-CN"/>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11.3</w:t>
                  </w:r>
                </w:p>
              </w:tc>
            </w:tr>
          </w:tbl>
          <w:p w14:paraId="6B045C81">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p>
          <w:p w14:paraId="2AAB59F5">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p>
          <w:p w14:paraId="36041D1F">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p>
          <w:p w14:paraId="32460D3A">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p>
          <w:p w14:paraId="25D0C270">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p>
          <w:p w14:paraId="78AE174F">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p>
          <w:p w14:paraId="4CCABCF2">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p>
          <w:p w14:paraId="196DB52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p>
          <w:p w14:paraId="2DC790CB">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p>
          <w:p w14:paraId="017D5B50">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p>
          <w:p w14:paraId="280AFC50">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p>
          <w:p w14:paraId="2117874E">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p>
          <w:p w14:paraId="192207F6">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p>
          <w:p w14:paraId="06AEF70F">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p>
          <w:p w14:paraId="0E3BB10E">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p>
          <w:p w14:paraId="18A7C704">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宋体" w:hAnsi="宋体" w:cs="宋体"/>
                <w:bCs/>
                <w:color w:val="000000" w:themeColor="text1"/>
                <w:spacing w:val="-10"/>
                <w:sz w:val="24"/>
                <w:szCs w:val="24"/>
                <w:lang w:val="en-US" w:eastAsia="zh-CN"/>
                <w14:textFill>
                  <w14:solidFill>
                    <w14:schemeClr w14:val="tx1"/>
                  </w14:solidFill>
                </w14:textFill>
              </w:rPr>
            </w:pPr>
          </w:p>
        </w:tc>
      </w:tr>
    </w:tbl>
    <w:p w14:paraId="30631AD0">
      <w:pPr>
        <w:adjustRightInd w:val="0"/>
        <w:snapToGrid w:val="0"/>
        <w:spacing w:line="360" w:lineRule="auto"/>
        <w:rPr>
          <w:rFonts w:hint="eastAsia" w:ascii="宋体" w:cs="宋体"/>
          <w:b/>
          <w:color w:val="000000" w:themeColor="text1"/>
          <w:kern w:val="0"/>
          <w:sz w:val="28"/>
          <w:szCs w:val="28"/>
          <w14:textFill>
            <w14:solidFill>
              <w14:schemeClr w14:val="tx1"/>
            </w14:solidFill>
          </w14:textFill>
        </w:rPr>
        <w:sectPr>
          <w:pgSz w:w="11907" w:h="16840"/>
          <w:pgMar w:top="1701" w:right="1531" w:bottom="2127" w:left="1531" w:header="851" w:footer="851" w:gutter="0"/>
          <w:pgNumType w:fmt="decimal"/>
          <w:cols w:space="720" w:num="1"/>
          <w:docGrid w:linePitch="312" w:charSpace="0"/>
        </w:sectPr>
      </w:pPr>
    </w:p>
    <w:p w14:paraId="57F15253">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b/>
          <w:sz w:val="30"/>
          <w:szCs w:val="30"/>
        </w:rPr>
      </w:pPr>
      <w:bookmarkStart w:id="7" w:name="_Toc23525"/>
      <w:r>
        <w:rPr>
          <w:rFonts w:hint="eastAsia"/>
          <w:b/>
          <w:sz w:val="30"/>
          <w:szCs w:val="30"/>
        </w:rPr>
        <w:t>五、</w:t>
      </w:r>
      <w:bookmarkStart w:id="8" w:name="_Hlk54167917"/>
      <w:r>
        <w:rPr>
          <w:rFonts w:hint="eastAsia"/>
          <w:b/>
          <w:sz w:val="30"/>
          <w:szCs w:val="30"/>
        </w:rPr>
        <w:t>环境保护措施监督检查清单</w:t>
      </w:r>
      <w:bookmarkEnd w:id="7"/>
      <w:bookmarkEnd w:id="8"/>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576"/>
        <w:gridCol w:w="1642"/>
        <w:gridCol w:w="2049"/>
      </w:tblGrid>
      <w:tr w14:paraId="77C840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14:paraId="7E56BEA2">
            <w:pPr>
              <w:adjustRightInd w:val="0"/>
              <w:snapToGrid w:val="0"/>
              <w:ind w:firstLine="84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内容</w:t>
            </w:r>
          </w:p>
          <w:p w14:paraId="4037A912">
            <w:pPr>
              <w:adjustRightInd w:val="0"/>
              <w:snapToGrid w:val="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要素</w:t>
            </w:r>
          </w:p>
        </w:tc>
        <w:tc>
          <w:tcPr>
            <w:tcW w:w="1755" w:type="dxa"/>
            <w:noWrap w:val="0"/>
            <w:vAlign w:val="center"/>
          </w:tcPr>
          <w:p w14:paraId="61916C84">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排放口(编号、</w:t>
            </w:r>
          </w:p>
          <w:p w14:paraId="64E1A366">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名称)/污染源</w:t>
            </w:r>
          </w:p>
        </w:tc>
        <w:tc>
          <w:tcPr>
            <w:tcW w:w="1576" w:type="dxa"/>
            <w:noWrap w:val="0"/>
            <w:vAlign w:val="center"/>
          </w:tcPr>
          <w:p w14:paraId="69554861">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污染物项目</w:t>
            </w:r>
          </w:p>
        </w:tc>
        <w:tc>
          <w:tcPr>
            <w:tcW w:w="1642" w:type="dxa"/>
            <w:noWrap w:val="0"/>
            <w:vAlign w:val="center"/>
          </w:tcPr>
          <w:p w14:paraId="1B651AF8">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环境保护措施</w:t>
            </w:r>
          </w:p>
        </w:tc>
        <w:tc>
          <w:tcPr>
            <w:tcW w:w="2049" w:type="dxa"/>
            <w:noWrap w:val="0"/>
            <w:vAlign w:val="center"/>
          </w:tcPr>
          <w:p w14:paraId="1EAB038D">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执行标准</w:t>
            </w:r>
          </w:p>
        </w:tc>
      </w:tr>
      <w:tr w14:paraId="163B5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14:paraId="68560861">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大气环境</w:t>
            </w:r>
          </w:p>
        </w:tc>
        <w:tc>
          <w:tcPr>
            <w:tcW w:w="1755" w:type="dxa"/>
            <w:noWrap w:val="0"/>
            <w:vAlign w:val="center"/>
          </w:tcPr>
          <w:p w14:paraId="560606CB">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搅拌废气</w:t>
            </w:r>
          </w:p>
        </w:tc>
        <w:tc>
          <w:tcPr>
            <w:tcW w:w="1576" w:type="dxa"/>
            <w:vMerge w:val="restart"/>
            <w:noWrap w:val="0"/>
            <w:vAlign w:val="center"/>
          </w:tcPr>
          <w:p w14:paraId="7384817C">
            <w:pPr>
              <w:adjustRightInd w:val="0"/>
              <w:snapToGrid w:val="0"/>
              <w:jc w:val="center"/>
              <w:rPr>
                <w:rFonts w:hint="eastAsia"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非甲烷总烃</w:t>
            </w:r>
          </w:p>
        </w:tc>
        <w:tc>
          <w:tcPr>
            <w:tcW w:w="1642" w:type="dxa"/>
            <w:vMerge w:val="restart"/>
            <w:noWrap w:val="0"/>
            <w:vAlign w:val="center"/>
          </w:tcPr>
          <w:p w14:paraId="37FA294D">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集气罩+二级活性炭吸附—+15m排气筒</w:t>
            </w:r>
          </w:p>
        </w:tc>
        <w:tc>
          <w:tcPr>
            <w:tcW w:w="2049" w:type="dxa"/>
            <w:vMerge w:val="restart"/>
            <w:noWrap w:val="0"/>
            <w:vAlign w:val="center"/>
          </w:tcPr>
          <w:p w14:paraId="06C20677">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“重点行业玻璃钢（纤维增强塑料制品）绩效引领性指标排放限值要求”</w:t>
            </w:r>
          </w:p>
        </w:tc>
      </w:tr>
      <w:tr w14:paraId="0EDE9A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778" w:type="dxa"/>
            <w:vMerge w:val="continue"/>
            <w:noWrap w:val="0"/>
            <w:vAlign w:val="center"/>
          </w:tcPr>
          <w:p w14:paraId="191EC859">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755" w:type="dxa"/>
            <w:noWrap w:val="0"/>
            <w:vAlign w:val="center"/>
          </w:tcPr>
          <w:p w14:paraId="5797C0BD">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缠绕废气</w:t>
            </w:r>
          </w:p>
        </w:tc>
        <w:tc>
          <w:tcPr>
            <w:tcW w:w="1576" w:type="dxa"/>
            <w:vMerge w:val="continue"/>
            <w:noWrap w:val="0"/>
            <w:vAlign w:val="center"/>
          </w:tcPr>
          <w:p w14:paraId="0E38DED3">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642" w:type="dxa"/>
            <w:vMerge w:val="continue"/>
            <w:noWrap w:val="0"/>
            <w:vAlign w:val="center"/>
          </w:tcPr>
          <w:p w14:paraId="70E31E24">
            <w:pPr>
              <w:adjustRightInd w:val="0"/>
              <w:snapToGrid w:val="0"/>
              <w:jc w:val="center"/>
              <w:rPr>
                <w:rFonts w:hint="eastAsia" w:ascii="宋体" w:hAnsi="宋体" w:cs="宋体"/>
                <w:color w:val="000000" w:themeColor="text1"/>
                <w:szCs w:val="21"/>
                <w14:textFill>
                  <w14:solidFill>
                    <w14:schemeClr w14:val="tx1"/>
                  </w14:solidFill>
                </w14:textFill>
              </w:rPr>
            </w:pPr>
          </w:p>
        </w:tc>
        <w:tc>
          <w:tcPr>
            <w:tcW w:w="2049" w:type="dxa"/>
            <w:vMerge w:val="continue"/>
            <w:noWrap w:val="0"/>
            <w:vAlign w:val="center"/>
          </w:tcPr>
          <w:p w14:paraId="0215CE61">
            <w:pPr>
              <w:adjustRightInd w:val="0"/>
              <w:snapToGrid w:val="0"/>
              <w:jc w:val="center"/>
              <w:rPr>
                <w:rFonts w:hint="eastAsia" w:ascii="宋体" w:hAnsi="宋体" w:cs="宋体"/>
                <w:color w:val="000000" w:themeColor="text1"/>
                <w:szCs w:val="21"/>
                <w14:textFill>
                  <w14:solidFill>
                    <w14:schemeClr w14:val="tx1"/>
                  </w14:solidFill>
                </w14:textFill>
              </w:rPr>
            </w:pPr>
          </w:p>
        </w:tc>
      </w:tr>
      <w:tr w14:paraId="4EE848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778" w:type="dxa"/>
            <w:vMerge w:val="continue"/>
            <w:noWrap w:val="0"/>
            <w:vAlign w:val="center"/>
          </w:tcPr>
          <w:p w14:paraId="01E17B02">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755" w:type="dxa"/>
            <w:noWrap w:val="0"/>
            <w:vAlign w:val="center"/>
          </w:tcPr>
          <w:p w14:paraId="5C9898B9">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固化废气</w:t>
            </w:r>
          </w:p>
        </w:tc>
        <w:tc>
          <w:tcPr>
            <w:tcW w:w="1576" w:type="dxa"/>
            <w:vMerge w:val="continue"/>
            <w:noWrap w:val="0"/>
            <w:vAlign w:val="center"/>
          </w:tcPr>
          <w:p w14:paraId="4C12AAAF">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642" w:type="dxa"/>
            <w:vMerge w:val="continue"/>
            <w:noWrap w:val="0"/>
            <w:vAlign w:val="center"/>
          </w:tcPr>
          <w:p w14:paraId="4FEA7C95">
            <w:pPr>
              <w:adjustRightInd w:val="0"/>
              <w:snapToGrid w:val="0"/>
              <w:jc w:val="center"/>
              <w:rPr>
                <w:rFonts w:hint="eastAsia" w:ascii="宋体" w:hAnsi="宋体" w:cs="宋体"/>
                <w:color w:val="000000" w:themeColor="text1"/>
                <w:szCs w:val="21"/>
                <w14:textFill>
                  <w14:solidFill>
                    <w14:schemeClr w14:val="tx1"/>
                  </w14:solidFill>
                </w14:textFill>
              </w:rPr>
            </w:pPr>
          </w:p>
        </w:tc>
        <w:tc>
          <w:tcPr>
            <w:tcW w:w="2049" w:type="dxa"/>
            <w:vMerge w:val="continue"/>
            <w:noWrap w:val="0"/>
            <w:vAlign w:val="center"/>
          </w:tcPr>
          <w:p w14:paraId="00AA39E6">
            <w:pPr>
              <w:adjustRightInd w:val="0"/>
              <w:snapToGrid w:val="0"/>
              <w:jc w:val="center"/>
              <w:rPr>
                <w:rFonts w:hint="eastAsia" w:ascii="宋体" w:hAnsi="宋体" w:cs="宋体"/>
                <w:color w:val="000000" w:themeColor="text1"/>
                <w:szCs w:val="21"/>
                <w14:textFill>
                  <w14:solidFill>
                    <w14:schemeClr w14:val="tx1"/>
                  </w14:solidFill>
                </w14:textFill>
              </w:rPr>
            </w:pPr>
          </w:p>
        </w:tc>
      </w:tr>
      <w:tr w14:paraId="713B7C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0F85F07C">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755" w:type="dxa"/>
            <w:noWrap w:val="0"/>
            <w:vAlign w:val="center"/>
          </w:tcPr>
          <w:p w14:paraId="78B0830A">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机加废气</w:t>
            </w:r>
          </w:p>
        </w:tc>
        <w:tc>
          <w:tcPr>
            <w:tcW w:w="1576" w:type="dxa"/>
            <w:vMerge w:val="restart"/>
            <w:noWrap w:val="0"/>
            <w:vAlign w:val="center"/>
          </w:tcPr>
          <w:p w14:paraId="4F71AAD0">
            <w:pPr>
              <w:adjustRightInd w:val="0"/>
              <w:snapToGrid w:val="0"/>
              <w:jc w:val="center"/>
              <w:rPr>
                <w:rFonts w:hint="eastAsia"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颗粒物</w:t>
            </w:r>
          </w:p>
        </w:tc>
        <w:tc>
          <w:tcPr>
            <w:tcW w:w="1642" w:type="dxa"/>
            <w:vMerge w:val="restart"/>
            <w:noWrap w:val="0"/>
            <w:vAlign w:val="center"/>
          </w:tcPr>
          <w:p w14:paraId="25735462">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布袋除尘器</w:t>
            </w:r>
          </w:p>
        </w:tc>
        <w:tc>
          <w:tcPr>
            <w:tcW w:w="2049" w:type="dxa"/>
            <w:vMerge w:val="restart"/>
            <w:noWrap w:val="0"/>
            <w:vAlign w:val="center"/>
          </w:tcPr>
          <w:p w14:paraId="17310873">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《大气污染物综合排放标准》（GB16297-1996）表2中周界外浓度最高点标准限值要求</w:t>
            </w:r>
          </w:p>
        </w:tc>
      </w:tr>
      <w:tr w14:paraId="3800C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3BAA2536">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755" w:type="dxa"/>
            <w:noWrap w:val="0"/>
            <w:vAlign w:val="center"/>
          </w:tcPr>
          <w:p w14:paraId="39ACDC59">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打磨废气</w:t>
            </w:r>
          </w:p>
        </w:tc>
        <w:tc>
          <w:tcPr>
            <w:tcW w:w="1576" w:type="dxa"/>
            <w:vMerge w:val="continue"/>
            <w:noWrap w:val="0"/>
            <w:vAlign w:val="center"/>
          </w:tcPr>
          <w:p w14:paraId="6413EBB5">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642" w:type="dxa"/>
            <w:vMerge w:val="continue"/>
            <w:noWrap w:val="0"/>
            <w:vAlign w:val="center"/>
          </w:tcPr>
          <w:p w14:paraId="35ED33B3">
            <w:pPr>
              <w:adjustRightInd w:val="0"/>
              <w:snapToGrid w:val="0"/>
              <w:jc w:val="center"/>
              <w:rPr>
                <w:rFonts w:hint="eastAsia" w:ascii="宋体" w:hAnsi="宋体" w:cs="宋体"/>
                <w:color w:val="000000" w:themeColor="text1"/>
                <w:szCs w:val="21"/>
                <w14:textFill>
                  <w14:solidFill>
                    <w14:schemeClr w14:val="tx1"/>
                  </w14:solidFill>
                </w14:textFill>
              </w:rPr>
            </w:pPr>
          </w:p>
        </w:tc>
        <w:tc>
          <w:tcPr>
            <w:tcW w:w="2049" w:type="dxa"/>
            <w:vMerge w:val="continue"/>
            <w:noWrap w:val="0"/>
            <w:vAlign w:val="center"/>
          </w:tcPr>
          <w:p w14:paraId="7EA2C115">
            <w:pPr>
              <w:adjustRightInd w:val="0"/>
              <w:snapToGrid w:val="0"/>
              <w:jc w:val="center"/>
              <w:rPr>
                <w:rFonts w:hint="eastAsia" w:ascii="宋体" w:hAnsi="宋体" w:cs="宋体"/>
                <w:color w:val="000000" w:themeColor="text1"/>
                <w:szCs w:val="21"/>
                <w14:textFill>
                  <w14:solidFill>
                    <w14:schemeClr w14:val="tx1"/>
                  </w14:solidFill>
                </w14:textFill>
              </w:rPr>
            </w:pPr>
          </w:p>
        </w:tc>
      </w:tr>
      <w:tr w14:paraId="0CEDC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5B7560C3">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声环境</w:t>
            </w:r>
          </w:p>
        </w:tc>
        <w:tc>
          <w:tcPr>
            <w:tcW w:w="1755" w:type="dxa"/>
            <w:noWrap w:val="0"/>
            <w:vAlign w:val="center"/>
          </w:tcPr>
          <w:p w14:paraId="72C37DA4">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设备噪声</w:t>
            </w:r>
          </w:p>
        </w:tc>
        <w:tc>
          <w:tcPr>
            <w:tcW w:w="1576" w:type="dxa"/>
            <w:noWrap w:val="0"/>
            <w:vAlign w:val="center"/>
          </w:tcPr>
          <w:p w14:paraId="1C66CE24">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等效A声级</w:t>
            </w:r>
          </w:p>
        </w:tc>
        <w:tc>
          <w:tcPr>
            <w:tcW w:w="1642" w:type="dxa"/>
            <w:noWrap w:val="0"/>
            <w:vAlign w:val="center"/>
          </w:tcPr>
          <w:p w14:paraId="7C3E1ABA">
            <w:pPr>
              <w:adjustRightInd w:val="0"/>
              <w:snapToGrid w:val="0"/>
              <w:jc w:val="center"/>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厂房隔声、</w:t>
            </w:r>
          </w:p>
          <w:p w14:paraId="313F5195">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基础减振</w:t>
            </w:r>
          </w:p>
        </w:tc>
        <w:tc>
          <w:tcPr>
            <w:tcW w:w="2049" w:type="dxa"/>
            <w:noWrap w:val="0"/>
            <w:vAlign w:val="center"/>
          </w:tcPr>
          <w:p w14:paraId="7D7E7A30">
            <w:pPr>
              <w:adjustRightInd w:val="0"/>
              <w:snapToGrid w:val="0"/>
              <w:jc w:val="center"/>
              <w:rPr>
                <w:rFonts w:hint="eastAsia" w:ascii="宋体" w:hAnsi="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工业企业厂界环境噪声排放标准</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GB12348-2008</w:t>
            </w:r>
            <w:r>
              <w:rPr>
                <w:rFonts w:hint="eastAsia" w:ascii="宋体" w:hAnsi="宋体" w:cs="宋体"/>
                <w:color w:val="000000" w:themeColor="text1"/>
                <w:szCs w:val="21"/>
                <w:lang w:eastAsia="zh-CN"/>
                <w14:textFill>
                  <w14:solidFill>
                    <w14:schemeClr w14:val="tx1"/>
                  </w14:solidFill>
                </w14:textFill>
              </w:rPr>
              <w:t>）</w:t>
            </w:r>
          </w:p>
          <w:p w14:paraId="0DBAB734">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3类标</w:t>
            </w:r>
            <w:r>
              <w:rPr>
                <w:rFonts w:hint="eastAsia" w:ascii="宋体" w:hAnsi="宋体" w:cs="宋体"/>
                <w:color w:val="000000" w:themeColor="text1"/>
                <w:szCs w:val="21"/>
                <w:lang w:val="en-US" w:eastAsia="zh-CN"/>
                <w14:textFill>
                  <w14:solidFill>
                    <w14:schemeClr w14:val="tx1"/>
                  </w14:solidFill>
                </w14:textFill>
              </w:rPr>
              <w:t>准限值</w:t>
            </w:r>
          </w:p>
        </w:tc>
      </w:tr>
      <w:tr w14:paraId="4C62D4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778" w:type="dxa"/>
            <w:vMerge w:val="restart"/>
            <w:noWrap w:val="0"/>
            <w:vAlign w:val="center"/>
          </w:tcPr>
          <w:p w14:paraId="1CEF565D">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固体废物</w:t>
            </w:r>
          </w:p>
        </w:tc>
        <w:tc>
          <w:tcPr>
            <w:tcW w:w="1755" w:type="dxa"/>
            <w:noWrap w:val="0"/>
            <w:vAlign w:val="center"/>
          </w:tcPr>
          <w:p w14:paraId="161D0453">
            <w:pPr>
              <w:adjustRightInd w:val="0"/>
              <w:snapToGrid w:val="0"/>
              <w:jc w:val="center"/>
              <w:rPr>
                <w:rFonts w:hint="eastAsia"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生活垃圾</w:t>
            </w:r>
          </w:p>
        </w:tc>
        <w:tc>
          <w:tcPr>
            <w:tcW w:w="1576" w:type="dxa"/>
            <w:noWrap w:val="0"/>
            <w:vAlign w:val="center"/>
          </w:tcPr>
          <w:p w14:paraId="3FCF4EFF">
            <w:pPr>
              <w:adjustRightInd w:val="0"/>
              <w:snapToGrid w:val="0"/>
              <w:jc w:val="center"/>
              <w:rPr>
                <w:rFonts w:hint="eastAsia"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生活垃圾</w:t>
            </w:r>
          </w:p>
        </w:tc>
        <w:tc>
          <w:tcPr>
            <w:tcW w:w="1642" w:type="dxa"/>
            <w:noWrap w:val="0"/>
            <w:vAlign w:val="center"/>
          </w:tcPr>
          <w:p w14:paraId="25AB9D03">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依托原有生活垃圾桶，交由环卫部门清运</w:t>
            </w:r>
          </w:p>
        </w:tc>
        <w:tc>
          <w:tcPr>
            <w:tcW w:w="2049" w:type="dxa"/>
            <w:noWrap w:val="0"/>
            <w:vAlign w:val="center"/>
          </w:tcPr>
          <w:p w14:paraId="1AF63D8F">
            <w:pPr>
              <w:adjustRightInd w:val="0"/>
              <w:snapToGrid w:val="0"/>
              <w:jc w:val="center"/>
              <w:rPr>
                <w:rFonts w:hint="eastAsia"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w:t>
            </w:r>
          </w:p>
        </w:tc>
      </w:tr>
      <w:tr w14:paraId="57AAC8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778" w:type="dxa"/>
            <w:vMerge w:val="continue"/>
            <w:noWrap w:val="0"/>
            <w:vAlign w:val="center"/>
          </w:tcPr>
          <w:p w14:paraId="2F858BBE">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755" w:type="dxa"/>
            <w:vMerge w:val="restart"/>
            <w:noWrap w:val="0"/>
            <w:vAlign w:val="center"/>
          </w:tcPr>
          <w:p w14:paraId="24296713">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一般固废</w:t>
            </w:r>
          </w:p>
        </w:tc>
        <w:tc>
          <w:tcPr>
            <w:tcW w:w="1576" w:type="dxa"/>
            <w:noWrap w:val="0"/>
            <w:vAlign w:val="center"/>
          </w:tcPr>
          <w:p w14:paraId="338B49E0">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纤维包装箱</w:t>
            </w:r>
          </w:p>
        </w:tc>
        <w:tc>
          <w:tcPr>
            <w:tcW w:w="1642" w:type="dxa"/>
            <w:vMerge w:val="restart"/>
            <w:noWrap w:val="0"/>
            <w:vAlign w:val="center"/>
          </w:tcPr>
          <w:p w14:paraId="22EE3965">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新建1处一般工业固废暂存区，定期外售物资回收公司</w:t>
            </w:r>
          </w:p>
        </w:tc>
        <w:tc>
          <w:tcPr>
            <w:tcW w:w="2049" w:type="dxa"/>
            <w:vMerge w:val="restart"/>
            <w:noWrap w:val="0"/>
            <w:vAlign w:val="center"/>
          </w:tcPr>
          <w:p w14:paraId="71327C48">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一般工业固体废物贮存过程应满足相应防渗漏、防雨淋、防扬尘等环境保护要求。</w:t>
            </w:r>
          </w:p>
        </w:tc>
      </w:tr>
      <w:tr w14:paraId="3BC4A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778" w:type="dxa"/>
            <w:vMerge w:val="continue"/>
            <w:noWrap w:val="0"/>
            <w:vAlign w:val="center"/>
          </w:tcPr>
          <w:p w14:paraId="310DAE45">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755" w:type="dxa"/>
            <w:vMerge w:val="continue"/>
            <w:noWrap w:val="0"/>
            <w:vAlign w:val="center"/>
          </w:tcPr>
          <w:p w14:paraId="2D02355B">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576" w:type="dxa"/>
            <w:noWrap w:val="0"/>
            <w:vAlign w:val="center"/>
          </w:tcPr>
          <w:p w14:paraId="5456DBAC">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废边角料</w:t>
            </w:r>
          </w:p>
        </w:tc>
        <w:tc>
          <w:tcPr>
            <w:tcW w:w="1642" w:type="dxa"/>
            <w:vMerge w:val="continue"/>
            <w:noWrap w:val="0"/>
            <w:vAlign w:val="center"/>
          </w:tcPr>
          <w:p w14:paraId="1605CA73">
            <w:pPr>
              <w:adjustRightInd w:val="0"/>
              <w:snapToGrid w:val="0"/>
              <w:jc w:val="center"/>
              <w:rPr>
                <w:rFonts w:hint="eastAsia" w:ascii="宋体" w:hAnsi="宋体" w:cs="宋体"/>
                <w:color w:val="000000" w:themeColor="text1"/>
                <w:szCs w:val="21"/>
                <w14:textFill>
                  <w14:solidFill>
                    <w14:schemeClr w14:val="tx1"/>
                  </w14:solidFill>
                </w14:textFill>
              </w:rPr>
            </w:pPr>
          </w:p>
        </w:tc>
        <w:tc>
          <w:tcPr>
            <w:tcW w:w="2049" w:type="dxa"/>
            <w:vMerge w:val="continue"/>
            <w:noWrap w:val="0"/>
            <w:vAlign w:val="center"/>
          </w:tcPr>
          <w:p w14:paraId="176CDBCE">
            <w:pPr>
              <w:adjustRightInd w:val="0"/>
              <w:snapToGrid w:val="0"/>
              <w:jc w:val="center"/>
              <w:rPr>
                <w:rFonts w:hint="eastAsia" w:ascii="宋体" w:hAnsi="宋体" w:cs="宋体"/>
                <w:color w:val="000000" w:themeColor="text1"/>
                <w:szCs w:val="21"/>
                <w14:textFill>
                  <w14:solidFill>
                    <w14:schemeClr w14:val="tx1"/>
                  </w14:solidFill>
                </w14:textFill>
              </w:rPr>
            </w:pPr>
          </w:p>
        </w:tc>
      </w:tr>
      <w:tr w14:paraId="76CB0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778" w:type="dxa"/>
            <w:vMerge w:val="continue"/>
            <w:noWrap w:val="0"/>
            <w:vAlign w:val="center"/>
          </w:tcPr>
          <w:p w14:paraId="76773585">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755" w:type="dxa"/>
            <w:vMerge w:val="continue"/>
            <w:noWrap w:val="0"/>
            <w:vAlign w:val="center"/>
          </w:tcPr>
          <w:p w14:paraId="72386713">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576" w:type="dxa"/>
            <w:noWrap w:val="0"/>
            <w:vAlign w:val="center"/>
          </w:tcPr>
          <w:p w14:paraId="02F72792">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收尘灰</w:t>
            </w:r>
          </w:p>
        </w:tc>
        <w:tc>
          <w:tcPr>
            <w:tcW w:w="1642" w:type="dxa"/>
            <w:vMerge w:val="continue"/>
            <w:noWrap w:val="0"/>
            <w:vAlign w:val="center"/>
          </w:tcPr>
          <w:p w14:paraId="34E5C284">
            <w:pPr>
              <w:adjustRightInd w:val="0"/>
              <w:snapToGrid w:val="0"/>
              <w:jc w:val="center"/>
              <w:rPr>
                <w:rFonts w:hint="eastAsia" w:ascii="宋体" w:hAnsi="宋体" w:cs="宋体"/>
                <w:color w:val="000000" w:themeColor="text1"/>
                <w:szCs w:val="21"/>
                <w14:textFill>
                  <w14:solidFill>
                    <w14:schemeClr w14:val="tx1"/>
                  </w14:solidFill>
                </w14:textFill>
              </w:rPr>
            </w:pPr>
          </w:p>
        </w:tc>
        <w:tc>
          <w:tcPr>
            <w:tcW w:w="2049" w:type="dxa"/>
            <w:vMerge w:val="continue"/>
            <w:noWrap w:val="0"/>
            <w:vAlign w:val="center"/>
          </w:tcPr>
          <w:p w14:paraId="0003D11F">
            <w:pPr>
              <w:adjustRightInd w:val="0"/>
              <w:snapToGrid w:val="0"/>
              <w:jc w:val="center"/>
              <w:rPr>
                <w:rFonts w:hint="eastAsia" w:ascii="宋体" w:hAnsi="宋体" w:cs="宋体"/>
                <w:color w:val="000000" w:themeColor="text1"/>
                <w:szCs w:val="21"/>
                <w14:textFill>
                  <w14:solidFill>
                    <w14:schemeClr w14:val="tx1"/>
                  </w14:solidFill>
                </w14:textFill>
              </w:rPr>
            </w:pPr>
          </w:p>
        </w:tc>
      </w:tr>
      <w:tr w14:paraId="64FDA1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778" w:type="dxa"/>
            <w:vMerge w:val="continue"/>
            <w:noWrap w:val="0"/>
            <w:vAlign w:val="center"/>
          </w:tcPr>
          <w:p w14:paraId="707FEE74">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755" w:type="dxa"/>
            <w:vMerge w:val="continue"/>
            <w:noWrap w:val="0"/>
            <w:vAlign w:val="center"/>
          </w:tcPr>
          <w:p w14:paraId="075A7994">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576" w:type="dxa"/>
            <w:noWrap w:val="0"/>
            <w:vAlign w:val="center"/>
          </w:tcPr>
          <w:p w14:paraId="7830882C">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活性炭箱</w:t>
            </w:r>
          </w:p>
        </w:tc>
        <w:tc>
          <w:tcPr>
            <w:tcW w:w="1642" w:type="dxa"/>
            <w:vMerge w:val="continue"/>
            <w:noWrap w:val="0"/>
            <w:vAlign w:val="center"/>
          </w:tcPr>
          <w:p w14:paraId="4CBE51C0">
            <w:pPr>
              <w:adjustRightInd w:val="0"/>
              <w:snapToGrid w:val="0"/>
              <w:jc w:val="center"/>
              <w:rPr>
                <w:rFonts w:hint="eastAsia" w:ascii="宋体" w:hAnsi="宋体" w:cs="宋体"/>
                <w:color w:val="000000" w:themeColor="text1"/>
                <w:szCs w:val="21"/>
                <w14:textFill>
                  <w14:solidFill>
                    <w14:schemeClr w14:val="tx1"/>
                  </w14:solidFill>
                </w14:textFill>
              </w:rPr>
            </w:pPr>
          </w:p>
        </w:tc>
        <w:tc>
          <w:tcPr>
            <w:tcW w:w="2049" w:type="dxa"/>
            <w:vMerge w:val="continue"/>
            <w:noWrap w:val="0"/>
            <w:vAlign w:val="center"/>
          </w:tcPr>
          <w:p w14:paraId="135A6863">
            <w:pPr>
              <w:adjustRightInd w:val="0"/>
              <w:snapToGrid w:val="0"/>
              <w:jc w:val="center"/>
              <w:rPr>
                <w:rFonts w:hint="eastAsia" w:ascii="宋体" w:hAnsi="宋体" w:cs="宋体"/>
                <w:color w:val="000000" w:themeColor="text1"/>
                <w:szCs w:val="21"/>
                <w14:textFill>
                  <w14:solidFill>
                    <w14:schemeClr w14:val="tx1"/>
                  </w14:solidFill>
                </w14:textFill>
              </w:rPr>
            </w:pPr>
          </w:p>
        </w:tc>
      </w:tr>
      <w:tr w14:paraId="2F84E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778" w:type="dxa"/>
            <w:vMerge w:val="continue"/>
            <w:noWrap w:val="0"/>
            <w:vAlign w:val="center"/>
          </w:tcPr>
          <w:p w14:paraId="6BA96761">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755" w:type="dxa"/>
            <w:vMerge w:val="restart"/>
            <w:noWrap w:val="0"/>
            <w:vAlign w:val="center"/>
          </w:tcPr>
          <w:p w14:paraId="5A7873D8">
            <w:pPr>
              <w:adjustRightInd w:val="0"/>
              <w:snapToGrid w:val="0"/>
              <w:jc w:val="center"/>
              <w:rPr>
                <w:rFonts w:hint="eastAsia"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危险废物</w:t>
            </w:r>
          </w:p>
        </w:tc>
        <w:tc>
          <w:tcPr>
            <w:tcW w:w="1576" w:type="dxa"/>
            <w:noWrap w:val="0"/>
            <w:vAlign w:val="center"/>
          </w:tcPr>
          <w:p w14:paraId="218FA3B3">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pacing w:val="-10"/>
                <w:sz w:val="21"/>
                <w:szCs w:val="21"/>
                <w:vertAlign w:val="baseline"/>
                <w:lang w:val="en-US" w:eastAsia="zh-CN"/>
                <w14:textFill>
                  <w14:solidFill>
                    <w14:schemeClr w14:val="tx1"/>
                  </w14:solidFill>
                </w14:textFill>
              </w:rPr>
              <w:t>环氧树脂桶</w:t>
            </w:r>
          </w:p>
        </w:tc>
        <w:tc>
          <w:tcPr>
            <w:tcW w:w="1642" w:type="dxa"/>
            <w:vMerge w:val="restart"/>
            <w:noWrap w:val="0"/>
            <w:vAlign w:val="center"/>
          </w:tcPr>
          <w:p w14:paraId="7669EB7D">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分类集中收集入危废暂存间，交由有资质单位处置。</w:t>
            </w:r>
          </w:p>
        </w:tc>
        <w:tc>
          <w:tcPr>
            <w:tcW w:w="2049" w:type="dxa"/>
            <w:vMerge w:val="restart"/>
            <w:noWrap w:val="0"/>
            <w:vAlign w:val="center"/>
          </w:tcPr>
          <w:p w14:paraId="3BCD2FC4">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spacing w:val="0"/>
                <w:w w:val="100"/>
                <w:kern w:val="2"/>
                <w:position w:val="0"/>
                <w:sz w:val="21"/>
                <w:szCs w:val="21"/>
                <w:highlight w:val="none"/>
                <w:u w:val="none"/>
                <w:shd w:val="clear" w:color="auto" w:fill="auto"/>
                <w:lang w:val="en-US" w:eastAsia="zh-CN" w:bidi="zh-TW"/>
                <w14:textFill>
                  <w14:solidFill>
                    <w14:schemeClr w14:val="tx1"/>
                  </w14:solidFill>
                </w14:textFill>
              </w:rPr>
              <w:t>《危险废物贮存污染控制标准》（GB18597-2023）相关要求</w:t>
            </w:r>
          </w:p>
        </w:tc>
      </w:tr>
      <w:tr w14:paraId="134AFE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778" w:type="dxa"/>
            <w:vMerge w:val="continue"/>
            <w:noWrap w:val="0"/>
            <w:vAlign w:val="center"/>
          </w:tcPr>
          <w:p w14:paraId="36C07BDF">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755" w:type="dxa"/>
            <w:vMerge w:val="continue"/>
            <w:noWrap w:val="0"/>
            <w:vAlign w:val="center"/>
          </w:tcPr>
          <w:p w14:paraId="6FC901DF">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576" w:type="dxa"/>
            <w:noWrap w:val="0"/>
            <w:vAlign w:val="center"/>
          </w:tcPr>
          <w:p w14:paraId="23388F3A">
            <w:pPr>
              <w:adjustRightInd w:val="0"/>
              <w:snapToGrid w:val="0"/>
              <w:jc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废机油</w:t>
            </w:r>
          </w:p>
        </w:tc>
        <w:tc>
          <w:tcPr>
            <w:tcW w:w="1642" w:type="dxa"/>
            <w:vMerge w:val="continue"/>
            <w:noWrap w:val="0"/>
            <w:vAlign w:val="center"/>
          </w:tcPr>
          <w:p w14:paraId="48CDDA71">
            <w:pPr>
              <w:adjustRightInd w:val="0"/>
              <w:snapToGrid w:val="0"/>
              <w:jc w:val="center"/>
              <w:rPr>
                <w:rFonts w:hint="eastAsia" w:ascii="宋体" w:hAnsi="宋体" w:cs="宋体"/>
                <w:color w:val="000000" w:themeColor="text1"/>
                <w:szCs w:val="21"/>
                <w14:textFill>
                  <w14:solidFill>
                    <w14:schemeClr w14:val="tx1"/>
                  </w14:solidFill>
                </w14:textFill>
              </w:rPr>
            </w:pPr>
          </w:p>
        </w:tc>
        <w:tc>
          <w:tcPr>
            <w:tcW w:w="2049" w:type="dxa"/>
            <w:vMerge w:val="continue"/>
            <w:noWrap w:val="0"/>
            <w:vAlign w:val="center"/>
          </w:tcPr>
          <w:p w14:paraId="51F8A6ED">
            <w:pPr>
              <w:adjustRightInd w:val="0"/>
              <w:snapToGrid w:val="0"/>
              <w:jc w:val="center"/>
              <w:rPr>
                <w:rFonts w:hint="eastAsia" w:ascii="宋体" w:hAnsi="宋体" w:cs="宋体"/>
                <w:color w:val="000000" w:themeColor="text1"/>
                <w:szCs w:val="21"/>
                <w14:textFill>
                  <w14:solidFill>
                    <w14:schemeClr w14:val="tx1"/>
                  </w14:solidFill>
                </w14:textFill>
              </w:rPr>
            </w:pPr>
          </w:p>
        </w:tc>
      </w:tr>
      <w:tr w14:paraId="249E7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778" w:type="dxa"/>
            <w:vMerge w:val="continue"/>
            <w:noWrap w:val="0"/>
            <w:vAlign w:val="center"/>
          </w:tcPr>
          <w:p w14:paraId="356E8FF3">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755" w:type="dxa"/>
            <w:vMerge w:val="continue"/>
            <w:noWrap w:val="0"/>
            <w:vAlign w:val="center"/>
          </w:tcPr>
          <w:p w14:paraId="21A029D0">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576" w:type="dxa"/>
            <w:noWrap w:val="0"/>
            <w:vAlign w:val="center"/>
          </w:tcPr>
          <w:p w14:paraId="5E4A0BC2">
            <w:pPr>
              <w:adjustRightInd w:val="0"/>
              <w:snapToGrid w:val="0"/>
              <w:jc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废机油桶</w:t>
            </w:r>
          </w:p>
        </w:tc>
        <w:tc>
          <w:tcPr>
            <w:tcW w:w="1642" w:type="dxa"/>
            <w:vMerge w:val="continue"/>
            <w:noWrap w:val="0"/>
            <w:vAlign w:val="center"/>
          </w:tcPr>
          <w:p w14:paraId="56F49450">
            <w:pPr>
              <w:adjustRightInd w:val="0"/>
              <w:snapToGrid w:val="0"/>
              <w:jc w:val="center"/>
              <w:rPr>
                <w:rFonts w:hint="eastAsia" w:ascii="宋体" w:hAnsi="宋体" w:cs="宋体"/>
                <w:color w:val="000000" w:themeColor="text1"/>
                <w:szCs w:val="21"/>
                <w14:textFill>
                  <w14:solidFill>
                    <w14:schemeClr w14:val="tx1"/>
                  </w14:solidFill>
                </w14:textFill>
              </w:rPr>
            </w:pPr>
          </w:p>
        </w:tc>
        <w:tc>
          <w:tcPr>
            <w:tcW w:w="2049" w:type="dxa"/>
            <w:vMerge w:val="continue"/>
            <w:noWrap w:val="0"/>
            <w:vAlign w:val="center"/>
          </w:tcPr>
          <w:p w14:paraId="2DCB510D">
            <w:pPr>
              <w:adjustRightInd w:val="0"/>
              <w:snapToGrid w:val="0"/>
              <w:jc w:val="center"/>
              <w:rPr>
                <w:rFonts w:hint="eastAsia" w:ascii="宋体" w:hAnsi="宋体" w:cs="宋体"/>
                <w:color w:val="000000" w:themeColor="text1"/>
                <w:szCs w:val="21"/>
                <w14:textFill>
                  <w14:solidFill>
                    <w14:schemeClr w14:val="tx1"/>
                  </w14:solidFill>
                </w14:textFill>
              </w:rPr>
            </w:pPr>
          </w:p>
        </w:tc>
      </w:tr>
      <w:tr w14:paraId="784136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778" w:type="dxa"/>
            <w:vMerge w:val="continue"/>
            <w:noWrap w:val="0"/>
            <w:vAlign w:val="center"/>
          </w:tcPr>
          <w:p w14:paraId="2DE9EBB6">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755" w:type="dxa"/>
            <w:vMerge w:val="continue"/>
            <w:noWrap w:val="0"/>
            <w:vAlign w:val="center"/>
          </w:tcPr>
          <w:p w14:paraId="5A7C9B83">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576" w:type="dxa"/>
            <w:noWrap w:val="0"/>
            <w:vAlign w:val="center"/>
          </w:tcPr>
          <w:p w14:paraId="7E46CCC1">
            <w:pPr>
              <w:adjustRightInd w:val="0"/>
              <w:snapToGrid w:val="0"/>
              <w:jc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含油废抹布、手套</w:t>
            </w:r>
          </w:p>
        </w:tc>
        <w:tc>
          <w:tcPr>
            <w:tcW w:w="1642" w:type="dxa"/>
            <w:vMerge w:val="continue"/>
            <w:noWrap w:val="0"/>
            <w:vAlign w:val="center"/>
          </w:tcPr>
          <w:p w14:paraId="791AEDE2">
            <w:pPr>
              <w:adjustRightInd w:val="0"/>
              <w:snapToGrid w:val="0"/>
              <w:jc w:val="center"/>
              <w:rPr>
                <w:rFonts w:hint="eastAsia" w:ascii="宋体" w:hAnsi="宋体" w:cs="宋体"/>
                <w:color w:val="000000" w:themeColor="text1"/>
                <w:szCs w:val="21"/>
                <w14:textFill>
                  <w14:solidFill>
                    <w14:schemeClr w14:val="tx1"/>
                  </w14:solidFill>
                </w14:textFill>
              </w:rPr>
            </w:pPr>
          </w:p>
        </w:tc>
        <w:tc>
          <w:tcPr>
            <w:tcW w:w="2049" w:type="dxa"/>
            <w:vMerge w:val="continue"/>
            <w:noWrap w:val="0"/>
            <w:vAlign w:val="center"/>
          </w:tcPr>
          <w:p w14:paraId="6E5B6C1A">
            <w:pPr>
              <w:adjustRightInd w:val="0"/>
              <w:snapToGrid w:val="0"/>
              <w:jc w:val="center"/>
              <w:rPr>
                <w:rFonts w:hint="eastAsia" w:ascii="宋体" w:hAnsi="宋体" w:cs="宋体"/>
                <w:color w:val="000000" w:themeColor="text1"/>
                <w:szCs w:val="21"/>
                <w14:textFill>
                  <w14:solidFill>
                    <w14:schemeClr w14:val="tx1"/>
                  </w14:solidFill>
                </w14:textFill>
              </w:rPr>
            </w:pPr>
          </w:p>
        </w:tc>
      </w:tr>
      <w:tr w14:paraId="1919A7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778" w:type="dxa"/>
            <w:vMerge w:val="continue"/>
            <w:noWrap w:val="0"/>
            <w:vAlign w:val="center"/>
          </w:tcPr>
          <w:p w14:paraId="3700827C">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755" w:type="dxa"/>
            <w:vMerge w:val="continue"/>
            <w:noWrap w:val="0"/>
            <w:vAlign w:val="center"/>
          </w:tcPr>
          <w:p w14:paraId="3E0E4A72">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576" w:type="dxa"/>
            <w:noWrap w:val="0"/>
            <w:vAlign w:val="center"/>
          </w:tcPr>
          <w:p w14:paraId="29FC7F8E">
            <w:pPr>
              <w:adjustRightInd w:val="0"/>
              <w:snapToGrid w:val="0"/>
              <w:jc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cs="Times New Roman"/>
                <w:bCs/>
                <w:color w:val="000000" w:themeColor="text1"/>
                <w:spacing w:val="-10"/>
                <w:sz w:val="21"/>
                <w:szCs w:val="21"/>
                <w:vertAlign w:val="baseline"/>
                <w:lang w:val="en-US" w:eastAsia="zh-CN"/>
                <w14:textFill>
                  <w14:solidFill>
                    <w14:schemeClr w14:val="tx1"/>
                  </w14:solidFill>
                </w14:textFill>
              </w:rPr>
              <w:t>废活性炭</w:t>
            </w:r>
          </w:p>
        </w:tc>
        <w:tc>
          <w:tcPr>
            <w:tcW w:w="1642" w:type="dxa"/>
            <w:vMerge w:val="continue"/>
            <w:noWrap w:val="0"/>
            <w:vAlign w:val="center"/>
          </w:tcPr>
          <w:p w14:paraId="77D5B1CC">
            <w:pPr>
              <w:adjustRightInd w:val="0"/>
              <w:snapToGrid w:val="0"/>
              <w:jc w:val="center"/>
              <w:rPr>
                <w:rFonts w:hint="eastAsia" w:ascii="宋体" w:hAnsi="宋体" w:cs="宋体"/>
                <w:color w:val="000000" w:themeColor="text1"/>
                <w:szCs w:val="21"/>
                <w14:textFill>
                  <w14:solidFill>
                    <w14:schemeClr w14:val="tx1"/>
                  </w14:solidFill>
                </w14:textFill>
              </w:rPr>
            </w:pPr>
          </w:p>
        </w:tc>
        <w:tc>
          <w:tcPr>
            <w:tcW w:w="2049" w:type="dxa"/>
            <w:vMerge w:val="continue"/>
            <w:noWrap w:val="0"/>
            <w:vAlign w:val="center"/>
          </w:tcPr>
          <w:p w14:paraId="31C17670">
            <w:pPr>
              <w:adjustRightInd w:val="0"/>
              <w:snapToGrid w:val="0"/>
              <w:jc w:val="center"/>
              <w:rPr>
                <w:rFonts w:hint="eastAsia" w:ascii="宋体" w:hAnsi="宋体" w:cs="宋体"/>
                <w:color w:val="000000" w:themeColor="text1"/>
                <w:szCs w:val="21"/>
                <w14:textFill>
                  <w14:solidFill>
                    <w14:schemeClr w14:val="tx1"/>
                  </w14:solidFill>
                </w14:textFill>
              </w:rPr>
            </w:pPr>
          </w:p>
        </w:tc>
      </w:tr>
      <w:tr w14:paraId="1BA42D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778" w:type="dxa"/>
            <w:noWrap w:val="0"/>
            <w:vAlign w:val="center"/>
          </w:tcPr>
          <w:p w14:paraId="55DD668C">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土壤及地下水</w:t>
            </w:r>
          </w:p>
          <w:p w14:paraId="5AC9B0F2">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污染防治措施</w:t>
            </w:r>
          </w:p>
        </w:tc>
        <w:tc>
          <w:tcPr>
            <w:tcW w:w="7022" w:type="dxa"/>
            <w:gridSpan w:val="4"/>
            <w:noWrap w:val="0"/>
            <w:vAlign w:val="center"/>
          </w:tcPr>
          <w:p w14:paraId="4B7A56BE">
            <w:pPr>
              <w:adjustRightInd w:val="0"/>
              <w:snapToGrid w:val="0"/>
              <w:jc w:val="center"/>
              <w:rPr>
                <w:rFonts w:hint="default"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危废间已做防渗处理，同时危废暂存容器底部配置托盘，以上措施均已通过竣工环境保护验收</w:t>
            </w:r>
          </w:p>
        </w:tc>
      </w:tr>
      <w:tr w14:paraId="0C0F2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778" w:type="dxa"/>
            <w:noWrap w:val="0"/>
            <w:vAlign w:val="center"/>
          </w:tcPr>
          <w:p w14:paraId="1E7ECFA0">
            <w:pPr>
              <w:adjustRightInd w:val="0"/>
              <w:snapToGrid w:val="0"/>
              <w:jc w:val="center"/>
              <w:rPr>
                <w:rFonts w:ascii="宋体" w:hAnsi="宋体" w:cs="宋体"/>
                <w:color w:val="000000" w:themeColor="text1"/>
                <w:spacing w:val="-8"/>
                <w:szCs w:val="21"/>
                <w14:textFill>
                  <w14:solidFill>
                    <w14:schemeClr w14:val="tx1"/>
                  </w14:solidFill>
                </w14:textFill>
              </w:rPr>
            </w:pPr>
            <w:r>
              <w:rPr>
                <w:rFonts w:hint="eastAsia" w:ascii="宋体" w:hAnsi="宋体" w:cs="宋体"/>
                <w:color w:val="000000" w:themeColor="text1"/>
                <w:spacing w:val="-8"/>
                <w:szCs w:val="21"/>
                <w14:textFill>
                  <w14:solidFill>
                    <w14:schemeClr w14:val="tx1"/>
                  </w14:solidFill>
                </w14:textFill>
              </w:rPr>
              <w:t>环境风险</w:t>
            </w:r>
          </w:p>
          <w:p w14:paraId="1A424BF3">
            <w:pPr>
              <w:adjustRightInd w:val="0"/>
              <w:snapToGrid w:val="0"/>
              <w:jc w:val="center"/>
              <w:rPr>
                <w:rFonts w:hint="eastAsia" w:ascii="宋体" w:hAnsi="宋体" w:cs="宋体"/>
                <w:color w:val="000000" w:themeColor="text1"/>
                <w:spacing w:val="-8"/>
                <w:szCs w:val="21"/>
                <w14:textFill>
                  <w14:solidFill>
                    <w14:schemeClr w14:val="tx1"/>
                  </w14:solidFill>
                </w14:textFill>
              </w:rPr>
            </w:pPr>
            <w:r>
              <w:rPr>
                <w:rFonts w:hint="eastAsia" w:ascii="宋体" w:hAnsi="宋体" w:cs="宋体"/>
                <w:color w:val="000000" w:themeColor="text1"/>
                <w:spacing w:val="-8"/>
                <w:szCs w:val="21"/>
                <w14:textFill>
                  <w14:solidFill>
                    <w14:schemeClr w14:val="tx1"/>
                  </w14:solidFill>
                </w14:textFill>
              </w:rPr>
              <w:t>防范措施</w:t>
            </w:r>
          </w:p>
        </w:tc>
        <w:tc>
          <w:tcPr>
            <w:tcW w:w="7022" w:type="dxa"/>
            <w:gridSpan w:val="4"/>
            <w:noWrap w:val="0"/>
            <w:vAlign w:val="center"/>
          </w:tcPr>
          <w:p w14:paraId="4D267EA5">
            <w:pPr>
              <w:keepNext w:val="0"/>
              <w:keepLines w:val="0"/>
              <w:widowControl/>
              <w:suppressLineNumbers w:val="0"/>
              <w:ind w:firstLine="40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严格控制厂内风险物质暂存量，从源头降低风险源强；厂区内地面均已进行混凝土硬化，能有效防止危险物质的跑冒滴漏渗入土壤，造成土壤污染；并定期对生产设备进行维护保养，防止油类物质泄漏。</w:t>
            </w:r>
          </w:p>
        </w:tc>
      </w:tr>
      <w:tr w14:paraId="3DF850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14:paraId="3017458E">
            <w:pPr>
              <w:adjustRightInd w:val="0"/>
              <w:snapToGrid w:val="0"/>
              <w:jc w:val="center"/>
              <w:rPr>
                <w:rFonts w:ascii="宋体" w:hAnsi="宋体" w:cs="宋体"/>
                <w:color w:val="000000" w:themeColor="text1"/>
                <w:spacing w:val="-8"/>
                <w:szCs w:val="21"/>
                <w14:textFill>
                  <w14:solidFill>
                    <w14:schemeClr w14:val="tx1"/>
                  </w14:solidFill>
                </w14:textFill>
              </w:rPr>
            </w:pPr>
            <w:r>
              <w:rPr>
                <w:rFonts w:hint="eastAsia" w:ascii="宋体" w:hAnsi="宋体" w:cs="宋体"/>
                <w:color w:val="000000" w:themeColor="text1"/>
                <w:spacing w:val="-8"/>
                <w:szCs w:val="21"/>
                <w14:textFill>
                  <w14:solidFill>
                    <w14:schemeClr w14:val="tx1"/>
                  </w14:solidFill>
                </w14:textFill>
              </w:rPr>
              <w:t>其他环境</w:t>
            </w:r>
          </w:p>
          <w:p w14:paraId="33345B54">
            <w:pPr>
              <w:adjustRightInd w:val="0"/>
              <w:snapToGrid w:val="0"/>
              <w:jc w:val="center"/>
              <w:rPr>
                <w:rFonts w:hint="eastAsia" w:ascii="宋体" w:hAnsi="宋体" w:cs="宋体"/>
                <w:color w:val="000000" w:themeColor="text1"/>
                <w:spacing w:val="-8"/>
                <w:szCs w:val="21"/>
                <w14:textFill>
                  <w14:solidFill>
                    <w14:schemeClr w14:val="tx1"/>
                  </w14:solidFill>
                </w14:textFill>
              </w:rPr>
            </w:pPr>
            <w:r>
              <w:rPr>
                <w:rFonts w:hint="eastAsia" w:ascii="宋体" w:hAnsi="宋体" w:cs="宋体"/>
                <w:color w:val="000000" w:themeColor="text1"/>
                <w:spacing w:val="-8"/>
                <w:szCs w:val="21"/>
                <w14:textFill>
                  <w14:solidFill>
                    <w14:schemeClr w14:val="tx1"/>
                  </w14:solidFill>
                </w14:textFill>
              </w:rPr>
              <w:t>管理要求</w:t>
            </w:r>
          </w:p>
        </w:tc>
        <w:tc>
          <w:tcPr>
            <w:tcW w:w="7022" w:type="dxa"/>
            <w:gridSpan w:val="4"/>
            <w:noWrap w:val="0"/>
            <w:vAlign w:val="center"/>
          </w:tcPr>
          <w:p w14:paraId="36A62374">
            <w:pPr>
              <w:keepNext w:val="0"/>
              <w:keepLines w:val="0"/>
              <w:widowControl/>
              <w:suppressLineNumbers w:val="0"/>
              <w:ind w:firstLine="420" w:firstLineChars="200"/>
              <w:jc w:val="left"/>
              <w:rPr>
                <w:color w:val="000000" w:themeColor="text1"/>
                <w:sz w:val="22"/>
                <w:szCs w:val="28"/>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本项目的污染物主要是废气、噪声和固废，因此在采取环境保护工程措施的同时，必须加强固废的环境管理：</w:t>
            </w:r>
          </w:p>
          <w:p w14:paraId="0DC55609">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color w:val="000000" w:themeColor="text1"/>
                <w:sz w:val="22"/>
                <w:szCs w:val="28"/>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（1）废气、噪声按照自行监测方案开展自行监测；</w:t>
            </w:r>
          </w:p>
          <w:p w14:paraId="70443956">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color w:val="000000" w:themeColor="text1"/>
                <w:sz w:val="22"/>
                <w:szCs w:val="28"/>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（2）建立危险废物环境管理制度；做好危废环境管理台账记录，主要内容包括进出库信息、危废产生量情况等；</w:t>
            </w:r>
          </w:p>
          <w:p w14:paraId="56A47061">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color w:val="000000" w:themeColor="text1"/>
                <w:sz w:val="22"/>
                <w:szCs w:val="28"/>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（3）经查阅《固定污染源排污许可分类管理名录（2019年版）》，本项目属于第二十五“非金属矿物制品业”中第67条“玻璃纤维增强塑料制品制造”，属于登记管理项目；</w:t>
            </w:r>
          </w:p>
          <w:p w14:paraId="2C77A919">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宋体" w:hAnsi="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（4）厂区“三废”及固体废物堆放处应设置明显环保标志，污染物排放口的环保标志牌应设置在靠近采样点的醒目处，提示图形和警告图形参照</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GB15562.1-1995</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GB15562.2-199</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执行。</w:t>
            </w:r>
          </w:p>
        </w:tc>
      </w:tr>
    </w:tbl>
    <w:p w14:paraId="4F43B7EC">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ascii="黑体" w:hAnsi="黑体" w:eastAsia="黑体"/>
          <w:snapToGrid w:val="0"/>
          <w:color w:val="000000" w:themeColor="text1"/>
          <w:sz w:val="30"/>
          <w:szCs w:val="30"/>
          <w14:textFill>
            <w14:solidFill>
              <w14:schemeClr w14:val="tx1"/>
            </w14:solidFill>
          </w14:textFill>
        </w:rPr>
      </w:pPr>
      <w:r>
        <w:rPr>
          <w:snapToGrid w:val="0"/>
          <w:color w:val="000000" w:themeColor="text1"/>
          <w14:textFill>
            <w14:solidFill>
              <w14:schemeClr w14:val="tx1"/>
            </w14:solidFill>
          </w14:textFill>
        </w:rPr>
        <w:br w:type="page"/>
      </w:r>
      <w:bookmarkStart w:id="9" w:name="_Toc5298"/>
      <w:r>
        <w:rPr>
          <w:rFonts w:hint="eastAsia"/>
          <w:b/>
          <w:sz w:val="30"/>
          <w:szCs w:val="30"/>
        </w:rPr>
        <w:t>六、结论</w:t>
      </w:r>
      <w:bookmarkEnd w:id="9"/>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49D0B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6F92E6F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陕西柯尔斯复合材料科技有限公司复合材料产能提升项目为扩建，在原租赁厂房内进行建设。建设项目符合相关生态环境保护法律、法规及政策；项目建设厂址位于陕西省宝鸡市陈仓区东关西虢大道27号（陕西机器人智能制造产业园），项目选址基本可行。项目运营期采取设计及环评提出的污染防治措施后，废气、噪声能够达标排放，固体废物得到合理有效处置，项目建设对周围环境影响可接受。因此，从满足环境质量角度分析，本项目建设可行。</w:t>
            </w:r>
          </w:p>
          <w:p w14:paraId="4E377F0E">
            <w:pPr>
              <w:spacing w:line="360" w:lineRule="auto"/>
              <w:rPr>
                <w:rFonts w:ascii="宋体" w:cs="宋体"/>
                <w:color w:val="000000" w:themeColor="text1"/>
                <w:sz w:val="24"/>
                <w14:textFill>
                  <w14:solidFill>
                    <w14:schemeClr w14:val="tx1"/>
                  </w14:solidFill>
                </w14:textFill>
              </w:rPr>
            </w:pPr>
          </w:p>
        </w:tc>
      </w:tr>
    </w:tbl>
    <w:p w14:paraId="011E0568">
      <w:pPr>
        <w:rPr>
          <w:rFonts w:ascii="宋体"/>
          <w:color w:val="000000" w:themeColor="text1"/>
          <w14:textFill>
            <w14:solidFill>
              <w14:schemeClr w14:val="tx1"/>
            </w14:solidFill>
          </w14:textFill>
        </w:rPr>
        <w:sectPr>
          <w:pgSz w:w="11906" w:h="16838"/>
          <w:pgMar w:top="1701" w:right="1531" w:bottom="1701" w:left="1531" w:header="851" w:footer="851" w:gutter="0"/>
          <w:pgNumType w:fmt="decimal"/>
          <w:cols w:space="720" w:num="1"/>
          <w:docGrid w:linePitch="312" w:charSpace="0"/>
        </w:sectPr>
      </w:pPr>
    </w:p>
    <w:p w14:paraId="36997072">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ascii="黑体" w:hAnsi="黑体" w:eastAsia="黑体"/>
          <w:snapToGrid w:val="0"/>
          <w:color w:val="000000" w:themeColor="text1"/>
          <w:sz w:val="32"/>
          <w:szCs w:val="32"/>
          <w14:textFill>
            <w14:solidFill>
              <w14:schemeClr w14:val="tx1"/>
            </w14:solidFill>
          </w14:textFill>
        </w:rPr>
      </w:pPr>
      <w:bookmarkStart w:id="10" w:name="_Toc27193"/>
      <w:bookmarkStart w:id="11" w:name="_Toc23986"/>
      <w:r>
        <w:rPr>
          <w:rFonts w:hint="eastAsia" w:ascii="黑体" w:hAnsi="黑体" w:eastAsia="黑体"/>
          <w:snapToGrid w:val="0"/>
          <w:color w:val="000000" w:themeColor="text1"/>
          <w:sz w:val="32"/>
          <w:szCs w:val="32"/>
          <w14:textFill>
            <w14:solidFill>
              <w14:schemeClr w14:val="tx1"/>
            </w14:solidFill>
          </w14:textFill>
        </w:rPr>
        <w:t>附表</w:t>
      </w:r>
      <w:bookmarkEnd w:id="10"/>
      <w:bookmarkEnd w:id="11"/>
    </w:p>
    <w:p w14:paraId="5C34D613">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sz w:val="28"/>
          <w:szCs w:val="18"/>
        </w:rPr>
      </w:pPr>
      <w:bookmarkStart w:id="12" w:name="_Toc2638"/>
      <w:r>
        <w:rPr>
          <w:rFonts w:hint="eastAsia"/>
          <w:sz w:val="28"/>
          <w:szCs w:val="18"/>
        </w:rPr>
        <w:t>建设项目污染物排放量汇总表</w:t>
      </w:r>
      <w:bookmarkEnd w:id="12"/>
    </w:p>
    <w:tbl>
      <w:tblPr>
        <w:tblStyle w:val="1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14:paraId="404B5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602D30AC">
            <w:pPr>
              <w:pStyle w:val="20"/>
              <w:spacing w:beforeLines="0" w:afterLines="0" w:line="240" w:lineRule="auto"/>
              <w:jc w:val="right"/>
              <w:rPr>
                <w:rFonts w:hint="eastAsia"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项目</w:t>
            </w:r>
          </w:p>
          <w:p w14:paraId="7D735296">
            <w:pPr>
              <w:pStyle w:val="20"/>
              <w:spacing w:beforeLines="0" w:afterLines="0" w:line="240" w:lineRule="auto"/>
              <w:jc w:val="left"/>
              <w:rPr>
                <w:rFonts w:hint="eastAsia"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分类</w:t>
            </w:r>
          </w:p>
        </w:tc>
        <w:tc>
          <w:tcPr>
            <w:tcW w:w="1417" w:type="dxa"/>
            <w:noWrap w:val="0"/>
            <w:tcMar>
              <w:left w:w="28" w:type="dxa"/>
              <w:right w:w="28" w:type="dxa"/>
            </w:tcMar>
            <w:vAlign w:val="center"/>
          </w:tcPr>
          <w:p w14:paraId="1E2F88EE">
            <w:pPr>
              <w:pStyle w:val="20"/>
              <w:spacing w:beforeLines="0" w:afterLines="0" w:line="240" w:lineRule="auto"/>
              <w:rPr>
                <w:rFonts w:hint="eastAsia"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污染物名称</w:t>
            </w:r>
          </w:p>
        </w:tc>
        <w:tc>
          <w:tcPr>
            <w:tcW w:w="1701" w:type="dxa"/>
            <w:noWrap w:val="0"/>
            <w:tcMar>
              <w:left w:w="28" w:type="dxa"/>
              <w:right w:w="28" w:type="dxa"/>
            </w:tcMar>
            <w:vAlign w:val="center"/>
          </w:tcPr>
          <w:p w14:paraId="31879448">
            <w:pPr>
              <w:pStyle w:val="20"/>
              <w:spacing w:beforeLines="0" w:afterLines="0" w:line="240" w:lineRule="auto"/>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现有工程</w:t>
            </w:r>
          </w:p>
          <w:p w14:paraId="18F3E809">
            <w:pPr>
              <w:pStyle w:val="20"/>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1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①</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276" w:type="dxa"/>
            <w:noWrap w:val="0"/>
            <w:tcMar>
              <w:left w:w="28" w:type="dxa"/>
              <w:right w:w="28" w:type="dxa"/>
            </w:tcMar>
            <w:vAlign w:val="center"/>
          </w:tcPr>
          <w:p w14:paraId="4FD0699C">
            <w:pPr>
              <w:pStyle w:val="20"/>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现有工程</w:t>
            </w:r>
          </w:p>
          <w:p w14:paraId="711E95EE">
            <w:pPr>
              <w:pStyle w:val="20"/>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许可排放量</w:t>
            </w:r>
          </w:p>
          <w:p w14:paraId="54893D8A">
            <w:pPr>
              <w:pStyle w:val="20"/>
              <w:spacing w:beforeLines="0" w:afterLines="0"/>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2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snapToGrid w:val="0"/>
                <w:color w:val="000000" w:themeColor="text1"/>
                <w:spacing w:val="-6"/>
                <w:kern w:val="21"/>
                <w:szCs w:val="21"/>
                <w14:textFill>
                  <w14:solidFill>
                    <w14:schemeClr w14:val="tx1"/>
                  </w14:solidFill>
                </w14:textFill>
              </w:rPr>
              <w:t>②</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701" w:type="dxa"/>
            <w:noWrap w:val="0"/>
            <w:tcMar>
              <w:left w:w="28" w:type="dxa"/>
              <w:right w:w="28" w:type="dxa"/>
            </w:tcMar>
            <w:vAlign w:val="center"/>
          </w:tcPr>
          <w:p w14:paraId="058C41A0">
            <w:pPr>
              <w:pStyle w:val="20"/>
              <w:spacing w:beforeLines="0" w:afterLines="0" w:line="240" w:lineRule="auto"/>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在建工程</w:t>
            </w:r>
          </w:p>
          <w:p w14:paraId="321B8668">
            <w:pPr>
              <w:pStyle w:val="20"/>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3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③</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559" w:type="dxa"/>
            <w:noWrap w:val="0"/>
            <w:tcMar>
              <w:left w:w="28" w:type="dxa"/>
              <w:right w:w="28" w:type="dxa"/>
            </w:tcMar>
            <w:vAlign w:val="center"/>
          </w:tcPr>
          <w:p w14:paraId="52294729">
            <w:pPr>
              <w:pStyle w:val="20"/>
              <w:spacing w:beforeLines="0" w:afterLines="0" w:line="240" w:lineRule="auto"/>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本项目</w:t>
            </w:r>
          </w:p>
          <w:p w14:paraId="59D3CE1D">
            <w:pPr>
              <w:pStyle w:val="20"/>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4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④</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761" w:type="dxa"/>
            <w:noWrap w:val="0"/>
            <w:tcMar>
              <w:left w:w="28" w:type="dxa"/>
              <w:right w:w="28" w:type="dxa"/>
            </w:tcMar>
            <w:vAlign w:val="center"/>
          </w:tcPr>
          <w:p w14:paraId="16807589">
            <w:pPr>
              <w:pStyle w:val="20"/>
              <w:spacing w:beforeLines="0" w:afterLines="0" w:line="240" w:lineRule="auto"/>
              <w:rPr>
                <w:rFonts w:hint="eastAsia"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以新带老削减量</w:t>
            </w:r>
          </w:p>
          <w:p w14:paraId="3D9DCFAE">
            <w:pPr>
              <w:pStyle w:val="20"/>
              <w:spacing w:beforeLines="0" w:afterLines="0" w:line="240" w:lineRule="auto"/>
              <w:rPr>
                <w:rFonts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（新建项目不填）</w:t>
            </w:r>
            <w:r>
              <w:rPr>
                <w:rFonts w:ascii="黑体" w:hAnsi="黑体" w:eastAsia="黑体"/>
                <w:snapToGrid w:val="0"/>
                <w:color w:val="000000" w:themeColor="text1"/>
                <w:spacing w:val="-16"/>
                <w:kern w:val="21"/>
                <w:szCs w:val="21"/>
                <w14:textFill>
                  <w14:solidFill>
                    <w14:schemeClr w14:val="tx1"/>
                  </w14:solidFill>
                </w14:textFill>
              </w:rPr>
              <w:fldChar w:fldCharType="begin"/>
            </w:r>
            <w:r>
              <w:rPr>
                <w:rFonts w:ascii="黑体" w:hAnsi="黑体" w:eastAsia="黑体"/>
                <w:snapToGrid w:val="0"/>
                <w:color w:val="000000" w:themeColor="text1"/>
                <w:spacing w:val="-16"/>
                <w:kern w:val="21"/>
                <w:szCs w:val="21"/>
                <w14:textFill>
                  <w14:solidFill>
                    <w14:schemeClr w14:val="tx1"/>
                  </w14:solidFill>
                </w14:textFill>
              </w:rPr>
              <w:instrText xml:space="preserve"> = 5 \* GB3 \* MERGEFORMAT </w:instrText>
            </w:r>
            <w:r>
              <w:rPr>
                <w:rFonts w:ascii="黑体" w:hAnsi="黑体" w:eastAsia="黑体"/>
                <w:snapToGrid w:val="0"/>
                <w:color w:val="000000" w:themeColor="text1"/>
                <w:spacing w:val="-1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⑤</w:t>
            </w:r>
            <w:r>
              <w:rPr>
                <w:rFonts w:ascii="黑体" w:hAnsi="黑体" w:eastAsia="黑体"/>
                <w:snapToGrid w:val="0"/>
                <w:color w:val="000000" w:themeColor="text1"/>
                <w:spacing w:val="-16"/>
                <w:kern w:val="21"/>
                <w:szCs w:val="21"/>
                <w14:textFill>
                  <w14:solidFill>
                    <w14:schemeClr w14:val="tx1"/>
                  </w14:solidFill>
                </w14:textFill>
              </w:rPr>
              <w:fldChar w:fldCharType="end"/>
            </w:r>
          </w:p>
        </w:tc>
        <w:tc>
          <w:tcPr>
            <w:tcW w:w="1959" w:type="dxa"/>
            <w:noWrap w:val="0"/>
            <w:tcMar>
              <w:left w:w="28" w:type="dxa"/>
              <w:right w:w="28" w:type="dxa"/>
            </w:tcMar>
            <w:vAlign w:val="center"/>
          </w:tcPr>
          <w:p w14:paraId="08AF8963">
            <w:pPr>
              <w:pStyle w:val="20"/>
              <w:spacing w:beforeLines="0" w:afterLines="0" w:line="240" w:lineRule="auto"/>
              <w:rPr>
                <w:rFonts w:hint="eastAsia"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本项目建成后</w:t>
            </w:r>
          </w:p>
          <w:p w14:paraId="455377A4">
            <w:pPr>
              <w:pStyle w:val="20"/>
              <w:spacing w:beforeLines="0" w:afterLines="0" w:line="240" w:lineRule="auto"/>
              <w:rPr>
                <w:rFonts w:ascii="黑体" w:hAnsi="黑体" w:eastAsia="黑体"/>
                <w:snapToGrid w:val="0"/>
                <w:color w:val="000000" w:themeColor="text1"/>
                <w:spacing w:val="-16"/>
                <w:kern w:val="21"/>
                <w:szCs w:val="21"/>
                <w14:textFill>
                  <w14:solidFill>
                    <w14:schemeClr w14:val="tx1"/>
                  </w14:solidFill>
                </w14:textFill>
              </w:rPr>
            </w:pPr>
            <w:r>
              <w:rPr>
                <w:rFonts w:hint="eastAsia" w:ascii="黑体" w:hAnsi="黑体" w:eastAsia="黑体"/>
                <w:snapToGrid w:val="0"/>
                <w:color w:val="000000" w:themeColor="text1"/>
                <w:spacing w:val="-16"/>
                <w:kern w:val="21"/>
                <w:szCs w:val="21"/>
                <w14:textFill>
                  <w14:solidFill>
                    <w14:schemeClr w14:val="tx1"/>
                  </w14:solidFill>
                </w14:textFill>
              </w:rPr>
              <w:t>全厂</w:t>
            </w:r>
            <w:r>
              <w:rPr>
                <w:rFonts w:ascii="黑体" w:hAnsi="黑体" w:eastAsia="黑体"/>
                <w:snapToGrid w:val="0"/>
                <w:color w:val="000000" w:themeColor="text1"/>
                <w:spacing w:val="-16"/>
                <w:kern w:val="21"/>
                <w:szCs w:val="21"/>
                <w14:textFill>
                  <w14:solidFill>
                    <w14:schemeClr w14:val="tx1"/>
                  </w14:solidFill>
                </w14:textFill>
              </w:rPr>
              <w:t>排放量（固</w:t>
            </w:r>
            <w:r>
              <w:rPr>
                <w:rFonts w:hint="eastAsia" w:ascii="黑体" w:hAnsi="黑体" w:eastAsia="黑体"/>
                <w:snapToGrid w:val="0"/>
                <w:color w:val="000000" w:themeColor="text1"/>
                <w:spacing w:val="-16"/>
                <w:kern w:val="21"/>
                <w:szCs w:val="21"/>
                <w14:textFill>
                  <w14:solidFill>
                    <w14:schemeClr w14:val="tx1"/>
                  </w14:solidFill>
                </w14:textFill>
              </w:rPr>
              <w:t>体</w:t>
            </w:r>
            <w:r>
              <w:rPr>
                <w:rFonts w:ascii="黑体" w:hAnsi="黑体" w:eastAsia="黑体"/>
                <w:snapToGrid w:val="0"/>
                <w:color w:val="000000" w:themeColor="text1"/>
                <w:spacing w:val="-16"/>
                <w:kern w:val="21"/>
                <w:szCs w:val="21"/>
                <w14:textFill>
                  <w14:solidFill>
                    <w14:schemeClr w14:val="tx1"/>
                  </w14:solidFill>
                </w14:textFill>
              </w:rPr>
              <w:t>废</w:t>
            </w:r>
            <w:r>
              <w:rPr>
                <w:rFonts w:hint="eastAsia" w:ascii="黑体" w:hAnsi="黑体" w:eastAsia="黑体"/>
                <w:snapToGrid w:val="0"/>
                <w:color w:val="000000" w:themeColor="text1"/>
                <w:spacing w:val="-16"/>
                <w:kern w:val="21"/>
                <w:szCs w:val="21"/>
                <w14:textFill>
                  <w14:solidFill>
                    <w14:schemeClr w14:val="tx1"/>
                  </w14:solidFill>
                </w14:textFill>
              </w:rPr>
              <w:t>物</w:t>
            </w:r>
            <w:r>
              <w:rPr>
                <w:rFonts w:ascii="黑体" w:hAnsi="黑体" w:eastAsia="黑体"/>
                <w:snapToGrid w:val="0"/>
                <w:color w:val="000000" w:themeColor="text1"/>
                <w:spacing w:val="-16"/>
                <w:kern w:val="21"/>
                <w:szCs w:val="21"/>
                <w14:textFill>
                  <w14:solidFill>
                    <w14:schemeClr w14:val="tx1"/>
                  </w14:solidFill>
                </w14:textFill>
              </w:rPr>
              <w:t>产生量）</w:t>
            </w:r>
            <w:r>
              <w:rPr>
                <w:rFonts w:ascii="黑体" w:hAnsi="黑体" w:eastAsia="黑体"/>
                <w:snapToGrid w:val="0"/>
                <w:color w:val="000000" w:themeColor="text1"/>
                <w:spacing w:val="-16"/>
                <w:kern w:val="21"/>
                <w:szCs w:val="21"/>
                <w14:textFill>
                  <w14:solidFill>
                    <w14:schemeClr w14:val="tx1"/>
                  </w14:solidFill>
                </w14:textFill>
              </w:rPr>
              <w:fldChar w:fldCharType="begin"/>
            </w:r>
            <w:r>
              <w:rPr>
                <w:rFonts w:ascii="黑体" w:hAnsi="黑体" w:eastAsia="黑体"/>
                <w:snapToGrid w:val="0"/>
                <w:color w:val="000000" w:themeColor="text1"/>
                <w:spacing w:val="-16"/>
                <w:kern w:val="21"/>
                <w:szCs w:val="21"/>
                <w14:textFill>
                  <w14:solidFill>
                    <w14:schemeClr w14:val="tx1"/>
                  </w14:solidFill>
                </w14:textFill>
              </w:rPr>
              <w:instrText xml:space="preserve"> = 6 \* GB3 \* MERGEFORMAT </w:instrText>
            </w:r>
            <w:r>
              <w:rPr>
                <w:rFonts w:ascii="黑体" w:hAnsi="黑体" w:eastAsia="黑体"/>
                <w:snapToGrid w:val="0"/>
                <w:color w:val="000000" w:themeColor="text1"/>
                <w:spacing w:val="-1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⑥</w:t>
            </w:r>
            <w:r>
              <w:rPr>
                <w:rFonts w:ascii="黑体" w:hAnsi="黑体" w:eastAsia="黑体"/>
                <w:snapToGrid w:val="0"/>
                <w:color w:val="000000" w:themeColor="text1"/>
                <w:spacing w:val="-16"/>
                <w:kern w:val="21"/>
                <w:szCs w:val="21"/>
                <w14:textFill>
                  <w14:solidFill>
                    <w14:schemeClr w14:val="tx1"/>
                  </w14:solidFill>
                </w14:textFill>
              </w:rPr>
              <w:fldChar w:fldCharType="end"/>
            </w:r>
          </w:p>
        </w:tc>
        <w:tc>
          <w:tcPr>
            <w:tcW w:w="826" w:type="dxa"/>
            <w:noWrap w:val="0"/>
            <w:tcMar>
              <w:left w:w="28" w:type="dxa"/>
              <w:right w:w="28" w:type="dxa"/>
            </w:tcMar>
            <w:vAlign w:val="center"/>
          </w:tcPr>
          <w:p w14:paraId="1ED2E10D">
            <w:pPr>
              <w:pStyle w:val="20"/>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变化量</w:t>
            </w:r>
          </w:p>
          <w:p w14:paraId="3A1DC476">
            <w:pPr>
              <w:pStyle w:val="20"/>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7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⑦</w:t>
            </w:r>
            <w:r>
              <w:rPr>
                <w:rFonts w:ascii="黑体" w:hAnsi="黑体" w:eastAsia="黑体"/>
                <w:snapToGrid w:val="0"/>
                <w:color w:val="000000" w:themeColor="text1"/>
                <w:spacing w:val="-6"/>
                <w:kern w:val="21"/>
                <w:szCs w:val="21"/>
                <w14:textFill>
                  <w14:solidFill>
                    <w14:schemeClr w14:val="tx1"/>
                  </w14:solidFill>
                </w14:textFill>
              </w:rPr>
              <w:fldChar w:fldCharType="end"/>
            </w:r>
          </w:p>
        </w:tc>
      </w:tr>
      <w:tr w14:paraId="64DCF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588" w:type="dxa"/>
            <w:vMerge w:val="restart"/>
            <w:noWrap w:val="0"/>
            <w:vAlign w:val="center"/>
          </w:tcPr>
          <w:p w14:paraId="72EDA7A7">
            <w:pPr>
              <w:pStyle w:val="20"/>
              <w:spacing w:beforeLines="0" w:afterLines="0" w:line="240" w:lineRule="auto"/>
              <w:rPr>
                <w:rFonts w:hint="eastAsia"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14:textFill>
                  <w14:solidFill>
                    <w14:schemeClr w14:val="tx1"/>
                  </w14:solidFill>
                </w14:textFill>
              </w:rPr>
              <w:t>废气</w:t>
            </w:r>
          </w:p>
        </w:tc>
        <w:tc>
          <w:tcPr>
            <w:tcW w:w="1417" w:type="dxa"/>
            <w:noWrap w:val="0"/>
            <w:vAlign w:val="center"/>
          </w:tcPr>
          <w:p w14:paraId="56ED829B">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颗粒物</w:t>
            </w:r>
          </w:p>
        </w:tc>
        <w:tc>
          <w:tcPr>
            <w:tcW w:w="1701" w:type="dxa"/>
            <w:noWrap w:val="0"/>
            <w:vAlign w:val="center"/>
          </w:tcPr>
          <w:p w14:paraId="326C5809">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353D5407">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6F1F654F">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6569D693">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61" w:type="dxa"/>
            <w:noWrap w:val="0"/>
            <w:vAlign w:val="center"/>
          </w:tcPr>
          <w:p w14:paraId="3A1AFA7D">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959" w:type="dxa"/>
            <w:noWrap w:val="0"/>
            <w:vAlign w:val="center"/>
          </w:tcPr>
          <w:p w14:paraId="2F1E39A7">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0.004t/a</w:t>
            </w:r>
          </w:p>
        </w:tc>
        <w:tc>
          <w:tcPr>
            <w:tcW w:w="826" w:type="dxa"/>
            <w:noWrap w:val="0"/>
            <w:vAlign w:val="center"/>
          </w:tcPr>
          <w:p w14:paraId="2E8678F6">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r>
      <w:tr w14:paraId="10CFCE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6531609">
            <w:pPr>
              <w:pStyle w:val="20"/>
              <w:spacing w:beforeLines="0" w:afterLines="0" w:line="240" w:lineRule="auto"/>
              <w:rPr>
                <w:rFonts w:hint="eastAsia" w:hAnsi="宋体" w:cs="宋体"/>
                <w:snapToGrid w:val="0"/>
                <w:color w:val="000000" w:themeColor="text1"/>
                <w:kern w:val="21"/>
                <w:szCs w:val="21"/>
                <w14:textFill>
                  <w14:solidFill>
                    <w14:schemeClr w14:val="tx1"/>
                  </w14:solidFill>
                </w14:textFill>
              </w:rPr>
            </w:pPr>
          </w:p>
        </w:tc>
        <w:tc>
          <w:tcPr>
            <w:tcW w:w="1417" w:type="dxa"/>
            <w:noWrap w:val="0"/>
            <w:vAlign w:val="center"/>
          </w:tcPr>
          <w:p w14:paraId="7E1AFAAD">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非甲烷总烃</w:t>
            </w:r>
          </w:p>
        </w:tc>
        <w:tc>
          <w:tcPr>
            <w:tcW w:w="1701" w:type="dxa"/>
            <w:noWrap w:val="0"/>
            <w:vAlign w:val="center"/>
          </w:tcPr>
          <w:p w14:paraId="321C16CD">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96</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1276" w:type="dxa"/>
            <w:noWrap w:val="0"/>
            <w:vAlign w:val="center"/>
          </w:tcPr>
          <w:p w14:paraId="4A1109C0">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6AD2128B">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07BDABEE">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83.904</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1761" w:type="dxa"/>
            <w:noWrap w:val="0"/>
            <w:vAlign w:val="center"/>
          </w:tcPr>
          <w:p w14:paraId="598C1B4E">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30.72</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1959" w:type="dxa"/>
            <w:noWrap w:val="0"/>
            <w:vAlign w:val="center"/>
          </w:tcPr>
          <w:p w14:paraId="4638210C">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114.624</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826" w:type="dxa"/>
            <w:noWrap w:val="0"/>
            <w:vAlign w:val="center"/>
          </w:tcPr>
          <w:p w14:paraId="549BD892">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+18.624</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r>
      <w:tr w14:paraId="38B3D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78C2800E">
            <w:pPr>
              <w:pStyle w:val="20"/>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14:textFill>
                  <w14:solidFill>
                    <w14:schemeClr w14:val="tx1"/>
                  </w14:solidFill>
                </w14:textFill>
              </w:rPr>
              <w:t>一般工业</w:t>
            </w:r>
          </w:p>
          <w:p w14:paraId="2B809852">
            <w:pPr>
              <w:pStyle w:val="20"/>
              <w:spacing w:beforeLines="0" w:afterLines="0" w:line="240" w:lineRule="auto"/>
              <w:rPr>
                <w:rFonts w:hint="eastAsia"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14:textFill>
                  <w14:solidFill>
                    <w14:schemeClr w14:val="tx1"/>
                  </w14:solidFill>
                </w14:textFill>
              </w:rPr>
              <w:t>固体废物</w:t>
            </w:r>
          </w:p>
        </w:tc>
        <w:tc>
          <w:tcPr>
            <w:tcW w:w="1417" w:type="dxa"/>
            <w:noWrap w:val="0"/>
            <w:vAlign w:val="center"/>
          </w:tcPr>
          <w:p w14:paraId="18D04CA1">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废包装物</w:t>
            </w:r>
          </w:p>
        </w:tc>
        <w:tc>
          <w:tcPr>
            <w:tcW w:w="1701" w:type="dxa"/>
            <w:noWrap w:val="0"/>
            <w:vAlign w:val="center"/>
          </w:tcPr>
          <w:p w14:paraId="33541139">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1276" w:type="dxa"/>
            <w:noWrap w:val="0"/>
            <w:vAlign w:val="center"/>
          </w:tcPr>
          <w:p w14:paraId="63A5AE2E">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5E6109C8">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143DD06D">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61" w:type="dxa"/>
            <w:noWrap w:val="0"/>
            <w:vAlign w:val="center"/>
          </w:tcPr>
          <w:p w14:paraId="5ACD6C32">
            <w:pPr>
              <w:spacing w:beforeLines="0" w:afterLines="0" w:line="240" w:lineRule="auto"/>
              <w:jc w:val="center"/>
              <w:rPr>
                <w:rFonts w:hint="eastAsia" w:hAnsi="宋体" w:cs="宋体" w:eastAsiaTheme="minorEastAsia"/>
                <w:snapToGrid w:val="0"/>
                <w:color w:val="000000" w:themeColor="text1"/>
                <w:kern w:val="21"/>
                <w:szCs w:val="21"/>
                <w:lang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959" w:type="dxa"/>
            <w:noWrap w:val="0"/>
            <w:vAlign w:val="center"/>
          </w:tcPr>
          <w:p w14:paraId="67534660">
            <w:pPr>
              <w:pStyle w:val="20"/>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826" w:type="dxa"/>
            <w:noWrap w:val="0"/>
            <w:vAlign w:val="center"/>
          </w:tcPr>
          <w:p w14:paraId="5B026326">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r>
      <w:tr w14:paraId="196B69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620D761">
            <w:pPr>
              <w:pStyle w:val="20"/>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417" w:type="dxa"/>
            <w:noWrap w:val="0"/>
            <w:vAlign w:val="center"/>
          </w:tcPr>
          <w:p w14:paraId="62173A33">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切割边角料</w:t>
            </w:r>
          </w:p>
        </w:tc>
        <w:tc>
          <w:tcPr>
            <w:tcW w:w="1701" w:type="dxa"/>
            <w:noWrap w:val="0"/>
            <w:vAlign w:val="center"/>
          </w:tcPr>
          <w:p w14:paraId="06621E12">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27</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1276" w:type="dxa"/>
            <w:noWrap w:val="0"/>
            <w:vAlign w:val="center"/>
          </w:tcPr>
          <w:p w14:paraId="61C77FCC">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0553DB58">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67C0952A">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1.04t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1761" w:type="dxa"/>
            <w:noWrap w:val="0"/>
            <w:vAlign w:val="center"/>
          </w:tcPr>
          <w:p w14:paraId="0E27991D">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959" w:type="dxa"/>
            <w:noWrap w:val="0"/>
            <w:vAlign w:val="center"/>
          </w:tcPr>
          <w:p w14:paraId="6C4CB3AE">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1.067t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826" w:type="dxa"/>
            <w:noWrap w:val="0"/>
            <w:vAlign w:val="center"/>
          </w:tcPr>
          <w:p w14:paraId="0D6CF7E0">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r>
      <w:tr w14:paraId="718267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8C8CD74">
            <w:pPr>
              <w:pStyle w:val="20"/>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417" w:type="dxa"/>
            <w:noWrap w:val="0"/>
            <w:vAlign w:val="center"/>
          </w:tcPr>
          <w:p w14:paraId="7163146A">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纤维包装箱</w:t>
            </w:r>
          </w:p>
        </w:tc>
        <w:tc>
          <w:tcPr>
            <w:tcW w:w="1701" w:type="dxa"/>
            <w:noWrap w:val="0"/>
            <w:vAlign w:val="center"/>
          </w:tcPr>
          <w:p w14:paraId="4E07861D">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031D95ED">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2C4954A2">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486577A1">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1761" w:type="dxa"/>
            <w:noWrap w:val="0"/>
            <w:vAlign w:val="center"/>
          </w:tcPr>
          <w:p w14:paraId="5DA93470">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959" w:type="dxa"/>
            <w:noWrap w:val="0"/>
            <w:vAlign w:val="center"/>
          </w:tcPr>
          <w:p w14:paraId="2BFCC03C">
            <w:pPr>
              <w:pStyle w:val="20"/>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826" w:type="dxa"/>
            <w:noWrap w:val="0"/>
            <w:vAlign w:val="center"/>
          </w:tcPr>
          <w:p w14:paraId="3A3A63B2">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r>
      <w:tr w14:paraId="64BCAC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53B00D3">
            <w:pPr>
              <w:pStyle w:val="20"/>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417" w:type="dxa"/>
            <w:noWrap w:val="0"/>
            <w:vAlign w:val="center"/>
          </w:tcPr>
          <w:p w14:paraId="4DE125C9">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收尘灰</w:t>
            </w:r>
          </w:p>
        </w:tc>
        <w:tc>
          <w:tcPr>
            <w:tcW w:w="1701" w:type="dxa"/>
            <w:noWrap w:val="0"/>
            <w:vAlign w:val="center"/>
          </w:tcPr>
          <w:p w14:paraId="03FD5DC5">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5390C797">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166BC7F2">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6BB7EDEB">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75</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1761" w:type="dxa"/>
            <w:noWrap w:val="0"/>
            <w:vAlign w:val="center"/>
          </w:tcPr>
          <w:p w14:paraId="15716075">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959" w:type="dxa"/>
            <w:noWrap w:val="0"/>
            <w:vAlign w:val="center"/>
          </w:tcPr>
          <w:p w14:paraId="30FBB0BA">
            <w:pPr>
              <w:pStyle w:val="20"/>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75</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826" w:type="dxa"/>
            <w:noWrap w:val="0"/>
            <w:vAlign w:val="center"/>
          </w:tcPr>
          <w:p w14:paraId="539F8208">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r>
      <w:tr w14:paraId="04C00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B47B205">
            <w:pPr>
              <w:pStyle w:val="20"/>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417" w:type="dxa"/>
            <w:noWrap w:val="0"/>
            <w:vAlign w:val="center"/>
          </w:tcPr>
          <w:p w14:paraId="65E7DC63">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活性炭箱</w:t>
            </w:r>
          </w:p>
        </w:tc>
        <w:tc>
          <w:tcPr>
            <w:tcW w:w="1701" w:type="dxa"/>
            <w:noWrap w:val="0"/>
            <w:vAlign w:val="center"/>
          </w:tcPr>
          <w:p w14:paraId="231E01B8">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1D7FEA4A">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6D17441C">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09939D22">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1761" w:type="dxa"/>
            <w:noWrap w:val="0"/>
            <w:vAlign w:val="center"/>
          </w:tcPr>
          <w:p w14:paraId="253F3ED0">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959" w:type="dxa"/>
            <w:noWrap w:val="0"/>
            <w:vAlign w:val="center"/>
          </w:tcPr>
          <w:p w14:paraId="38C12380">
            <w:pPr>
              <w:pStyle w:val="20"/>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826" w:type="dxa"/>
            <w:noWrap w:val="0"/>
            <w:vAlign w:val="center"/>
          </w:tcPr>
          <w:p w14:paraId="4E82F1DF">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r>
      <w:tr w14:paraId="367F1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14:paraId="1736A8E7">
            <w:pPr>
              <w:pStyle w:val="20"/>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生活垃圾</w:t>
            </w:r>
          </w:p>
        </w:tc>
        <w:tc>
          <w:tcPr>
            <w:tcW w:w="1417" w:type="dxa"/>
            <w:noWrap w:val="0"/>
            <w:vAlign w:val="center"/>
          </w:tcPr>
          <w:p w14:paraId="358EEE93">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生活垃圾</w:t>
            </w:r>
          </w:p>
        </w:tc>
        <w:tc>
          <w:tcPr>
            <w:tcW w:w="1701" w:type="dxa"/>
            <w:noWrap w:val="0"/>
            <w:vAlign w:val="center"/>
          </w:tcPr>
          <w:p w14:paraId="651D9A93">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1500</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1276" w:type="dxa"/>
            <w:noWrap w:val="0"/>
            <w:vAlign w:val="center"/>
          </w:tcPr>
          <w:p w14:paraId="69090E12">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0E9F320A">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549DDDDC">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2.31t/a</w:t>
            </w:r>
          </w:p>
        </w:tc>
        <w:tc>
          <w:tcPr>
            <w:tcW w:w="1761" w:type="dxa"/>
            <w:noWrap w:val="0"/>
            <w:vAlign w:val="center"/>
          </w:tcPr>
          <w:p w14:paraId="1965C0E4">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959" w:type="dxa"/>
            <w:noWrap w:val="0"/>
            <w:vAlign w:val="center"/>
          </w:tcPr>
          <w:p w14:paraId="704AE67E">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3.81t/a</w:t>
            </w:r>
          </w:p>
        </w:tc>
        <w:tc>
          <w:tcPr>
            <w:tcW w:w="826" w:type="dxa"/>
            <w:noWrap w:val="0"/>
            <w:vAlign w:val="center"/>
          </w:tcPr>
          <w:p w14:paraId="3FD5DDB8">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r>
      <w:tr w14:paraId="1F21B8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7081448C">
            <w:pPr>
              <w:pStyle w:val="20"/>
              <w:spacing w:beforeLines="0" w:afterLines="0" w:line="240" w:lineRule="auto"/>
              <w:rPr>
                <w:rFonts w:hint="eastAsia"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14:textFill>
                  <w14:solidFill>
                    <w14:schemeClr w14:val="tx1"/>
                  </w14:solidFill>
                </w14:textFill>
              </w:rPr>
              <w:t>危险废物</w:t>
            </w:r>
          </w:p>
        </w:tc>
        <w:tc>
          <w:tcPr>
            <w:tcW w:w="1417" w:type="dxa"/>
            <w:noWrap w:val="0"/>
            <w:vAlign w:val="center"/>
          </w:tcPr>
          <w:p w14:paraId="2C628C53">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废桶</w:t>
            </w:r>
          </w:p>
        </w:tc>
        <w:tc>
          <w:tcPr>
            <w:tcW w:w="1701" w:type="dxa"/>
            <w:noWrap w:val="0"/>
            <w:vAlign w:val="center"/>
          </w:tcPr>
          <w:p w14:paraId="12DC244A">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20.8</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1276" w:type="dxa"/>
            <w:noWrap w:val="0"/>
            <w:vAlign w:val="center"/>
          </w:tcPr>
          <w:p w14:paraId="7F8502CB">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385C37C4">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046B854F">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61" w:type="dxa"/>
            <w:noWrap w:val="0"/>
            <w:vAlign w:val="center"/>
          </w:tcPr>
          <w:p w14:paraId="4BF36C1B">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959" w:type="dxa"/>
            <w:noWrap w:val="0"/>
            <w:vAlign w:val="center"/>
          </w:tcPr>
          <w:p w14:paraId="719915C8">
            <w:pPr>
              <w:pStyle w:val="20"/>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20.8</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826" w:type="dxa"/>
            <w:noWrap w:val="0"/>
            <w:vAlign w:val="center"/>
          </w:tcPr>
          <w:p w14:paraId="759DE565">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r>
      <w:tr w14:paraId="370BF3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130E2CB">
            <w:pPr>
              <w:pStyle w:val="20"/>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417" w:type="dxa"/>
            <w:noWrap w:val="0"/>
            <w:vAlign w:val="center"/>
          </w:tcPr>
          <w:p w14:paraId="60935E08">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废机油</w:t>
            </w:r>
          </w:p>
        </w:tc>
        <w:tc>
          <w:tcPr>
            <w:tcW w:w="1701" w:type="dxa"/>
            <w:noWrap w:val="0"/>
            <w:vAlign w:val="center"/>
          </w:tcPr>
          <w:p w14:paraId="2B1E68CA">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6F073262">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63AE0A35">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6D06F7EF">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0.1t/a</w:t>
            </w:r>
          </w:p>
        </w:tc>
        <w:tc>
          <w:tcPr>
            <w:tcW w:w="1761" w:type="dxa"/>
            <w:noWrap w:val="0"/>
            <w:vAlign w:val="center"/>
          </w:tcPr>
          <w:p w14:paraId="5B290D20">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959" w:type="dxa"/>
            <w:noWrap w:val="0"/>
            <w:vAlign w:val="center"/>
          </w:tcPr>
          <w:p w14:paraId="18C30E5F">
            <w:pPr>
              <w:pStyle w:val="20"/>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0.1t/a</w:t>
            </w:r>
          </w:p>
        </w:tc>
        <w:tc>
          <w:tcPr>
            <w:tcW w:w="826" w:type="dxa"/>
            <w:noWrap w:val="0"/>
            <w:vAlign w:val="center"/>
          </w:tcPr>
          <w:p w14:paraId="18930E64">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r>
      <w:tr w14:paraId="1C1D4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E7508D7">
            <w:pPr>
              <w:pStyle w:val="20"/>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417" w:type="dxa"/>
            <w:noWrap w:val="0"/>
            <w:vAlign w:val="center"/>
          </w:tcPr>
          <w:p w14:paraId="43228FB1">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废树脂类</w:t>
            </w:r>
          </w:p>
        </w:tc>
        <w:tc>
          <w:tcPr>
            <w:tcW w:w="1701" w:type="dxa"/>
            <w:noWrap w:val="0"/>
            <w:vAlign w:val="center"/>
          </w:tcPr>
          <w:p w14:paraId="7CFBE7C6">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47.7</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1276" w:type="dxa"/>
            <w:noWrap w:val="0"/>
            <w:vAlign w:val="center"/>
          </w:tcPr>
          <w:p w14:paraId="4A349CB2">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63A86146">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1E597329">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61" w:type="dxa"/>
            <w:noWrap w:val="0"/>
            <w:vAlign w:val="center"/>
          </w:tcPr>
          <w:p w14:paraId="4DD29D52">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959" w:type="dxa"/>
            <w:noWrap w:val="0"/>
            <w:vAlign w:val="center"/>
          </w:tcPr>
          <w:p w14:paraId="3D82CA1C">
            <w:pPr>
              <w:pStyle w:val="20"/>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47.7</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kg</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826" w:type="dxa"/>
            <w:noWrap w:val="0"/>
            <w:vAlign w:val="center"/>
          </w:tcPr>
          <w:p w14:paraId="16819632">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r>
      <w:tr w14:paraId="79729C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21624D6">
            <w:pPr>
              <w:pStyle w:val="20"/>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417" w:type="dxa"/>
            <w:noWrap w:val="0"/>
            <w:vAlign w:val="center"/>
          </w:tcPr>
          <w:p w14:paraId="2B9C0689">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环氧树脂桶</w:t>
            </w:r>
          </w:p>
        </w:tc>
        <w:tc>
          <w:tcPr>
            <w:tcW w:w="1701" w:type="dxa"/>
            <w:noWrap w:val="0"/>
            <w:vAlign w:val="center"/>
          </w:tcPr>
          <w:p w14:paraId="2342827C">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01CCCF61">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79383D84">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481AA956">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28.5kg/a</w:t>
            </w:r>
          </w:p>
        </w:tc>
        <w:tc>
          <w:tcPr>
            <w:tcW w:w="1761" w:type="dxa"/>
            <w:noWrap w:val="0"/>
            <w:vAlign w:val="center"/>
          </w:tcPr>
          <w:p w14:paraId="51B221CA">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959" w:type="dxa"/>
            <w:shd w:val="clear" w:color="auto" w:fill="auto"/>
            <w:noWrap w:val="0"/>
            <w:vAlign w:val="center"/>
          </w:tcPr>
          <w:p w14:paraId="3DB28787">
            <w:pPr>
              <w:pStyle w:val="20"/>
              <w:spacing w:beforeLines="0" w:afterLines="0" w:line="240" w:lineRule="auto"/>
              <w:rPr>
                <w:rFonts w:hint="default" w:ascii="宋体" w:hAnsi="宋体" w:cs="宋体" w:eastAsiaTheme="minorEastAsia"/>
                <w:snapToGrid w:val="0"/>
                <w:color w:val="000000" w:themeColor="text1"/>
                <w:kern w:val="21"/>
                <w:sz w:val="21"/>
                <w:szCs w:val="21"/>
                <w:lang w:val="en-US" w:eastAsia="zh-CN" w:bidi="ar-SA"/>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28.5kg/a</w:t>
            </w:r>
          </w:p>
        </w:tc>
        <w:tc>
          <w:tcPr>
            <w:tcW w:w="826" w:type="dxa"/>
            <w:noWrap w:val="0"/>
            <w:vAlign w:val="center"/>
          </w:tcPr>
          <w:p w14:paraId="09353A76">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r>
      <w:tr w14:paraId="256E7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0EB25BD">
            <w:pPr>
              <w:pStyle w:val="20"/>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417" w:type="dxa"/>
            <w:noWrap w:val="0"/>
            <w:vAlign w:val="center"/>
          </w:tcPr>
          <w:p w14:paraId="7E477D78">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废机油桶</w:t>
            </w:r>
          </w:p>
        </w:tc>
        <w:tc>
          <w:tcPr>
            <w:tcW w:w="1701" w:type="dxa"/>
            <w:noWrap w:val="0"/>
            <w:vAlign w:val="center"/>
          </w:tcPr>
          <w:p w14:paraId="0379F590">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1E58F6B9">
            <w:pPr>
              <w:pStyle w:val="20"/>
              <w:spacing w:beforeLines="0" w:afterLines="0" w:line="240" w:lineRule="auto"/>
              <w:rPr>
                <w:rFonts w:hint="eastAsia"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7D6BA148">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338662D4">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21kg/a</w:t>
            </w:r>
          </w:p>
        </w:tc>
        <w:tc>
          <w:tcPr>
            <w:tcW w:w="1761" w:type="dxa"/>
            <w:noWrap w:val="0"/>
            <w:vAlign w:val="center"/>
          </w:tcPr>
          <w:p w14:paraId="0BE6C4AA">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959" w:type="dxa"/>
            <w:shd w:val="clear" w:color="auto" w:fill="auto"/>
            <w:noWrap w:val="0"/>
            <w:vAlign w:val="center"/>
          </w:tcPr>
          <w:p w14:paraId="26C41F2F">
            <w:pPr>
              <w:pStyle w:val="20"/>
              <w:spacing w:beforeLines="0" w:afterLines="0" w:line="240" w:lineRule="auto"/>
              <w:rPr>
                <w:rFonts w:hint="default" w:ascii="宋体" w:hAnsi="宋体" w:cs="宋体" w:eastAsiaTheme="minorEastAsia"/>
                <w:snapToGrid w:val="0"/>
                <w:color w:val="000000" w:themeColor="text1"/>
                <w:kern w:val="21"/>
                <w:sz w:val="21"/>
                <w:szCs w:val="21"/>
                <w:lang w:val="en-US" w:eastAsia="zh-CN" w:bidi="ar-SA"/>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21kg/a</w:t>
            </w:r>
          </w:p>
        </w:tc>
        <w:tc>
          <w:tcPr>
            <w:tcW w:w="826" w:type="dxa"/>
            <w:noWrap w:val="0"/>
            <w:vAlign w:val="center"/>
          </w:tcPr>
          <w:p w14:paraId="35A407F0">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r>
      <w:tr w14:paraId="0C93C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7346B16">
            <w:pPr>
              <w:pStyle w:val="20"/>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417" w:type="dxa"/>
            <w:noWrap w:val="0"/>
            <w:vAlign w:val="center"/>
          </w:tcPr>
          <w:p w14:paraId="00BF8C62">
            <w:pPr>
              <w:pStyle w:val="20"/>
              <w:spacing w:beforeLines="0" w:afterLines="0" w:line="240" w:lineRule="auto"/>
              <w:rPr>
                <w:rFonts w:hint="eastAsia" w:hAnsi="宋体" w:cs="宋体"/>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废含油抹</w:t>
            </w:r>
          </w:p>
          <w:p w14:paraId="474CACD5">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布手套</w:t>
            </w:r>
          </w:p>
        </w:tc>
        <w:tc>
          <w:tcPr>
            <w:tcW w:w="1701" w:type="dxa"/>
            <w:noWrap w:val="0"/>
            <w:vAlign w:val="center"/>
          </w:tcPr>
          <w:p w14:paraId="1F36D7F9">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5849C3F5">
            <w:pPr>
              <w:pStyle w:val="20"/>
              <w:spacing w:beforeLines="0" w:afterLines="0" w:line="240" w:lineRule="auto"/>
              <w:rPr>
                <w:rFonts w:hint="eastAsia" w:hAnsi="宋体" w:cs="宋体"/>
                <w:snapToGrid w:val="0"/>
                <w:color w:val="000000" w:themeColor="text1"/>
                <w:kern w:val="21"/>
                <w:szCs w:val="21"/>
                <w:lang w:val="en-US" w:eastAsia="zh-CN"/>
                <w14:textFill>
                  <w14:solidFill>
                    <w14:schemeClr w14:val="tx1"/>
                  </w14:solidFill>
                </w14:textFill>
              </w:rPr>
            </w:pPr>
          </w:p>
        </w:tc>
        <w:tc>
          <w:tcPr>
            <w:tcW w:w="1701" w:type="dxa"/>
            <w:noWrap w:val="0"/>
            <w:vAlign w:val="center"/>
          </w:tcPr>
          <w:p w14:paraId="5511F784">
            <w:pPr>
              <w:spacing w:beforeLines="0" w:afterLines="0" w:line="240" w:lineRule="auto"/>
              <w:jc w:val="center"/>
              <w:rPr>
                <w:rFonts w:hint="eastAsia" w:hAnsi="宋体" w:cs="宋体"/>
                <w:snapToGrid w:val="0"/>
                <w:color w:val="000000" w:themeColor="text1"/>
                <w:kern w:val="21"/>
                <w:szCs w:val="21"/>
                <w:lang w:val="en-US" w:eastAsia="zh-CN"/>
                <w14:textFill>
                  <w14:solidFill>
                    <w14:schemeClr w14:val="tx1"/>
                  </w14:solidFill>
                </w14:textFill>
              </w:rPr>
            </w:pPr>
          </w:p>
        </w:tc>
        <w:tc>
          <w:tcPr>
            <w:tcW w:w="1559" w:type="dxa"/>
            <w:noWrap w:val="0"/>
            <w:vAlign w:val="center"/>
          </w:tcPr>
          <w:p w14:paraId="4606FBFA">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0.01t/a</w:t>
            </w:r>
          </w:p>
        </w:tc>
        <w:tc>
          <w:tcPr>
            <w:tcW w:w="1761" w:type="dxa"/>
            <w:noWrap w:val="0"/>
            <w:vAlign w:val="center"/>
          </w:tcPr>
          <w:p w14:paraId="0DA28F94">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959" w:type="dxa"/>
            <w:shd w:val="clear" w:color="auto" w:fill="auto"/>
            <w:noWrap w:val="0"/>
            <w:vAlign w:val="center"/>
          </w:tcPr>
          <w:p w14:paraId="601A54E7">
            <w:pPr>
              <w:pStyle w:val="20"/>
              <w:spacing w:beforeLines="0" w:afterLines="0" w:line="240" w:lineRule="auto"/>
              <w:rPr>
                <w:rFonts w:hint="default" w:ascii="宋体" w:hAnsi="宋体" w:cs="宋体" w:eastAsiaTheme="minorEastAsia"/>
                <w:snapToGrid w:val="0"/>
                <w:color w:val="000000" w:themeColor="text1"/>
                <w:kern w:val="21"/>
                <w:sz w:val="21"/>
                <w:szCs w:val="21"/>
                <w:lang w:val="en-US" w:eastAsia="zh-CN" w:bidi="ar-SA"/>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0.01t/a</w:t>
            </w:r>
          </w:p>
        </w:tc>
        <w:tc>
          <w:tcPr>
            <w:tcW w:w="826" w:type="dxa"/>
            <w:noWrap w:val="0"/>
            <w:vAlign w:val="center"/>
          </w:tcPr>
          <w:p w14:paraId="6717C8F0">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r>
      <w:tr w14:paraId="4218E3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B1EAA8E">
            <w:pPr>
              <w:pStyle w:val="20"/>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417" w:type="dxa"/>
            <w:noWrap w:val="0"/>
            <w:vAlign w:val="center"/>
          </w:tcPr>
          <w:p w14:paraId="65BE0CAD">
            <w:pPr>
              <w:pStyle w:val="20"/>
              <w:spacing w:beforeLines="0" w:afterLines="0" w:line="240" w:lineRule="auto"/>
              <w:jc w:val="center"/>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废活性炭</w:t>
            </w:r>
          </w:p>
        </w:tc>
        <w:tc>
          <w:tcPr>
            <w:tcW w:w="1701" w:type="dxa"/>
            <w:noWrap w:val="0"/>
            <w:vAlign w:val="center"/>
          </w:tcPr>
          <w:p w14:paraId="5C77B6C3">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33ADF365">
            <w:pPr>
              <w:pStyle w:val="20"/>
              <w:spacing w:beforeLines="0" w:afterLines="0" w:line="240" w:lineRule="auto"/>
              <w:rPr>
                <w:rFonts w:hint="eastAsia" w:hAnsi="宋体" w:cs="宋体"/>
                <w:snapToGrid w:val="0"/>
                <w:color w:val="000000" w:themeColor="text1"/>
                <w:kern w:val="21"/>
                <w:szCs w:val="21"/>
                <w:lang w:val="en-US" w:eastAsia="zh-CN"/>
                <w14:textFill>
                  <w14:solidFill>
                    <w14:schemeClr w14:val="tx1"/>
                  </w14:solidFill>
                </w14:textFill>
              </w:rPr>
            </w:pPr>
          </w:p>
        </w:tc>
        <w:tc>
          <w:tcPr>
            <w:tcW w:w="1701" w:type="dxa"/>
            <w:noWrap w:val="0"/>
            <w:vAlign w:val="center"/>
          </w:tcPr>
          <w:p w14:paraId="52D72BCC">
            <w:pPr>
              <w:spacing w:beforeLines="0" w:afterLines="0" w:line="240" w:lineRule="auto"/>
              <w:jc w:val="center"/>
              <w:rPr>
                <w:rFonts w:hint="eastAsia" w:hAnsi="宋体" w:cs="宋体"/>
                <w:snapToGrid w:val="0"/>
                <w:color w:val="000000" w:themeColor="text1"/>
                <w:kern w:val="21"/>
                <w:szCs w:val="21"/>
                <w:lang w:val="en-US" w:eastAsia="zh-CN"/>
                <w14:textFill>
                  <w14:solidFill>
                    <w14:schemeClr w14:val="tx1"/>
                  </w14:solidFill>
                </w14:textFill>
              </w:rPr>
            </w:pPr>
          </w:p>
        </w:tc>
        <w:tc>
          <w:tcPr>
            <w:tcW w:w="1559" w:type="dxa"/>
            <w:noWrap w:val="0"/>
            <w:vAlign w:val="center"/>
          </w:tcPr>
          <w:p w14:paraId="5CEAFBB0">
            <w:pPr>
              <w:pStyle w:val="20"/>
              <w:spacing w:beforeLines="0" w:afterLines="0" w:line="240" w:lineRule="auto"/>
              <w:rPr>
                <w:rFonts w:hint="default" w:hAnsi="宋体" w:cs="宋体" w:eastAsiaTheme="minorEastAsia"/>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0.4t/a</w:t>
            </w:r>
          </w:p>
        </w:tc>
        <w:tc>
          <w:tcPr>
            <w:tcW w:w="1761" w:type="dxa"/>
            <w:noWrap w:val="0"/>
            <w:vAlign w:val="center"/>
          </w:tcPr>
          <w:p w14:paraId="2D77332F">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c>
          <w:tcPr>
            <w:tcW w:w="1959" w:type="dxa"/>
            <w:shd w:val="clear" w:color="auto" w:fill="auto"/>
            <w:noWrap w:val="0"/>
            <w:vAlign w:val="center"/>
          </w:tcPr>
          <w:p w14:paraId="35D8F33C">
            <w:pPr>
              <w:pStyle w:val="20"/>
              <w:spacing w:beforeLines="0" w:afterLines="0" w:line="240" w:lineRule="auto"/>
              <w:rPr>
                <w:rFonts w:hint="default" w:ascii="宋体" w:hAnsi="宋体" w:cs="宋体" w:eastAsiaTheme="minorEastAsia"/>
                <w:snapToGrid w:val="0"/>
                <w:color w:val="000000" w:themeColor="text1"/>
                <w:kern w:val="21"/>
                <w:sz w:val="21"/>
                <w:szCs w:val="21"/>
                <w:lang w:val="en-US" w:eastAsia="zh-CN" w:bidi="ar-SA"/>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0.4t/a</w:t>
            </w:r>
          </w:p>
        </w:tc>
        <w:tc>
          <w:tcPr>
            <w:tcW w:w="826" w:type="dxa"/>
            <w:noWrap w:val="0"/>
            <w:vAlign w:val="center"/>
          </w:tcPr>
          <w:p w14:paraId="5506BE2D">
            <w:pPr>
              <w:spacing w:beforeLines="0" w:afterLines="0" w:line="240" w:lineRule="auto"/>
              <w:jc w:val="center"/>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w:t>
            </w:r>
          </w:p>
        </w:tc>
      </w:tr>
    </w:tbl>
    <w:p w14:paraId="2A6FD00C">
      <w:pPr>
        <w:pStyle w:val="20"/>
        <w:spacing w:before="192" w:beforeLines="80" w:after="24"/>
        <w:jc w:val="left"/>
        <w:rPr>
          <w:rFonts w:hint="default"/>
          <w:color w:val="000000" w:themeColor="text1"/>
          <w:lang w:val="en-US" w:eastAsia="zh-CN"/>
          <w14:textFill>
            <w14:solidFill>
              <w14:schemeClr w14:val="tx1"/>
            </w14:solidFill>
          </w14:textFill>
        </w:rPr>
      </w:pPr>
      <w:r>
        <w:rPr>
          <w:rFonts w:hAnsi="宋体"/>
          <w:snapToGrid w:val="0"/>
          <w:color w:val="000000" w:themeColor="text1"/>
          <w:kern w:val="21"/>
          <w:szCs w:val="21"/>
          <w14:textFill>
            <w14:solidFill>
              <w14:schemeClr w14:val="tx1"/>
            </w14:solidFill>
          </w14:textFill>
        </w:rPr>
        <w:t>注：</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3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③</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4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④</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5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⑤</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7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⑦</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p>
    <w:sectPr>
      <w:footerReference r:id="rId5"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Wingdings 2">
    <w:panose1 w:val="05020102010507070707"/>
    <w:charset w:val="02"/>
    <w:family w:val="roman"/>
    <w:pitch w:val="default"/>
    <w:sig w:usb0="00000000" w:usb1="00000000" w:usb2="00000000" w:usb3="00000000" w:csb0="80000000" w:csb1="00000000"/>
  </w:font>
  <w:font w:name="Levenim MT">
    <w:altName w:val="Segoe UI Light"/>
    <w:panose1 w:val="02010502060101010101"/>
    <w:charset w:val="00"/>
    <w:family w:val="auto"/>
    <w:pitch w:val="default"/>
    <w:sig w:usb0="00000000" w:usb1="00000000" w:usb2="00000000" w:usb3="00000000" w:csb0="00000020" w:csb1="00200000"/>
  </w:font>
  <w:font w:name="Segoe UI Light">
    <w:panose1 w:val="020B0502040204020203"/>
    <w:charset w:val="00"/>
    <w:family w:val="auto"/>
    <w:pitch w:val="default"/>
    <w:sig w:usb0="E4002EFF" w:usb1="C000E47F"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TimesNewRomanPSMT">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CC713">
    <w:pPr>
      <w:pStyle w:val="8"/>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52975">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43252975">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8474E">
    <w:pPr>
      <w:pStyle w:val="8"/>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1C397">
                          <w:pPr>
                            <w:pStyle w:val="8"/>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5A71C397">
                    <w:pPr>
                      <w:pStyle w:val="8"/>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82426">
    <w:pPr>
      <w:pStyle w:val="8"/>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9FFB2F">
                          <w:pPr>
                            <w:pStyle w:val="8"/>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59FFB2F">
                    <w:pPr>
                      <w:pStyle w:val="8"/>
                    </w:pPr>
                    <w:r>
                      <w:fldChar w:fldCharType="begin"/>
                    </w:r>
                    <w:r>
                      <w:instrText xml:space="preserve"> PAGE  \* MERGEFORMAT </w:instrText>
                    </w:r>
                    <w:r>
                      <w:fldChar w:fldCharType="separate"/>
                    </w:r>
                    <w:r>
                      <w:t>58</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020B7"/>
    <w:rsid w:val="000A002F"/>
    <w:rsid w:val="00160BD2"/>
    <w:rsid w:val="00224E21"/>
    <w:rsid w:val="00270BE1"/>
    <w:rsid w:val="00287E77"/>
    <w:rsid w:val="003617C4"/>
    <w:rsid w:val="003752C8"/>
    <w:rsid w:val="003A0914"/>
    <w:rsid w:val="003D0404"/>
    <w:rsid w:val="003F23CE"/>
    <w:rsid w:val="00481283"/>
    <w:rsid w:val="00577718"/>
    <w:rsid w:val="005F037B"/>
    <w:rsid w:val="0078143C"/>
    <w:rsid w:val="008524A4"/>
    <w:rsid w:val="00893649"/>
    <w:rsid w:val="008A4EAD"/>
    <w:rsid w:val="00950240"/>
    <w:rsid w:val="00A70260"/>
    <w:rsid w:val="00A81D22"/>
    <w:rsid w:val="00B22BA0"/>
    <w:rsid w:val="00B2494E"/>
    <w:rsid w:val="00C07D12"/>
    <w:rsid w:val="00C34DAD"/>
    <w:rsid w:val="00C603FA"/>
    <w:rsid w:val="00CB3C62"/>
    <w:rsid w:val="00D40D69"/>
    <w:rsid w:val="00E0770D"/>
    <w:rsid w:val="00E54D24"/>
    <w:rsid w:val="00F1191B"/>
    <w:rsid w:val="00FE1942"/>
    <w:rsid w:val="010351AA"/>
    <w:rsid w:val="010A478A"/>
    <w:rsid w:val="011F32D9"/>
    <w:rsid w:val="012A6BDB"/>
    <w:rsid w:val="013C06BC"/>
    <w:rsid w:val="01444C23"/>
    <w:rsid w:val="014B0AC1"/>
    <w:rsid w:val="014D51E0"/>
    <w:rsid w:val="01565C22"/>
    <w:rsid w:val="015B4FE6"/>
    <w:rsid w:val="01672700"/>
    <w:rsid w:val="016C055C"/>
    <w:rsid w:val="01706751"/>
    <w:rsid w:val="017240DE"/>
    <w:rsid w:val="01732C2C"/>
    <w:rsid w:val="018362EB"/>
    <w:rsid w:val="019B14BD"/>
    <w:rsid w:val="01A324E9"/>
    <w:rsid w:val="01AA67D1"/>
    <w:rsid w:val="01AC3A93"/>
    <w:rsid w:val="01AE3368"/>
    <w:rsid w:val="01D134FA"/>
    <w:rsid w:val="01D152A8"/>
    <w:rsid w:val="01DD41C2"/>
    <w:rsid w:val="01DE1773"/>
    <w:rsid w:val="01DF5C17"/>
    <w:rsid w:val="01DF79C5"/>
    <w:rsid w:val="01E27F38"/>
    <w:rsid w:val="01E8026D"/>
    <w:rsid w:val="01EC0334"/>
    <w:rsid w:val="01F114A6"/>
    <w:rsid w:val="01F123AA"/>
    <w:rsid w:val="01FD42EF"/>
    <w:rsid w:val="02025461"/>
    <w:rsid w:val="022B0E5C"/>
    <w:rsid w:val="02372857"/>
    <w:rsid w:val="023A109F"/>
    <w:rsid w:val="023D293E"/>
    <w:rsid w:val="024141DC"/>
    <w:rsid w:val="02421D02"/>
    <w:rsid w:val="024E68F9"/>
    <w:rsid w:val="02557C87"/>
    <w:rsid w:val="02581525"/>
    <w:rsid w:val="025F28B4"/>
    <w:rsid w:val="026003DA"/>
    <w:rsid w:val="02640B26"/>
    <w:rsid w:val="026E2AF7"/>
    <w:rsid w:val="026E6F9B"/>
    <w:rsid w:val="02704AC1"/>
    <w:rsid w:val="0287478A"/>
    <w:rsid w:val="029307AF"/>
    <w:rsid w:val="02B524D4"/>
    <w:rsid w:val="02BF3353"/>
    <w:rsid w:val="02CB4A82"/>
    <w:rsid w:val="02DE5ECF"/>
    <w:rsid w:val="02EC3D8A"/>
    <w:rsid w:val="02F456F2"/>
    <w:rsid w:val="02F84202"/>
    <w:rsid w:val="02FD109E"/>
    <w:rsid w:val="02FF1FE9"/>
    <w:rsid w:val="031A67DB"/>
    <w:rsid w:val="031F3DF1"/>
    <w:rsid w:val="03204AD8"/>
    <w:rsid w:val="0321400D"/>
    <w:rsid w:val="03237D85"/>
    <w:rsid w:val="032633D2"/>
    <w:rsid w:val="032A4C70"/>
    <w:rsid w:val="033C0E47"/>
    <w:rsid w:val="0341020B"/>
    <w:rsid w:val="034169E5"/>
    <w:rsid w:val="034877EC"/>
    <w:rsid w:val="03561F09"/>
    <w:rsid w:val="035D0195"/>
    <w:rsid w:val="03633DA2"/>
    <w:rsid w:val="03685798"/>
    <w:rsid w:val="036A1510"/>
    <w:rsid w:val="036F7328"/>
    <w:rsid w:val="037B196F"/>
    <w:rsid w:val="037B7842"/>
    <w:rsid w:val="039C3694"/>
    <w:rsid w:val="039C5442"/>
    <w:rsid w:val="03A32C74"/>
    <w:rsid w:val="03A82039"/>
    <w:rsid w:val="03AC7D7B"/>
    <w:rsid w:val="03BD3D36"/>
    <w:rsid w:val="03C25D9A"/>
    <w:rsid w:val="03C43552"/>
    <w:rsid w:val="03CA4AD1"/>
    <w:rsid w:val="03CF143F"/>
    <w:rsid w:val="03D80B70"/>
    <w:rsid w:val="03DB0660"/>
    <w:rsid w:val="03DB1562"/>
    <w:rsid w:val="03E16289"/>
    <w:rsid w:val="03E2554B"/>
    <w:rsid w:val="03EF7C67"/>
    <w:rsid w:val="03F12886"/>
    <w:rsid w:val="0402607A"/>
    <w:rsid w:val="0405748B"/>
    <w:rsid w:val="040E27E3"/>
    <w:rsid w:val="040F20B8"/>
    <w:rsid w:val="0410030A"/>
    <w:rsid w:val="04117261"/>
    <w:rsid w:val="041476CE"/>
    <w:rsid w:val="0417389E"/>
    <w:rsid w:val="041A1188"/>
    <w:rsid w:val="04212517"/>
    <w:rsid w:val="042B6695"/>
    <w:rsid w:val="04307FFF"/>
    <w:rsid w:val="043F299D"/>
    <w:rsid w:val="044E0E32"/>
    <w:rsid w:val="04553F6E"/>
    <w:rsid w:val="04581CB1"/>
    <w:rsid w:val="045A1585"/>
    <w:rsid w:val="045F6B9B"/>
    <w:rsid w:val="04675A50"/>
    <w:rsid w:val="046974E6"/>
    <w:rsid w:val="04784101"/>
    <w:rsid w:val="047F2D99"/>
    <w:rsid w:val="049820AD"/>
    <w:rsid w:val="04A24CDA"/>
    <w:rsid w:val="04A3117E"/>
    <w:rsid w:val="04A561A2"/>
    <w:rsid w:val="04A930A7"/>
    <w:rsid w:val="04AB3B8E"/>
    <w:rsid w:val="04AE0B39"/>
    <w:rsid w:val="04BA3C3B"/>
    <w:rsid w:val="04BC54E6"/>
    <w:rsid w:val="04CF417E"/>
    <w:rsid w:val="04D263D6"/>
    <w:rsid w:val="04DC01EC"/>
    <w:rsid w:val="04DD5D12"/>
    <w:rsid w:val="04E23328"/>
    <w:rsid w:val="04F419D9"/>
    <w:rsid w:val="04F73278"/>
    <w:rsid w:val="04FA4B16"/>
    <w:rsid w:val="04FE3979"/>
    <w:rsid w:val="051017B6"/>
    <w:rsid w:val="05145BD8"/>
    <w:rsid w:val="051F457C"/>
    <w:rsid w:val="052D4EEB"/>
    <w:rsid w:val="0532605E"/>
    <w:rsid w:val="05393890"/>
    <w:rsid w:val="05465FAD"/>
    <w:rsid w:val="054A34C3"/>
    <w:rsid w:val="05544226"/>
    <w:rsid w:val="055A55AC"/>
    <w:rsid w:val="055B3806"/>
    <w:rsid w:val="055C132D"/>
    <w:rsid w:val="057B5C57"/>
    <w:rsid w:val="058A5E9A"/>
    <w:rsid w:val="05917228"/>
    <w:rsid w:val="059211F2"/>
    <w:rsid w:val="05976D60"/>
    <w:rsid w:val="05B22616"/>
    <w:rsid w:val="05B47256"/>
    <w:rsid w:val="05B747B5"/>
    <w:rsid w:val="05D67331"/>
    <w:rsid w:val="05D709B3"/>
    <w:rsid w:val="05D72C36"/>
    <w:rsid w:val="05D76C05"/>
    <w:rsid w:val="05E51322"/>
    <w:rsid w:val="05E97064"/>
    <w:rsid w:val="05F23A3F"/>
    <w:rsid w:val="05FD699E"/>
    <w:rsid w:val="060043AE"/>
    <w:rsid w:val="06007F0A"/>
    <w:rsid w:val="06020126"/>
    <w:rsid w:val="06022F91"/>
    <w:rsid w:val="060A6FDB"/>
    <w:rsid w:val="06206A3C"/>
    <w:rsid w:val="06367DD0"/>
    <w:rsid w:val="063B7194"/>
    <w:rsid w:val="063F6C84"/>
    <w:rsid w:val="065C61FE"/>
    <w:rsid w:val="065E2E82"/>
    <w:rsid w:val="06622973"/>
    <w:rsid w:val="06695AAF"/>
    <w:rsid w:val="067803E8"/>
    <w:rsid w:val="06874187"/>
    <w:rsid w:val="069114AA"/>
    <w:rsid w:val="0694782D"/>
    <w:rsid w:val="069944E2"/>
    <w:rsid w:val="06A64F55"/>
    <w:rsid w:val="06AC59DF"/>
    <w:rsid w:val="06B17456"/>
    <w:rsid w:val="06C13B3D"/>
    <w:rsid w:val="06C70A28"/>
    <w:rsid w:val="06CE1DB6"/>
    <w:rsid w:val="06D27AF8"/>
    <w:rsid w:val="06D66EBD"/>
    <w:rsid w:val="06DA075B"/>
    <w:rsid w:val="06E67100"/>
    <w:rsid w:val="06EC4925"/>
    <w:rsid w:val="06ED4932"/>
    <w:rsid w:val="06F07F7E"/>
    <w:rsid w:val="06F537E7"/>
    <w:rsid w:val="06FE6B3F"/>
    <w:rsid w:val="07041C7C"/>
    <w:rsid w:val="07100621"/>
    <w:rsid w:val="07117EF5"/>
    <w:rsid w:val="07142975"/>
    <w:rsid w:val="071A4FFB"/>
    <w:rsid w:val="071C6ED9"/>
    <w:rsid w:val="072F3BD0"/>
    <w:rsid w:val="074B1659"/>
    <w:rsid w:val="07593D76"/>
    <w:rsid w:val="07654CC1"/>
    <w:rsid w:val="07666493"/>
    <w:rsid w:val="07683D1D"/>
    <w:rsid w:val="07702E6D"/>
    <w:rsid w:val="0777244E"/>
    <w:rsid w:val="077A1F3E"/>
    <w:rsid w:val="077C1812"/>
    <w:rsid w:val="0781725F"/>
    <w:rsid w:val="07866B35"/>
    <w:rsid w:val="07873EF1"/>
    <w:rsid w:val="078B7CA7"/>
    <w:rsid w:val="07943000"/>
    <w:rsid w:val="079617E4"/>
    <w:rsid w:val="07987A2B"/>
    <w:rsid w:val="079A613C"/>
    <w:rsid w:val="07B349FA"/>
    <w:rsid w:val="07C66F31"/>
    <w:rsid w:val="07D40055"/>
    <w:rsid w:val="07DA5D7D"/>
    <w:rsid w:val="07DD49A7"/>
    <w:rsid w:val="07E21FBD"/>
    <w:rsid w:val="07E93E9F"/>
    <w:rsid w:val="07F10452"/>
    <w:rsid w:val="07F43A9E"/>
    <w:rsid w:val="080D2DB2"/>
    <w:rsid w:val="0817778D"/>
    <w:rsid w:val="08191757"/>
    <w:rsid w:val="081E4FBF"/>
    <w:rsid w:val="08204893"/>
    <w:rsid w:val="08206641"/>
    <w:rsid w:val="08241655"/>
    <w:rsid w:val="08275C22"/>
    <w:rsid w:val="08390672"/>
    <w:rsid w:val="08393BA7"/>
    <w:rsid w:val="084A1910"/>
    <w:rsid w:val="084A6646"/>
    <w:rsid w:val="084D3DE8"/>
    <w:rsid w:val="084F5179"/>
    <w:rsid w:val="08597DA5"/>
    <w:rsid w:val="086504F8"/>
    <w:rsid w:val="08802695"/>
    <w:rsid w:val="08951F95"/>
    <w:rsid w:val="08962DA7"/>
    <w:rsid w:val="089963F4"/>
    <w:rsid w:val="089A1325"/>
    <w:rsid w:val="089B216C"/>
    <w:rsid w:val="089D4136"/>
    <w:rsid w:val="08A234FA"/>
    <w:rsid w:val="08A70B11"/>
    <w:rsid w:val="08A72527"/>
    <w:rsid w:val="08C16076"/>
    <w:rsid w:val="08CA682A"/>
    <w:rsid w:val="08CF1E16"/>
    <w:rsid w:val="08D538D0"/>
    <w:rsid w:val="08E04023"/>
    <w:rsid w:val="08E458C1"/>
    <w:rsid w:val="08F0070A"/>
    <w:rsid w:val="08FB2C0B"/>
    <w:rsid w:val="08FE4543"/>
    <w:rsid w:val="08FF6B9F"/>
    <w:rsid w:val="09012917"/>
    <w:rsid w:val="09032566"/>
    <w:rsid w:val="090441B5"/>
    <w:rsid w:val="091F04C4"/>
    <w:rsid w:val="09213786"/>
    <w:rsid w:val="0925575C"/>
    <w:rsid w:val="09307AB0"/>
    <w:rsid w:val="09335C07"/>
    <w:rsid w:val="0935436E"/>
    <w:rsid w:val="09381D91"/>
    <w:rsid w:val="093A5CA7"/>
    <w:rsid w:val="094B3B92"/>
    <w:rsid w:val="095C18FB"/>
    <w:rsid w:val="095D4C31"/>
    <w:rsid w:val="095E2B2E"/>
    <w:rsid w:val="095F13EB"/>
    <w:rsid w:val="09750C0F"/>
    <w:rsid w:val="09774987"/>
    <w:rsid w:val="097F38DC"/>
    <w:rsid w:val="09A17C56"/>
    <w:rsid w:val="09AA6564"/>
    <w:rsid w:val="09B148C3"/>
    <w:rsid w:val="09B554AF"/>
    <w:rsid w:val="09D73678"/>
    <w:rsid w:val="09DE2E2B"/>
    <w:rsid w:val="09F01883"/>
    <w:rsid w:val="09F14739"/>
    <w:rsid w:val="09F22C18"/>
    <w:rsid w:val="09F664D9"/>
    <w:rsid w:val="09F71624"/>
    <w:rsid w:val="09FB497B"/>
    <w:rsid w:val="0A0501E5"/>
    <w:rsid w:val="0A1421D6"/>
    <w:rsid w:val="0A2F0DBE"/>
    <w:rsid w:val="0A417000"/>
    <w:rsid w:val="0A454A85"/>
    <w:rsid w:val="0A4C1970"/>
    <w:rsid w:val="0A4E4195"/>
    <w:rsid w:val="0A4F1460"/>
    <w:rsid w:val="0A4F76B2"/>
    <w:rsid w:val="0A5A14D1"/>
    <w:rsid w:val="0A634F0B"/>
    <w:rsid w:val="0A6F66C7"/>
    <w:rsid w:val="0A764C3F"/>
    <w:rsid w:val="0A7B04A7"/>
    <w:rsid w:val="0A7D5FCD"/>
    <w:rsid w:val="0A7E5CDB"/>
    <w:rsid w:val="0A8A693C"/>
    <w:rsid w:val="0A982E07"/>
    <w:rsid w:val="0A9D07A7"/>
    <w:rsid w:val="0AA51080"/>
    <w:rsid w:val="0AA74DF8"/>
    <w:rsid w:val="0AA84AD7"/>
    <w:rsid w:val="0AB359AE"/>
    <w:rsid w:val="0AC41E4E"/>
    <w:rsid w:val="0AD100C7"/>
    <w:rsid w:val="0AEF236F"/>
    <w:rsid w:val="0AF02C43"/>
    <w:rsid w:val="0AF65D7F"/>
    <w:rsid w:val="0B154457"/>
    <w:rsid w:val="0B161F7E"/>
    <w:rsid w:val="0B220922"/>
    <w:rsid w:val="0B232F28"/>
    <w:rsid w:val="0B23332E"/>
    <w:rsid w:val="0B27418B"/>
    <w:rsid w:val="0B3326DE"/>
    <w:rsid w:val="0B495EAF"/>
    <w:rsid w:val="0B505490"/>
    <w:rsid w:val="0B50723E"/>
    <w:rsid w:val="0B5A4560"/>
    <w:rsid w:val="0B6407D8"/>
    <w:rsid w:val="0B6902FF"/>
    <w:rsid w:val="0B6B051B"/>
    <w:rsid w:val="0B7373D0"/>
    <w:rsid w:val="0B8B296C"/>
    <w:rsid w:val="0B8E5665"/>
    <w:rsid w:val="0B9175F3"/>
    <w:rsid w:val="0B9A495D"/>
    <w:rsid w:val="0BA457DB"/>
    <w:rsid w:val="0BA80E28"/>
    <w:rsid w:val="0BBA0B5B"/>
    <w:rsid w:val="0BBF6BBF"/>
    <w:rsid w:val="0BC47C2C"/>
    <w:rsid w:val="0BC55C3C"/>
    <w:rsid w:val="0BD51E39"/>
    <w:rsid w:val="0BD53BE7"/>
    <w:rsid w:val="0BDC6D23"/>
    <w:rsid w:val="0BE95379"/>
    <w:rsid w:val="0BED62B7"/>
    <w:rsid w:val="0C0544CC"/>
    <w:rsid w:val="0C175FAD"/>
    <w:rsid w:val="0C1B3CF0"/>
    <w:rsid w:val="0C216064"/>
    <w:rsid w:val="0C2D5EA1"/>
    <w:rsid w:val="0C300E1D"/>
    <w:rsid w:val="0C394176"/>
    <w:rsid w:val="0C403756"/>
    <w:rsid w:val="0C476893"/>
    <w:rsid w:val="0C4C20FB"/>
    <w:rsid w:val="0C547201"/>
    <w:rsid w:val="0C5E3BDC"/>
    <w:rsid w:val="0C62487F"/>
    <w:rsid w:val="0C6B22A3"/>
    <w:rsid w:val="0C6D153E"/>
    <w:rsid w:val="0C774C9E"/>
    <w:rsid w:val="0C7927C4"/>
    <w:rsid w:val="0C7C4062"/>
    <w:rsid w:val="0C8278CB"/>
    <w:rsid w:val="0C851169"/>
    <w:rsid w:val="0C9615C8"/>
    <w:rsid w:val="0C994C14"/>
    <w:rsid w:val="0C9A3091"/>
    <w:rsid w:val="0C9E222B"/>
    <w:rsid w:val="0CA61695"/>
    <w:rsid w:val="0CC2416B"/>
    <w:rsid w:val="0CC358B5"/>
    <w:rsid w:val="0CC47EE3"/>
    <w:rsid w:val="0CCC6D98"/>
    <w:rsid w:val="0CD45C4C"/>
    <w:rsid w:val="0CE265BB"/>
    <w:rsid w:val="0CE6438E"/>
    <w:rsid w:val="0D103128"/>
    <w:rsid w:val="0D1C7D1F"/>
    <w:rsid w:val="0D1F15BD"/>
    <w:rsid w:val="0D222E5C"/>
    <w:rsid w:val="0D2E35AF"/>
    <w:rsid w:val="0D39061C"/>
    <w:rsid w:val="0D676AC1"/>
    <w:rsid w:val="0D67701A"/>
    <w:rsid w:val="0D9352C6"/>
    <w:rsid w:val="0D9755F8"/>
    <w:rsid w:val="0D984ECC"/>
    <w:rsid w:val="0D9F625A"/>
    <w:rsid w:val="0DA2661D"/>
    <w:rsid w:val="0DA970D9"/>
    <w:rsid w:val="0DAD0977"/>
    <w:rsid w:val="0DB17D41"/>
    <w:rsid w:val="0DBA7538"/>
    <w:rsid w:val="0DBF68FD"/>
    <w:rsid w:val="0DC746F4"/>
    <w:rsid w:val="0DC9777B"/>
    <w:rsid w:val="0DE63E89"/>
    <w:rsid w:val="0DED5218"/>
    <w:rsid w:val="0DEE2D3E"/>
    <w:rsid w:val="0E030641"/>
    <w:rsid w:val="0E0420A6"/>
    <w:rsid w:val="0E0A401C"/>
    <w:rsid w:val="0E10172E"/>
    <w:rsid w:val="0E1327A4"/>
    <w:rsid w:val="0E19425F"/>
    <w:rsid w:val="0E1A6D66"/>
    <w:rsid w:val="0E2449B2"/>
    <w:rsid w:val="0E2A021A"/>
    <w:rsid w:val="0E3167A6"/>
    <w:rsid w:val="0E355F24"/>
    <w:rsid w:val="0E396506"/>
    <w:rsid w:val="0E46304D"/>
    <w:rsid w:val="0E4B0190"/>
    <w:rsid w:val="0E52151F"/>
    <w:rsid w:val="0E533824"/>
    <w:rsid w:val="0E547045"/>
    <w:rsid w:val="0E551A02"/>
    <w:rsid w:val="0E5A03D3"/>
    <w:rsid w:val="0E5E4367"/>
    <w:rsid w:val="0E601E8E"/>
    <w:rsid w:val="0E6757EE"/>
    <w:rsid w:val="0E813BB2"/>
    <w:rsid w:val="0E820056"/>
    <w:rsid w:val="0E855450"/>
    <w:rsid w:val="0E87741A"/>
    <w:rsid w:val="0E8813E4"/>
    <w:rsid w:val="0E8A0CB9"/>
    <w:rsid w:val="0E903DF5"/>
    <w:rsid w:val="0E944AC8"/>
    <w:rsid w:val="0E947D89"/>
    <w:rsid w:val="0E96765D"/>
    <w:rsid w:val="0E9E29B6"/>
    <w:rsid w:val="0EA0228A"/>
    <w:rsid w:val="0EA0672E"/>
    <w:rsid w:val="0EAE0E4B"/>
    <w:rsid w:val="0EB61AAE"/>
    <w:rsid w:val="0EB6385C"/>
    <w:rsid w:val="0EC20FF5"/>
    <w:rsid w:val="0EC35F79"/>
    <w:rsid w:val="0ECC7523"/>
    <w:rsid w:val="0ECF0348"/>
    <w:rsid w:val="0EE06F4E"/>
    <w:rsid w:val="0EE24651"/>
    <w:rsid w:val="0EEA5BFB"/>
    <w:rsid w:val="0EF40828"/>
    <w:rsid w:val="0F006472"/>
    <w:rsid w:val="0F052A35"/>
    <w:rsid w:val="0F064091"/>
    <w:rsid w:val="0F0939D2"/>
    <w:rsid w:val="0F0C791F"/>
    <w:rsid w:val="0F113188"/>
    <w:rsid w:val="0F1467D4"/>
    <w:rsid w:val="0F1862C4"/>
    <w:rsid w:val="0F2509E1"/>
    <w:rsid w:val="0F256C33"/>
    <w:rsid w:val="0F3605F7"/>
    <w:rsid w:val="0F517A28"/>
    <w:rsid w:val="0F5804E1"/>
    <w:rsid w:val="0F694D72"/>
    <w:rsid w:val="0F73799F"/>
    <w:rsid w:val="0F751969"/>
    <w:rsid w:val="0F76748F"/>
    <w:rsid w:val="0F956BB3"/>
    <w:rsid w:val="0F9D0EBF"/>
    <w:rsid w:val="0F9F14C3"/>
    <w:rsid w:val="0F9F2542"/>
    <w:rsid w:val="0FA062BA"/>
    <w:rsid w:val="0FA364D6"/>
    <w:rsid w:val="0FB14DC9"/>
    <w:rsid w:val="0FC4644C"/>
    <w:rsid w:val="0FCB3337"/>
    <w:rsid w:val="0FD83CA6"/>
    <w:rsid w:val="0FDC5544"/>
    <w:rsid w:val="0FE91A0F"/>
    <w:rsid w:val="0FF06008"/>
    <w:rsid w:val="0FFF1232"/>
    <w:rsid w:val="10042CED"/>
    <w:rsid w:val="100F3B6B"/>
    <w:rsid w:val="101271B8"/>
    <w:rsid w:val="10141182"/>
    <w:rsid w:val="1015640E"/>
    <w:rsid w:val="10190546"/>
    <w:rsid w:val="101A42BE"/>
    <w:rsid w:val="101D790A"/>
    <w:rsid w:val="10264A11"/>
    <w:rsid w:val="102E7CFD"/>
    <w:rsid w:val="103E7FAD"/>
    <w:rsid w:val="104F15F5"/>
    <w:rsid w:val="104F6A24"/>
    <w:rsid w:val="105E064F"/>
    <w:rsid w:val="10710382"/>
    <w:rsid w:val="10772C22"/>
    <w:rsid w:val="10802373"/>
    <w:rsid w:val="10817E99"/>
    <w:rsid w:val="108457E2"/>
    <w:rsid w:val="108A4FA0"/>
    <w:rsid w:val="108C6F6A"/>
    <w:rsid w:val="109B7849"/>
    <w:rsid w:val="10B54699"/>
    <w:rsid w:val="10B71B0D"/>
    <w:rsid w:val="10BB33AB"/>
    <w:rsid w:val="10BD35C7"/>
    <w:rsid w:val="10C36704"/>
    <w:rsid w:val="10CA5CE4"/>
    <w:rsid w:val="10CD30DE"/>
    <w:rsid w:val="10D0497D"/>
    <w:rsid w:val="10D12BCF"/>
    <w:rsid w:val="10EA5577"/>
    <w:rsid w:val="10EF12A7"/>
    <w:rsid w:val="10EF74F9"/>
    <w:rsid w:val="10FC0950"/>
    <w:rsid w:val="11021117"/>
    <w:rsid w:val="11046332"/>
    <w:rsid w:val="11072A94"/>
    <w:rsid w:val="110F7B9B"/>
    <w:rsid w:val="1111746F"/>
    <w:rsid w:val="11146D2F"/>
    <w:rsid w:val="111470D8"/>
    <w:rsid w:val="11194576"/>
    <w:rsid w:val="1125525D"/>
    <w:rsid w:val="112847B9"/>
    <w:rsid w:val="11314D6A"/>
    <w:rsid w:val="11401CDB"/>
    <w:rsid w:val="11421D1E"/>
    <w:rsid w:val="11494E5B"/>
    <w:rsid w:val="114A0BD3"/>
    <w:rsid w:val="11531836"/>
    <w:rsid w:val="115F642C"/>
    <w:rsid w:val="116F12D7"/>
    <w:rsid w:val="11755C50"/>
    <w:rsid w:val="1182036D"/>
    <w:rsid w:val="118B5473"/>
    <w:rsid w:val="11A16A45"/>
    <w:rsid w:val="11A567A1"/>
    <w:rsid w:val="11A622AD"/>
    <w:rsid w:val="11A976A8"/>
    <w:rsid w:val="11BC252A"/>
    <w:rsid w:val="11BD7515"/>
    <w:rsid w:val="11BF511D"/>
    <w:rsid w:val="11CC15E8"/>
    <w:rsid w:val="11D30BC8"/>
    <w:rsid w:val="11DD51A3"/>
    <w:rsid w:val="11E15093"/>
    <w:rsid w:val="11E4175D"/>
    <w:rsid w:val="11E42DD6"/>
    <w:rsid w:val="11E46932"/>
    <w:rsid w:val="11EB7CC0"/>
    <w:rsid w:val="11FF59BE"/>
    <w:rsid w:val="1222745A"/>
    <w:rsid w:val="12244F80"/>
    <w:rsid w:val="122B4561"/>
    <w:rsid w:val="123547BD"/>
    <w:rsid w:val="12445622"/>
    <w:rsid w:val="12463148"/>
    <w:rsid w:val="12541D09"/>
    <w:rsid w:val="12543AB7"/>
    <w:rsid w:val="125515DD"/>
    <w:rsid w:val="125C0BBE"/>
    <w:rsid w:val="12681311"/>
    <w:rsid w:val="12695089"/>
    <w:rsid w:val="126E269F"/>
    <w:rsid w:val="12744ECE"/>
    <w:rsid w:val="127759F8"/>
    <w:rsid w:val="128D26A8"/>
    <w:rsid w:val="1297721A"/>
    <w:rsid w:val="129914FF"/>
    <w:rsid w:val="12A14823"/>
    <w:rsid w:val="12A32349"/>
    <w:rsid w:val="12B207DE"/>
    <w:rsid w:val="12B74046"/>
    <w:rsid w:val="12B75DF4"/>
    <w:rsid w:val="12BC3C29"/>
    <w:rsid w:val="12D02D89"/>
    <w:rsid w:val="12D35F9F"/>
    <w:rsid w:val="12D81D47"/>
    <w:rsid w:val="12DB5F87"/>
    <w:rsid w:val="12DC585B"/>
    <w:rsid w:val="12E12E71"/>
    <w:rsid w:val="12E7492B"/>
    <w:rsid w:val="12ED3F6C"/>
    <w:rsid w:val="12F11306"/>
    <w:rsid w:val="12F53D13"/>
    <w:rsid w:val="12FB3F33"/>
    <w:rsid w:val="12FE3A23"/>
    <w:rsid w:val="1300779B"/>
    <w:rsid w:val="13013703"/>
    <w:rsid w:val="130D3782"/>
    <w:rsid w:val="13201BEB"/>
    <w:rsid w:val="13237BC5"/>
    <w:rsid w:val="13255454"/>
    <w:rsid w:val="132A2A6A"/>
    <w:rsid w:val="13365BE2"/>
    <w:rsid w:val="134A0A16"/>
    <w:rsid w:val="134E49AB"/>
    <w:rsid w:val="13511DA5"/>
    <w:rsid w:val="13737F6D"/>
    <w:rsid w:val="138264CE"/>
    <w:rsid w:val="138403CC"/>
    <w:rsid w:val="13847AB9"/>
    <w:rsid w:val="138E124B"/>
    <w:rsid w:val="13983E78"/>
    <w:rsid w:val="13994B3B"/>
    <w:rsid w:val="13A132A4"/>
    <w:rsid w:val="13A44358"/>
    <w:rsid w:val="13A520F1"/>
    <w:rsid w:val="13A75E69"/>
    <w:rsid w:val="13B011C1"/>
    <w:rsid w:val="13CD729A"/>
    <w:rsid w:val="13D20CDC"/>
    <w:rsid w:val="13D210BF"/>
    <w:rsid w:val="13E23345"/>
    <w:rsid w:val="13E64BE3"/>
    <w:rsid w:val="13EA29E1"/>
    <w:rsid w:val="13FB7F63"/>
    <w:rsid w:val="13FF3EF7"/>
    <w:rsid w:val="14076907"/>
    <w:rsid w:val="14186D67"/>
    <w:rsid w:val="141D612B"/>
    <w:rsid w:val="14273692"/>
    <w:rsid w:val="143577FF"/>
    <w:rsid w:val="145265E2"/>
    <w:rsid w:val="146D70B2"/>
    <w:rsid w:val="14787805"/>
    <w:rsid w:val="147E4E1C"/>
    <w:rsid w:val="14867011"/>
    <w:rsid w:val="148D1503"/>
    <w:rsid w:val="14972C64"/>
    <w:rsid w:val="14A405FA"/>
    <w:rsid w:val="14A44EB1"/>
    <w:rsid w:val="14B94BCE"/>
    <w:rsid w:val="14BF5434"/>
    <w:rsid w:val="14C12F5A"/>
    <w:rsid w:val="14D507B4"/>
    <w:rsid w:val="14E153AA"/>
    <w:rsid w:val="14E46C49"/>
    <w:rsid w:val="14E530ED"/>
    <w:rsid w:val="14E755B6"/>
    <w:rsid w:val="14EF7AC7"/>
    <w:rsid w:val="14F30CBD"/>
    <w:rsid w:val="15175270"/>
    <w:rsid w:val="151976C2"/>
    <w:rsid w:val="151A3F0B"/>
    <w:rsid w:val="151C4634"/>
    <w:rsid w:val="1524448A"/>
    <w:rsid w:val="15285F72"/>
    <w:rsid w:val="15365EA3"/>
    <w:rsid w:val="154A73F4"/>
    <w:rsid w:val="15510782"/>
    <w:rsid w:val="15536244"/>
    <w:rsid w:val="15581B10"/>
    <w:rsid w:val="155D7AD4"/>
    <w:rsid w:val="156264EB"/>
    <w:rsid w:val="15680719"/>
    <w:rsid w:val="156D6C3E"/>
    <w:rsid w:val="1582485D"/>
    <w:rsid w:val="158A5A42"/>
    <w:rsid w:val="15AA1C40"/>
    <w:rsid w:val="15B17473"/>
    <w:rsid w:val="15B900D5"/>
    <w:rsid w:val="15BB5BFB"/>
    <w:rsid w:val="15D13671"/>
    <w:rsid w:val="15E909BB"/>
    <w:rsid w:val="15FE4BCE"/>
    <w:rsid w:val="16070E41"/>
    <w:rsid w:val="160B0931"/>
    <w:rsid w:val="160C28FB"/>
    <w:rsid w:val="16117F11"/>
    <w:rsid w:val="161D01D5"/>
    <w:rsid w:val="161D0664"/>
    <w:rsid w:val="161F618A"/>
    <w:rsid w:val="16201F02"/>
    <w:rsid w:val="16331C36"/>
    <w:rsid w:val="163836F0"/>
    <w:rsid w:val="163B0AEA"/>
    <w:rsid w:val="1642631D"/>
    <w:rsid w:val="16584C1B"/>
    <w:rsid w:val="165A5414"/>
    <w:rsid w:val="165C73DE"/>
    <w:rsid w:val="166E2C6E"/>
    <w:rsid w:val="167B4357"/>
    <w:rsid w:val="1686445B"/>
    <w:rsid w:val="168E0B29"/>
    <w:rsid w:val="16915C08"/>
    <w:rsid w:val="16976FEE"/>
    <w:rsid w:val="169E79F7"/>
    <w:rsid w:val="16A20B69"/>
    <w:rsid w:val="16A6065A"/>
    <w:rsid w:val="16C64858"/>
    <w:rsid w:val="16CA07EC"/>
    <w:rsid w:val="16D84472"/>
    <w:rsid w:val="16D847EC"/>
    <w:rsid w:val="16DA2B16"/>
    <w:rsid w:val="16E64EFA"/>
    <w:rsid w:val="16FA2753"/>
    <w:rsid w:val="16FC64CC"/>
    <w:rsid w:val="17101F77"/>
    <w:rsid w:val="1716293A"/>
    <w:rsid w:val="17171557"/>
    <w:rsid w:val="17301A4B"/>
    <w:rsid w:val="173A2DBA"/>
    <w:rsid w:val="173C2D6C"/>
    <w:rsid w:val="17487963"/>
    <w:rsid w:val="175D340E"/>
    <w:rsid w:val="17667DE9"/>
    <w:rsid w:val="1768590F"/>
    <w:rsid w:val="17736C65"/>
    <w:rsid w:val="178766DD"/>
    <w:rsid w:val="17887D5F"/>
    <w:rsid w:val="178C2351"/>
    <w:rsid w:val="17990617"/>
    <w:rsid w:val="17A751B9"/>
    <w:rsid w:val="17AA23CB"/>
    <w:rsid w:val="17AD104E"/>
    <w:rsid w:val="17B943BD"/>
    <w:rsid w:val="17BE19D3"/>
    <w:rsid w:val="17C4348D"/>
    <w:rsid w:val="17C52D61"/>
    <w:rsid w:val="17DA1E3E"/>
    <w:rsid w:val="17DC2B95"/>
    <w:rsid w:val="17DD454F"/>
    <w:rsid w:val="17E7717C"/>
    <w:rsid w:val="17EC02EE"/>
    <w:rsid w:val="17EE4066"/>
    <w:rsid w:val="17FF2717"/>
    <w:rsid w:val="18005551"/>
    <w:rsid w:val="18025D64"/>
    <w:rsid w:val="18041ADC"/>
    <w:rsid w:val="1804388A"/>
    <w:rsid w:val="18090EA0"/>
    <w:rsid w:val="180A0A78"/>
    <w:rsid w:val="18100480"/>
    <w:rsid w:val="181141F9"/>
    <w:rsid w:val="18187335"/>
    <w:rsid w:val="181C7732"/>
    <w:rsid w:val="18371EB1"/>
    <w:rsid w:val="18420856"/>
    <w:rsid w:val="1850198C"/>
    <w:rsid w:val="1852245C"/>
    <w:rsid w:val="185C1667"/>
    <w:rsid w:val="1867206B"/>
    <w:rsid w:val="18697B91"/>
    <w:rsid w:val="18707171"/>
    <w:rsid w:val="18734610"/>
    <w:rsid w:val="187445D7"/>
    <w:rsid w:val="187C78C4"/>
    <w:rsid w:val="187D7B07"/>
    <w:rsid w:val="188350F6"/>
    <w:rsid w:val="18846779"/>
    <w:rsid w:val="1888270D"/>
    <w:rsid w:val="18890233"/>
    <w:rsid w:val="188C50AE"/>
    <w:rsid w:val="18937FCF"/>
    <w:rsid w:val="189746FE"/>
    <w:rsid w:val="18A857BE"/>
    <w:rsid w:val="18A92683"/>
    <w:rsid w:val="18BC5F12"/>
    <w:rsid w:val="18C33657"/>
    <w:rsid w:val="18C345B6"/>
    <w:rsid w:val="18C64FE3"/>
    <w:rsid w:val="18C96881"/>
    <w:rsid w:val="18D117BE"/>
    <w:rsid w:val="18D94D16"/>
    <w:rsid w:val="18E70105"/>
    <w:rsid w:val="18F95ABB"/>
    <w:rsid w:val="18FA2EDF"/>
    <w:rsid w:val="18FF22A3"/>
    <w:rsid w:val="19063631"/>
    <w:rsid w:val="190707D2"/>
    <w:rsid w:val="191044B0"/>
    <w:rsid w:val="191303B7"/>
    <w:rsid w:val="191E6BCD"/>
    <w:rsid w:val="1920284D"/>
    <w:rsid w:val="19241D0A"/>
    <w:rsid w:val="192561AE"/>
    <w:rsid w:val="192C753C"/>
    <w:rsid w:val="193C34F7"/>
    <w:rsid w:val="19407488"/>
    <w:rsid w:val="19423813"/>
    <w:rsid w:val="19481E9C"/>
    <w:rsid w:val="195B397D"/>
    <w:rsid w:val="195B7C3F"/>
    <w:rsid w:val="196071E6"/>
    <w:rsid w:val="19687E48"/>
    <w:rsid w:val="197426D9"/>
    <w:rsid w:val="19763A38"/>
    <w:rsid w:val="198A6011"/>
    <w:rsid w:val="1990114D"/>
    <w:rsid w:val="199E386A"/>
    <w:rsid w:val="19AA0461"/>
    <w:rsid w:val="19B4308D"/>
    <w:rsid w:val="19B63A54"/>
    <w:rsid w:val="19CC3658"/>
    <w:rsid w:val="19DE010A"/>
    <w:rsid w:val="19E51499"/>
    <w:rsid w:val="19E75211"/>
    <w:rsid w:val="19E971DB"/>
    <w:rsid w:val="19F416DC"/>
    <w:rsid w:val="19F65454"/>
    <w:rsid w:val="19FB2A6A"/>
    <w:rsid w:val="19FF1F98"/>
    <w:rsid w:val="1A023DF9"/>
    <w:rsid w:val="1A0538E9"/>
    <w:rsid w:val="1A07140F"/>
    <w:rsid w:val="1A085187"/>
    <w:rsid w:val="1A187AC0"/>
    <w:rsid w:val="1A1D50D7"/>
    <w:rsid w:val="1A2B77F4"/>
    <w:rsid w:val="1A3022CF"/>
    <w:rsid w:val="1A3F329F"/>
    <w:rsid w:val="1A400DC5"/>
    <w:rsid w:val="1A4E34E2"/>
    <w:rsid w:val="1A626F8D"/>
    <w:rsid w:val="1A734CF7"/>
    <w:rsid w:val="1A750A6F"/>
    <w:rsid w:val="1A7840BB"/>
    <w:rsid w:val="1A845156"/>
    <w:rsid w:val="1A8B0292"/>
    <w:rsid w:val="1A8E1B30"/>
    <w:rsid w:val="1A8E7D82"/>
    <w:rsid w:val="1A8F5B40"/>
    <w:rsid w:val="1A937147"/>
    <w:rsid w:val="1A9609E5"/>
    <w:rsid w:val="1A9F3E4A"/>
    <w:rsid w:val="1A9F789A"/>
    <w:rsid w:val="1AA03612"/>
    <w:rsid w:val="1AA076FF"/>
    <w:rsid w:val="1AA11775"/>
    <w:rsid w:val="1AA650CC"/>
    <w:rsid w:val="1AAC0209"/>
    <w:rsid w:val="1AB84DFF"/>
    <w:rsid w:val="1ACB34DE"/>
    <w:rsid w:val="1AD2428E"/>
    <w:rsid w:val="1AD559B1"/>
    <w:rsid w:val="1ADA4AAC"/>
    <w:rsid w:val="1ADF4A6D"/>
    <w:rsid w:val="1AEA73EE"/>
    <w:rsid w:val="1AF06311"/>
    <w:rsid w:val="1AF75928"/>
    <w:rsid w:val="1AFD0A64"/>
    <w:rsid w:val="1B0B13D3"/>
    <w:rsid w:val="1B1052FD"/>
    <w:rsid w:val="1B247AD2"/>
    <w:rsid w:val="1B260EFF"/>
    <w:rsid w:val="1B283D33"/>
    <w:rsid w:val="1B2A7AAB"/>
    <w:rsid w:val="1B2F6DB4"/>
    <w:rsid w:val="1B3746BA"/>
    <w:rsid w:val="1B495A57"/>
    <w:rsid w:val="1B4E4189"/>
    <w:rsid w:val="1B5313AC"/>
    <w:rsid w:val="1B59213E"/>
    <w:rsid w:val="1B66485B"/>
    <w:rsid w:val="1B677812"/>
    <w:rsid w:val="1B723200"/>
    <w:rsid w:val="1B776A68"/>
    <w:rsid w:val="1B7F6F38"/>
    <w:rsid w:val="1B8547FA"/>
    <w:rsid w:val="1B8770BA"/>
    <w:rsid w:val="1B8847D2"/>
    <w:rsid w:val="1B8F6E90"/>
    <w:rsid w:val="1B9211AC"/>
    <w:rsid w:val="1BA50EE0"/>
    <w:rsid w:val="1BA67111"/>
    <w:rsid w:val="1BA86C22"/>
    <w:rsid w:val="1BAD5C7B"/>
    <w:rsid w:val="1BAF7FB0"/>
    <w:rsid w:val="1BB57857"/>
    <w:rsid w:val="1BC11B2B"/>
    <w:rsid w:val="1BCF516C"/>
    <w:rsid w:val="1BD01CD5"/>
    <w:rsid w:val="1BD21EF1"/>
    <w:rsid w:val="1BD9502D"/>
    <w:rsid w:val="1BE35EAC"/>
    <w:rsid w:val="1BE539D2"/>
    <w:rsid w:val="1BF754B3"/>
    <w:rsid w:val="1BF93E66"/>
    <w:rsid w:val="1BFD51C0"/>
    <w:rsid w:val="1BFD6F6E"/>
    <w:rsid w:val="1C062F8D"/>
    <w:rsid w:val="1C0876C1"/>
    <w:rsid w:val="1C0E2F29"/>
    <w:rsid w:val="1C1C4F1A"/>
    <w:rsid w:val="1C1D316C"/>
    <w:rsid w:val="1C2E5D6C"/>
    <w:rsid w:val="1C382754"/>
    <w:rsid w:val="1C454471"/>
    <w:rsid w:val="1C5B26D4"/>
    <w:rsid w:val="1C6074FD"/>
    <w:rsid w:val="1C625023"/>
    <w:rsid w:val="1C640DCA"/>
    <w:rsid w:val="1C694603"/>
    <w:rsid w:val="1C715266"/>
    <w:rsid w:val="1C80194D"/>
    <w:rsid w:val="1C837EA5"/>
    <w:rsid w:val="1C8D752E"/>
    <w:rsid w:val="1C8F6BA7"/>
    <w:rsid w:val="1C9B22E3"/>
    <w:rsid w:val="1CA05B4B"/>
    <w:rsid w:val="1CA70C88"/>
    <w:rsid w:val="1CC950A2"/>
    <w:rsid w:val="1CD06430"/>
    <w:rsid w:val="1CDB77E3"/>
    <w:rsid w:val="1CDF48C5"/>
    <w:rsid w:val="1CDF6673"/>
    <w:rsid w:val="1CE27F12"/>
    <w:rsid w:val="1CEB5018"/>
    <w:rsid w:val="1CED6FE2"/>
    <w:rsid w:val="1CF44521"/>
    <w:rsid w:val="1CF57C45"/>
    <w:rsid w:val="1CFB01E7"/>
    <w:rsid w:val="1D012F8F"/>
    <w:rsid w:val="1D077978"/>
    <w:rsid w:val="1D091942"/>
    <w:rsid w:val="1D1E7FB1"/>
    <w:rsid w:val="1D202A40"/>
    <w:rsid w:val="1D2F2FB7"/>
    <w:rsid w:val="1D3C1D18"/>
    <w:rsid w:val="1D40528C"/>
    <w:rsid w:val="1D4B3D09"/>
    <w:rsid w:val="1D543842"/>
    <w:rsid w:val="1D594678"/>
    <w:rsid w:val="1D684181"/>
    <w:rsid w:val="1D70551D"/>
    <w:rsid w:val="1D743260"/>
    <w:rsid w:val="1D745252"/>
    <w:rsid w:val="1D7B7E7D"/>
    <w:rsid w:val="1D7C3EC2"/>
    <w:rsid w:val="1D990F18"/>
    <w:rsid w:val="1D994A74"/>
    <w:rsid w:val="1DA82F09"/>
    <w:rsid w:val="1DC37D43"/>
    <w:rsid w:val="1DC53ABB"/>
    <w:rsid w:val="1DCD471E"/>
    <w:rsid w:val="1DDE6091"/>
    <w:rsid w:val="1DE63A32"/>
    <w:rsid w:val="1DF03505"/>
    <w:rsid w:val="1DF0665E"/>
    <w:rsid w:val="1E0068A1"/>
    <w:rsid w:val="1E0C793C"/>
    <w:rsid w:val="1E1232E2"/>
    <w:rsid w:val="1E185A80"/>
    <w:rsid w:val="1E214FBC"/>
    <w:rsid w:val="1E25455A"/>
    <w:rsid w:val="1E3173A3"/>
    <w:rsid w:val="1E326C77"/>
    <w:rsid w:val="1E3B3D7D"/>
    <w:rsid w:val="1E42335E"/>
    <w:rsid w:val="1E4E6864"/>
    <w:rsid w:val="1E5135A1"/>
    <w:rsid w:val="1E6D7CAF"/>
    <w:rsid w:val="1E733517"/>
    <w:rsid w:val="1E74728F"/>
    <w:rsid w:val="1E7B061E"/>
    <w:rsid w:val="1E803E86"/>
    <w:rsid w:val="1E8C282B"/>
    <w:rsid w:val="1EA71413"/>
    <w:rsid w:val="1EAC1E73"/>
    <w:rsid w:val="1EAC52A0"/>
    <w:rsid w:val="1EBA2EF4"/>
    <w:rsid w:val="1ECC70CB"/>
    <w:rsid w:val="1EDA79D6"/>
    <w:rsid w:val="1EE10735"/>
    <w:rsid w:val="1EE7180F"/>
    <w:rsid w:val="1EF348EC"/>
    <w:rsid w:val="1EF351FB"/>
    <w:rsid w:val="1EF45FD8"/>
    <w:rsid w:val="1EFA7794"/>
    <w:rsid w:val="1EFD0D03"/>
    <w:rsid w:val="1F067607"/>
    <w:rsid w:val="1F0C322D"/>
    <w:rsid w:val="1F0F44F4"/>
    <w:rsid w:val="1F134CFA"/>
    <w:rsid w:val="1F185E6D"/>
    <w:rsid w:val="1F241F1C"/>
    <w:rsid w:val="1F246BFA"/>
    <w:rsid w:val="1F2F62ED"/>
    <w:rsid w:val="1F361B1D"/>
    <w:rsid w:val="1F3D3B25"/>
    <w:rsid w:val="1F443106"/>
    <w:rsid w:val="1F4B7FF0"/>
    <w:rsid w:val="1F5350F7"/>
    <w:rsid w:val="1F574BE7"/>
    <w:rsid w:val="1F651542"/>
    <w:rsid w:val="1F703EFB"/>
    <w:rsid w:val="1F753A57"/>
    <w:rsid w:val="1F7A6B27"/>
    <w:rsid w:val="1F893681"/>
    <w:rsid w:val="1F953961"/>
    <w:rsid w:val="1F9E2816"/>
    <w:rsid w:val="1F9F033C"/>
    <w:rsid w:val="1FA6791C"/>
    <w:rsid w:val="1FAD2A59"/>
    <w:rsid w:val="1FAE524F"/>
    <w:rsid w:val="1FB060A5"/>
    <w:rsid w:val="1FB738D7"/>
    <w:rsid w:val="1FBC0EEE"/>
    <w:rsid w:val="1FC41B50"/>
    <w:rsid w:val="1FC87893"/>
    <w:rsid w:val="1FC97167"/>
    <w:rsid w:val="1FCA53B9"/>
    <w:rsid w:val="1FCF0C21"/>
    <w:rsid w:val="1FD0596B"/>
    <w:rsid w:val="1FD21442"/>
    <w:rsid w:val="1FD219CC"/>
    <w:rsid w:val="1FD44489"/>
    <w:rsid w:val="1FF561AE"/>
    <w:rsid w:val="200C59D1"/>
    <w:rsid w:val="200F04DE"/>
    <w:rsid w:val="20104D96"/>
    <w:rsid w:val="20120B0E"/>
    <w:rsid w:val="201C7BDE"/>
    <w:rsid w:val="201D2128"/>
    <w:rsid w:val="201E74B3"/>
    <w:rsid w:val="20250841"/>
    <w:rsid w:val="20270A5D"/>
    <w:rsid w:val="202D3B9A"/>
    <w:rsid w:val="203E7B55"/>
    <w:rsid w:val="20440810"/>
    <w:rsid w:val="204C4020"/>
    <w:rsid w:val="20564E9E"/>
    <w:rsid w:val="20592EC7"/>
    <w:rsid w:val="205E01F7"/>
    <w:rsid w:val="206375BB"/>
    <w:rsid w:val="2068096E"/>
    <w:rsid w:val="206A26F8"/>
    <w:rsid w:val="206F3697"/>
    <w:rsid w:val="206F724C"/>
    <w:rsid w:val="207D067D"/>
    <w:rsid w:val="20823EE5"/>
    <w:rsid w:val="20875058"/>
    <w:rsid w:val="209D487B"/>
    <w:rsid w:val="209F6845"/>
    <w:rsid w:val="20A26336"/>
    <w:rsid w:val="20AC2D10"/>
    <w:rsid w:val="20AC4ABE"/>
    <w:rsid w:val="20BE47F2"/>
    <w:rsid w:val="20C52024"/>
    <w:rsid w:val="20C95786"/>
    <w:rsid w:val="20CA58B5"/>
    <w:rsid w:val="20D81D57"/>
    <w:rsid w:val="20F50EAD"/>
    <w:rsid w:val="20FF5536"/>
    <w:rsid w:val="21004E0A"/>
    <w:rsid w:val="210072AB"/>
    <w:rsid w:val="21117017"/>
    <w:rsid w:val="211E4748"/>
    <w:rsid w:val="21222FD3"/>
    <w:rsid w:val="21254871"/>
    <w:rsid w:val="212705E9"/>
    <w:rsid w:val="213A656E"/>
    <w:rsid w:val="2147323F"/>
    <w:rsid w:val="21627873"/>
    <w:rsid w:val="216A30E1"/>
    <w:rsid w:val="216B2BCB"/>
    <w:rsid w:val="217F6677"/>
    <w:rsid w:val="218477E9"/>
    <w:rsid w:val="21947636"/>
    <w:rsid w:val="21A612CF"/>
    <w:rsid w:val="21B622BD"/>
    <w:rsid w:val="21B64B9D"/>
    <w:rsid w:val="21BE0F4D"/>
    <w:rsid w:val="21BF6A73"/>
    <w:rsid w:val="21CF4F08"/>
    <w:rsid w:val="21D0723E"/>
    <w:rsid w:val="21D7200F"/>
    <w:rsid w:val="21DF2C72"/>
    <w:rsid w:val="21E635C0"/>
    <w:rsid w:val="21ED538F"/>
    <w:rsid w:val="21F04E7F"/>
    <w:rsid w:val="21F4496F"/>
    <w:rsid w:val="21F46F2B"/>
    <w:rsid w:val="21FE759C"/>
    <w:rsid w:val="220B170D"/>
    <w:rsid w:val="220D028A"/>
    <w:rsid w:val="220F5E48"/>
    <w:rsid w:val="221D3838"/>
    <w:rsid w:val="22252D7A"/>
    <w:rsid w:val="22272CBE"/>
    <w:rsid w:val="222C217F"/>
    <w:rsid w:val="222E0BA9"/>
    <w:rsid w:val="22372AAE"/>
    <w:rsid w:val="223C00C4"/>
    <w:rsid w:val="223F78C5"/>
    <w:rsid w:val="22400CF8"/>
    <w:rsid w:val="22486A69"/>
    <w:rsid w:val="224A0A33"/>
    <w:rsid w:val="224A27E1"/>
    <w:rsid w:val="224F1BA5"/>
    <w:rsid w:val="224F7DF7"/>
    <w:rsid w:val="2250591D"/>
    <w:rsid w:val="22543660"/>
    <w:rsid w:val="22552F34"/>
    <w:rsid w:val="225804E0"/>
    <w:rsid w:val="22661F76"/>
    <w:rsid w:val="2268710B"/>
    <w:rsid w:val="226D4721"/>
    <w:rsid w:val="2271286C"/>
    <w:rsid w:val="227E692E"/>
    <w:rsid w:val="228A0E2F"/>
    <w:rsid w:val="2297354C"/>
    <w:rsid w:val="229F26DF"/>
    <w:rsid w:val="22AF6AE8"/>
    <w:rsid w:val="22B8599C"/>
    <w:rsid w:val="22C63C28"/>
    <w:rsid w:val="22C81958"/>
    <w:rsid w:val="22D27909"/>
    <w:rsid w:val="22D87DED"/>
    <w:rsid w:val="22DB5B2F"/>
    <w:rsid w:val="22E9024C"/>
    <w:rsid w:val="22EF5136"/>
    <w:rsid w:val="22F00969"/>
    <w:rsid w:val="22F71BBF"/>
    <w:rsid w:val="230904B1"/>
    <w:rsid w:val="231150AD"/>
    <w:rsid w:val="231D6147"/>
    <w:rsid w:val="231D7EF5"/>
    <w:rsid w:val="231E77CA"/>
    <w:rsid w:val="23250B58"/>
    <w:rsid w:val="23264FFC"/>
    <w:rsid w:val="232745F7"/>
    <w:rsid w:val="232F19D7"/>
    <w:rsid w:val="23410ABE"/>
    <w:rsid w:val="23596DCF"/>
    <w:rsid w:val="23737B15"/>
    <w:rsid w:val="23751ADF"/>
    <w:rsid w:val="238735C1"/>
    <w:rsid w:val="2389558B"/>
    <w:rsid w:val="239301B8"/>
    <w:rsid w:val="239A32F4"/>
    <w:rsid w:val="239F6B5C"/>
    <w:rsid w:val="23BF0FAD"/>
    <w:rsid w:val="23DC390D"/>
    <w:rsid w:val="23E6478B"/>
    <w:rsid w:val="23E66539"/>
    <w:rsid w:val="23E822B1"/>
    <w:rsid w:val="240864B0"/>
    <w:rsid w:val="240A1BB0"/>
    <w:rsid w:val="24146DE8"/>
    <w:rsid w:val="24172B97"/>
    <w:rsid w:val="241F1A4B"/>
    <w:rsid w:val="243075F7"/>
    <w:rsid w:val="243C25FD"/>
    <w:rsid w:val="244A6AC8"/>
    <w:rsid w:val="244C7ECA"/>
    <w:rsid w:val="2451303F"/>
    <w:rsid w:val="245E07C6"/>
    <w:rsid w:val="24681644"/>
    <w:rsid w:val="246B6A3F"/>
    <w:rsid w:val="246F29D3"/>
    <w:rsid w:val="24704055"/>
    <w:rsid w:val="247D7A8D"/>
    <w:rsid w:val="248134DD"/>
    <w:rsid w:val="248875F1"/>
    <w:rsid w:val="248C5333"/>
    <w:rsid w:val="249266C1"/>
    <w:rsid w:val="249C4E4A"/>
    <w:rsid w:val="24AA3A0B"/>
    <w:rsid w:val="24BE1264"/>
    <w:rsid w:val="24C44ABD"/>
    <w:rsid w:val="24CF521F"/>
    <w:rsid w:val="24F84776"/>
    <w:rsid w:val="24F904EE"/>
    <w:rsid w:val="25070E5D"/>
    <w:rsid w:val="25115838"/>
    <w:rsid w:val="2511775E"/>
    <w:rsid w:val="251D5F8B"/>
    <w:rsid w:val="25253091"/>
    <w:rsid w:val="25317C88"/>
    <w:rsid w:val="25381017"/>
    <w:rsid w:val="253F012E"/>
    <w:rsid w:val="254259F1"/>
    <w:rsid w:val="2551032A"/>
    <w:rsid w:val="256736AA"/>
    <w:rsid w:val="256F5FCF"/>
    <w:rsid w:val="257302A1"/>
    <w:rsid w:val="25875AFA"/>
    <w:rsid w:val="259049AF"/>
    <w:rsid w:val="259D2ACF"/>
    <w:rsid w:val="25A4045A"/>
    <w:rsid w:val="25C12DBA"/>
    <w:rsid w:val="25C61BC9"/>
    <w:rsid w:val="25E20F82"/>
    <w:rsid w:val="25E361CF"/>
    <w:rsid w:val="25E60A73"/>
    <w:rsid w:val="25EB106D"/>
    <w:rsid w:val="25F27417"/>
    <w:rsid w:val="25F807A6"/>
    <w:rsid w:val="261A562D"/>
    <w:rsid w:val="26206C52"/>
    <w:rsid w:val="26253A5D"/>
    <w:rsid w:val="26282E39"/>
    <w:rsid w:val="262D66A1"/>
    <w:rsid w:val="263712CE"/>
    <w:rsid w:val="263F0A67"/>
    <w:rsid w:val="26402C29"/>
    <w:rsid w:val="26414073"/>
    <w:rsid w:val="26431A21"/>
    <w:rsid w:val="264D28A0"/>
    <w:rsid w:val="26555BF8"/>
    <w:rsid w:val="265B3E95"/>
    <w:rsid w:val="26630315"/>
    <w:rsid w:val="26722306"/>
    <w:rsid w:val="2675618A"/>
    <w:rsid w:val="267742A9"/>
    <w:rsid w:val="268122F4"/>
    <w:rsid w:val="26812549"/>
    <w:rsid w:val="268C2457"/>
    <w:rsid w:val="268D6397"/>
    <w:rsid w:val="269C55D5"/>
    <w:rsid w:val="26A5092E"/>
    <w:rsid w:val="26A55C9F"/>
    <w:rsid w:val="26AF35A0"/>
    <w:rsid w:val="26B7240F"/>
    <w:rsid w:val="26C30DB4"/>
    <w:rsid w:val="26DA4963"/>
    <w:rsid w:val="26E06946"/>
    <w:rsid w:val="26E8081A"/>
    <w:rsid w:val="271542CD"/>
    <w:rsid w:val="27160EE4"/>
    <w:rsid w:val="271635D9"/>
    <w:rsid w:val="27181100"/>
    <w:rsid w:val="271F05A3"/>
    <w:rsid w:val="27234B56"/>
    <w:rsid w:val="272472C0"/>
    <w:rsid w:val="2734580E"/>
    <w:rsid w:val="27475541"/>
    <w:rsid w:val="274A3283"/>
    <w:rsid w:val="27525906"/>
    <w:rsid w:val="27545EB0"/>
    <w:rsid w:val="275A1718"/>
    <w:rsid w:val="276430DD"/>
    <w:rsid w:val="276E51C4"/>
    <w:rsid w:val="277A3B68"/>
    <w:rsid w:val="277D0F63"/>
    <w:rsid w:val="27857F9B"/>
    <w:rsid w:val="278D2658"/>
    <w:rsid w:val="278E6FF0"/>
    <w:rsid w:val="278F23C0"/>
    <w:rsid w:val="2790513A"/>
    <w:rsid w:val="279A1B15"/>
    <w:rsid w:val="279B785B"/>
    <w:rsid w:val="27A127B3"/>
    <w:rsid w:val="27B801ED"/>
    <w:rsid w:val="27BA21B7"/>
    <w:rsid w:val="27C44DE4"/>
    <w:rsid w:val="27D46576"/>
    <w:rsid w:val="27D72D69"/>
    <w:rsid w:val="27E82BA1"/>
    <w:rsid w:val="27F154AD"/>
    <w:rsid w:val="28096C9A"/>
    <w:rsid w:val="280E42B1"/>
    <w:rsid w:val="2815563F"/>
    <w:rsid w:val="28173165"/>
    <w:rsid w:val="28215D92"/>
    <w:rsid w:val="28247630"/>
    <w:rsid w:val="282615FA"/>
    <w:rsid w:val="28333D17"/>
    <w:rsid w:val="28373C41"/>
    <w:rsid w:val="28377363"/>
    <w:rsid w:val="28441A80"/>
    <w:rsid w:val="286345FC"/>
    <w:rsid w:val="28642123"/>
    <w:rsid w:val="286D3FB9"/>
    <w:rsid w:val="287606B8"/>
    <w:rsid w:val="287A1717"/>
    <w:rsid w:val="288051AE"/>
    <w:rsid w:val="288A1B89"/>
    <w:rsid w:val="28965A1B"/>
    <w:rsid w:val="2896616C"/>
    <w:rsid w:val="289724F8"/>
    <w:rsid w:val="289E5635"/>
    <w:rsid w:val="289F031A"/>
    <w:rsid w:val="28A32C4B"/>
    <w:rsid w:val="28A54CBD"/>
    <w:rsid w:val="28AC7648"/>
    <w:rsid w:val="28AF339E"/>
    <w:rsid w:val="28CD6F9F"/>
    <w:rsid w:val="28CE49BD"/>
    <w:rsid w:val="28CF3A40"/>
    <w:rsid w:val="28D9424E"/>
    <w:rsid w:val="28E31299"/>
    <w:rsid w:val="28F11C08"/>
    <w:rsid w:val="28F434A6"/>
    <w:rsid w:val="28F45255"/>
    <w:rsid w:val="28F71E0C"/>
    <w:rsid w:val="2903193C"/>
    <w:rsid w:val="29080D00"/>
    <w:rsid w:val="290C07F0"/>
    <w:rsid w:val="290D4568"/>
    <w:rsid w:val="29121B7F"/>
    <w:rsid w:val="29143B49"/>
    <w:rsid w:val="29192F0D"/>
    <w:rsid w:val="29194841"/>
    <w:rsid w:val="291D29FD"/>
    <w:rsid w:val="291D4652"/>
    <w:rsid w:val="29323FCF"/>
    <w:rsid w:val="293D6BFB"/>
    <w:rsid w:val="29471828"/>
    <w:rsid w:val="2951264F"/>
    <w:rsid w:val="295E6B72"/>
    <w:rsid w:val="296323DA"/>
    <w:rsid w:val="297D16EE"/>
    <w:rsid w:val="297E255F"/>
    <w:rsid w:val="29930B25"/>
    <w:rsid w:val="29991F53"/>
    <w:rsid w:val="299A404E"/>
    <w:rsid w:val="299E2F4D"/>
    <w:rsid w:val="29A556BD"/>
    <w:rsid w:val="29AF0E3D"/>
    <w:rsid w:val="29BB3FC4"/>
    <w:rsid w:val="29BD5F8E"/>
    <w:rsid w:val="29C56EDC"/>
    <w:rsid w:val="29CB06AB"/>
    <w:rsid w:val="29CE3CF8"/>
    <w:rsid w:val="29D07A70"/>
    <w:rsid w:val="29D63C74"/>
    <w:rsid w:val="29DF4157"/>
    <w:rsid w:val="29E03A2B"/>
    <w:rsid w:val="29E259F5"/>
    <w:rsid w:val="29E51041"/>
    <w:rsid w:val="29EF3C6E"/>
    <w:rsid w:val="29F85218"/>
    <w:rsid w:val="29FF0355"/>
    <w:rsid w:val="2A047719"/>
    <w:rsid w:val="2A094D30"/>
    <w:rsid w:val="2A0F46C9"/>
    <w:rsid w:val="2A111E36"/>
    <w:rsid w:val="2A1F4553"/>
    <w:rsid w:val="2A256749"/>
    <w:rsid w:val="2A292FB7"/>
    <w:rsid w:val="2A2D5D0F"/>
    <w:rsid w:val="2A3D0E7D"/>
    <w:rsid w:val="2A471AB6"/>
    <w:rsid w:val="2A6B1546"/>
    <w:rsid w:val="2A6C52BE"/>
    <w:rsid w:val="2A8554AE"/>
    <w:rsid w:val="2A8932BC"/>
    <w:rsid w:val="2A9A4101"/>
    <w:rsid w:val="2A9F7442"/>
    <w:rsid w:val="2AAB4039"/>
    <w:rsid w:val="2AAD6003"/>
    <w:rsid w:val="2AAE6F56"/>
    <w:rsid w:val="2AAF1D7B"/>
    <w:rsid w:val="2AD74E2E"/>
    <w:rsid w:val="2ADC41F2"/>
    <w:rsid w:val="2ADF3CE2"/>
    <w:rsid w:val="2AE83720"/>
    <w:rsid w:val="2AE86769"/>
    <w:rsid w:val="2AEF03C9"/>
    <w:rsid w:val="2B026391"/>
    <w:rsid w:val="2B0B4AD7"/>
    <w:rsid w:val="2B1E480B"/>
    <w:rsid w:val="2B231E21"/>
    <w:rsid w:val="2B2838DB"/>
    <w:rsid w:val="2B3202B6"/>
    <w:rsid w:val="2B336ED3"/>
    <w:rsid w:val="2B367DA6"/>
    <w:rsid w:val="2B406E77"/>
    <w:rsid w:val="2B434271"/>
    <w:rsid w:val="2B5B4F67"/>
    <w:rsid w:val="2B603075"/>
    <w:rsid w:val="2B667F60"/>
    <w:rsid w:val="2B6C5576"/>
    <w:rsid w:val="2B7E1A87"/>
    <w:rsid w:val="2B830B12"/>
    <w:rsid w:val="2B8A6344"/>
    <w:rsid w:val="2B966230"/>
    <w:rsid w:val="2B9730BD"/>
    <w:rsid w:val="2BA72A52"/>
    <w:rsid w:val="2BB60277"/>
    <w:rsid w:val="2BB94533"/>
    <w:rsid w:val="2BC41856"/>
    <w:rsid w:val="2BCC4267"/>
    <w:rsid w:val="2BD1187D"/>
    <w:rsid w:val="2BD15D21"/>
    <w:rsid w:val="2BD61589"/>
    <w:rsid w:val="2BD80E5D"/>
    <w:rsid w:val="2BDC5964"/>
    <w:rsid w:val="2BE5357A"/>
    <w:rsid w:val="2BE710A1"/>
    <w:rsid w:val="2BFB2D9E"/>
    <w:rsid w:val="2BFB4B4C"/>
    <w:rsid w:val="2C0B1233"/>
    <w:rsid w:val="2C0B2FE1"/>
    <w:rsid w:val="2C106849"/>
    <w:rsid w:val="2C11611D"/>
    <w:rsid w:val="2C1A1476"/>
    <w:rsid w:val="2C1B0D4A"/>
    <w:rsid w:val="2C22032B"/>
    <w:rsid w:val="2C2440A3"/>
    <w:rsid w:val="2C275941"/>
    <w:rsid w:val="2C29790B"/>
    <w:rsid w:val="2C3342E6"/>
    <w:rsid w:val="2C354526"/>
    <w:rsid w:val="2C412EA7"/>
    <w:rsid w:val="2C424529"/>
    <w:rsid w:val="2C4B79BF"/>
    <w:rsid w:val="2C4E7372"/>
    <w:rsid w:val="2C570A62"/>
    <w:rsid w:val="2C57345B"/>
    <w:rsid w:val="2C585E31"/>
    <w:rsid w:val="2C624BCB"/>
    <w:rsid w:val="2C692D95"/>
    <w:rsid w:val="2CA451E4"/>
    <w:rsid w:val="2CB03B88"/>
    <w:rsid w:val="2CB2345D"/>
    <w:rsid w:val="2CC118F2"/>
    <w:rsid w:val="2CC633AC"/>
    <w:rsid w:val="2CC66F08"/>
    <w:rsid w:val="2CCE400E"/>
    <w:rsid w:val="2CD522A4"/>
    <w:rsid w:val="2CD739E1"/>
    <w:rsid w:val="2CDA6E57"/>
    <w:rsid w:val="2CED26E7"/>
    <w:rsid w:val="2CF019FE"/>
    <w:rsid w:val="2CFA4E04"/>
    <w:rsid w:val="2D0619FA"/>
    <w:rsid w:val="2D0B0DBF"/>
    <w:rsid w:val="2D0F1517"/>
    <w:rsid w:val="2D0F6B01"/>
    <w:rsid w:val="2D1D4C6D"/>
    <w:rsid w:val="2D477FC7"/>
    <w:rsid w:val="2D5409B8"/>
    <w:rsid w:val="2D7B5F44"/>
    <w:rsid w:val="2D8F19F0"/>
    <w:rsid w:val="2D9576BA"/>
    <w:rsid w:val="2D964B2C"/>
    <w:rsid w:val="2D96685C"/>
    <w:rsid w:val="2D99286E"/>
    <w:rsid w:val="2DA134D1"/>
    <w:rsid w:val="2DA37249"/>
    <w:rsid w:val="2DAC07F4"/>
    <w:rsid w:val="2DAD2FB3"/>
    <w:rsid w:val="2DAF2092"/>
    <w:rsid w:val="2DB80F46"/>
    <w:rsid w:val="2DC0604D"/>
    <w:rsid w:val="2DCA2A28"/>
    <w:rsid w:val="2DD37B2E"/>
    <w:rsid w:val="2DD92044"/>
    <w:rsid w:val="2DEA639C"/>
    <w:rsid w:val="2DEB7395"/>
    <w:rsid w:val="2DFA2AF5"/>
    <w:rsid w:val="2E04418C"/>
    <w:rsid w:val="2E06290B"/>
    <w:rsid w:val="2E083FE4"/>
    <w:rsid w:val="2E112405"/>
    <w:rsid w:val="2E163477"/>
    <w:rsid w:val="2E222284"/>
    <w:rsid w:val="2E2959A0"/>
    <w:rsid w:val="2E3507E9"/>
    <w:rsid w:val="2E3600BD"/>
    <w:rsid w:val="2E3A5DFF"/>
    <w:rsid w:val="2E3A6022"/>
    <w:rsid w:val="2E3A7BAD"/>
    <w:rsid w:val="2E422F06"/>
    <w:rsid w:val="2E545B26"/>
    <w:rsid w:val="2E56250D"/>
    <w:rsid w:val="2E5D3E2D"/>
    <w:rsid w:val="2E600E98"/>
    <w:rsid w:val="2E67296D"/>
    <w:rsid w:val="2E6E5AA9"/>
    <w:rsid w:val="2E7035CF"/>
    <w:rsid w:val="2E7D7A9A"/>
    <w:rsid w:val="2E856D39"/>
    <w:rsid w:val="2E8C4181"/>
    <w:rsid w:val="2E982B26"/>
    <w:rsid w:val="2EA9382A"/>
    <w:rsid w:val="2EB55486"/>
    <w:rsid w:val="2EB72FAC"/>
    <w:rsid w:val="2EBC62A7"/>
    <w:rsid w:val="2EC25001"/>
    <w:rsid w:val="2EDF69A7"/>
    <w:rsid w:val="2EE64F30"/>
    <w:rsid w:val="2EE83963"/>
    <w:rsid w:val="2EED4C20"/>
    <w:rsid w:val="2EF40965"/>
    <w:rsid w:val="2EF75A9F"/>
    <w:rsid w:val="2F01691D"/>
    <w:rsid w:val="2F060CEC"/>
    <w:rsid w:val="2F096678"/>
    <w:rsid w:val="2F0B32F8"/>
    <w:rsid w:val="2F1F0B51"/>
    <w:rsid w:val="2F2B56CC"/>
    <w:rsid w:val="2F3A3BDD"/>
    <w:rsid w:val="2F3E547B"/>
    <w:rsid w:val="2F432A92"/>
    <w:rsid w:val="2F490799"/>
    <w:rsid w:val="2F4A3E20"/>
    <w:rsid w:val="2F511653"/>
    <w:rsid w:val="2F61116A"/>
    <w:rsid w:val="2F61560E"/>
    <w:rsid w:val="2F656EAC"/>
    <w:rsid w:val="2F791D6D"/>
    <w:rsid w:val="2F867707"/>
    <w:rsid w:val="2F882B9B"/>
    <w:rsid w:val="2F8E1DD4"/>
    <w:rsid w:val="2F9764E3"/>
    <w:rsid w:val="2F994DA8"/>
    <w:rsid w:val="2FA71273"/>
    <w:rsid w:val="2FAD43AF"/>
    <w:rsid w:val="2FAE5424"/>
    <w:rsid w:val="2FB026FE"/>
    <w:rsid w:val="2FB61E62"/>
    <w:rsid w:val="2FB83480"/>
    <w:rsid w:val="2FBB33A3"/>
    <w:rsid w:val="2FC04AC3"/>
    <w:rsid w:val="2FC11C09"/>
    <w:rsid w:val="2FC33BD3"/>
    <w:rsid w:val="2FD90EB7"/>
    <w:rsid w:val="2FDD4C94"/>
    <w:rsid w:val="2FE872B5"/>
    <w:rsid w:val="30000983"/>
    <w:rsid w:val="30110DE2"/>
    <w:rsid w:val="30155E33"/>
    <w:rsid w:val="301F3BE7"/>
    <w:rsid w:val="30226B4B"/>
    <w:rsid w:val="302A5A00"/>
    <w:rsid w:val="302D5F1E"/>
    <w:rsid w:val="30446AC1"/>
    <w:rsid w:val="304608FC"/>
    <w:rsid w:val="304E3CE9"/>
    <w:rsid w:val="305F2FC5"/>
    <w:rsid w:val="306B7868"/>
    <w:rsid w:val="30782C0F"/>
    <w:rsid w:val="308B57AA"/>
    <w:rsid w:val="309537C1"/>
    <w:rsid w:val="3095556F"/>
    <w:rsid w:val="309C4AE5"/>
    <w:rsid w:val="30A43A04"/>
    <w:rsid w:val="30B434BA"/>
    <w:rsid w:val="30BA3228"/>
    <w:rsid w:val="30BD4AC6"/>
    <w:rsid w:val="30BF25EC"/>
    <w:rsid w:val="30BF439A"/>
    <w:rsid w:val="30C00255"/>
    <w:rsid w:val="30C220DC"/>
    <w:rsid w:val="30C23E8A"/>
    <w:rsid w:val="30D75B88"/>
    <w:rsid w:val="30E402A4"/>
    <w:rsid w:val="30E8564C"/>
    <w:rsid w:val="30F5600E"/>
    <w:rsid w:val="30FA7AC8"/>
    <w:rsid w:val="30FC59E1"/>
    <w:rsid w:val="3102707D"/>
    <w:rsid w:val="3112096E"/>
    <w:rsid w:val="31124E12"/>
    <w:rsid w:val="311A1F18"/>
    <w:rsid w:val="31216E03"/>
    <w:rsid w:val="312D1C4B"/>
    <w:rsid w:val="312D39F9"/>
    <w:rsid w:val="312E1520"/>
    <w:rsid w:val="31314919"/>
    <w:rsid w:val="31351E43"/>
    <w:rsid w:val="313C1E8F"/>
    <w:rsid w:val="315076E8"/>
    <w:rsid w:val="31552F50"/>
    <w:rsid w:val="31594C51"/>
    <w:rsid w:val="317466F6"/>
    <w:rsid w:val="31785E93"/>
    <w:rsid w:val="317D4731"/>
    <w:rsid w:val="318239D5"/>
    <w:rsid w:val="319677F1"/>
    <w:rsid w:val="319C292D"/>
    <w:rsid w:val="31B47C77"/>
    <w:rsid w:val="31C83722"/>
    <w:rsid w:val="31CB4544"/>
    <w:rsid w:val="31D2634F"/>
    <w:rsid w:val="31D4491A"/>
    <w:rsid w:val="31D64A87"/>
    <w:rsid w:val="31DC0F7C"/>
    <w:rsid w:val="31E85B72"/>
    <w:rsid w:val="320E382B"/>
    <w:rsid w:val="32116E77"/>
    <w:rsid w:val="32130C18"/>
    <w:rsid w:val="32146967"/>
    <w:rsid w:val="321921D0"/>
    <w:rsid w:val="321C75CA"/>
    <w:rsid w:val="321E2818"/>
    <w:rsid w:val="32311B8F"/>
    <w:rsid w:val="32340DB8"/>
    <w:rsid w:val="323416B0"/>
    <w:rsid w:val="323D1A1A"/>
    <w:rsid w:val="323F1C36"/>
    <w:rsid w:val="324A2389"/>
    <w:rsid w:val="324F79A0"/>
    <w:rsid w:val="3255145A"/>
    <w:rsid w:val="32582CF8"/>
    <w:rsid w:val="326064D2"/>
    <w:rsid w:val="326351F9"/>
    <w:rsid w:val="3264344B"/>
    <w:rsid w:val="32665CA1"/>
    <w:rsid w:val="32681CD9"/>
    <w:rsid w:val="326E33E4"/>
    <w:rsid w:val="32701C79"/>
    <w:rsid w:val="3275569E"/>
    <w:rsid w:val="328303DD"/>
    <w:rsid w:val="32950EC6"/>
    <w:rsid w:val="32951856"/>
    <w:rsid w:val="329D070B"/>
    <w:rsid w:val="329E432A"/>
    <w:rsid w:val="32AB16E3"/>
    <w:rsid w:val="32AC6BA0"/>
    <w:rsid w:val="32B2344D"/>
    <w:rsid w:val="32CB01D6"/>
    <w:rsid w:val="32E14A9C"/>
    <w:rsid w:val="32E3095D"/>
    <w:rsid w:val="32EC3150"/>
    <w:rsid w:val="32F12805"/>
    <w:rsid w:val="32FD11AA"/>
    <w:rsid w:val="32FE3023"/>
    <w:rsid w:val="33044C2E"/>
    <w:rsid w:val="3307064A"/>
    <w:rsid w:val="33095DA0"/>
    <w:rsid w:val="3321133C"/>
    <w:rsid w:val="33245604"/>
    <w:rsid w:val="332826CA"/>
    <w:rsid w:val="332E3A59"/>
    <w:rsid w:val="3330157F"/>
    <w:rsid w:val="333948D8"/>
    <w:rsid w:val="3345187B"/>
    <w:rsid w:val="334943EF"/>
    <w:rsid w:val="33496258"/>
    <w:rsid w:val="33501C21"/>
    <w:rsid w:val="33576B0C"/>
    <w:rsid w:val="33614751"/>
    <w:rsid w:val="3361798A"/>
    <w:rsid w:val="33691F3A"/>
    <w:rsid w:val="33727DEA"/>
    <w:rsid w:val="33745910"/>
    <w:rsid w:val="33772B88"/>
    <w:rsid w:val="338D69D1"/>
    <w:rsid w:val="339935C8"/>
    <w:rsid w:val="339F04B3"/>
    <w:rsid w:val="33A53D1B"/>
    <w:rsid w:val="33AA7D8A"/>
    <w:rsid w:val="33BA6576"/>
    <w:rsid w:val="33BC1065"/>
    <w:rsid w:val="33C323F3"/>
    <w:rsid w:val="33C57F19"/>
    <w:rsid w:val="33D31231"/>
    <w:rsid w:val="33D75E9F"/>
    <w:rsid w:val="33E04D53"/>
    <w:rsid w:val="33E3647C"/>
    <w:rsid w:val="33E65408"/>
    <w:rsid w:val="33EA3E24"/>
    <w:rsid w:val="33EC194A"/>
    <w:rsid w:val="33F57790"/>
    <w:rsid w:val="33FA1D52"/>
    <w:rsid w:val="34037379"/>
    <w:rsid w:val="340469D4"/>
    <w:rsid w:val="342235BE"/>
    <w:rsid w:val="342A4220"/>
    <w:rsid w:val="34341AA3"/>
    <w:rsid w:val="343A7E80"/>
    <w:rsid w:val="343F3858"/>
    <w:rsid w:val="345117AD"/>
    <w:rsid w:val="34573079"/>
    <w:rsid w:val="346040E6"/>
    <w:rsid w:val="346A6D13"/>
    <w:rsid w:val="346E22CB"/>
    <w:rsid w:val="346F60D7"/>
    <w:rsid w:val="348C6C89"/>
    <w:rsid w:val="348D1669"/>
    <w:rsid w:val="34991662"/>
    <w:rsid w:val="349B511E"/>
    <w:rsid w:val="349E7372"/>
    <w:rsid w:val="34A02734"/>
    <w:rsid w:val="34A40AA1"/>
    <w:rsid w:val="34B47F8E"/>
    <w:rsid w:val="34B51EF4"/>
    <w:rsid w:val="34B865AD"/>
    <w:rsid w:val="34BD32E6"/>
    <w:rsid w:val="34BF705E"/>
    <w:rsid w:val="34D348B8"/>
    <w:rsid w:val="34D80120"/>
    <w:rsid w:val="34EA404B"/>
    <w:rsid w:val="34F32864"/>
    <w:rsid w:val="34F75D34"/>
    <w:rsid w:val="34FF745B"/>
    <w:rsid w:val="350D601C"/>
    <w:rsid w:val="351A24E7"/>
    <w:rsid w:val="351A6043"/>
    <w:rsid w:val="352670DE"/>
    <w:rsid w:val="3531761E"/>
    <w:rsid w:val="35317B29"/>
    <w:rsid w:val="35353002"/>
    <w:rsid w:val="353C06AF"/>
    <w:rsid w:val="353F5AA9"/>
    <w:rsid w:val="354B444E"/>
    <w:rsid w:val="354D466A"/>
    <w:rsid w:val="355C665B"/>
    <w:rsid w:val="356D0868"/>
    <w:rsid w:val="356E45E1"/>
    <w:rsid w:val="3573102C"/>
    <w:rsid w:val="35821092"/>
    <w:rsid w:val="359F0C3E"/>
    <w:rsid w:val="35A324DC"/>
    <w:rsid w:val="35A3428A"/>
    <w:rsid w:val="35AD335B"/>
    <w:rsid w:val="35AF0E81"/>
    <w:rsid w:val="35B91069"/>
    <w:rsid w:val="35C366DA"/>
    <w:rsid w:val="35D46B3A"/>
    <w:rsid w:val="35E166A4"/>
    <w:rsid w:val="35E26AD4"/>
    <w:rsid w:val="35EF127D"/>
    <w:rsid w:val="35F745D6"/>
    <w:rsid w:val="35FE7713"/>
    <w:rsid w:val="360334BE"/>
    <w:rsid w:val="36105698"/>
    <w:rsid w:val="36107446"/>
    <w:rsid w:val="3613710F"/>
    <w:rsid w:val="36147E72"/>
    <w:rsid w:val="36203B2D"/>
    <w:rsid w:val="36443918"/>
    <w:rsid w:val="364C66D0"/>
    <w:rsid w:val="364F4412"/>
    <w:rsid w:val="36533F02"/>
    <w:rsid w:val="36550519"/>
    <w:rsid w:val="36687282"/>
    <w:rsid w:val="366A2FFA"/>
    <w:rsid w:val="367240F1"/>
    <w:rsid w:val="36755AF5"/>
    <w:rsid w:val="367C4ADB"/>
    <w:rsid w:val="36820344"/>
    <w:rsid w:val="36851BE2"/>
    <w:rsid w:val="36913D9A"/>
    <w:rsid w:val="36A71B58"/>
    <w:rsid w:val="36B57D45"/>
    <w:rsid w:val="36B61F5B"/>
    <w:rsid w:val="36B9188B"/>
    <w:rsid w:val="36BC4A78"/>
    <w:rsid w:val="36BD312A"/>
    <w:rsid w:val="36CE17DB"/>
    <w:rsid w:val="36D130B5"/>
    <w:rsid w:val="36D14E27"/>
    <w:rsid w:val="36DF02E3"/>
    <w:rsid w:val="36EF34FF"/>
    <w:rsid w:val="36F34D9D"/>
    <w:rsid w:val="36F40B16"/>
    <w:rsid w:val="36F4363E"/>
    <w:rsid w:val="36F56D67"/>
    <w:rsid w:val="36F86858"/>
    <w:rsid w:val="36F9017F"/>
    <w:rsid w:val="36FB00F6"/>
    <w:rsid w:val="36FD79CA"/>
    <w:rsid w:val="36FF1994"/>
    <w:rsid w:val="370130B6"/>
    <w:rsid w:val="37024FE0"/>
    <w:rsid w:val="370B658B"/>
    <w:rsid w:val="3711425A"/>
    <w:rsid w:val="371C0798"/>
    <w:rsid w:val="3720190B"/>
    <w:rsid w:val="372745B9"/>
    <w:rsid w:val="37476E97"/>
    <w:rsid w:val="374C0952"/>
    <w:rsid w:val="37503F9E"/>
    <w:rsid w:val="375F3ED9"/>
    <w:rsid w:val="37617BEF"/>
    <w:rsid w:val="376600F5"/>
    <w:rsid w:val="376612F0"/>
    <w:rsid w:val="37753A04"/>
    <w:rsid w:val="37781747"/>
    <w:rsid w:val="377A101B"/>
    <w:rsid w:val="377A726D"/>
    <w:rsid w:val="377F0D27"/>
    <w:rsid w:val="378123A9"/>
    <w:rsid w:val="37971BCD"/>
    <w:rsid w:val="379E2351"/>
    <w:rsid w:val="37A4253C"/>
    <w:rsid w:val="37B00EE0"/>
    <w:rsid w:val="37B256AA"/>
    <w:rsid w:val="37BB72AC"/>
    <w:rsid w:val="37C23675"/>
    <w:rsid w:val="37C64260"/>
    <w:rsid w:val="37CB1876"/>
    <w:rsid w:val="37CD1A92"/>
    <w:rsid w:val="37DA5EAF"/>
    <w:rsid w:val="37EB1F18"/>
    <w:rsid w:val="37F4125D"/>
    <w:rsid w:val="37F94635"/>
    <w:rsid w:val="38064FA4"/>
    <w:rsid w:val="380B6117"/>
    <w:rsid w:val="38174ABC"/>
    <w:rsid w:val="381F7BCF"/>
    <w:rsid w:val="38207E14"/>
    <w:rsid w:val="38294866"/>
    <w:rsid w:val="383513E6"/>
    <w:rsid w:val="384D672F"/>
    <w:rsid w:val="3857135C"/>
    <w:rsid w:val="3858714D"/>
    <w:rsid w:val="38600A43"/>
    <w:rsid w:val="387243E8"/>
    <w:rsid w:val="38787C50"/>
    <w:rsid w:val="387B504A"/>
    <w:rsid w:val="3882287D"/>
    <w:rsid w:val="38995E18"/>
    <w:rsid w:val="389C3213"/>
    <w:rsid w:val="389D4FF1"/>
    <w:rsid w:val="38A0235A"/>
    <w:rsid w:val="38A565E1"/>
    <w:rsid w:val="38AF360A"/>
    <w:rsid w:val="38C904AC"/>
    <w:rsid w:val="38D94467"/>
    <w:rsid w:val="38E9056D"/>
    <w:rsid w:val="38ED3A6E"/>
    <w:rsid w:val="38F17A02"/>
    <w:rsid w:val="39047736"/>
    <w:rsid w:val="3918503E"/>
    <w:rsid w:val="39203E44"/>
    <w:rsid w:val="39205BF2"/>
    <w:rsid w:val="39226601"/>
    <w:rsid w:val="392E47B3"/>
    <w:rsid w:val="39327240"/>
    <w:rsid w:val="393556C5"/>
    <w:rsid w:val="39363667"/>
    <w:rsid w:val="393F42CA"/>
    <w:rsid w:val="394915ED"/>
    <w:rsid w:val="39566AA2"/>
    <w:rsid w:val="39567866"/>
    <w:rsid w:val="395A1104"/>
    <w:rsid w:val="39693A3D"/>
    <w:rsid w:val="396F26D5"/>
    <w:rsid w:val="39730417"/>
    <w:rsid w:val="39737655"/>
    <w:rsid w:val="39783C80"/>
    <w:rsid w:val="39791FBD"/>
    <w:rsid w:val="398B6689"/>
    <w:rsid w:val="398D772B"/>
    <w:rsid w:val="39900FC9"/>
    <w:rsid w:val="399565E0"/>
    <w:rsid w:val="399A33B4"/>
    <w:rsid w:val="39A405D1"/>
    <w:rsid w:val="39B20F40"/>
    <w:rsid w:val="39BC591B"/>
    <w:rsid w:val="39BD78E5"/>
    <w:rsid w:val="39C11183"/>
    <w:rsid w:val="39D24B04"/>
    <w:rsid w:val="39E23A28"/>
    <w:rsid w:val="39E6508D"/>
    <w:rsid w:val="39FD5F33"/>
    <w:rsid w:val="3A066EA6"/>
    <w:rsid w:val="3A0D261A"/>
    <w:rsid w:val="3A105C66"/>
    <w:rsid w:val="3A12378C"/>
    <w:rsid w:val="3A192D6D"/>
    <w:rsid w:val="3A19526E"/>
    <w:rsid w:val="3A1E0383"/>
    <w:rsid w:val="3A2F2590"/>
    <w:rsid w:val="3A306308"/>
    <w:rsid w:val="3A3C4CAD"/>
    <w:rsid w:val="3A436C3C"/>
    <w:rsid w:val="3A4E1733"/>
    <w:rsid w:val="3A59760D"/>
    <w:rsid w:val="3A60099C"/>
    <w:rsid w:val="3A610F0C"/>
    <w:rsid w:val="3A6A7A6C"/>
    <w:rsid w:val="3A7601BF"/>
    <w:rsid w:val="3A7B57D6"/>
    <w:rsid w:val="3A812D77"/>
    <w:rsid w:val="3A833686"/>
    <w:rsid w:val="3A946897"/>
    <w:rsid w:val="3A9B14E5"/>
    <w:rsid w:val="3A9B5E78"/>
    <w:rsid w:val="3AA06FEA"/>
    <w:rsid w:val="3AA20FB4"/>
    <w:rsid w:val="3AAE4DA9"/>
    <w:rsid w:val="3AAF547F"/>
    <w:rsid w:val="3AB40CE8"/>
    <w:rsid w:val="3AD12139"/>
    <w:rsid w:val="3ADD03E5"/>
    <w:rsid w:val="3AE023AF"/>
    <w:rsid w:val="3AEA733E"/>
    <w:rsid w:val="3AEE41FA"/>
    <w:rsid w:val="3AF15A98"/>
    <w:rsid w:val="3AFB76BF"/>
    <w:rsid w:val="3AFD586D"/>
    <w:rsid w:val="3B0F64C7"/>
    <w:rsid w:val="3B245E6D"/>
    <w:rsid w:val="3B251BE5"/>
    <w:rsid w:val="3B443E1A"/>
    <w:rsid w:val="3B451940"/>
    <w:rsid w:val="3B490A0E"/>
    <w:rsid w:val="3B4C7172"/>
    <w:rsid w:val="3B5A36EE"/>
    <w:rsid w:val="3B624050"/>
    <w:rsid w:val="3B632A29"/>
    <w:rsid w:val="3B6E533A"/>
    <w:rsid w:val="3B706E2F"/>
    <w:rsid w:val="3B714E2B"/>
    <w:rsid w:val="3B7F4E52"/>
    <w:rsid w:val="3B886DD0"/>
    <w:rsid w:val="3B8C363C"/>
    <w:rsid w:val="3B8C3A12"/>
    <w:rsid w:val="3B9308FD"/>
    <w:rsid w:val="3B9547DD"/>
    <w:rsid w:val="3B9D352A"/>
    <w:rsid w:val="3BA26D92"/>
    <w:rsid w:val="3BA725FA"/>
    <w:rsid w:val="3BBA40DC"/>
    <w:rsid w:val="3BBB1718"/>
    <w:rsid w:val="3BBF5B96"/>
    <w:rsid w:val="3BC44F5A"/>
    <w:rsid w:val="3BCE7B87"/>
    <w:rsid w:val="3BDF1D94"/>
    <w:rsid w:val="3BDF2028"/>
    <w:rsid w:val="3BDF3B42"/>
    <w:rsid w:val="3BE178BA"/>
    <w:rsid w:val="3BF27D19"/>
    <w:rsid w:val="3BF9493A"/>
    <w:rsid w:val="3BFF2436"/>
    <w:rsid w:val="3C0360E3"/>
    <w:rsid w:val="3C0A04F9"/>
    <w:rsid w:val="3C101F4E"/>
    <w:rsid w:val="3C156A7D"/>
    <w:rsid w:val="3C1C6B44"/>
    <w:rsid w:val="3C1F03E3"/>
    <w:rsid w:val="3C2A2ADB"/>
    <w:rsid w:val="3C2F4A7B"/>
    <w:rsid w:val="3C451E89"/>
    <w:rsid w:val="3C4816E7"/>
    <w:rsid w:val="3C5412B1"/>
    <w:rsid w:val="3C5C3C02"/>
    <w:rsid w:val="3C666012"/>
    <w:rsid w:val="3C7E335B"/>
    <w:rsid w:val="3C9C1A33"/>
    <w:rsid w:val="3CA52FDE"/>
    <w:rsid w:val="3CAD2655"/>
    <w:rsid w:val="3CAD2CF2"/>
    <w:rsid w:val="3CB7061B"/>
    <w:rsid w:val="3CBB5541"/>
    <w:rsid w:val="3CBE6046"/>
    <w:rsid w:val="3CC46CAB"/>
    <w:rsid w:val="3CC86AC9"/>
    <w:rsid w:val="3CCB40C7"/>
    <w:rsid w:val="3CD76F0F"/>
    <w:rsid w:val="3CDB37A6"/>
    <w:rsid w:val="3CDC413D"/>
    <w:rsid w:val="3CE7562B"/>
    <w:rsid w:val="3CEA09F1"/>
    <w:rsid w:val="3CF25AF7"/>
    <w:rsid w:val="3CF96E86"/>
    <w:rsid w:val="3CFC24D2"/>
    <w:rsid w:val="3D0046F6"/>
    <w:rsid w:val="3D015D3A"/>
    <w:rsid w:val="3D0777F5"/>
    <w:rsid w:val="3D2008B6"/>
    <w:rsid w:val="3D204412"/>
    <w:rsid w:val="3D216D29"/>
    <w:rsid w:val="3D4855F3"/>
    <w:rsid w:val="3D5440BC"/>
    <w:rsid w:val="3D581DFE"/>
    <w:rsid w:val="3D5B369C"/>
    <w:rsid w:val="3D5D11C3"/>
    <w:rsid w:val="3D6267D9"/>
    <w:rsid w:val="3D756682"/>
    <w:rsid w:val="3D795D4E"/>
    <w:rsid w:val="3D89722E"/>
    <w:rsid w:val="3D8F1598"/>
    <w:rsid w:val="3D94095C"/>
    <w:rsid w:val="3DB20E5A"/>
    <w:rsid w:val="3DBF7989"/>
    <w:rsid w:val="3DC75C70"/>
    <w:rsid w:val="3DD01567"/>
    <w:rsid w:val="3DD27E02"/>
    <w:rsid w:val="3DD31EFC"/>
    <w:rsid w:val="3DD84CED"/>
    <w:rsid w:val="3DE25B6C"/>
    <w:rsid w:val="3DE43692"/>
    <w:rsid w:val="3DF15DAF"/>
    <w:rsid w:val="3DF17B5D"/>
    <w:rsid w:val="3DFC6C2D"/>
    <w:rsid w:val="3DFF04CC"/>
    <w:rsid w:val="3E015FF2"/>
    <w:rsid w:val="3E043D34"/>
    <w:rsid w:val="3E0B50C2"/>
    <w:rsid w:val="3E0E070F"/>
    <w:rsid w:val="3E155F41"/>
    <w:rsid w:val="3E2241BA"/>
    <w:rsid w:val="3E312DE0"/>
    <w:rsid w:val="3E3E1A84"/>
    <w:rsid w:val="3E4203B8"/>
    <w:rsid w:val="3E530817"/>
    <w:rsid w:val="3E5D51F2"/>
    <w:rsid w:val="3E703177"/>
    <w:rsid w:val="3E704F26"/>
    <w:rsid w:val="3E8804C1"/>
    <w:rsid w:val="3E8D1F7B"/>
    <w:rsid w:val="3E8D3D29"/>
    <w:rsid w:val="3EA2161A"/>
    <w:rsid w:val="3EA846BF"/>
    <w:rsid w:val="3EAD17EA"/>
    <w:rsid w:val="3EB43064"/>
    <w:rsid w:val="3EBA2645"/>
    <w:rsid w:val="3EBE3EE3"/>
    <w:rsid w:val="3EBF1A09"/>
    <w:rsid w:val="3ECE343B"/>
    <w:rsid w:val="3ECF4342"/>
    <w:rsid w:val="3ED731F7"/>
    <w:rsid w:val="3ED90D1D"/>
    <w:rsid w:val="3EDB4A95"/>
    <w:rsid w:val="3EE600B3"/>
    <w:rsid w:val="3EEA0D30"/>
    <w:rsid w:val="3EF1250A"/>
    <w:rsid w:val="3EF43DA9"/>
    <w:rsid w:val="3EF73899"/>
    <w:rsid w:val="3F011C8B"/>
    <w:rsid w:val="3F012022"/>
    <w:rsid w:val="3F0F2990"/>
    <w:rsid w:val="3F20694C"/>
    <w:rsid w:val="3F220916"/>
    <w:rsid w:val="3F3B3785"/>
    <w:rsid w:val="3F47037C"/>
    <w:rsid w:val="3F4940F4"/>
    <w:rsid w:val="3F4A39C9"/>
    <w:rsid w:val="3F4C7741"/>
    <w:rsid w:val="3F4F33B6"/>
    <w:rsid w:val="3F53498B"/>
    <w:rsid w:val="3F5B37AA"/>
    <w:rsid w:val="3F6A406B"/>
    <w:rsid w:val="3F732F1F"/>
    <w:rsid w:val="3F807045"/>
    <w:rsid w:val="3F854A01"/>
    <w:rsid w:val="3F951D49"/>
    <w:rsid w:val="3FA07A8C"/>
    <w:rsid w:val="3FA255B3"/>
    <w:rsid w:val="3FA4757D"/>
    <w:rsid w:val="3FAA4467"/>
    <w:rsid w:val="3FAF58B0"/>
    <w:rsid w:val="3FB6105E"/>
    <w:rsid w:val="3FC574F3"/>
    <w:rsid w:val="3FD64ECA"/>
    <w:rsid w:val="3FDC2362"/>
    <w:rsid w:val="3FE23C01"/>
    <w:rsid w:val="3FF027C2"/>
    <w:rsid w:val="3FF322B2"/>
    <w:rsid w:val="3FF51B86"/>
    <w:rsid w:val="3FFA719D"/>
    <w:rsid w:val="3FFC1167"/>
    <w:rsid w:val="3FFD0A3B"/>
    <w:rsid w:val="3FFD4EDF"/>
    <w:rsid w:val="400017E2"/>
    <w:rsid w:val="40073668"/>
    <w:rsid w:val="40093884"/>
    <w:rsid w:val="401364B0"/>
    <w:rsid w:val="401A50C7"/>
    <w:rsid w:val="401B615A"/>
    <w:rsid w:val="401D10DD"/>
    <w:rsid w:val="40463747"/>
    <w:rsid w:val="405359D0"/>
    <w:rsid w:val="405A7C3B"/>
    <w:rsid w:val="40610FCA"/>
    <w:rsid w:val="40627F76"/>
    <w:rsid w:val="40632414"/>
    <w:rsid w:val="40776A3F"/>
    <w:rsid w:val="40866C82"/>
    <w:rsid w:val="4090365D"/>
    <w:rsid w:val="409F1AF2"/>
    <w:rsid w:val="40A435AC"/>
    <w:rsid w:val="40A610D2"/>
    <w:rsid w:val="40B173DB"/>
    <w:rsid w:val="40B21825"/>
    <w:rsid w:val="40B437EF"/>
    <w:rsid w:val="40BA692C"/>
    <w:rsid w:val="40C1415E"/>
    <w:rsid w:val="40C451A5"/>
    <w:rsid w:val="40C652D1"/>
    <w:rsid w:val="40CB31D8"/>
    <w:rsid w:val="40D0614F"/>
    <w:rsid w:val="40D23C76"/>
    <w:rsid w:val="40D8454D"/>
    <w:rsid w:val="4101455B"/>
    <w:rsid w:val="41055DF9"/>
    <w:rsid w:val="410858E9"/>
    <w:rsid w:val="4112189D"/>
    <w:rsid w:val="411918A4"/>
    <w:rsid w:val="412217E7"/>
    <w:rsid w:val="41281B57"/>
    <w:rsid w:val="412A3AB2"/>
    <w:rsid w:val="41344930"/>
    <w:rsid w:val="41371FF0"/>
    <w:rsid w:val="41412BA9"/>
    <w:rsid w:val="41432DC5"/>
    <w:rsid w:val="415648A7"/>
    <w:rsid w:val="41594397"/>
    <w:rsid w:val="415E375B"/>
    <w:rsid w:val="41636FC4"/>
    <w:rsid w:val="41664A08"/>
    <w:rsid w:val="41682B86"/>
    <w:rsid w:val="41766CF7"/>
    <w:rsid w:val="4177481D"/>
    <w:rsid w:val="417E5BAB"/>
    <w:rsid w:val="418E2292"/>
    <w:rsid w:val="41951205"/>
    <w:rsid w:val="41A27AEC"/>
    <w:rsid w:val="41B119D5"/>
    <w:rsid w:val="41B15F81"/>
    <w:rsid w:val="41B415CD"/>
    <w:rsid w:val="41B75F61"/>
    <w:rsid w:val="41CA2B9F"/>
    <w:rsid w:val="41D81760"/>
    <w:rsid w:val="42240501"/>
    <w:rsid w:val="422608BA"/>
    <w:rsid w:val="422C3859"/>
    <w:rsid w:val="42317A80"/>
    <w:rsid w:val="423821FE"/>
    <w:rsid w:val="424E557E"/>
    <w:rsid w:val="42530DE6"/>
    <w:rsid w:val="425531DB"/>
    <w:rsid w:val="425C50DC"/>
    <w:rsid w:val="42664A0F"/>
    <w:rsid w:val="426B6130"/>
    <w:rsid w:val="427D0F8D"/>
    <w:rsid w:val="427D5E63"/>
    <w:rsid w:val="42975177"/>
    <w:rsid w:val="429C278D"/>
    <w:rsid w:val="42AA7217"/>
    <w:rsid w:val="42B37AD7"/>
    <w:rsid w:val="42B51AA1"/>
    <w:rsid w:val="42B51AC8"/>
    <w:rsid w:val="42B705DC"/>
    <w:rsid w:val="42B71375"/>
    <w:rsid w:val="42B960EA"/>
    <w:rsid w:val="42BE0955"/>
    <w:rsid w:val="42C237CD"/>
    <w:rsid w:val="42C35F6C"/>
    <w:rsid w:val="42CD5952"/>
    <w:rsid w:val="42DF6358"/>
    <w:rsid w:val="42F44377"/>
    <w:rsid w:val="42FA74B4"/>
    <w:rsid w:val="43030A5E"/>
    <w:rsid w:val="430467FE"/>
    <w:rsid w:val="431542ED"/>
    <w:rsid w:val="43170066"/>
    <w:rsid w:val="43195B8C"/>
    <w:rsid w:val="432307B8"/>
    <w:rsid w:val="433129B9"/>
    <w:rsid w:val="43326233"/>
    <w:rsid w:val="4333000A"/>
    <w:rsid w:val="43370708"/>
    <w:rsid w:val="43452E25"/>
    <w:rsid w:val="434608ED"/>
    <w:rsid w:val="43476B9D"/>
    <w:rsid w:val="43482915"/>
    <w:rsid w:val="435B61A4"/>
    <w:rsid w:val="436332AB"/>
    <w:rsid w:val="436A4639"/>
    <w:rsid w:val="437E6337"/>
    <w:rsid w:val="438031A3"/>
    <w:rsid w:val="43923B90"/>
    <w:rsid w:val="4392593E"/>
    <w:rsid w:val="439711A6"/>
    <w:rsid w:val="43A538C3"/>
    <w:rsid w:val="43A86F10"/>
    <w:rsid w:val="43AD4526"/>
    <w:rsid w:val="43B27D8E"/>
    <w:rsid w:val="43B6444B"/>
    <w:rsid w:val="43C755E8"/>
    <w:rsid w:val="43D45F57"/>
    <w:rsid w:val="43D46490"/>
    <w:rsid w:val="43DD4E0B"/>
    <w:rsid w:val="43E943B6"/>
    <w:rsid w:val="43F14D5A"/>
    <w:rsid w:val="43F6411F"/>
    <w:rsid w:val="43FA1F6F"/>
    <w:rsid w:val="440604EA"/>
    <w:rsid w:val="440F6F8F"/>
    <w:rsid w:val="44185E43"/>
    <w:rsid w:val="441F2D6D"/>
    <w:rsid w:val="441F3676"/>
    <w:rsid w:val="44224F14"/>
    <w:rsid w:val="44237E5C"/>
    <w:rsid w:val="44250560"/>
    <w:rsid w:val="4427794C"/>
    <w:rsid w:val="443B20A2"/>
    <w:rsid w:val="44472BCC"/>
    <w:rsid w:val="44580936"/>
    <w:rsid w:val="445A6BE2"/>
    <w:rsid w:val="4465646E"/>
    <w:rsid w:val="446948F1"/>
    <w:rsid w:val="446B6021"/>
    <w:rsid w:val="447F5EC2"/>
    <w:rsid w:val="4487121B"/>
    <w:rsid w:val="448878D9"/>
    <w:rsid w:val="448E6105"/>
    <w:rsid w:val="4492209A"/>
    <w:rsid w:val="449B0822"/>
    <w:rsid w:val="449D4520"/>
    <w:rsid w:val="449E2B67"/>
    <w:rsid w:val="449F6565"/>
    <w:rsid w:val="44A26055"/>
    <w:rsid w:val="44A57770"/>
    <w:rsid w:val="44A678F3"/>
    <w:rsid w:val="44BD0016"/>
    <w:rsid w:val="44C02199"/>
    <w:rsid w:val="44C9538F"/>
    <w:rsid w:val="44E1092B"/>
    <w:rsid w:val="44E26451"/>
    <w:rsid w:val="44F20D8A"/>
    <w:rsid w:val="450665E4"/>
    <w:rsid w:val="451D6DA3"/>
    <w:rsid w:val="452E7E3E"/>
    <w:rsid w:val="454D4212"/>
    <w:rsid w:val="45603F46"/>
    <w:rsid w:val="456A0FF9"/>
    <w:rsid w:val="457432B0"/>
    <w:rsid w:val="45763769"/>
    <w:rsid w:val="457E617A"/>
    <w:rsid w:val="45806396"/>
    <w:rsid w:val="45837C34"/>
    <w:rsid w:val="459F6E66"/>
    <w:rsid w:val="45AB2CE7"/>
    <w:rsid w:val="45CA01C1"/>
    <w:rsid w:val="45CA6C2B"/>
    <w:rsid w:val="45CE23D5"/>
    <w:rsid w:val="45CF2E79"/>
    <w:rsid w:val="45D24718"/>
    <w:rsid w:val="45D65FB6"/>
    <w:rsid w:val="45DE130F"/>
    <w:rsid w:val="45F93496"/>
    <w:rsid w:val="45F95CD0"/>
    <w:rsid w:val="45FB0F99"/>
    <w:rsid w:val="46014FFD"/>
    <w:rsid w:val="460A5C60"/>
    <w:rsid w:val="460F70C6"/>
    <w:rsid w:val="4618006E"/>
    <w:rsid w:val="461C0922"/>
    <w:rsid w:val="462907DC"/>
    <w:rsid w:val="462A6302"/>
    <w:rsid w:val="462F3918"/>
    <w:rsid w:val="46345E5A"/>
    <w:rsid w:val="4642364B"/>
    <w:rsid w:val="46496788"/>
    <w:rsid w:val="464C6278"/>
    <w:rsid w:val="465A6F43"/>
    <w:rsid w:val="466411EF"/>
    <w:rsid w:val="466D658C"/>
    <w:rsid w:val="46761547"/>
    <w:rsid w:val="4678706D"/>
    <w:rsid w:val="46853538"/>
    <w:rsid w:val="46877DE6"/>
    <w:rsid w:val="4689127A"/>
    <w:rsid w:val="469870E4"/>
    <w:rsid w:val="469F39B5"/>
    <w:rsid w:val="46A21315"/>
    <w:rsid w:val="46A71700"/>
    <w:rsid w:val="46A75371"/>
    <w:rsid w:val="46A77952"/>
    <w:rsid w:val="46B1257F"/>
    <w:rsid w:val="46B1432D"/>
    <w:rsid w:val="46B67B95"/>
    <w:rsid w:val="46B8390E"/>
    <w:rsid w:val="46BA4C13"/>
    <w:rsid w:val="46BC1650"/>
    <w:rsid w:val="46C95052"/>
    <w:rsid w:val="46DF5F3C"/>
    <w:rsid w:val="46E6047B"/>
    <w:rsid w:val="46EE3897"/>
    <w:rsid w:val="46F44D71"/>
    <w:rsid w:val="46F661E4"/>
    <w:rsid w:val="46F7636C"/>
    <w:rsid w:val="4710374A"/>
    <w:rsid w:val="471641E4"/>
    <w:rsid w:val="47176886"/>
    <w:rsid w:val="471C20EE"/>
    <w:rsid w:val="47233C17"/>
    <w:rsid w:val="47242D51"/>
    <w:rsid w:val="473C62ED"/>
    <w:rsid w:val="473F7B8B"/>
    <w:rsid w:val="474433F3"/>
    <w:rsid w:val="47573126"/>
    <w:rsid w:val="476D1826"/>
    <w:rsid w:val="4774202F"/>
    <w:rsid w:val="477A6E15"/>
    <w:rsid w:val="47953C4F"/>
    <w:rsid w:val="47996A6C"/>
    <w:rsid w:val="479A3013"/>
    <w:rsid w:val="479D7445"/>
    <w:rsid w:val="479E6FA7"/>
    <w:rsid w:val="47C00CCC"/>
    <w:rsid w:val="47C14A44"/>
    <w:rsid w:val="47C65C99"/>
    <w:rsid w:val="47D44777"/>
    <w:rsid w:val="47F941DE"/>
    <w:rsid w:val="47FE35A2"/>
    <w:rsid w:val="480D1A37"/>
    <w:rsid w:val="480F1C53"/>
    <w:rsid w:val="481903DC"/>
    <w:rsid w:val="4828061F"/>
    <w:rsid w:val="484336AB"/>
    <w:rsid w:val="484356F1"/>
    <w:rsid w:val="484C6A03"/>
    <w:rsid w:val="48580F04"/>
    <w:rsid w:val="485B09F4"/>
    <w:rsid w:val="485D476D"/>
    <w:rsid w:val="485E5503"/>
    <w:rsid w:val="48645AFB"/>
    <w:rsid w:val="48653621"/>
    <w:rsid w:val="486A6E89"/>
    <w:rsid w:val="486E697A"/>
    <w:rsid w:val="48710218"/>
    <w:rsid w:val="4880045B"/>
    <w:rsid w:val="4881386E"/>
    <w:rsid w:val="48855A71"/>
    <w:rsid w:val="48897310"/>
    <w:rsid w:val="488E0DCA"/>
    <w:rsid w:val="488E2B78"/>
    <w:rsid w:val="48961A2D"/>
    <w:rsid w:val="48967C7F"/>
    <w:rsid w:val="48AC74A2"/>
    <w:rsid w:val="48B14AB8"/>
    <w:rsid w:val="48BA3C4D"/>
    <w:rsid w:val="48BD16AF"/>
    <w:rsid w:val="48C312DE"/>
    <w:rsid w:val="48D004FE"/>
    <w:rsid w:val="48F03833"/>
    <w:rsid w:val="4905487C"/>
    <w:rsid w:val="4906134C"/>
    <w:rsid w:val="490805DD"/>
    <w:rsid w:val="490948F4"/>
    <w:rsid w:val="491017DF"/>
    <w:rsid w:val="49115557"/>
    <w:rsid w:val="49185C54"/>
    <w:rsid w:val="491868E5"/>
    <w:rsid w:val="492434DC"/>
    <w:rsid w:val="49276B29"/>
    <w:rsid w:val="492B486B"/>
    <w:rsid w:val="49382AE4"/>
    <w:rsid w:val="493A4AAE"/>
    <w:rsid w:val="493A685C"/>
    <w:rsid w:val="493C4382"/>
    <w:rsid w:val="493E1103"/>
    <w:rsid w:val="4944592C"/>
    <w:rsid w:val="494E0559"/>
    <w:rsid w:val="494E1FC6"/>
    <w:rsid w:val="49507E2D"/>
    <w:rsid w:val="495F0D10"/>
    <w:rsid w:val="496164DE"/>
    <w:rsid w:val="49641B2B"/>
    <w:rsid w:val="49663AF5"/>
    <w:rsid w:val="49732E6C"/>
    <w:rsid w:val="49831FB1"/>
    <w:rsid w:val="498B355B"/>
    <w:rsid w:val="498C5DCF"/>
    <w:rsid w:val="498D72D3"/>
    <w:rsid w:val="499E1048"/>
    <w:rsid w:val="49AA293C"/>
    <w:rsid w:val="49AF0FF8"/>
    <w:rsid w:val="49B900C8"/>
    <w:rsid w:val="49BF4FB3"/>
    <w:rsid w:val="49C36851"/>
    <w:rsid w:val="49DC7913"/>
    <w:rsid w:val="49DE18DD"/>
    <w:rsid w:val="49E07403"/>
    <w:rsid w:val="49E36EF3"/>
    <w:rsid w:val="49E57208"/>
    <w:rsid w:val="49E8275C"/>
    <w:rsid w:val="49F66C27"/>
    <w:rsid w:val="4A050F2D"/>
    <w:rsid w:val="4A13239E"/>
    <w:rsid w:val="4A190B67"/>
    <w:rsid w:val="4A280DAA"/>
    <w:rsid w:val="4A3B0ADD"/>
    <w:rsid w:val="4A407EA2"/>
    <w:rsid w:val="4A541B9F"/>
    <w:rsid w:val="4A547DF1"/>
    <w:rsid w:val="4A606796"/>
    <w:rsid w:val="4A6C6EE9"/>
    <w:rsid w:val="4A6E2C61"/>
    <w:rsid w:val="4A6F0787"/>
    <w:rsid w:val="4A712751"/>
    <w:rsid w:val="4A743FEF"/>
    <w:rsid w:val="4A8A55C1"/>
    <w:rsid w:val="4A8C30E7"/>
    <w:rsid w:val="4A8D42F2"/>
    <w:rsid w:val="4AA06B93"/>
    <w:rsid w:val="4AA46683"/>
    <w:rsid w:val="4AA523FB"/>
    <w:rsid w:val="4AA77F21"/>
    <w:rsid w:val="4AAA1F60"/>
    <w:rsid w:val="4AB32D6A"/>
    <w:rsid w:val="4ABA7A16"/>
    <w:rsid w:val="4AC24D5B"/>
    <w:rsid w:val="4AC73CC9"/>
    <w:rsid w:val="4AC857E1"/>
    <w:rsid w:val="4AD36F68"/>
    <w:rsid w:val="4AD4683C"/>
    <w:rsid w:val="4ADD7DE7"/>
    <w:rsid w:val="4AE051E1"/>
    <w:rsid w:val="4AE20F59"/>
    <w:rsid w:val="4AF07F13"/>
    <w:rsid w:val="4AFA6E2E"/>
    <w:rsid w:val="4B0709C0"/>
    <w:rsid w:val="4B1B446B"/>
    <w:rsid w:val="4B1D6435"/>
    <w:rsid w:val="4B257098"/>
    <w:rsid w:val="4B265C65"/>
    <w:rsid w:val="4B315A3D"/>
    <w:rsid w:val="4B320132"/>
    <w:rsid w:val="4B3721E7"/>
    <w:rsid w:val="4B3F0159"/>
    <w:rsid w:val="4B425E9C"/>
    <w:rsid w:val="4B524331"/>
    <w:rsid w:val="4B550B8D"/>
    <w:rsid w:val="4B58121B"/>
    <w:rsid w:val="4B5F25AA"/>
    <w:rsid w:val="4B6825A0"/>
    <w:rsid w:val="4B6B0F4E"/>
    <w:rsid w:val="4B6F423B"/>
    <w:rsid w:val="4B76760B"/>
    <w:rsid w:val="4B85040C"/>
    <w:rsid w:val="4B8E10E1"/>
    <w:rsid w:val="4B9009B5"/>
    <w:rsid w:val="4B906C07"/>
    <w:rsid w:val="4B971D44"/>
    <w:rsid w:val="4B991F60"/>
    <w:rsid w:val="4B9A5369"/>
    <w:rsid w:val="4BA10E14"/>
    <w:rsid w:val="4BA615C0"/>
    <w:rsid w:val="4BB40B47"/>
    <w:rsid w:val="4BB46D99"/>
    <w:rsid w:val="4BB5041C"/>
    <w:rsid w:val="4BBC17AA"/>
    <w:rsid w:val="4BBE3774"/>
    <w:rsid w:val="4BC6087B"/>
    <w:rsid w:val="4BD108DE"/>
    <w:rsid w:val="4BD74836"/>
    <w:rsid w:val="4BD76498"/>
    <w:rsid w:val="4BE3142D"/>
    <w:rsid w:val="4C147838"/>
    <w:rsid w:val="4C207F8B"/>
    <w:rsid w:val="4C286E40"/>
    <w:rsid w:val="4C2E2A79"/>
    <w:rsid w:val="4C463387"/>
    <w:rsid w:val="4C465518"/>
    <w:rsid w:val="4C481290"/>
    <w:rsid w:val="4C4C1669"/>
    <w:rsid w:val="4C516396"/>
    <w:rsid w:val="4C533CF1"/>
    <w:rsid w:val="4C5E4326"/>
    <w:rsid w:val="4C651E42"/>
    <w:rsid w:val="4C6A7463"/>
    <w:rsid w:val="4C6D6F48"/>
    <w:rsid w:val="4C7327B1"/>
    <w:rsid w:val="4C7B1E44"/>
    <w:rsid w:val="4C7D1D93"/>
    <w:rsid w:val="4C910E89"/>
    <w:rsid w:val="4C9444D5"/>
    <w:rsid w:val="4CA623A9"/>
    <w:rsid w:val="4CAA5AA7"/>
    <w:rsid w:val="4CAE019B"/>
    <w:rsid w:val="4CBD57DA"/>
    <w:rsid w:val="4CC96874"/>
    <w:rsid w:val="4CE94821"/>
    <w:rsid w:val="4CFF4044"/>
    <w:rsid w:val="4D12406B"/>
    <w:rsid w:val="4D144003"/>
    <w:rsid w:val="4D1A70D0"/>
    <w:rsid w:val="4D302450"/>
    <w:rsid w:val="4D52686A"/>
    <w:rsid w:val="4D586E8E"/>
    <w:rsid w:val="4D5A571F"/>
    <w:rsid w:val="4D680D9C"/>
    <w:rsid w:val="4D6D36A4"/>
    <w:rsid w:val="4D717A70"/>
    <w:rsid w:val="4D722A68"/>
    <w:rsid w:val="4D782049"/>
    <w:rsid w:val="4D7D2BC3"/>
    <w:rsid w:val="4D8101BB"/>
    <w:rsid w:val="4D8602C2"/>
    <w:rsid w:val="4D877DFF"/>
    <w:rsid w:val="4D8E361A"/>
    <w:rsid w:val="4D970721"/>
    <w:rsid w:val="4D9C5D37"/>
    <w:rsid w:val="4DAB1AD6"/>
    <w:rsid w:val="4DAB7D28"/>
    <w:rsid w:val="4DAC4E52"/>
    <w:rsid w:val="4DB43081"/>
    <w:rsid w:val="4DB766CD"/>
    <w:rsid w:val="4DB82445"/>
    <w:rsid w:val="4DBD7A5B"/>
    <w:rsid w:val="4DC3077A"/>
    <w:rsid w:val="4DC82688"/>
    <w:rsid w:val="4DCB2178"/>
    <w:rsid w:val="4DCD4142"/>
    <w:rsid w:val="4DD20112"/>
    <w:rsid w:val="4DD95A7F"/>
    <w:rsid w:val="4DE374C2"/>
    <w:rsid w:val="4DE73584"/>
    <w:rsid w:val="4DF40DB4"/>
    <w:rsid w:val="4E092CA1"/>
    <w:rsid w:val="4E0A0EF3"/>
    <w:rsid w:val="4E0D453F"/>
    <w:rsid w:val="4E0F5FA9"/>
    <w:rsid w:val="4E141D71"/>
    <w:rsid w:val="4E17716C"/>
    <w:rsid w:val="4E1F4272"/>
    <w:rsid w:val="4E265601"/>
    <w:rsid w:val="4E585438"/>
    <w:rsid w:val="4E5C7274"/>
    <w:rsid w:val="4E636855"/>
    <w:rsid w:val="4E7520E4"/>
    <w:rsid w:val="4E854A1D"/>
    <w:rsid w:val="4E8642F1"/>
    <w:rsid w:val="4E870F87"/>
    <w:rsid w:val="4E881E17"/>
    <w:rsid w:val="4E93713A"/>
    <w:rsid w:val="4E984750"/>
    <w:rsid w:val="4EAA5D9A"/>
    <w:rsid w:val="4EB726FD"/>
    <w:rsid w:val="4ECB1146"/>
    <w:rsid w:val="4EE61CDA"/>
    <w:rsid w:val="4EF43EAC"/>
    <w:rsid w:val="4EF61477"/>
    <w:rsid w:val="4F053468"/>
    <w:rsid w:val="4F0771E0"/>
    <w:rsid w:val="4F162924"/>
    <w:rsid w:val="4F343D4D"/>
    <w:rsid w:val="4F42290E"/>
    <w:rsid w:val="4F5B752C"/>
    <w:rsid w:val="4F5F526E"/>
    <w:rsid w:val="4F6E725F"/>
    <w:rsid w:val="4F730D1A"/>
    <w:rsid w:val="4F732AC8"/>
    <w:rsid w:val="4F764366"/>
    <w:rsid w:val="4F766114"/>
    <w:rsid w:val="4F870321"/>
    <w:rsid w:val="4FA238B7"/>
    <w:rsid w:val="4FB7572D"/>
    <w:rsid w:val="4FBA6948"/>
    <w:rsid w:val="4FC13833"/>
    <w:rsid w:val="4FCB6BB1"/>
    <w:rsid w:val="4FCC3F86"/>
    <w:rsid w:val="4FD317B8"/>
    <w:rsid w:val="4FDC241B"/>
    <w:rsid w:val="500217B1"/>
    <w:rsid w:val="50057AD7"/>
    <w:rsid w:val="501778F7"/>
    <w:rsid w:val="501A714A"/>
    <w:rsid w:val="501F0666"/>
    <w:rsid w:val="50281B04"/>
    <w:rsid w:val="503264DF"/>
    <w:rsid w:val="503933D2"/>
    <w:rsid w:val="503B76E3"/>
    <w:rsid w:val="503D6720"/>
    <w:rsid w:val="5043249A"/>
    <w:rsid w:val="50461F8A"/>
    <w:rsid w:val="50525B59"/>
    <w:rsid w:val="50550A6A"/>
    <w:rsid w:val="505B3C87"/>
    <w:rsid w:val="505E5526"/>
    <w:rsid w:val="506202F9"/>
    <w:rsid w:val="506A211C"/>
    <w:rsid w:val="507C3BFE"/>
    <w:rsid w:val="508807F5"/>
    <w:rsid w:val="508D1967"/>
    <w:rsid w:val="509A1011"/>
    <w:rsid w:val="50AA42C7"/>
    <w:rsid w:val="50AB699E"/>
    <w:rsid w:val="50AF5D81"/>
    <w:rsid w:val="50B27620"/>
    <w:rsid w:val="50B45146"/>
    <w:rsid w:val="50C07F8E"/>
    <w:rsid w:val="50C17863"/>
    <w:rsid w:val="50C2505E"/>
    <w:rsid w:val="50C74C65"/>
    <w:rsid w:val="50C80BF1"/>
    <w:rsid w:val="50C87A2F"/>
    <w:rsid w:val="50CD4459"/>
    <w:rsid w:val="50D17AA6"/>
    <w:rsid w:val="50DD38DF"/>
    <w:rsid w:val="50E41866"/>
    <w:rsid w:val="50E81293"/>
    <w:rsid w:val="50F639B0"/>
    <w:rsid w:val="50F9524E"/>
    <w:rsid w:val="510065DD"/>
    <w:rsid w:val="510C4F82"/>
    <w:rsid w:val="511107EA"/>
    <w:rsid w:val="51167BAE"/>
    <w:rsid w:val="5117010C"/>
    <w:rsid w:val="511A34C3"/>
    <w:rsid w:val="511E4CB5"/>
    <w:rsid w:val="51257DF2"/>
    <w:rsid w:val="512B7460"/>
    <w:rsid w:val="513918A9"/>
    <w:rsid w:val="51394EA9"/>
    <w:rsid w:val="513B42E5"/>
    <w:rsid w:val="513D15DF"/>
    <w:rsid w:val="513D338D"/>
    <w:rsid w:val="51430405"/>
    <w:rsid w:val="5144471C"/>
    <w:rsid w:val="51470DB4"/>
    <w:rsid w:val="514F30C0"/>
    <w:rsid w:val="51527655"/>
    <w:rsid w:val="515661FD"/>
    <w:rsid w:val="51583D23"/>
    <w:rsid w:val="515F1555"/>
    <w:rsid w:val="51605D7F"/>
    <w:rsid w:val="517115F6"/>
    <w:rsid w:val="517448D5"/>
    <w:rsid w:val="517D1F4D"/>
    <w:rsid w:val="5196484B"/>
    <w:rsid w:val="51AF590D"/>
    <w:rsid w:val="51B00003"/>
    <w:rsid w:val="51B7313F"/>
    <w:rsid w:val="51BB4BE1"/>
    <w:rsid w:val="51DF61F2"/>
    <w:rsid w:val="51E60623"/>
    <w:rsid w:val="51E918CF"/>
    <w:rsid w:val="51EE5111"/>
    <w:rsid w:val="51F06651"/>
    <w:rsid w:val="51F15F26"/>
    <w:rsid w:val="51F906FA"/>
    <w:rsid w:val="52020133"/>
    <w:rsid w:val="52097713"/>
    <w:rsid w:val="520A1576"/>
    <w:rsid w:val="520D7203"/>
    <w:rsid w:val="52156287"/>
    <w:rsid w:val="521A6B44"/>
    <w:rsid w:val="521D6D1B"/>
    <w:rsid w:val="523E73BD"/>
    <w:rsid w:val="52410C5B"/>
    <w:rsid w:val="52481FEA"/>
    <w:rsid w:val="524D13AE"/>
    <w:rsid w:val="52501B4B"/>
    <w:rsid w:val="525070F0"/>
    <w:rsid w:val="5257047F"/>
    <w:rsid w:val="5264494A"/>
    <w:rsid w:val="52691F60"/>
    <w:rsid w:val="527641C6"/>
    <w:rsid w:val="527F7007"/>
    <w:rsid w:val="52846D9A"/>
    <w:rsid w:val="52862373"/>
    <w:rsid w:val="528C45CC"/>
    <w:rsid w:val="52A1456D"/>
    <w:rsid w:val="52A511EA"/>
    <w:rsid w:val="52A55766"/>
    <w:rsid w:val="52AA4A52"/>
    <w:rsid w:val="52B256B5"/>
    <w:rsid w:val="52B37355"/>
    <w:rsid w:val="52BC6534"/>
    <w:rsid w:val="52C04276"/>
    <w:rsid w:val="52C33F27"/>
    <w:rsid w:val="52DA6ADC"/>
    <w:rsid w:val="52DD4E28"/>
    <w:rsid w:val="52ED493F"/>
    <w:rsid w:val="52EF4B5B"/>
    <w:rsid w:val="52F076BA"/>
    <w:rsid w:val="52F438DC"/>
    <w:rsid w:val="52F45CCD"/>
    <w:rsid w:val="52F60A01"/>
    <w:rsid w:val="52F67C97"/>
    <w:rsid w:val="52F757BE"/>
    <w:rsid w:val="52F91536"/>
    <w:rsid w:val="52FF0923"/>
    <w:rsid w:val="53004672"/>
    <w:rsid w:val="532145E9"/>
    <w:rsid w:val="532C5467"/>
    <w:rsid w:val="533802B0"/>
    <w:rsid w:val="53446C55"/>
    <w:rsid w:val="5349426B"/>
    <w:rsid w:val="536F71A0"/>
    <w:rsid w:val="537203A8"/>
    <w:rsid w:val="53734A39"/>
    <w:rsid w:val="53786725"/>
    <w:rsid w:val="537D3F15"/>
    <w:rsid w:val="537D5CC3"/>
    <w:rsid w:val="537E1A3B"/>
    <w:rsid w:val="537F5EDF"/>
    <w:rsid w:val="539A6875"/>
    <w:rsid w:val="53A01DF8"/>
    <w:rsid w:val="53A31E42"/>
    <w:rsid w:val="53B10062"/>
    <w:rsid w:val="53CA4C80"/>
    <w:rsid w:val="53CC6A62"/>
    <w:rsid w:val="53D57427"/>
    <w:rsid w:val="53D65383"/>
    <w:rsid w:val="53E43F94"/>
    <w:rsid w:val="53EA2D1E"/>
    <w:rsid w:val="53EB5322"/>
    <w:rsid w:val="53EE7631"/>
    <w:rsid w:val="53F040ED"/>
    <w:rsid w:val="54070D6B"/>
    <w:rsid w:val="541D74A6"/>
    <w:rsid w:val="54241491"/>
    <w:rsid w:val="543932A7"/>
    <w:rsid w:val="543F566E"/>
    <w:rsid w:val="545918B7"/>
    <w:rsid w:val="54662BFB"/>
    <w:rsid w:val="5474356A"/>
    <w:rsid w:val="54A86D6F"/>
    <w:rsid w:val="54AA6F8B"/>
    <w:rsid w:val="54BF40B9"/>
    <w:rsid w:val="54C067AF"/>
    <w:rsid w:val="54C55B73"/>
    <w:rsid w:val="54C87412"/>
    <w:rsid w:val="54D97F29"/>
    <w:rsid w:val="54DF1092"/>
    <w:rsid w:val="54E51D72"/>
    <w:rsid w:val="54EC75A4"/>
    <w:rsid w:val="5515403A"/>
    <w:rsid w:val="551C775D"/>
    <w:rsid w:val="552120C3"/>
    <w:rsid w:val="552313BD"/>
    <w:rsid w:val="55287EB0"/>
    <w:rsid w:val="5539238A"/>
    <w:rsid w:val="553D1BAE"/>
    <w:rsid w:val="553D7E00"/>
    <w:rsid w:val="554271C4"/>
    <w:rsid w:val="554A6079"/>
    <w:rsid w:val="554C0043"/>
    <w:rsid w:val="55540CA5"/>
    <w:rsid w:val="555D0385"/>
    <w:rsid w:val="55676C2B"/>
    <w:rsid w:val="556829A3"/>
    <w:rsid w:val="556F1F83"/>
    <w:rsid w:val="556F3D31"/>
    <w:rsid w:val="55711857"/>
    <w:rsid w:val="558477DD"/>
    <w:rsid w:val="55871100"/>
    <w:rsid w:val="55906275"/>
    <w:rsid w:val="559612BE"/>
    <w:rsid w:val="55997DAA"/>
    <w:rsid w:val="55A20145"/>
    <w:rsid w:val="55A25EB5"/>
    <w:rsid w:val="55AF2380"/>
    <w:rsid w:val="55B94FAC"/>
    <w:rsid w:val="55BD4A9D"/>
    <w:rsid w:val="55C71477"/>
    <w:rsid w:val="55D32512"/>
    <w:rsid w:val="55E0078B"/>
    <w:rsid w:val="55E02539"/>
    <w:rsid w:val="55E71B19"/>
    <w:rsid w:val="55F34962"/>
    <w:rsid w:val="55F634AF"/>
    <w:rsid w:val="56040230"/>
    <w:rsid w:val="560410DC"/>
    <w:rsid w:val="560C190B"/>
    <w:rsid w:val="560E354A"/>
    <w:rsid w:val="56102E1E"/>
    <w:rsid w:val="56156687"/>
    <w:rsid w:val="56290384"/>
    <w:rsid w:val="562B40FC"/>
    <w:rsid w:val="562E3F5D"/>
    <w:rsid w:val="56343EDC"/>
    <w:rsid w:val="56344A2D"/>
    <w:rsid w:val="56372CD3"/>
    <w:rsid w:val="564B76E4"/>
    <w:rsid w:val="564E1B99"/>
    <w:rsid w:val="565847C5"/>
    <w:rsid w:val="5675562E"/>
    <w:rsid w:val="56757125"/>
    <w:rsid w:val="567A473C"/>
    <w:rsid w:val="567B1334"/>
    <w:rsid w:val="567C04B4"/>
    <w:rsid w:val="567E5A49"/>
    <w:rsid w:val="567F21C4"/>
    <w:rsid w:val="569956F7"/>
    <w:rsid w:val="569D0B8E"/>
    <w:rsid w:val="56A30136"/>
    <w:rsid w:val="56A812A9"/>
    <w:rsid w:val="56AC619E"/>
    <w:rsid w:val="56B55774"/>
    <w:rsid w:val="56BB2CCA"/>
    <w:rsid w:val="56BC4D54"/>
    <w:rsid w:val="56C37E91"/>
    <w:rsid w:val="56D24578"/>
    <w:rsid w:val="56D46542"/>
    <w:rsid w:val="56DC71A4"/>
    <w:rsid w:val="56E85B49"/>
    <w:rsid w:val="57091480"/>
    <w:rsid w:val="570A5ABF"/>
    <w:rsid w:val="57286603"/>
    <w:rsid w:val="572A43B4"/>
    <w:rsid w:val="572A4AD2"/>
    <w:rsid w:val="572E61C7"/>
    <w:rsid w:val="5730129E"/>
    <w:rsid w:val="57346FE0"/>
    <w:rsid w:val="57362D58"/>
    <w:rsid w:val="5737087F"/>
    <w:rsid w:val="573B211D"/>
    <w:rsid w:val="573C5E95"/>
    <w:rsid w:val="573E39BB"/>
    <w:rsid w:val="574216FD"/>
    <w:rsid w:val="57462870"/>
    <w:rsid w:val="574B2B26"/>
    <w:rsid w:val="574B42C1"/>
    <w:rsid w:val="574D00A2"/>
    <w:rsid w:val="574F5BC8"/>
    <w:rsid w:val="57554A63"/>
    <w:rsid w:val="575647A8"/>
    <w:rsid w:val="57580F21"/>
    <w:rsid w:val="575B1F24"/>
    <w:rsid w:val="575E4223"/>
    <w:rsid w:val="5765363E"/>
    <w:rsid w:val="57743881"/>
    <w:rsid w:val="577675F9"/>
    <w:rsid w:val="577E64AD"/>
    <w:rsid w:val="57825F9E"/>
    <w:rsid w:val="578320CF"/>
    <w:rsid w:val="5799298C"/>
    <w:rsid w:val="579E445A"/>
    <w:rsid w:val="57A21448"/>
    <w:rsid w:val="57B022EC"/>
    <w:rsid w:val="57B65C47"/>
    <w:rsid w:val="57B7551B"/>
    <w:rsid w:val="57C40364"/>
    <w:rsid w:val="57C7431A"/>
    <w:rsid w:val="57D46291"/>
    <w:rsid w:val="58070251"/>
    <w:rsid w:val="580764A3"/>
    <w:rsid w:val="580B5816"/>
    <w:rsid w:val="581035A9"/>
    <w:rsid w:val="581806B0"/>
    <w:rsid w:val="5819155B"/>
    <w:rsid w:val="58247055"/>
    <w:rsid w:val="58272FE8"/>
    <w:rsid w:val="584274DB"/>
    <w:rsid w:val="58535244"/>
    <w:rsid w:val="58555460"/>
    <w:rsid w:val="585A65D3"/>
    <w:rsid w:val="58690919"/>
    <w:rsid w:val="586B4D4E"/>
    <w:rsid w:val="588462A1"/>
    <w:rsid w:val="5889510A"/>
    <w:rsid w:val="589046EA"/>
    <w:rsid w:val="58975E80"/>
    <w:rsid w:val="58A40196"/>
    <w:rsid w:val="58A41775"/>
    <w:rsid w:val="58AE2DC2"/>
    <w:rsid w:val="58B24661"/>
    <w:rsid w:val="58BA05D5"/>
    <w:rsid w:val="58BA1CEE"/>
    <w:rsid w:val="58BC2D54"/>
    <w:rsid w:val="58C425E6"/>
    <w:rsid w:val="58C779E0"/>
    <w:rsid w:val="58CB5722"/>
    <w:rsid w:val="58CB74D0"/>
    <w:rsid w:val="58E97957"/>
    <w:rsid w:val="58F5279F"/>
    <w:rsid w:val="59063593"/>
    <w:rsid w:val="590B30A7"/>
    <w:rsid w:val="590F1AB3"/>
    <w:rsid w:val="59123351"/>
    <w:rsid w:val="59140E07"/>
    <w:rsid w:val="592310BA"/>
    <w:rsid w:val="592D1F39"/>
    <w:rsid w:val="59367B5C"/>
    <w:rsid w:val="59371F0E"/>
    <w:rsid w:val="59372DB8"/>
    <w:rsid w:val="593C3F2A"/>
    <w:rsid w:val="593E5EF4"/>
    <w:rsid w:val="594159E5"/>
    <w:rsid w:val="59432E3B"/>
    <w:rsid w:val="59457283"/>
    <w:rsid w:val="594700E3"/>
    <w:rsid w:val="594D2C89"/>
    <w:rsid w:val="595B6AA6"/>
    <w:rsid w:val="59611BE3"/>
    <w:rsid w:val="59786F11"/>
    <w:rsid w:val="597933D0"/>
    <w:rsid w:val="598532CC"/>
    <w:rsid w:val="598F04FE"/>
    <w:rsid w:val="599124C8"/>
    <w:rsid w:val="59914276"/>
    <w:rsid w:val="59943D66"/>
    <w:rsid w:val="59B60181"/>
    <w:rsid w:val="59BE5287"/>
    <w:rsid w:val="59C20621"/>
    <w:rsid w:val="59CE54CA"/>
    <w:rsid w:val="59D04621"/>
    <w:rsid w:val="59D9502B"/>
    <w:rsid w:val="59F15C6A"/>
    <w:rsid w:val="59FB7190"/>
    <w:rsid w:val="59FE4988"/>
    <w:rsid w:val="59FF38D6"/>
    <w:rsid w:val="5A032C9A"/>
    <w:rsid w:val="5A1153B7"/>
    <w:rsid w:val="5A290952"/>
    <w:rsid w:val="5A296BA4"/>
    <w:rsid w:val="5A2A74FE"/>
    <w:rsid w:val="5A3572F7"/>
    <w:rsid w:val="5A366BCB"/>
    <w:rsid w:val="5A44578C"/>
    <w:rsid w:val="5A4532B2"/>
    <w:rsid w:val="5A5A6D6C"/>
    <w:rsid w:val="5A61633E"/>
    <w:rsid w:val="5A700229"/>
    <w:rsid w:val="5A81078E"/>
    <w:rsid w:val="5A851901"/>
    <w:rsid w:val="5A90452E"/>
    <w:rsid w:val="5A92474A"/>
    <w:rsid w:val="5A987886"/>
    <w:rsid w:val="5A9A35FE"/>
    <w:rsid w:val="5A9F6E67"/>
    <w:rsid w:val="5AA21746"/>
    <w:rsid w:val="5AA24261"/>
    <w:rsid w:val="5AA61FA3"/>
    <w:rsid w:val="5AC47DE0"/>
    <w:rsid w:val="5AC876C0"/>
    <w:rsid w:val="5AEE74A6"/>
    <w:rsid w:val="5AFF7905"/>
    <w:rsid w:val="5B0745B6"/>
    <w:rsid w:val="5B3C46B5"/>
    <w:rsid w:val="5B4B69C2"/>
    <w:rsid w:val="5B6A1223"/>
    <w:rsid w:val="5B6B0AF7"/>
    <w:rsid w:val="5B6B6D49"/>
    <w:rsid w:val="5B6D3372"/>
    <w:rsid w:val="5B6D6D9D"/>
    <w:rsid w:val="5B7025B1"/>
    <w:rsid w:val="5B8F47E5"/>
    <w:rsid w:val="5B9067AF"/>
    <w:rsid w:val="5B9C6F02"/>
    <w:rsid w:val="5BAC35E9"/>
    <w:rsid w:val="5BAF30D9"/>
    <w:rsid w:val="5BB22BCA"/>
    <w:rsid w:val="5BC6762F"/>
    <w:rsid w:val="5BD92FA3"/>
    <w:rsid w:val="5BDE39BF"/>
    <w:rsid w:val="5BE82147"/>
    <w:rsid w:val="5BEF1728"/>
    <w:rsid w:val="5BF1724E"/>
    <w:rsid w:val="5BF8682E"/>
    <w:rsid w:val="5BFD2097"/>
    <w:rsid w:val="5C003935"/>
    <w:rsid w:val="5C046070"/>
    <w:rsid w:val="5C166CB5"/>
    <w:rsid w:val="5C1B75AB"/>
    <w:rsid w:val="5C2018E1"/>
    <w:rsid w:val="5C2238AB"/>
    <w:rsid w:val="5C25514A"/>
    <w:rsid w:val="5C3655A9"/>
    <w:rsid w:val="5C3F445D"/>
    <w:rsid w:val="5C433822"/>
    <w:rsid w:val="5C4518F7"/>
    <w:rsid w:val="5C62014C"/>
    <w:rsid w:val="5C693288"/>
    <w:rsid w:val="5C6A0DAE"/>
    <w:rsid w:val="5C6A7000"/>
    <w:rsid w:val="5C7A5495"/>
    <w:rsid w:val="5C9A5B38"/>
    <w:rsid w:val="5CAE778C"/>
    <w:rsid w:val="5CB564CD"/>
    <w:rsid w:val="5CBF559E"/>
    <w:rsid w:val="5CC826A5"/>
    <w:rsid w:val="5CCB5FE3"/>
    <w:rsid w:val="5CD01559"/>
    <w:rsid w:val="5CDC7EFE"/>
    <w:rsid w:val="5CE937AC"/>
    <w:rsid w:val="5CEC7C85"/>
    <w:rsid w:val="5CED210B"/>
    <w:rsid w:val="5CF52D6E"/>
    <w:rsid w:val="5D0D455B"/>
    <w:rsid w:val="5D1706B9"/>
    <w:rsid w:val="5D1A27D4"/>
    <w:rsid w:val="5D1F428F"/>
    <w:rsid w:val="5D2378DB"/>
    <w:rsid w:val="5D243653"/>
    <w:rsid w:val="5D276C9F"/>
    <w:rsid w:val="5D38378A"/>
    <w:rsid w:val="5D3A4C25"/>
    <w:rsid w:val="5D3A654F"/>
    <w:rsid w:val="5D416358"/>
    <w:rsid w:val="5D4F6922"/>
    <w:rsid w:val="5D511479"/>
    <w:rsid w:val="5D530D5F"/>
    <w:rsid w:val="5D635F29"/>
    <w:rsid w:val="5D683540"/>
    <w:rsid w:val="5D6B1282"/>
    <w:rsid w:val="5D79574D"/>
    <w:rsid w:val="5D9500AD"/>
    <w:rsid w:val="5D996B17"/>
    <w:rsid w:val="5DB449D7"/>
    <w:rsid w:val="5DB629AD"/>
    <w:rsid w:val="5DBC1ADE"/>
    <w:rsid w:val="5DE03A1E"/>
    <w:rsid w:val="5DE132F2"/>
    <w:rsid w:val="5DF9063C"/>
    <w:rsid w:val="5E086AD1"/>
    <w:rsid w:val="5E0F1C0D"/>
    <w:rsid w:val="5E174F66"/>
    <w:rsid w:val="5E1831B8"/>
    <w:rsid w:val="5E19630A"/>
    <w:rsid w:val="5E1D07CE"/>
    <w:rsid w:val="5E2778DC"/>
    <w:rsid w:val="5E331DA0"/>
    <w:rsid w:val="5E3B6EA6"/>
    <w:rsid w:val="5E40626B"/>
    <w:rsid w:val="5E420235"/>
    <w:rsid w:val="5E437B09"/>
    <w:rsid w:val="5E4818FC"/>
    <w:rsid w:val="5E4F17AA"/>
    <w:rsid w:val="5E554383"/>
    <w:rsid w:val="5E56783C"/>
    <w:rsid w:val="5E671A49"/>
    <w:rsid w:val="5E6737F7"/>
    <w:rsid w:val="5E706F7A"/>
    <w:rsid w:val="5E744166"/>
    <w:rsid w:val="5E783C56"/>
    <w:rsid w:val="5E8425FB"/>
    <w:rsid w:val="5E8C7702"/>
    <w:rsid w:val="5E9465B6"/>
    <w:rsid w:val="5E99597B"/>
    <w:rsid w:val="5E9F11E3"/>
    <w:rsid w:val="5EA44A4C"/>
    <w:rsid w:val="5EA66A16"/>
    <w:rsid w:val="5EAA7B88"/>
    <w:rsid w:val="5EB376AE"/>
    <w:rsid w:val="5EB86749"/>
    <w:rsid w:val="5EBD5B0D"/>
    <w:rsid w:val="5EBD78BB"/>
    <w:rsid w:val="5EC724E8"/>
    <w:rsid w:val="5EC944B2"/>
    <w:rsid w:val="5ECB022A"/>
    <w:rsid w:val="5ECB4256"/>
    <w:rsid w:val="5ED54C05"/>
    <w:rsid w:val="5ED66574"/>
    <w:rsid w:val="5EDE33B4"/>
    <w:rsid w:val="5EDF3CD6"/>
    <w:rsid w:val="5EF430D7"/>
    <w:rsid w:val="5F011E9E"/>
    <w:rsid w:val="5F1D26BF"/>
    <w:rsid w:val="5F27742B"/>
    <w:rsid w:val="5F294F51"/>
    <w:rsid w:val="5F2A6295"/>
    <w:rsid w:val="5F2B2A77"/>
    <w:rsid w:val="5F3062DF"/>
    <w:rsid w:val="5F3538F6"/>
    <w:rsid w:val="5F373947"/>
    <w:rsid w:val="5F385194"/>
    <w:rsid w:val="5F3C48E8"/>
    <w:rsid w:val="5F491D86"/>
    <w:rsid w:val="5F4E49B7"/>
    <w:rsid w:val="5F5B64D4"/>
    <w:rsid w:val="5F5C70D4"/>
    <w:rsid w:val="5F630463"/>
    <w:rsid w:val="5F667F53"/>
    <w:rsid w:val="5F684284"/>
    <w:rsid w:val="5F742670"/>
    <w:rsid w:val="5F7C32D2"/>
    <w:rsid w:val="5F802EF2"/>
    <w:rsid w:val="5F814D8D"/>
    <w:rsid w:val="5F8B79B9"/>
    <w:rsid w:val="5F954A54"/>
    <w:rsid w:val="5F9C5E2A"/>
    <w:rsid w:val="5F9E593F"/>
    <w:rsid w:val="5FA157CF"/>
    <w:rsid w:val="5FAE7C24"/>
    <w:rsid w:val="5FB46F10"/>
    <w:rsid w:val="5FBB641C"/>
    <w:rsid w:val="5FBC0EF7"/>
    <w:rsid w:val="5FD46245"/>
    <w:rsid w:val="5FD90924"/>
    <w:rsid w:val="5FDA624B"/>
    <w:rsid w:val="5FE5531C"/>
    <w:rsid w:val="5FE62E42"/>
    <w:rsid w:val="5FE64BF0"/>
    <w:rsid w:val="5FF4730D"/>
    <w:rsid w:val="600F2BC8"/>
    <w:rsid w:val="60145C01"/>
    <w:rsid w:val="6017749F"/>
    <w:rsid w:val="602D0A71"/>
    <w:rsid w:val="602D5222"/>
    <w:rsid w:val="602F5097"/>
    <w:rsid w:val="6031230F"/>
    <w:rsid w:val="603911C4"/>
    <w:rsid w:val="603C0CB4"/>
    <w:rsid w:val="6043023A"/>
    <w:rsid w:val="60584FCC"/>
    <w:rsid w:val="60600E46"/>
    <w:rsid w:val="606F2E37"/>
    <w:rsid w:val="607448F1"/>
    <w:rsid w:val="607B17DC"/>
    <w:rsid w:val="607D343D"/>
    <w:rsid w:val="60801A21"/>
    <w:rsid w:val="60805044"/>
    <w:rsid w:val="6082700E"/>
    <w:rsid w:val="608F34D9"/>
    <w:rsid w:val="60921271"/>
    <w:rsid w:val="60963565"/>
    <w:rsid w:val="60997E99"/>
    <w:rsid w:val="60A46F85"/>
    <w:rsid w:val="60AE3960"/>
    <w:rsid w:val="60B36FD8"/>
    <w:rsid w:val="60B60A66"/>
    <w:rsid w:val="60B92304"/>
    <w:rsid w:val="60BD0047"/>
    <w:rsid w:val="60C43183"/>
    <w:rsid w:val="60C80101"/>
    <w:rsid w:val="60C82547"/>
    <w:rsid w:val="60D158A0"/>
    <w:rsid w:val="60D1764E"/>
    <w:rsid w:val="60D3786A"/>
    <w:rsid w:val="60D86C2E"/>
    <w:rsid w:val="60F03F78"/>
    <w:rsid w:val="610B0DB2"/>
    <w:rsid w:val="610C0686"/>
    <w:rsid w:val="6118527D"/>
    <w:rsid w:val="61241E74"/>
    <w:rsid w:val="6126799A"/>
    <w:rsid w:val="61404326"/>
    <w:rsid w:val="61500EBB"/>
    <w:rsid w:val="61545938"/>
    <w:rsid w:val="615838CB"/>
    <w:rsid w:val="61587FA4"/>
    <w:rsid w:val="615A7643"/>
    <w:rsid w:val="615C160D"/>
    <w:rsid w:val="6166248C"/>
    <w:rsid w:val="61671D60"/>
    <w:rsid w:val="617526CF"/>
    <w:rsid w:val="618B0014"/>
    <w:rsid w:val="6192502F"/>
    <w:rsid w:val="6195300F"/>
    <w:rsid w:val="61954B1F"/>
    <w:rsid w:val="61A64DCC"/>
    <w:rsid w:val="61AD3C17"/>
    <w:rsid w:val="61C3168D"/>
    <w:rsid w:val="61D8229A"/>
    <w:rsid w:val="61D94A0C"/>
    <w:rsid w:val="61E84C4F"/>
    <w:rsid w:val="61F21701"/>
    <w:rsid w:val="61F71336"/>
    <w:rsid w:val="62053A53"/>
    <w:rsid w:val="620A1069"/>
    <w:rsid w:val="62111457"/>
    <w:rsid w:val="621F43E9"/>
    <w:rsid w:val="62233ED9"/>
    <w:rsid w:val="62312A9A"/>
    <w:rsid w:val="623205C0"/>
    <w:rsid w:val="624502F4"/>
    <w:rsid w:val="62461C8A"/>
    <w:rsid w:val="624831B4"/>
    <w:rsid w:val="624F2F20"/>
    <w:rsid w:val="625A7AC1"/>
    <w:rsid w:val="625D388F"/>
    <w:rsid w:val="625E13B5"/>
    <w:rsid w:val="62620EA5"/>
    <w:rsid w:val="62650996"/>
    <w:rsid w:val="626C104E"/>
    <w:rsid w:val="62746EB4"/>
    <w:rsid w:val="627B2136"/>
    <w:rsid w:val="627B5AC3"/>
    <w:rsid w:val="62830E1C"/>
    <w:rsid w:val="62864468"/>
    <w:rsid w:val="628974AE"/>
    <w:rsid w:val="628A245B"/>
    <w:rsid w:val="628C7CD0"/>
    <w:rsid w:val="62975F54"/>
    <w:rsid w:val="629E5C56"/>
    <w:rsid w:val="62A2083F"/>
    <w:rsid w:val="62AF39BF"/>
    <w:rsid w:val="62C84A81"/>
    <w:rsid w:val="62CA07F9"/>
    <w:rsid w:val="62CA72BB"/>
    <w:rsid w:val="62E23D94"/>
    <w:rsid w:val="62E278F0"/>
    <w:rsid w:val="62EC49D5"/>
    <w:rsid w:val="62EF7755"/>
    <w:rsid w:val="62F35FA1"/>
    <w:rsid w:val="62FB2C69"/>
    <w:rsid w:val="630737FB"/>
    <w:rsid w:val="630D4861"/>
    <w:rsid w:val="631B1054"/>
    <w:rsid w:val="631E738C"/>
    <w:rsid w:val="63416D0D"/>
    <w:rsid w:val="63473BF7"/>
    <w:rsid w:val="63506F50"/>
    <w:rsid w:val="635307EE"/>
    <w:rsid w:val="63584057"/>
    <w:rsid w:val="635F0779"/>
    <w:rsid w:val="63612F0B"/>
    <w:rsid w:val="636838B8"/>
    <w:rsid w:val="636C18B0"/>
    <w:rsid w:val="637569B7"/>
    <w:rsid w:val="637A5D7B"/>
    <w:rsid w:val="638210D3"/>
    <w:rsid w:val="63904DD3"/>
    <w:rsid w:val="63927568"/>
    <w:rsid w:val="639A466F"/>
    <w:rsid w:val="639D7CBB"/>
    <w:rsid w:val="63A7659D"/>
    <w:rsid w:val="63AE60CF"/>
    <w:rsid w:val="63BB5D3C"/>
    <w:rsid w:val="63C416EC"/>
    <w:rsid w:val="63CB65D6"/>
    <w:rsid w:val="63D15F09"/>
    <w:rsid w:val="63D97B78"/>
    <w:rsid w:val="63E755A7"/>
    <w:rsid w:val="63F0603D"/>
    <w:rsid w:val="6403333A"/>
    <w:rsid w:val="64055F8C"/>
    <w:rsid w:val="640779B7"/>
    <w:rsid w:val="640E06CC"/>
    <w:rsid w:val="64104931"/>
    <w:rsid w:val="64132724"/>
    <w:rsid w:val="64153CF6"/>
    <w:rsid w:val="6424218B"/>
    <w:rsid w:val="642B52C7"/>
    <w:rsid w:val="642F1B23"/>
    <w:rsid w:val="64340620"/>
    <w:rsid w:val="643979E4"/>
    <w:rsid w:val="643C1EFF"/>
    <w:rsid w:val="6445282D"/>
    <w:rsid w:val="64471BCD"/>
    <w:rsid w:val="64485E79"/>
    <w:rsid w:val="64520AA6"/>
    <w:rsid w:val="64581E80"/>
    <w:rsid w:val="64617B88"/>
    <w:rsid w:val="647462FA"/>
    <w:rsid w:val="647C6246"/>
    <w:rsid w:val="64833355"/>
    <w:rsid w:val="648844C8"/>
    <w:rsid w:val="64891CE8"/>
    <w:rsid w:val="64923598"/>
    <w:rsid w:val="64963088"/>
    <w:rsid w:val="64992B79"/>
    <w:rsid w:val="64A772DF"/>
    <w:rsid w:val="64B17048"/>
    <w:rsid w:val="64B452BD"/>
    <w:rsid w:val="64B90B25"/>
    <w:rsid w:val="64BD0615"/>
    <w:rsid w:val="64CF380D"/>
    <w:rsid w:val="64D77620"/>
    <w:rsid w:val="64DE67DD"/>
    <w:rsid w:val="64E02462"/>
    <w:rsid w:val="64EB2C49"/>
    <w:rsid w:val="64EC4A56"/>
    <w:rsid w:val="650049A6"/>
    <w:rsid w:val="65081EF0"/>
    <w:rsid w:val="651D2E62"/>
    <w:rsid w:val="65206DF6"/>
    <w:rsid w:val="65312DB1"/>
    <w:rsid w:val="653D1756"/>
    <w:rsid w:val="65744A4C"/>
    <w:rsid w:val="657607C4"/>
    <w:rsid w:val="65795DD0"/>
    <w:rsid w:val="65856C59"/>
    <w:rsid w:val="658779D5"/>
    <w:rsid w:val="658C6239"/>
    <w:rsid w:val="6598698C"/>
    <w:rsid w:val="659D0447"/>
    <w:rsid w:val="65A05841"/>
    <w:rsid w:val="65AC068A"/>
    <w:rsid w:val="65AC27EF"/>
    <w:rsid w:val="65AE4402"/>
    <w:rsid w:val="65B00F15"/>
    <w:rsid w:val="65BD63F3"/>
    <w:rsid w:val="65C14135"/>
    <w:rsid w:val="65C15EE3"/>
    <w:rsid w:val="65CC4888"/>
    <w:rsid w:val="65CE23AE"/>
    <w:rsid w:val="65CE6852"/>
    <w:rsid w:val="65E835B6"/>
    <w:rsid w:val="65F362B8"/>
    <w:rsid w:val="65F8072B"/>
    <w:rsid w:val="65F91B21"/>
    <w:rsid w:val="66011657"/>
    <w:rsid w:val="66061B48"/>
    <w:rsid w:val="660B3602"/>
    <w:rsid w:val="661F2C0A"/>
    <w:rsid w:val="66206BBF"/>
    <w:rsid w:val="66236B9E"/>
    <w:rsid w:val="66326DE1"/>
    <w:rsid w:val="663568D1"/>
    <w:rsid w:val="663D12E2"/>
    <w:rsid w:val="664408C2"/>
    <w:rsid w:val="66442670"/>
    <w:rsid w:val="66494022"/>
    <w:rsid w:val="6663343E"/>
    <w:rsid w:val="66644DDA"/>
    <w:rsid w:val="666E53C8"/>
    <w:rsid w:val="668B029F"/>
    <w:rsid w:val="66911D59"/>
    <w:rsid w:val="66993D4C"/>
    <w:rsid w:val="66BE2423"/>
    <w:rsid w:val="66C739CD"/>
    <w:rsid w:val="66C83C15"/>
    <w:rsid w:val="66E3632D"/>
    <w:rsid w:val="66E71979"/>
    <w:rsid w:val="66EF3666"/>
    <w:rsid w:val="66F2031E"/>
    <w:rsid w:val="66FC1B17"/>
    <w:rsid w:val="671169F6"/>
    <w:rsid w:val="67136C12"/>
    <w:rsid w:val="67191D4F"/>
    <w:rsid w:val="672A7AB8"/>
    <w:rsid w:val="67317098"/>
    <w:rsid w:val="67341A51"/>
    <w:rsid w:val="67430B7A"/>
    <w:rsid w:val="67446DCC"/>
    <w:rsid w:val="6753700F"/>
    <w:rsid w:val="675E7762"/>
    <w:rsid w:val="676C6322"/>
    <w:rsid w:val="676F73A1"/>
    <w:rsid w:val="678D475E"/>
    <w:rsid w:val="679715F1"/>
    <w:rsid w:val="67985414"/>
    <w:rsid w:val="67AA5408"/>
    <w:rsid w:val="67B101D9"/>
    <w:rsid w:val="67B33F51"/>
    <w:rsid w:val="67B84CAC"/>
    <w:rsid w:val="67BA0E3C"/>
    <w:rsid w:val="67BE27FF"/>
    <w:rsid w:val="67C577E1"/>
    <w:rsid w:val="67CA1969"/>
    <w:rsid w:val="67D143D7"/>
    <w:rsid w:val="67DD16E6"/>
    <w:rsid w:val="67E15701"/>
    <w:rsid w:val="67E20393"/>
    <w:rsid w:val="67E660D5"/>
    <w:rsid w:val="67EC2FBF"/>
    <w:rsid w:val="67F87BB6"/>
    <w:rsid w:val="67FF2CF3"/>
    <w:rsid w:val="68017214"/>
    <w:rsid w:val="68056E23"/>
    <w:rsid w:val="68104F00"/>
    <w:rsid w:val="68185C71"/>
    <w:rsid w:val="681C6E94"/>
    <w:rsid w:val="68250E71"/>
    <w:rsid w:val="68256598"/>
    <w:rsid w:val="683267A6"/>
    <w:rsid w:val="68386BA0"/>
    <w:rsid w:val="68633281"/>
    <w:rsid w:val="68681231"/>
    <w:rsid w:val="686A567B"/>
    <w:rsid w:val="686F7E78"/>
    <w:rsid w:val="687A4A6F"/>
    <w:rsid w:val="6885769C"/>
    <w:rsid w:val="688E4077"/>
    <w:rsid w:val="68962DD3"/>
    <w:rsid w:val="689C2C37"/>
    <w:rsid w:val="68A843A8"/>
    <w:rsid w:val="68B735CD"/>
    <w:rsid w:val="68BE670A"/>
    <w:rsid w:val="68CB760F"/>
    <w:rsid w:val="68CD1043"/>
    <w:rsid w:val="68D300DD"/>
    <w:rsid w:val="68D51CA5"/>
    <w:rsid w:val="68DB550E"/>
    <w:rsid w:val="68DC0F3F"/>
    <w:rsid w:val="68DC7ABE"/>
    <w:rsid w:val="68E64441"/>
    <w:rsid w:val="68EE6175"/>
    <w:rsid w:val="691D5B26"/>
    <w:rsid w:val="69286279"/>
    <w:rsid w:val="692D181F"/>
    <w:rsid w:val="6931512E"/>
    <w:rsid w:val="69362744"/>
    <w:rsid w:val="693C6DF1"/>
    <w:rsid w:val="693E784B"/>
    <w:rsid w:val="694E2184"/>
    <w:rsid w:val="695452C0"/>
    <w:rsid w:val="6958090C"/>
    <w:rsid w:val="69603C65"/>
    <w:rsid w:val="69725FD8"/>
    <w:rsid w:val="697414BE"/>
    <w:rsid w:val="697429A0"/>
    <w:rsid w:val="6985191D"/>
    <w:rsid w:val="698E07D2"/>
    <w:rsid w:val="69935DE8"/>
    <w:rsid w:val="69A022B3"/>
    <w:rsid w:val="69A04061"/>
    <w:rsid w:val="69A17ABB"/>
    <w:rsid w:val="69B06AE7"/>
    <w:rsid w:val="69B53FB1"/>
    <w:rsid w:val="69B924AD"/>
    <w:rsid w:val="69B95123"/>
    <w:rsid w:val="69BD2E65"/>
    <w:rsid w:val="69BF6BDD"/>
    <w:rsid w:val="69CA7330"/>
    <w:rsid w:val="69CC7C89"/>
    <w:rsid w:val="69D45077"/>
    <w:rsid w:val="69E421A0"/>
    <w:rsid w:val="69EE4934"/>
    <w:rsid w:val="69F06D97"/>
    <w:rsid w:val="6A136F29"/>
    <w:rsid w:val="6A274783"/>
    <w:rsid w:val="6A276531"/>
    <w:rsid w:val="6A303637"/>
    <w:rsid w:val="6A325601"/>
    <w:rsid w:val="6A334ED5"/>
    <w:rsid w:val="6A38073E"/>
    <w:rsid w:val="6A470981"/>
    <w:rsid w:val="6A484E25"/>
    <w:rsid w:val="6A4E61B3"/>
    <w:rsid w:val="6A5C442C"/>
    <w:rsid w:val="6A6257BB"/>
    <w:rsid w:val="6A6A6840"/>
    <w:rsid w:val="6A6B28C1"/>
    <w:rsid w:val="6A8B4D12"/>
    <w:rsid w:val="6A8B6AC0"/>
    <w:rsid w:val="6AA162E3"/>
    <w:rsid w:val="6AAD2EDA"/>
    <w:rsid w:val="6AAD4C88"/>
    <w:rsid w:val="6AB75B07"/>
    <w:rsid w:val="6AC02C0D"/>
    <w:rsid w:val="6ACA30F0"/>
    <w:rsid w:val="6ADC556D"/>
    <w:rsid w:val="6ADF6E0B"/>
    <w:rsid w:val="6AE65E18"/>
    <w:rsid w:val="6AED1528"/>
    <w:rsid w:val="6AFA0974"/>
    <w:rsid w:val="6AFC79BD"/>
    <w:rsid w:val="6B06468C"/>
    <w:rsid w:val="6B0B7C00"/>
    <w:rsid w:val="6B0C0912"/>
    <w:rsid w:val="6B120F8F"/>
    <w:rsid w:val="6B1A75AC"/>
    <w:rsid w:val="6B1E16E2"/>
    <w:rsid w:val="6B217424"/>
    <w:rsid w:val="6B250CC2"/>
    <w:rsid w:val="6B3727A3"/>
    <w:rsid w:val="6B427D02"/>
    <w:rsid w:val="6B453112"/>
    <w:rsid w:val="6B45575D"/>
    <w:rsid w:val="6B513865"/>
    <w:rsid w:val="6B52582F"/>
    <w:rsid w:val="6B5940FA"/>
    <w:rsid w:val="6B6A4927"/>
    <w:rsid w:val="6B6F63E1"/>
    <w:rsid w:val="6B9320D0"/>
    <w:rsid w:val="6B9419A4"/>
    <w:rsid w:val="6B9A16B0"/>
    <w:rsid w:val="6BB40EE3"/>
    <w:rsid w:val="6BBA2EB1"/>
    <w:rsid w:val="6BD36970"/>
    <w:rsid w:val="6BDF5315"/>
    <w:rsid w:val="6BE305E0"/>
    <w:rsid w:val="6BE71775"/>
    <w:rsid w:val="6C133015"/>
    <w:rsid w:val="6C1455FD"/>
    <w:rsid w:val="6C264CF2"/>
    <w:rsid w:val="6C2E3BA6"/>
    <w:rsid w:val="6C2F4371"/>
    <w:rsid w:val="6C3311BD"/>
    <w:rsid w:val="6C423AF6"/>
    <w:rsid w:val="6C5340D0"/>
    <w:rsid w:val="6C5C05C5"/>
    <w:rsid w:val="6C5E0930"/>
    <w:rsid w:val="6C61136B"/>
    <w:rsid w:val="6C64581A"/>
    <w:rsid w:val="6C787517"/>
    <w:rsid w:val="6C7D068A"/>
    <w:rsid w:val="6C803E37"/>
    <w:rsid w:val="6C841A18"/>
    <w:rsid w:val="6C967816"/>
    <w:rsid w:val="6C9A748E"/>
    <w:rsid w:val="6C9C3206"/>
    <w:rsid w:val="6CAE6A95"/>
    <w:rsid w:val="6CB71DEE"/>
    <w:rsid w:val="6CBC5656"/>
    <w:rsid w:val="6CBF6EF4"/>
    <w:rsid w:val="6CCB7647"/>
    <w:rsid w:val="6CCD4886"/>
    <w:rsid w:val="6CCE0EE6"/>
    <w:rsid w:val="6CD02EB0"/>
    <w:rsid w:val="6CD24E7A"/>
    <w:rsid w:val="6CD75FEC"/>
    <w:rsid w:val="6CE93F71"/>
    <w:rsid w:val="6CEE3336"/>
    <w:rsid w:val="6CF44DF0"/>
    <w:rsid w:val="6CF7043C"/>
    <w:rsid w:val="6CF748E0"/>
    <w:rsid w:val="6CFA617E"/>
    <w:rsid w:val="6CFA7F2C"/>
    <w:rsid w:val="6CFB1519"/>
    <w:rsid w:val="6CFD43DC"/>
    <w:rsid w:val="6D082649"/>
    <w:rsid w:val="6D0C09FD"/>
    <w:rsid w:val="6D125276"/>
    <w:rsid w:val="6D194857"/>
    <w:rsid w:val="6D203E37"/>
    <w:rsid w:val="6D260D22"/>
    <w:rsid w:val="6D284E17"/>
    <w:rsid w:val="6D2F7BD6"/>
    <w:rsid w:val="6D415D84"/>
    <w:rsid w:val="6D6438EC"/>
    <w:rsid w:val="6D65184A"/>
    <w:rsid w:val="6D7E0B5E"/>
    <w:rsid w:val="6D9C0FE4"/>
    <w:rsid w:val="6DB4632D"/>
    <w:rsid w:val="6DC36570"/>
    <w:rsid w:val="6DCD230D"/>
    <w:rsid w:val="6DDC5F6A"/>
    <w:rsid w:val="6DE05374"/>
    <w:rsid w:val="6DE41D8A"/>
    <w:rsid w:val="6DEC1F6B"/>
    <w:rsid w:val="6DF8446C"/>
    <w:rsid w:val="6DFA18E3"/>
    <w:rsid w:val="6DFD7CD4"/>
    <w:rsid w:val="6E001573"/>
    <w:rsid w:val="6E0E5A3E"/>
    <w:rsid w:val="6E14501E"/>
    <w:rsid w:val="6E276AFF"/>
    <w:rsid w:val="6E292877"/>
    <w:rsid w:val="6E2C4A1F"/>
    <w:rsid w:val="6E3B37C2"/>
    <w:rsid w:val="6E4108DD"/>
    <w:rsid w:val="6E46167B"/>
    <w:rsid w:val="6E4E22DE"/>
    <w:rsid w:val="6E511DCE"/>
    <w:rsid w:val="6E5450E3"/>
    <w:rsid w:val="6E6C4E5A"/>
    <w:rsid w:val="6E70494A"/>
    <w:rsid w:val="6E751F61"/>
    <w:rsid w:val="6E7E55F8"/>
    <w:rsid w:val="6E833036"/>
    <w:rsid w:val="6E900B48"/>
    <w:rsid w:val="6E930639"/>
    <w:rsid w:val="6EAE5472"/>
    <w:rsid w:val="6EB04D47"/>
    <w:rsid w:val="6EB56801"/>
    <w:rsid w:val="6EB81FB3"/>
    <w:rsid w:val="6EBB6440"/>
    <w:rsid w:val="6EBE187F"/>
    <w:rsid w:val="6EBF3031"/>
    <w:rsid w:val="6EC62972"/>
    <w:rsid w:val="6EC6456A"/>
    <w:rsid w:val="6ECB0990"/>
    <w:rsid w:val="6ED24CBD"/>
    <w:rsid w:val="6EDA6267"/>
    <w:rsid w:val="6EDE7B06"/>
    <w:rsid w:val="6EDF5173"/>
    <w:rsid w:val="6F0B1A87"/>
    <w:rsid w:val="6F0D3F47"/>
    <w:rsid w:val="6F1C6EED"/>
    <w:rsid w:val="6F20011E"/>
    <w:rsid w:val="6F235519"/>
    <w:rsid w:val="6F2D6397"/>
    <w:rsid w:val="6F410C2C"/>
    <w:rsid w:val="6F4F630E"/>
    <w:rsid w:val="6F750C91"/>
    <w:rsid w:val="6F7A7103"/>
    <w:rsid w:val="6F7E6BF3"/>
    <w:rsid w:val="6F822B79"/>
    <w:rsid w:val="6F8C7562"/>
    <w:rsid w:val="6F993A2D"/>
    <w:rsid w:val="6F9E7295"/>
    <w:rsid w:val="6FA04DBB"/>
    <w:rsid w:val="6FA51F4B"/>
    <w:rsid w:val="6FAF14A2"/>
    <w:rsid w:val="6FAF3250"/>
    <w:rsid w:val="6FC0720B"/>
    <w:rsid w:val="6FC565D0"/>
    <w:rsid w:val="6FC84312"/>
    <w:rsid w:val="6FC97E45"/>
    <w:rsid w:val="6FCC795E"/>
    <w:rsid w:val="6FDD3FF2"/>
    <w:rsid w:val="6FE253D4"/>
    <w:rsid w:val="6FE61522"/>
    <w:rsid w:val="6FF13869"/>
    <w:rsid w:val="6FFB0243"/>
    <w:rsid w:val="6FFE3BFC"/>
    <w:rsid w:val="70096E04"/>
    <w:rsid w:val="700A66D9"/>
    <w:rsid w:val="70115CB9"/>
    <w:rsid w:val="7015237E"/>
    <w:rsid w:val="70182BA3"/>
    <w:rsid w:val="70187ECA"/>
    <w:rsid w:val="70340BDB"/>
    <w:rsid w:val="704530DB"/>
    <w:rsid w:val="704F233D"/>
    <w:rsid w:val="70531183"/>
    <w:rsid w:val="70691651"/>
    <w:rsid w:val="707029DF"/>
    <w:rsid w:val="707324D0"/>
    <w:rsid w:val="70763D6E"/>
    <w:rsid w:val="70812E3F"/>
    <w:rsid w:val="7084648B"/>
    <w:rsid w:val="70862203"/>
    <w:rsid w:val="70912956"/>
    <w:rsid w:val="70A66401"/>
    <w:rsid w:val="70A73F27"/>
    <w:rsid w:val="70A95EF1"/>
    <w:rsid w:val="70A97C9F"/>
    <w:rsid w:val="70AB6673"/>
    <w:rsid w:val="70BC3E77"/>
    <w:rsid w:val="70BD199D"/>
    <w:rsid w:val="70C1323B"/>
    <w:rsid w:val="70C6482B"/>
    <w:rsid w:val="70CC1BE0"/>
    <w:rsid w:val="70DA60AB"/>
    <w:rsid w:val="70E76A1A"/>
    <w:rsid w:val="70F27898"/>
    <w:rsid w:val="71057DD6"/>
    <w:rsid w:val="71111DB7"/>
    <w:rsid w:val="711772FF"/>
    <w:rsid w:val="711E68DF"/>
    <w:rsid w:val="71237A52"/>
    <w:rsid w:val="712437CA"/>
    <w:rsid w:val="7130216F"/>
    <w:rsid w:val="713C0B14"/>
    <w:rsid w:val="713D5B3B"/>
    <w:rsid w:val="713F1162"/>
    <w:rsid w:val="714B51FB"/>
    <w:rsid w:val="715C2F64"/>
    <w:rsid w:val="7164006A"/>
    <w:rsid w:val="71915F81"/>
    <w:rsid w:val="71A4098E"/>
    <w:rsid w:val="71A65ADA"/>
    <w:rsid w:val="71B92164"/>
    <w:rsid w:val="71C8684B"/>
    <w:rsid w:val="71D364D0"/>
    <w:rsid w:val="71DB20DB"/>
    <w:rsid w:val="71E52F59"/>
    <w:rsid w:val="71E847F7"/>
    <w:rsid w:val="71E93343"/>
    <w:rsid w:val="720C7814"/>
    <w:rsid w:val="72141171"/>
    <w:rsid w:val="721D0945"/>
    <w:rsid w:val="72347A3D"/>
    <w:rsid w:val="72365EE2"/>
    <w:rsid w:val="72367C59"/>
    <w:rsid w:val="723932A5"/>
    <w:rsid w:val="7241427B"/>
    <w:rsid w:val="7258197D"/>
    <w:rsid w:val="725D6F93"/>
    <w:rsid w:val="72693B8A"/>
    <w:rsid w:val="726E2F4F"/>
    <w:rsid w:val="728564EA"/>
    <w:rsid w:val="72A42E14"/>
    <w:rsid w:val="72B648F6"/>
    <w:rsid w:val="72B666A4"/>
    <w:rsid w:val="72B8066E"/>
    <w:rsid w:val="72B83105"/>
    <w:rsid w:val="72C87E66"/>
    <w:rsid w:val="72DB6106"/>
    <w:rsid w:val="72E329BE"/>
    <w:rsid w:val="72F01BB6"/>
    <w:rsid w:val="72F13B80"/>
    <w:rsid w:val="72F656D0"/>
    <w:rsid w:val="72FA6ED8"/>
    <w:rsid w:val="73010267"/>
    <w:rsid w:val="73012015"/>
    <w:rsid w:val="730E64E0"/>
    <w:rsid w:val="73223648"/>
    <w:rsid w:val="732E0930"/>
    <w:rsid w:val="73462609"/>
    <w:rsid w:val="735071F1"/>
    <w:rsid w:val="73611341"/>
    <w:rsid w:val="73645996"/>
    <w:rsid w:val="73697BBA"/>
    <w:rsid w:val="73702CF6"/>
    <w:rsid w:val="7370719A"/>
    <w:rsid w:val="73880040"/>
    <w:rsid w:val="73A330CC"/>
    <w:rsid w:val="73A56E44"/>
    <w:rsid w:val="73AD5CF9"/>
    <w:rsid w:val="73B10055"/>
    <w:rsid w:val="73B7301D"/>
    <w:rsid w:val="73BE3A62"/>
    <w:rsid w:val="73C80D84"/>
    <w:rsid w:val="73D63B68"/>
    <w:rsid w:val="73DB0915"/>
    <w:rsid w:val="73DC213A"/>
    <w:rsid w:val="73F778AD"/>
    <w:rsid w:val="74054476"/>
    <w:rsid w:val="740C0C71"/>
    <w:rsid w:val="74116287"/>
    <w:rsid w:val="74192817"/>
    <w:rsid w:val="74212243"/>
    <w:rsid w:val="74220495"/>
    <w:rsid w:val="74236918"/>
    <w:rsid w:val="74255F0E"/>
    <w:rsid w:val="742A559B"/>
    <w:rsid w:val="742D0BE7"/>
    <w:rsid w:val="74341F76"/>
    <w:rsid w:val="744A79EB"/>
    <w:rsid w:val="7467234B"/>
    <w:rsid w:val="74687E72"/>
    <w:rsid w:val="74782323"/>
    <w:rsid w:val="74836A59"/>
    <w:rsid w:val="74890514"/>
    <w:rsid w:val="748A0219"/>
    <w:rsid w:val="74980757"/>
    <w:rsid w:val="749B6A70"/>
    <w:rsid w:val="749D5D6D"/>
    <w:rsid w:val="74B03CF2"/>
    <w:rsid w:val="74B8445B"/>
    <w:rsid w:val="74BD579D"/>
    <w:rsid w:val="74F17B02"/>
    <w:rsid w:val="750202C6"/>
    <w:rsid w:val="75137DDD"/>
    <w:rsid w:val="75151DA7"/>
    <w:rsid w:val="75160541"/>
    <w:rsid w:val="751D2A0A"/>
    <w:rsid w:val="751D6EAE"/>
    <w:rsid w:val="752E7932"/>
    <w:rsid w:val="7533222E"/>
    <w:rsid w:val="7533332E"/>
    <w:rsid w:val="754E63FC"/>
    <w:rsid w:val="75510906"/>
    <w:rsid w:val="755539A3"/>
    <w:rsid w:val="75622B13"/>
    <w:rsid w:val="75662603"/>
    <w:rsid w:val="757A2D37"/>
    <w:rsid w:val="757A4300"/>
    <w:rsid w:val="757A7E5C"/>
    <w:rsid w:val="757C3BD5"/>
    <w:rsid w:val="757C5983"/>
    <w:rsid w:val="75806E62"/>
    <w:rsid w:val="758A2363"/>
    <w:rsid w:val="75976C60"/>
    <w:rsid w:val="759A405B"/>
    <w:rsid w:val="75A373B3"/>
    <w:rsid w:val="75A44ED9"/>
    <w:rsid w:val="75B275F6"/>
    <w:rsid w:val="75B74C0D"/>
    <w:rsid w:val="75BD0655"/>
    <w:rsid w:val="75C15A8B"/>
    <w:rsid w:val="75C612F4"/>
    <w:rsid w:val="75CE0CC0"/>
    <w:rsid w:val="75CF5B2D"/>
    <w:rsid w:val="75D51537"/>
    <w:rsid w:val="75D532E5"/>
    <w:rsid w:val="75DC28C5"/>
    <w:rsid w:val="75E5766A"/>
    <w:rsid w:val="75EA262F"/>
    <w:rsid w:val="75EB2B08"/>
    <w:rsid w:val="75FE0A8D"/>
    <w:rsid w:val="760342F6"/>
    <w:rsid w:val="760836BA"/>
    <w:rsid w:val="760C31AA"/>
    <w:rsid w:val="7610431D"/>
    <w:rsid w:val="76124539"/>
    <w:rsid w:val="762027B2"/>
    <w:rsid w:val="762D3121"/>
    <w:rsid w:val="762E7FD6"/>
    <w:rsid w:val="762F6ABE"/>
    <w:rsid w:val="763E6BB7"/>
    <w:rsid w:val="76424E1E"/>
    <w:rsid w:val="764D37C3"/>
    <w:rsid w:val="766A0225"/>
    <w:rsid w:val="76830F93"/>
    <w:rsid w:val="76852C06"/>
    <w:rsid w:val="768C7E47"/>
    <w:rsid w:val="7694403F"/>
    <w:rsid w:val="76946CFC"/>
    <w:rsid w:val="76A038F3"/>
    <w:rsid w:val="76B4114C"/>
    <w:rsid w:val="76C84BF7"/>
    <w:rsid w:val="76D35A76"/>
    <w:rsid w:val="76D96E05"/>
    <w:rsid w:val="76E063E5"/>
    <w:rsid w:val="76F51E90"/>
    <w:rsid w:val="76FD0D45"/>
    <w:rsid w:val="76FF5285"/>
    <w:rsid w:val="770A5210"/>
    <w:rsid w:val="770B772C"/>
    <w:rsid w:val="770C0F88"/>
    <w:rsid w:val="771147F0"/>
    <w:rsid w:val="77170059"/>
    <w:rsid w:val="77185B7F"/>
    <w:rsid w:val="771D4F43"/>
    <w:rsid w:val="77242776"/>
    <w:rsid w:val="7725204A"/>
    <w:rsid w:val="77291B3A"/>
    <w:rsid w:val="775070C7"/>
    <w:rsid w:val="77521091"/>
    <w:rsid w:val="77536BB7"/>
    <w:rsid w:val="775841CD"/>
    <w:rsid w:val="775A7F45"/>
    <w:rsid w:val="775D4BA5"/>
    <w:rsid w:val="77731007"/>
    <w:rsid w:val="77770ECB"/>
    <w:rsid w:val="777C7EBC"/>
    <w:rsid w:val="778D152D"/>
    <w:rsid w:val="779276DF"/>
    <w:rsid w:val="77974CF6"/>
    <w:rsid w:val="7798281C"/>
    <w:rsid w:val="779C67B0"/>
    <w:rsid w:val="77A00AAC"/>
    <w:rsid w:val="77AB3955"/>
    <w:rsid w:val="77B27D81"/>
    <w:rsid w:val="77BD2282"/>
    <w:rsid w:val="77C875A5"/>
    <w:rsid w:val="77C96E79"/>
    <w:rsid w:val="77CF5A20"/>
    <w:rsid w:val="77D17365"/>
    <w:rsid w:val="77D73344"/>
    <w:rsid w:val="77E15A9D"/>
    <w:rsid w:val="77E51F05"/>
    <w:rsid w:val="77FD4D9B"/>
    <w:rsid w:val="780E2ADE"/>
    <w:rsid w:val="781225CE"/>
    <w:rsid w:val="781C51FB"/>
    <w:rsid w:val="78290E94"/>
    <w:rsid w:val="782D7408"/>
    <w:rsid w:val="7830143D"/>
    <w:rsid w:val="78306EF8"/>
    <w:rsid w:val="78505A11"/>
    <w:rsid w:val="785D0042"/>
    <w:rsid w:val="78656BA2"/>
    <w:rsid w:val="787747FB"/>
    <w:rsid w:val="787943FB"/>
    <w:rsid w:val="787B4617"/>
    <w:rsid w:val="787D3280"/>
    <w:rsid w:val="78827754"/>
    <w:rsid w:val="788334CC"/>
    <w:rsid w:val="7888047B"/>
    <w:rsid w:val="789254BD"/>
    <w:rsid w:val="78931961"/>
    <w:rsid w:val="78972AD3"/>
    <w:rsid w:val="78A45516"/>
    <w:rsid w:val="78A8760B"/>
    <w:rsid w:val="78B33DB1"/>
    <w:rsid w:val="78B74F24"/>
    <w:rsid w:val="78BC6E57"/>
    <w:rsid w:val="78BD7CB2"/>
    <w:rsid w:val="78BE095C"/>
    <w:rsid w:val="78BF256F"/>
    <w:rsid w:val="78C22246"/>
    <w:rsid w:val="78C25DA2"/>
    <w:rsid w:val="78CF226D"/>
    <w:rsid w:val="78DE6954"/>
    <w:rsid w:val="78E51A91"/>
    <w:rsid w:val="78EA52F9"/>
    <w:rsid w:val="78EC1071"/>
    <w:rsid w:val="78EF5FC2"/>
    <w:rsid w:val="78F63C9E"/>
    <w:rsid w:val="78FC66BA"/>
    <w:rsid w:val="790F13C6"/>
    <w:rsid w:val="79170DF5"/>
    <w:rsid w:val="79183C14"/>
    <w:rsid w:val="792C5912"/>
    <w:rsid w:val="792C76C0"/>
    <w:rsid w:val="793622EC"/>
    <w:rsid w:val="793842B6"/>
    <w:rsid w:val="793F36C5"/>
    <w:rsid w:val="79490272"/>
    <w:rsid w:val="794B3FEA"/>
    <w:rsid w:val="794D438B"/>
    <w:rsid w:val="795A247F"/>
    <w:rsid w:val="79711576"/>
    <w:rsid w:val="7976537A"/>
    <w:rsid w:val="797A667D"/>
    <w:rsid w:val="797F3C93"/>
    <w:rsid w:val="798219D5"/>
    <w:rsid w:val="798412AA"/>
    <w:rsid w:val="798B2638"/>
    <w:rsid w:val="798C63B0"/>
    <w:rsid w:val="79921895"/>
    <w:rsid w:val="79982FA7"/>
    <w:rsid w:val="799A44F3"/>
    <w:rsid w:val="799B65F3"/>
    <w:rsid w:val="799D05BD"/>
    <w:rsid w:val="799F3431"/>
    <w:rsid w:val="79A74F98"/>
    <w:rsid w:val="79A85041"/>
    <w:rsid w:val="79B31B8F"/>
    <w:rsid w:val="79B53B59"/>
    <w:rsid w:val="79C142AC"/>
    <w:rsid w:val="79C618C2"/>
    <w:rsid w:val="79CE69C9"/>
    <w:rsid w:val="79D7587D"/>
    <w:rsid w:val="79D7762B"/>
    <w:rsid w:val="79E26A94"/>
    <w:rsid w:val="79E47209"/>
    <w:rsid w:val="79EF1D01"/>
    <w:rsid w:val="79F6397A"/>
    <w:rsid w:val="7A14378A"/>
    <w:rsid w:val="7A202B71"/>
    <w:rsid w:val="7A2111EE"/>
    <w:rsid w:val="7A2113C0"/>
    <w:rsid w:val="7A2533CC"/>
    <w:rsid w:val="7A2860D9"/>
    <w:rsid w:val="7A287E87"/>
    <w:rsid w:val="7A2A1655"/>
    <w:rsid w:val="7A3031E0"/>
    <w:rsid w:val="7A3854A2"/>
    <w:rsid w:val="7A4410B4"/>
    <w:rsid w:val="7A460C55"/>
    <w:rsid w:val="7A4D543F"/>
    <w:rsid w:val="7A505569"/>
    <w:rsid w:val="7A5C2227"/>
    <w:rsid w:val="7A635363"/>
    <w:rsid w:val="7A682979"/>
    <w:rsid w:val="7A6D4434"/>
    <w:rsid w:val="7A861051"/>
    <w:rsid w:val="7A9B2D4F"/>
    <w:rsid w:val="7AAE2AE2"/>
    <w:rsid w:val="7AC202DC"/>
    <w:rsid w:val="7AC51B7A"/>
    <w:rsid w:val="7AD63D87"/>
    <w:rsid w:val="7AD718AD"/>
    <w:rsid w:val="7AD839F7"/>
    <w:rsid w:val="7AEC5358"/>
    <w:rsid w:val="7AF00616"/>
    <w:rsid w:val="7B0E1773"/>
    <w:rsid w:val="7B166F8A"/>
    <w:rsid w:val="7B1B3E90"/>
    <w:rsid w:val="7B220D7A"/>
    <w:rsid w:val="7B256ABC"/>
    <w:rsid w:val="7B29035B"/>
    <w:rsid w:val="7B3C3170"/>
    <w:rsid w:val="7B3E36DA"/>
    <w:rsid w:val="7B4C4049"/>
    <w:rsid w:val="7B503B39"/>
    <w:rsid w:val="7B580C40"/>
    <w:rsid w:val="7B5F1FCE"/>
    <w:rsid w:val="7B5F5626"/>
    <w:rsid w:val="7B6950FE"/>
    <w:rsid w:val="7B811411"/>
    <w:rsid w:val="7B842721"/>
    <w:rsid w:val="7B946335"/>
    <w:rsid w:val="7B9A6D81"/>
    <w:rsid w:val="7BA45C33"/>
    <w:rsid w:val="7BA479E1"/>
    <w:rsid w:val="7BBE3B1C"/>
    <w:rsid w:val="7BC92074"/>
    <w:rsid w:val="7BCE0F02"/>
    <w:rsid w:val="7BDB7F0F"/>
    <w:rsid w:val="7BE6624C"/>
    <w:rsid w:val="7BEC2FA1"/>
    <w:rsid w:val="7BEE6EAE"/>
    <w:rsid w:val="7BF70459"/>
    <w:rsid w:val="7BF93B3E"/>
    <w:rsid w:val="7C093CE8"/>
    <w:rsid w:val="7C0F4E04"/>
    <w:rsid w:val="7C2C2D5C"/>
    <w:rsid w:val="7C32323F"/>
    <w:rsid w:val="7C39281F"/>
    <w:rsid w:val="7C3A20F4"/>
    <w:rsid w:val="7C3E3FF9"/>
    <w:rsid w:val="7C4D6247"/>
    <w:rsid w:val="7C55517F"/>
    <w:rsid w:val="7C573E94"/>
    <w:rsid w:val="7C6333F8"/>
    <w:rsid w:val="7C66368D"/>
    <w:rsid w:val="7C6A0C2B"/>
    <w:rsid w:val="7C790E6E"/>
    <w:rsid w:val="7C7A6994"/>
    <w:rsid w:val="7C7F4431"/>
    <w:rsid w:val="7C832EC7"/>
    <w:rsid w:val="7C991510"/>
    <w:rsid w:val="7C9B5288"/>
    <w:rsid w:val="7CA069E4"/>
    <w:rsid w:val="7CB25F06"/>
    <w:rsid w:val="7CB77BE8"/>
    <w:rsid w:val="7CBA4636"/>
    <w:rsid w:val="7CCB175F"/>
    <w:rsid w:val="7CDC31AB"/>
    <w:rsid w:val="7CEA58C8"/>
    <w:rsid w:val="7CEC1640"/>
    <w:rsid w:val="7CF20C20"/>
    <w:rsid w:val="7CF6426C"/>
    <w:rsid w:val="7CFB5D27"/>
    <w:rsid w:val="7D012C11"/>
    <w:rsid w:val="7D056BA5"/>
    <w:rsid w:val="7D1110A6"/>
    <w:rsid w:val="7D115040"/>
    <w:rsid w:val="7D126BCC"/>
    <w:rsid w:val="7D1666BD"/>
    <w:rsid w:val="7D195134"/>
    <w:rsid w:val="7D1E1A15"/>
    <w:rsid w:val="7D235FB0"/>
    <w:rsid w:val="7D256900"/>
    <w:rsid w:val="7D2C4132"/>
    <w:rsid w:val="7D2D3A06"/>
    <w:rsid w:val="7D2F777E"/>
    <w:rsid w:val="7D3661BD"/>
    <w:rsid w:val="7D43322A"/>
    <w:rsid w:val="7D48567D"/>
    <w:rsid w:val="7D553689"/>
    <w:rsid w:val="7D555CEB"/>
    <w:rsid w:val="7D5D078F"/>
    <w:rsid w:val="7D60202E"/>
    <w:rsid w:val="7D625DA6"/>
    <w:rsid w:val="7D657644"/>
    <w:rsid w:val="7D6B2EAC"/>
    <w:rsid w:val="7D751743"/>
    <w:rsid w:val="7D7C356B"/>
    <w:rsid w:val="7D80622C"/>
    <w:rsid w:val="7D835243"/>
    <w:rsid w:val="7D851A94"/>
    <w:rsid w:val="7D902089"/>
    <w:rsid w:val="7DA22646"/>
    <w:rsid w:val="7DA71A0B"/>
    <w:rsid w:val="7DAA32A9"/>
    <w:rsid w:val="7DB54128"/>
    <w:rsid w:val="7DB87774"/>
    <w:rsid w:val="7DBF6D54"/>
    <w:rsid w:val="7DC3499C"/>
    <w:rsid w:val="7DC720AD"/>
    <w:rsid w:val="7DCE76CA"/>
    <w:rsid w:val="7DCF00A4"/>
    <w:rsid w:val="7DDA7E8E"/>
    <w:rsid w:val="7DDD367E"/>
    <w:rsid w:val="7DE844FD"/>
    <w:rsid w:val="7DE93453"/>
    <w:rsid w:val="7E070E4D"/>
    <w:rsid w:val="7E0B3D48"/>
    <w:rsid w:val="7E107D9F"/>
    <w:rsid w:val="7E394C19"/>
    <w:rsid w:val="7E484F9C"/>
    <w:rsid w:val="7E4C09C1"/>
    <w:rsid w:val="7E505BFE"/>
    <w:rsid w:val="7E59149E"/>
    <w:rsid w:val="7E5E656D"/>
    <w:rsid w:val="7E5F7095"/>
    <w:rsid w:val="7E694F12"/>
    <w:rsid w:val="7E7409CC"/>
    <w:rsid w:val="7E7A6F55"/>
    <w:rsid w:val="7E7F4735"/>
    <w:rsid w:val="7E8835EA"/>
    <w:rsid w:val="7E8D6E52"/>
    <w:rsid w:val="7E9B156F"/>
    <w:rsid w:val="7EAD3692"/>
    <w:rsid w:val="7EB048EF"/>
    <w:rsid w:val="7EB51F05"/>
    <w:rsid w:val="7EC34622"/>
    <w:rsid w:val="7EC62364"/>
    <w:rsid w:val="7ECB0FF7"/>
    <w:rsid w:val="7ECD54A1"/>
    <w:rsid w:val="7EDE320A"/>
    <w:rsid w:val="7EE03426"/>
    <w:rsid w:val="7EE230FA"/>
    <w:rsid w:val="7EE2719E"/>
    <w:rsid w:val="7EE51C28"/>
    <w:rsid w:val="7EE85C38"/>
    <w:rsid w:val="7EF618DD"/>
    <w:rsid w:val="7EF90044"/>
    <w:rsid w:val="7EFB200E"/>
    <w:rsid w:val="7EFC7B34"/>
    <w:rsid w:val="7F1A111A"/>
    <w:rsid w:val="7F1E5CFC"/>
    <w:rsid w:val="7F1E79D9"/>
    <w:rsid w:val="7F315A30"/>
    <w:rsid w:val="7F361298"/>
    <w:rsid w:val="7F3E014D"/>
    <w:rsid w:val="7F4D0390"/>
    <w:rsid w:val="7F511C2E"/>
    <w:rsid w:val="7F5C5B95"/>
    <w:rsid w:val="7F606315"/>
    <w:rsid w:val="7F6556D9"/>
    <w:rsid w:val="7F74591C"/>
    <w:rsid w:val="7F853FCE"/>
    <w:rsid w:val="7F89586C"/>
    <w:rsid w:val="7F8C2C66"/>
    <w:rsid w:val="7F931F68"/>
    <w:rsid w:val="7F945FBF"/>
    <w:rsid w:val="7F963AE5"/>
    <w:rsid w:val="7FC87BF2"/>
    <w:rsid w:val="7FC9214E"/>
    <w:rsid w:val="7FDB7E7F"/>
    <w:rsid w:val="7FE66DC3"/>
    <w:rsid w:val="7FE74B3D"/>
    <w:rsid w:val="7FE900B8"/>
    <w:rsid w:val="7FEB2083"/>
    <w:rsid w:val="7FF167B7"/>
    <w:rsid w:val="7FF54CAF"/>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3">
    <w:name w:val="Normal Indent"/>
    <w:basedOn w:val="1"/>
    <w:unhideWhenUsed/>
    <w:qFormat/>
    <w:uiPriority w:val="99"/>
    <w:pPr>
      <w:ind w:firstLine="420" w:firstLineChars="200"/>
    </w:pPr>
  </w:style>
  <w:style w:type="paragraph" w:styleId="4">
    <w:name w:val="annotation text"/>
    <w:basedOn w:val="1"/>
    <w:qFormat/>
    <w:uiPriority w:val="0"/>
    <w:pPr>
      <w:jc w:val="left"/>
    </w:pPr>
  </w:style>
  <w:style w:type="paragraph" w:styleId="5">
    <w:name w:val="Body Text"/>
    <w:basedOn w:val="1"/>
    <w:next w:val="1"/>
    <w:qFormat/>
    <w:uiPriority w:val="0"/>
    <w:pPr>
      <w:widowControl/>
      <w:snapToGrid w:val="0"/>
      <w:spacing w:before="60" w:after="160" w:line="259" w:lineRule="auto"/>
      <w:ind w:right="113"/>
    </w:pPr>
    <w:rPr>
      <w:kern w:val="0"/>
      <w:sz w:val="18"/>
      <w:szCs w:val="20"/>
    </w:rPr>
  </w:style>
  <w:style w:type="paragraph" w:styleId="6">
    <w:name w:val="Body Text Indent"/>
    <w:basedOn w:val="1"/>
    <w:next w:val="7"/>
    <w:qFormat/>
    <w:uiPriority w:val="0"/>
    <w:pPr>
      <w:spacing w:line="500" w:lineRule="atLeast"/>
      <w:ind w:firstLine="640" w:firstLineChars="200"/>
    </w:pPr>
    <w:rPr>
      <w:rFonts w:ascii="宋体" w:hAnsi="宋体"/>
      <w:sz w:val="32"/>
    </w:rPr>
  </w:style>
  <w:style w:type="paragraph" w:styleId="7">
    <w:name w:val="Body Text First Indent"/>
    <w:basedOn w:val="5"/>
    <w:next w:val="1"/>
    <w:qFormat/>
    <w:uiPriority w:val="0"/>
    <w:pPr>
      <w:spacing w:after="120" w:afterLines="0" w:line="240" w:lineRule="auto"/>
      <w:ind w:right="0" w:firstLine="420" w:firstLineChars="100"/>
    </w:pPr>
  </w:style>
  <w:style w:type="paragraph" w:styleId="8">
    <w:name w:val="footer"/>
    <w:basedOn w:val="1"/>
    <w:qFormat/>
    <w:uiPriority w:val="99"/>
    <w:pPr>
      <w:tabs>
        <w:tab w:val="center" w:pos="4153"/>
        <w:tab w:val="right" w:pos="8306"/>
      </w:tabs>
      <w:snapToGrid w:val="0"/>
      <w:jc w:val="left"/>
    </w:pPr>
    <w:rPr>
      <w:kern w:val="0"/>
      <w:sz w:val="18"/>
      <w:szCs w:val="20"/>
    </w:rPr>
  </w:style>
  <w:style w:type="paragraph" w:styleId="9">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10">
    <w:name w:val="toc 1"/>
    <w:basedOn w:val="1"/>
    <w:next w:val="1"/>
    <w:qFormat/>
    <w:uiPriority w:val="0"/>
  </w:style>
  <w:style w:type="paragraph" w:styleId="11">
    <w:name w:val="table of figures"/>
    <w:basedOn w:val="1"/>
    <w:next w:val="1"/>
    <w:unhideWhenUsed/>
    <w:qFormat/>
    <w:uiPriority w:val="0"/>
    <w:pPr>
      <w:widowControl/>
      <w:spacing w:before="100" w:beforeAutospacing="1" w:after="100" w:afterAutospacing="1" w:line="360" w:lineRule="auto"/>
      <w:ind w:left="200" w:leftChars="200" w:hanging="200" w:hangingChars="200"/>
      <w:jc w:val="left"/>
    </w:pPr>
    <w:rPr>
      <w:color w:val="000000"/>
      <w:sz w:val="24"/>
    </w:rPr>
  </w:style>
  <w:style w:type="paragraph" w:styleId="12">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3">
    <w:name w:val="Body Text First Indent 2"/>
    <w:basedOn w:val="6"/>
    <w:next w:val="1"/>
    <w:qFormat/>
    <w:uiPriority w:val="0"/>
    <w:pPr>
      <w:ind w:firstLine="420" w:firstLineChars="200"/>
    </w:pPr>
  </w:style>
  <w:style w:type="table" w:styleId="15">
    <w:name w:val="Table Grid"/>
    <w:basedOn w:val="14"/>
    <w:qFormat/>
    <w:uiPriority w:val="0"/>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qFormat/>
    <w:uiPriority w:val="99"/>
    <w:rPr>
      <w:color w:val="0000FF"/>
      <w:u w:val="single"/>
    </w:rPr>
  </w:style>
  <w:style w:type="paragraph" w:customStyle="1" w:styleId="1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1">
    <w:name w:val="Other|1"/>
    <w:basedOn w:val="1"/>
    <w:qFormat/>
    <w:uiPriority w:val="0"/>
    <w:pPr>
      <w:adjustRightInd/>
      <w:snapToGrid/>
      <w:spacing w:line="240" w:lineRule="auto"/>
      <w:ind w:firstLine="220" w:firstLineChars="0"/>
      <w:jc w:val="left"/>
    </w:pPr>
    <w:rPr>
      <w:rFonts w:ascii="Calibri" w:hAnsi="Calibri"/>
      <w:sz w:val="17"/>
      <w:szCs w:val="17"/>
    </w:rPr>
  </w:style>
  <w:style w:type="table" w:customStyle="1" w:styleId="22">
    <w:name w:val="Table Normal"/>
    <w:unhideWhenUsed/>
    <w:qFormat/>
    <w:uiPriority w:val="0"/>
    <w:tblPr>
      <w:tblCellMar>
        <w:top w:w="0" w:type="dxa"/>
        <w:left w:w="0" w:type="dxa"/>
        <w:bottom w:w="0" w:type="dxa"/>
        <w:right w:w="0" w:type="dxa"/>
      </w:tblCellMar>
    </w:tblPr>
  </w:style>
  <w:style w:type="paragraph" w:customStyle="1" w:styleId="23">
    <w:name w:val="WPSOffice手动目录 1"/>
    <w:autoRedefine/>
    <w:qFormat/>
    <w:uiPriority w:val="0"/>
    <w:rPr>
      <w:rFonts w:ascii="Calibri" w:hAnsi="Calibri" w:eastAsia="Calibri" w:cs="Times New Roman"/>
      <w:lang w:val="en-US" w:eastAsia="zh-CN" w:bidi="ar-SA"/>
    </w:rPr>
  </w:style>
  <w:style w:type="paragraph" w:customStyle="1" w:styleId="24">
    <w:name w:val="正文1"/>
    <w:basedOn w:val="1"/>
    <w:qFormat/>
    <w:uiPriority w:val="0"/>
    <w:rPr>
      <w:rFonts w:ascii="Times New Roman" w:hAnsi="Times New Roman"/>
    </w:rPr>
  </w:style>
  <w:style w:type="paragraph" w:customStyle="1" w:styleId="25">
    <w:name w:val="表 头"/>
    <w:basedOn w:val="1"/>
    <w:qFormat/>
    <w:uiPriority w:val="0"/>
    <w:pPr>
      <w:snapToGrid w:val="0"/>
      <w:jc w:val="center"/>
    </w:pPr>
    <w:rPr>
      <w:b/>
      <w:bCs/>
      <w:kern w:val="0"/>
      <w:sz w:val="24"/>
    </w:rPr>
  </w:style>
  <w:style w:type="paragraph" w:customStyle="1" w:styleId="26">
    <w:name w:val="【表中文字】"/>
    <w:basedOn w:val="1"/>
    <w:next w:val="1"/>
    <w:qFormat/>
    <w:uiPriority w:val="0"/>
    <w:pPr>
      <w:widowControl w:val="0"/>
      <w:spacing w:line="240" w:lineRule="auto"/>
      <w:jc w:val="center"/>
    </w:pPr>
    <w:rPr>
      <w:color w:val="auto"/>
      <w:sz w:val="21"/>
      <w:szCs w:val="20"/>
    </w:rPr>
  </w:style>
  <w:style w:type="paragraph" w:customStyle="1" w:styleId="27">
    <w:name w:val="表 内容"/>
    <w:basedOn w:val="1"/>
    <w:qFormat/>
    <w:uiPriority w:val="0"/>
    <w:pPr>
      <w:adjustRightInd w:val="0"/>
      <w:snapToGrid w:val="0"/>
      <w:spacing w:beforeLines="15" w:afterLines="15"/>
      <w:jc w:val="center"/>
    </w:pPr>
    <w:rPr>
      <w:rFonts w:ascii="Calibri" w:hAnsi="Calibri"/>
      <w:b/>
      <w:sz w:val="24"/>
      <w:szCs w:val="21"/>
    </w:rPr>
  </w:style>
  <w:style w:type="paragraph" w:customStyle="1" w:styleId="28">
    <w:name w:val="我正文"/>
    <w:basedOn w:val="1"/>
    <w:qFormat/>
    <w:uiPriority w:val="0"/>
    <w:pPr>
      <w:spacing w:line="360" w:lineRule="auto"/>
      <w:ind w:firstLine="480" w:firstLineChars="200"/>
    </w:pPr>
    <w:rPr>
      <w:rFonts w:ascii="Calibri" w:hAnsi="Calibri" w:eastAsia="微软雅黑"/>
      <w:sz w:val="24"/>
      <w:szCs w:val="20"/>
    </w:rPr>
  </w:style>
  <w:style w:type="paragraph" w:styleId="29">
    <w:name w:val="No Spacing"/>
    <w:basedOn w:val="30"/>
    <w:qFormat/>
    <w:uiPriority w:val="99"/>
    <w:pPr>
      <w:widowControl w:val="0"/>
      <w:spacing w:line="360" w:lineRule="auto"/>
    </w:pPr>
    <w:rPr>
      <w:rFonts w:ascii="Calibri" w:hAnsi="Calibri" w:eastAsia="宋体" w:cs="Times New Roman"/>
      <w:b/>
      <w:kern w:val="2"/>
      <w:sz w:val="30"/>
      <w:szCs w:val="22"/>
      <w:lang w:val="en-US" w:eastAsia="zh-CN" w:bidi="ar-SA"/>
    </w:rPr>
  </w:style>
  <w:style w:type="paragraph" w:customStyle="1" w:styleId="30">
    <w:name w:val="表格修改"/>
    <w:basedOn w:val="1"/>
    <w:qFormat/>
    <w:uiPriority w:val="0"/>
    <w:pPr>
      <w:spacing w:before="40" w:after="40" w:line="240" w:lineRule="auto"/>
      <w:ind w:firstLine="0" w:firstLineChars="0"/>
      <w:jc w:val="center"/>
    </w:pPr>
    <w:rPr>
      <w:rFonts w:ascii="Calibri" w:hAnsi="宋体"/>
      <w:sz w:val="20"/>
    </w:rPr>
  </w:style>
  <w:style w:type="paragraph" w:customStyle="1" w:styleId="31">
    <w:name w:val="..正文"/>
    <w:qFormat/>
    <w:uiPriority w:val="0"/>
    <w:pPr>
      <w:spacing w:line="480" w:lineRule="exact"/>
      <w:ind w:firstLine="200" w:firstLineChars="200"/>
      <w:jc w:val="both"/>
    </w:pPr>
    <w:rPr>
      <w:rFonts w:ascii="Arial" w:hAnsi="Arial" w:eastAsia="黑体" w:cs="Arial"/>
      <w:sz w:val="24"/>
      <w:szCs w:val="24"/>
      <w:lang w:val="en-US" w:eastAsia="zh-CN" w:bidi="ar-SA"/>
    </w:rPr>
  </w:style>
  <w:style w:type="paragraph" w:customStyle="1" w:styleId="32">
    <w:name w:val="目录"/>
    <w:basedOn w:val="1"/>
    <w:qFormat/>
    <w:uiPriority w:val="99"/>
    <w:pPr>
      <w:shd w:val="clear" w:color="auto" w:fill="FFFFFF"/>
      <w:spacing w:after="240"/>
    </w:pPr>
    <w:rPr>
      <w:rFonts w:ascii="MingLiU" w:eastAsia="MingLiU" w:cs="MingLiU" w:hAnsiTheme="minorHAnsi"/>
      <w:color w:val="auto"/>
      <w:kern w:val="2"/>
      <w:sz w:val="28"/>
      <w:szCs w:val="28"/>
      <w:lang w:val="zh-CN" w:eastAsia="zh-CN"/>
    </w:rPr>
  </w:style>
  <w:style w:type="paragraph" w:customStyle="1" w:styleId="33">
    <w:name w:val="T表格"/>
    <w:qFormat/>
    <w:uiPriority w:val="0"/>
    <w:pPr>
      <w:adjustRightInd w:val="0"/>
      <w:snapToGrid w:val="0"/>
      <w:spacing w:line="360" w:lineRule="auto"/>
      <w:jc w:val="center"/>
    </w:pPr>
    <w:rPr>
      <w:rFonts w:ascii="Times New Roman" w:hAnsi="Times New Roman" w:eastAsia="宋体" w:cs="Times New Roman"/>
      <w:color w:val="000000"/>
      <w:sz w:val="21"/>
      <w:szCs w:val="21"/>
      <w:lang w:val="en-US" w:eastAsia="zh-CN" w:bidi="ar-SA"/>
    </w:rPr>
  </w:style>
  <w:style w:type="paragraph" w:customStyle="1" w:styleId="34">
    <w:name w:val="表格正文"/>
    <w:basedOn w:val="1"/>
    <w:qFormat/>
    <w:uiPriority w:val="0"/>
    <w:pPr>
      <w:adjustRightInd/>
      <w:snapToGrid/>
      <w:spacing w:after="0" w:line="360" w:lineRule="exact"/>
      <w:jc w:val="center"/>
    </w:pPr>
    <w:rPr>
      <w:rFonts w:ascii="Arial" w:hAnsi="Arial" w:cs="Arial" w:eastAsiaTheme="minorEastAsia"/>
      <w:color w:val="000000"/>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A1MDc2NzkzMDE1IiwKCSJHcm91cElkIiA6ICIxMzgyODY0OTEiLAoJIkltYWdlIiA6ICJpVkJPUncwS0dnb0FBQUFOU1VoRVVnQUFBcmtBQUFDdUNBWUFBQUF5RWhXK0FBQUFBWE5TUjBJQXJzNGM2UUFBSUFCSlJFRlVlSnp0M1hsOFRkZjZQL0RQMnVka2xBaWF4RXkwdElreE1aYUx5NzJvb1NoS2E0cXAxVUhSdXJkSzNiYVhtdXJ5bzFXbHRPWXBhcWl4UkwraVNrMGxnMGlRU0VTSWhDRHpkSWIxK3lQT2JvNlRFMG1FREQ3djE2djN4aDdXV1lmc3ZaNjk5clBXQW9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U1FcVZkQVNJaUlnS2tsTEswNjFBUUlRUmpCaXBYbE5LdUFCRVJFUkZSU1dPUVMwUkVSRVFWRG9OY0lpSWlJcXB3R09RU0VSRVJVWVhESUplSWlJaUlLaHdHdVVSRVJHWFluMy8raVQ1OSt1Q1BQLzU0b3AvajcrK1BBUU1Hb0gzNzloZzRjQ0IrLy8zM0ovcDVSRSthdHJRclFFUkVSSll1WGJxRUgzLzhFVWVPSEhrcW54Y1ZGWVUrZmZxZ2Z2MzYyTEZqQno3NTVCTWNPblFJenM3T1QrWHppVW9hZzF3aUlxSXlac1NJRVFnUEQ0ZWRuUjBhTkdpQTZPam9KLzZaNzc3N3J2cHo1Y3FWOGY3Nzd5TStQcDVCTHBWYkRIS0ppTXF4cGsyYjF0VnF0UytVZGoyb1pGMjdkZzE5Ky9iRitQSGpzV0hEaHFjUzVBSkFkblkyN3QrL2o1OS8vaGwxNjlaRmd3WU4xSDNlM3Q1ZG5rb2x5akFoUkhSZ1lHQk1hZGVEQ29kQkxoRlJPZVh0N2UwaGhGZ2poUEFzN2JwUXlUcDgrREFjSEJ3S2Rlemd3WU1SRlJXRjQ4ZVBZK1BHamZqNTU1K1JsSlNFeG8wYlkrclVxV2pVcUJGQ1EwUHg3YmZmSWpRMEZGcXRGcDA3ZDhiVXFWUGg1T1NrbHBPUmtZRk9uVG9CQU96dDdiRmd3UUpvdFgrRkNZcWliQ25aYjFuK1NDbXZlM3Q3dnhFVUZIU3R0T3RDajhZZ2w0aW8vUElRUW5oS0thc0RTQWVnTCswS1Vja29iSUNiMTFkZmZZWHo1OCtqWmN1V3VIejVNczZmUDQ5MzMzMFg4K2ZQeDZSSmsrRGw1WVV1WGJyZzFLbFQyTDkvUDFKVFU3RjQ4V0wxZkh0N2U2eGR1eFpwYVdudzkvZkg1TW1Uc1h6NWNyUnAwd1lBSUtXMEw3RXZXUDVvQVRnQ3NBZmdBWUJCYmpuQUlKZUlxUHhMbDFKK0JpQ290Q3RDanlYZ2NVNitkdTBhL1B6ODRPRGdBTDFlajBtVEp1SDA2ZFA0NElNUE1HTEVDRXljT0JFQWtKaVlpUDc5KytQWXNXTklURXlFcTZzckFFQlJGRFJyMWd3QTBLWk5HK3pkdXhjaElTRjVnOXdCajFPL2NzNWJDUEVaT0N0VnVjSWdsNGlvL05NRENBb0tDanBhMmhXaDB2UE9PKytvUGNCYXJSYURCZzNDNmRPbjRlVGtoUEhqeDZ2SHVicTZvbjM3OWdnSUNFQmtaS1FhNUU2Wk1nVi8rOXZmVUsxYU5mejIyMjhBZ05hdFc2dm5QY3UvWDk3ZTNoQkM1RHpqdmRubERvTmNJaUtpQ3NEVDB6dzF1MGFOR2dDQWwxNTZDWFoyZG1iNzNOemNBT1RtNFpvODk5eHorTzY3NzVDWm1Ra1BEdzhzV0xBQUxWcTBlTUsxSm5weUdPUVNFUkZWQUk2T2ptWi9OZzBhcTFTcGtzV3h0cmEyQUFDajBhaHVtekZqQm1iTW1QRUVhMGowZERHM2hJaUlpSWdxSEFhNVJFUkVSRlRoTUYyQmlJaktMQ2xsRFFEUDlEekE5ZXJWUTZ0V3JWQzVjdVY4OXpkcDBnUlZxMWFGb3BqM1d6azZPaFo0SGxGRnh5Q1hpSWpLcEFjQjdyY0EvbGJhZFNsTi9mcjFRL2Z1M2VIaTRwTHYvZzgvL0JCNnZSNDJOalptMjJ2VnFvVzVjK2ZpenAwN1Q2T2FSR1VPZzF3aUlpcXJhZ0JvOHVEL24xbVZLbFhLZC9DWVNaVXFWZkxkcnRGbzRPcnFhdEhEUy9Tc1lKQkxSRVJVZ1ZXclZzMWkyMGNmZllTUFB2cW9GR3BEOVBUdzhZNklpSWlJS2h3R3VVUkVSRVJVNFRESUpTSWlJcUlLaDBFdUVSRVJFVlU0REhLSmlJZ3F0bXNBMm92SFZOcGZncWlvR09RU0VSRVJVWVhESUplSWlJaUlLaHdHdVVSRVJFUlU0VERJSlNJaUlxSUtoMEV1RVJFUkVWVTRYTmFYaUlpZUNRRUJBZmpwcDUvZzd1Nk9sSlFVVEo0OEdmWHIxeTlXV1dscGFWaXdZQUZ5Y25LZzErdlJ0R2xUakJvMUN0WW1JZGk5ZXpjcVY2Nk1ybDI3V3V4YnMyWU52djMyVzR2dG5UcDF3cElsUzRwVlB5SmlrRXRFUk0rQVU2ZE9ZZDY4ZWRpOGVUTmNYVjBSSGg2Tzk5NTdENXMyYlVMVnFsV0xWSmJSYU1TSEgzNkkxcTFiNDkxMzN3VUEvT3RmLzhMcTFhc3hidHc0OVRpOVhnOC9QejljdW5RSkJ3NGN3TUtGQy9NdEx6VTFGZXZYcjBlbFNwWE10anM3T3hmeFd4SlJYZ3h5aVlpb3dsdTRjQ0dHRGgwS1YxZFhBSUNYbHhjYU5teUlOV3ZXWU1xVUtVVXE2OWRmZjBWRVJJUlo3K3ZZc1dQeDl0dHY0N1hYWHNOenp6MEhBTkJxdFJnK2ZEaWtsUGo5OTkrdGxwZVptWW5HalJ0YjdRVW1vdUpoa0V0RVZBNDBiOTY4a2thamNjMjdUUWhSWFVxcEVVSW9Rb2pxUGo0K1p1L2VzN096NzRhRmhhVTkzWnFXUGVIaDRZaU9qa2FYTGwzTXRyZHAwd1liTm13b2NwQjc0TUFCdEcvZkh2YjI5dXEyeG8wYlE2dlZJaUFnQUsrLy9yclo4VUlJMk5qWUZGZ21BMXlpa3NjZ2w0aW9IRkFVcFlVUTRzVEQyL01FUjFzZkRwVHM3T3k2QVBqdHlkZXViTHR3NFFLMFdxMUYvcTJIaHdmdTNyMkxoSVFFVks5ZXZVamxEUjA2MUd5YkVBTDE2dFZEV0ZoWWtlc25oTUQ1OCtleGFkTW1wS1dsNGZidDIvRDE5Y1dBQVFPS1hCWVIvWVZCTGhGUk9SQVVGSFRHMjlzN1NsR1U1d3R6dkpUeVdtQmc0QjlQdWw3bFFYeDhQS3BXclFwRk1aOVFxRXFWS2dDQTI3ZHZGenJJemM3T1JsSlNrcHFTOEhCNXQyL2ZMbGI5VHA0OGlRVUxGa0NqMFNBMk5oWWpSb3hBelpvMThmTExMeGU1UENMS3hTQ1hpS2g4MEFQNEFjQmNLU1VBeTFmY0QyM2ZBRUQzTkNzb0J3OTJ1SldUbVNRQTJ5S2VtZ09KQ0FDcFFzaEtVb29zQ09qdmYvNmZlMVUvKzl3V05rVXR6bHgyZGpac2JTM0wwR3ExNnY2aWxBWEFhbm5wNmVsRnJsL1BuajN4ajMvOEF4cU5CZ0JRdDI1ZDlPN2RHMnZYcm1XUVMvUVlPRTh1RVZFNUlZVFlMYVZNS3loL1V3Z0JLV1dhd1dBNDhCU3JsdnZaUC8yVUNTbTNGT05VV3dnMGdjRExFcUtaRkdnQmlRakZ1K1VHMk5qbVBHNjk3TzN0a1pOaldZeE9wMVAzRjZVc0FGYkxLMHBaSmoxNjlGQURicE5telpyaDh1WExSUzZMaVA3Q0lKZUlxSnlRVXNZQk9GZUlROC9wOWZwclQ3bysrVEVhOVl1TGRJSjg4TjlmRzNTS3dmamZOSjFob3N2QWdTVVM1Vld2WGgzMzc5K0gwV2cwMjU2VWxBUUFxRkdqUnFITHNyVzFSWlVxVlhEMzdsMkxmVWxKU1VVcXl5UXJLOHRpVytYS2xaR1dscWIyemhOUjBUSElKU0lxSjRLQ2dsS0ZFR2ZsZzhnbmJ3QmsrbGxLS1lVUVo4TEN3aXlqc0tlZ3pyNUR3Ukl5L0VGbENqaFMvdlZmYnNlMEFWSkdpUnhqenhyN0RzeHI5TXN2S1NWVnA2Wk5tMEt2MStQNjlldG0yNjlkdXdaM2QzZDFXckdpbEhmMTZsV3piVWFqRVRFeE1XalNwRW1SeXJwOCtUTCsvdmUvNCtUSmsyYmI3OSsvRDNkM2Q4NjZRUFFZR09RU0VaVWZCb1BCRUN5RVNMVjJnQkFpVTBwNUhrODVIOWVzRGtiOFZPQUJlWHR2aFlDRXZBY3Bsd3VOcm4yTlgzNDVVdEwxOGZMeVF2MzY5UzNtcWoxNThpUjY5ZXBsdGkwME5CUVpHUmtGbHRlclZ5K2NPblZLVFhjQWdKQ1FFRWdwTGFZcGU1U0VoQVRvOVhxNHVibVpiUThQRDRlM3QzZVJ5aUlpY3d4eWlZaktFU25sQ1NsbFFVUDRVd3dHdyttblZxRUhKQ0FTZXZac0h2ZHFuMWtRR0FJcEFTRWVTa1hJUytUK0orVWRqVUc4SmJKMDAycnM4aS82MUFTRklJVEExS2xUc1duVEp0eS9meDhBRUJ3Y2pKaVlHUGo2K3FySCtmdjdZOVNvVVpnK2ZYcUI1ZlhvMFFNTkd6YkV1blhyQU9UMm92L3d3dzhZUDM2OE9tTkRYbEpLNU9UazVKdVcwTFp0VzNoNGVKaXR1bmIzN2wwY1Bud1lvMGVQTHRiM0phSmNuRjJCaUtnY0NRa0ppZmJ4OFFrUlFqU1VVcHFsTEFnaFlEUWFRME5DUXFLZmREM2s0TUdhYTNmdU9GZXlzM00xMnR2MmpwZkdZUUJhQ1NHMER5b2xrUnZGd3BTUElLV0VnREJ0elJGU250QWhaMFM5Zllmam5uUjlYMzc1WlV5ZlBoMy8rYzkvNE9ibWh1VGtaS3hZc2NJc0tLMVJvd2Fjbkp3czV0TjltS0lvV0x4NE1SWXVYSWpwMDZjakt5c0xiZHUyTlF1WWdkeGxmVGR2M296UTBGQ2twYVZoMmJKbGlJMk5SZHUyYmRWZVdudDdlNnhjdVJKK2ZuNlFVa0t2MXlNMk5oYXpaczFDbzBhTlN2NHZndWdad21RZklxSnl4c2ZIcDkrRG1SYk10aitZV1dGd1lHRGc5aWYxMmJkNjl2U0FyYVlOZ0hhQWFBMGh2UUhoQWdBQ1VpZWx1QUxJUHlWRWN5SGdrOXVUS3g5MDJqNlkza3pLTzBMZ2E2TXgvZnRhZTQ4bVd2c3NLYVUzZ0MwQVBKL1U5M2xHWEFNd1ZBaHhxclFyVWw1NWUzdDNVUlJsaTVUU1hrbzVJQ2dvNkdocDE0a2VqVDI1UkVUbFRHcHE2aUZuWitjRUFPb0tCZzhDM0R1cHFhbDdTL3J6N3ZicVZUbFRVVjVSTkJnTUNCOHA0Q3FrZERGMXkrYm0xR0s3QXJuZHFKZFh0QmtaZC9YT2ptTWhGSis4K1FxNWc2amtCUWs1TmkxSFhtajB5OUhDVDFCTFJGUkVESEtKaU1xWnlNakliQjhmbjUrRUVCODgxSnU3T3pJeThyRUR4N2krclJ5ekRkVXIyd25SUWlqeWpXeWhETkFJbU43ckd3V1FMaURpcEpSL0NJTmhZNDM5Qi9jK25IMTdkMkN2blRrR0xJWVFDcENibmdDamNicytTL2R4dmNOUFBqMkJpSWhCTGhGUk9XUXdHTlpvdGRxM0FKaFdIOGlTVW00cWJubHhmVnM1UXJxMUZJcG9CeWl0N2JXaU5RUWFBRUlqcEpTUXVDT0ZESVFVcHhXak9JdWNuTk0xL2EwUEZIdHU1eTgzYnZYcmN4WkN0SVBFWlFCTGdJVDE5UTZmSzNqcUFpS2lFc0lnbDRpb0hOSm9OTEZTeWlnaFJHTUFrRkplMHV2MVZ4OTEzc1BpKy9ScGFoUVlBaUZlVlJSVWx4TFBBZElXQWtKSzVBRHloQUMyQ3IwOERpbmphemhWdWlkKytzbFFxTUlOV0E0TjBqVXcvTnQ5enkrQlJhMGJFZEhqWUpCTFJGUU8zYjkvUDdWcTFhcm5wSlJlRHpaZDBPbDBTUVdkSTd0MDBTWlZxZUtrTjJaVk4wTHBZeFJpaklSb2FocUJMSUZzQUNrU2lGT01jcHMweUUyMURoeUlLVzRkYSs3ZnYwNTI2ZUluamg2MW5EdUxpT2dKWTVCTFJGUU9YYnQyTGN2RnhlVzRScU1aSktYVUdJM0c0NWN2WDdaWUpFSUN5dTFldlJwSXJXaDdTeEZ0aE5TM2h0RDZBSEI2c0Q5SFNIbFpBS2VNRW44YXBUaGQyOEV4dE5DOXRZL0FBSmVJU2d1RFhDS2lja3BSbE5NQUVvVVFqZzkrVnNrdVhaemluQjM3M29JeVJBZzBGVUs2Q1FobkFNcURlV3pqSU9UUFJvTnhweU8wRVZuaVZtS3R2Y3lYSmFLS2cwRXVFVkU1RlJnWUdPemo0M01aZ012K09uVWl0RFZyMXRBTDBVSm9NRG9lb3A4aTRQamdVQ09rU0FOdzB3aDVVakdLZFRVY0hBTEVUejlsbG1MMWlZaWVxRElaNU5aczRGWGZ6czZ1UVduWGc4b2ZLWTB4TVplZi9HcFA5SFR4bm1CZGx0NTR2cjdXcGtxOExtZDNWUnR0TTN0RnFIUG42b3pHbEZTRERMK2oxMTJPeU5HSC8xOUt4dVZUR1RuM0greHU1K0hwWFVxMUxwei9MZm1tNFlUeGJ6azZPam8rK21BcUVielc4cGVoTXphMHQ4RVZSUWliREoyeFlWbS9ka3BEV1d4L3k5eUtaeDRlM2g1d2tINEE2cFYyWGFqOEVSSjNkRHI5d0J0WEwwYVdkbDJvWlBDZThDaFMxTkpxbENXMTNhdld0YlBSNnFURXhjeWNuQ09wNlZubk03Sno3aHFOaG1TOVFVcFI1bTczajlTc2FXUHQxLytiWDZWQi9YcGxza09tSENuVWltZTgxZ29pSWVTRE9aK0ZOSmJCOEtuVWxjWDJ0K3pkT096aEFZZ1hGU0dxT0RnNFFLTlJTcnRHVkE0WURVWmtaR2JDS0kxVnRGcE5Rd0JsNWlLang4Ujd3aVBwQVJ6Tk1TQXJTNDlqV1RtNGJaUzJnR0lMZXdjQWdIUHBWcS9Zc2pLekVSK2ZBTmRxVll0OHJsVC9CM0IwZEVqVGFyWDZFcTFjK1hJVGdOVTVqVlc4MXFnWXluTDdXL2FDM0FjcU96dGp5cVQzMGFqaEM2VmRGU29IcnNWY3gvLzc1anZjU1V3czdhclFFOEo3UXVGMEwrMEtsREI3T3p2RTNpajZBbW54Q1FuWXRuTTNVbEpTY2pwMzZ2RGx1K1BHbkhrQzFTc3Y0cERibTFzb3ZOYW9LTXB5KzF0bWcxd2JHeHMwYmV3RkgrL21wVjBWS2djcU96dkR6czYydEt0QlR4RHZDVlJVRjhQQ2NlTm1uUEhrcVRNaDc3MDE5bWhwMTZlODRMVkdSVkdXMjErK2l5QWlJaUtpQ29kQkxoRVJFUkZWT0F4eWlZaUlpS2pDWVpCTFJFUkVSQlVPZzF3aUlpSWlxbkFZNUJJUkVSRlJoY01nbDRpSWlJZ3FuREk3VHk1UlJTQ2xsS1ZkaDVJa1JEbGNHNWFJaUo1SjdNa2xJaXFpckt5c0F2Y25KU1U5cFpvUVVVV2kxei9McTArWFBBYTVoUlFURTRPUWtKQkNINStSa1dGMTM1ZGZmb21EQnc5YWJBOE9Ea1p5Y3JMWnRvQ0FBQ3hmdmh3NU9UbUYvdXp3OEhBc1c3WU1DUWtKaFQ3SEpDSWlBdkh4OFk4OHpzL1BqdzA1UGJOKysrMDN2UEhHRzdoNTg2YkZ2cmk0T0x6NjZxdnc5L2QvWkRtUmtaRm0xMXRtWnFiRk1UcWR6bUxiNmRPbmNldldMWXZ0VWtwY3UxYm8xVnNCQU1lUEh5L1M4UUR3M1hmZjRkaXhZekFhalVVK2w2aW9vcUtpRUJvYStzamo0dUxpTUcvZXZFSzExWHE5SG9WOTBSWVdGbGFvNDRESGEzOTFPaDFlZi8xMTdObXpKOS85UC8vOE0rYk1tVk5nZkVIbW1LNVFTSFhyMXNXTUdUUGc2K3VMSGoxNm1PM0x5c3FDdmIwOUFDQStQaDY3ZHUzQzFxMWI4ZGxubjZGYnQyNW14NmFtcHVMZ3dZUG8zYnMzOUhvOXROcS8vZ21lZSs0NStQcjZZc1dLRmFoWnN5WUE0TkNoUTlEcjljak16SVN0YmVHV3pjdk96c2E2ZGV2UXRXdFhWSzlldlVqZk16dzhITnUyYmJQNGpnL2J1SEVqWEZ4YzBMTm56eUtWVDFRUjJOall3TTdPRHJWcjE3YllkK0xFQ1ZTdlhyMVFEVkhkdW5YeDNudnZZZWpRb2VqZXZUdm16NStQeXBVcnc4M05UVDNtMkxGamVQbmxsL0hXVzIrcDIwNmZQbzB0VzdaZ3laSWxadVVKSVRCOCtIQ01IajBhZG5aMjZuYTlYbyt3c0RBMGIyNitUR3RxYWlwV3IxNk41Y3VYbzIzYnRvWCsvaGN1WE1DMWE5ZlFvVU1IS0FyN1N1akordWFiYjNEbHloWDQrZmtoUFQwZFZhdFdoWjJkSFZKVFV4RWFHb3JnNEdBRUJRWGg3dDI3Y0hkM3g2Ky8vb3FtVFp1cXY1dFhyMTVGU2txS1dabWJObTJDalkwTnVuYnRtdS9EcXNuMTY5ZXhaODhlekprenAxRHQzZU8wdndjUEhvU1VFdDI3ZDFlM1JVZEh3OW5aR2E2dXJ0aTllemZhdG0wTEJ3Y0hBTG5YZFdob0tMeTl2WXYwT2M4U0JybUZwQ2dLZXZic2lhaW9LQURBbmoxN2tKYVdobUhEaHVHYmI3NkJ2YjA5N08zdGtaMmRqWHIxNm1IZXZIbHdkWFcxS0dmdjNyMXdkWFhGeFlzWDRlZm5CMWRYVjB5ZE9oVUFVS2RPSFRScTFBaExseTdGM0xsemtaU1VoRXVYTG1IRGhnMXdkbll1ZEYzdDdPeWdLQW9hTjI1YzVPK3AwV2dLZld6RGhnMkxYRDQ5RzVvM2IxNEhnSHRJU0VnZ2dBcVZsd3prQnJuVzBwUDM3ZHVIVWFOR0lUWTJGdkh4OGFoUm80YlZjdXpzN1BEMjIyL2pvNDgrUXRldVhTR2x4UFBQUDQ4QkF3YW94d1FGQmNITHl3c0FZRFFhb1NnS3RGcXR1dTFoQm9NQmZmcjBRYTFhdGRSdGlZbUoyTFp0R3hZdVhHaDJiRnhjSExadDIxYWtBTmRVYnk4dkw3T0hkQ29kelpvMWUxNUs2UlFhR2xyNFY0M2xpTCsvUDY1ZXZZb2ZmdmdCenM3T09IMzZORFp0Mm9UZXZYdERVUlRVclZzWEhUdDJSSThlUGZEODg4L25XNFpPcDBOa1pDUnExNjZONWN1WFkralFvZXExa0pTVWhLU2tKTlN1WFJzMk5qYnc4L1BEM3IxN3NYSGpSdlg4TDc3NG90RDFMVzc3bTUyZGplKy8veDdlM3Q3WXRHbVQycW0xZS9kdXVMdTdZOWl3WVFnUEQwZm56cDJ4WWNNR0FNRFpzMmR4OXV4WkxGMjZGRzNhdENuUzV6MHJlSWNxd00yYk43RjgrWExZMmRtaFRwMDZBSEovZ1QvODhFUFVybDBiYm01dVNFcEtncFFTenM3T0dETm1USUhsNlhRNjdOaXhBOHVXTFVPZE9uVXdmZnAwOU92WHoreVlmL3pqSDRpSWlBQ1FHMGpQbURFRFRrNU9DQXNMSy9SRm95Z0tkRG9kTWpJeTRPam9hTGJ2OE9IRCtPYy8vMWxnNzhzTEw3d0FYMS9mQWo5ajc5NjlmRlZKVmltSzBrcFJsSjk5Zkh3dVNTbFhTQ2wvU1U5UGo0K01qRXdIWUNqdCtwV2tlL2Z1b1ZxMWFnQ0FNMmZPSUNVbEJiMTY5Y0x0MjdjeFk4WU1MRm15cE1DSDFQYnQyK1BUVHorRlZxdFZnMFlwSll4R28vclFhYnFPSjB5WWdMRmp4eGI0TVBvMHhnWXFpbUtSV2dVQU4yN2NRRXBLU3JFZXNLbDROQnBOSjBWUjF2cjQrSVJKS2I5VEZPVlFlbnA2d3VYTGw5TUJsT3ViOU0yYk43RjI3VnFzV0xGQ2ZXalRhcld3czdQRDRNR0QxZVBDd3NJd1lzUUliTnUyVFcycjgvTDA5SVNucHljQVlQUG16V2I3cWxTcGdpcFZxcWgvUG5Ub0VGNTU1WlZpMTdtNDdlKzZkZXZRczJkUGZQREJCd2dQRDhmS2xTc3hiOTQ4K1ByNlFxL1hZL3o0OFZpelpnMjh2THl3YU5FaXRHL2YvcEh0TkRISUxWRHQyclV4ZS9ac3pKa3pCdzBiTmtTblRwMEFBRk9tVEVGS1NnbysvdmhqQUNoMGI4YXVYYnZRdjM5LzFLbFRCd2tKQ1dqVHBnMGFObXdJZzhFQVB6OC9wS2FtUXF2Vm9rcVZLbGkxYWhVQ0F3TUI1QWFVeDQ0ZHc2SkZpOUNxVmF0QzF6OHNMQXl0VzdkVy8renY3NC9wMDZkanlwUXBHRDU4ZUw3bkdBd0dYTDE2RmV2WHJ5K3c3T1RrNUh4ekJjbTZwS1FrTEYrK0hMLzk5aHVTa3BKUXMyWk45Ty9mSHlOSGppeFVEN3BlcjhlbVRadXdaODhlM0x4NUV5NHVMdWpjdVRNKytPQUR1TGk0V0QwdkxpNE9YM3p4QlpvMWE0WkpreVpaN0w5eDR3YjY5KytmNzdsZVhsNW1QUnBGSllUd0ZFSXNrVkxPZEhaMlB1UGo0M1BPYURRR0tvcHlQREF3TUs3WUJaZUNXN2R1cWJuMDE2OWZ4NTA3ZDdCbXpScHMzYm9Wcjd6eUNpWk9uSWlsUzVkaTVzeVpzTEd4UWUzYXRkR2xTeGU4OTk1N21EMTdOanc4UE16S08zLytQSm8zYnc2dFZxcys3Sm9DMU96c2JQajYrbUx1M0xsbTV5UW1KbG8wbkE5N1d1a0REK2NwWm1WbFlkcTBhVWhLU3NMbXpadFJ1WExscDFJUHlpV0VhQ3lFK0ZaS2VkL1IwZkcwdDdmM2VTbGxzRTZuT3hZV0Z2Ym9nUlpsVEZwYUdwWXZYNDdGaXhlamV2WHFXTHQyTGVyVnE2ZStxcy9MWUREQTFkVlZEWEFqSWlJUUhSMzl5TFM3aDhYSHgrUENoUXVZTjIvZVk5ZS9LTzF2ZUhnNHJsMjdoamx6NWlBbkp3ZGVYbDY0ZWZNbURoNDhpTmRlZXcxcjE2N0ZtREZqMUxjM2d3WU53cHR2dm9sRGh3NFZlTzhuQnJtRk1tTEVDTHo1NXB2NDVaZGZZR2RuaCtUa1pIejExVmZxL3NJMEttbHBhZmp4eHgvUnFWTW5yRisvSHVIaDRXalVxQkVtVHB3SUh4OGZEQmt5QkVJSTlSZjJ6VGZmeE96WnM0dVVFdkRWVjE5aHlKQWhBQUI3ZTNzRUJ3ZXJGOW1KRXlmdy9mZmY0OXR2djBYNzl1MnRscUhUNmRDbFM1ZEhQaUVLSWRSOHhNREFRRFJ0MmhRMk5qYUZydXV6SmlrcENhTkdqY0tOR3pmUXFsVXJ0Ry9mSG4vODhRZVdMbDJLNk9ob3pKdzVzOER6cFpTWU5tMGFBZ0lDMEtCQkEvVHExUXVYTGwzQ3pwMDdFUlFVaEhYcjFsa0VQM2Z1M01IR2pSdXhiZHMyNU9Ua29GbXpabGJyQnVUMjROZXZYOTlzWDM2OUlrVWxwWVFRd2dWQWR5bmxQeFZGU1FGdzI5dmIrNnlpS0J2UG56L3ZqM0xRNDFTelprME1IRGdRTGk0dVdMMTZOYUtpb2pCbXpCajFEYzQzMzN5RHZuMzdtdVc5amhneEF0ZXZYOGNiYjd5QjExOS9IVjI2ZElHUGp3KzBXaTAwR2czR2p4K1B4WXNYdzhYRkJTZFBubFNEWEkxR2c2dFhyNkp1M2JwbWRkQm9OR2E1dGs5VGFHZ29qaDQ5aWdrVEpnREk3Y0crYytjTzNOemNrSjJkalgvLys5OW8wcVFKSms2Y0NDY25wMUtwNDdQdXdiVldGVUJQQUQyRUVDbjI5dllKUGo0K3B3QnNDQXdNREVBNXVOYUEzTTZkNmRPbm8xS2xTcmgzN3g1Ky9QRkh2UG5tbTJqUm9nWFMwdEl3YTlZc3VMdTd3OUhSRVhGeGNjakt5bEk3WitMaTRwQ1ptWW5telpzWG1DNzBzRDE3OXFCaHc0WkZ6cVVGaXQvK0ppVWw0ZkRodzVnMWF4YUVFQmc5ZWpRR0RScUVrU05Ib2wyN2RnZ0tDa0xUcGszeDhzc3ZxK2Q0ZUhqZ25YZmU0WFZXQ0F4eUM2RisvZm9ZT0hBZ25KeWM4SC8vOTMrWU9uVXFOQm9ObGkxYmhqNTkrdVFiNUlhRWhPRGN1WE5xQTdobHl4Yjg4NS8vUkkwYU5lRHI2NHNSSTBiZ3d3OC9SRVJFQkpvMGFXTDJ1cVF3OXU3ZGkvUG56Nk5telpxd3NiRkJWbFlXdG0zYkJpY25KM1d3VzBwS0N0TFMwdkRISDMvZzdObXpXTDkrUFNwVnFtUlIxcTVkdXhBZkg0OUtsU3JCYURUQzF0YjJrVDI1UU80TklTc3JDMzUrZnVqZXZUdW1UWnRXcE8vd0xQbjY2Njl4NDhZTlRKNDhXWDJBU0U1T2hxK3ZML2J0MjRjQkF3WVVPSGpnd0lFRENBZ0lRT2ZPbmZHLy8vMFBXcTBXUnFNUm4zenlDWTRjT1lJdFc3WmczTGh4NnZFTEZ5N0V0bTNiWURBWTRPWGxoZkR3Y0t0bG0xNDdEeDQ4Mk93VllFbktNNHBaQVZBRlFCVkZVVjRFTU56SHgrY21nSTFTeXExWldWbXhlcjArTFRJeU12dUpWT1F4bVI1Q2c0T0RZVEQ4bFhXeGMrZE91THE2cW8yY2lSQUM0OGFOUSszYXRiRnExU28xS1BUdzhFQ0xGaTNnNk9pSUZTdFc0Sk5QUGtGY1hKd2E1SnJ1S1lVZGJQcXdIVHQybURXQUdSa1p5TWpJd0pvMWE4eU9lM2d3amtseWNqSVdMMTZNeXBVcm8yclZxZ0J5WjVSSVRFeFVlNTNidDIrUEhUdDJZUGp3NFpnL2Z6NkdEeDllNEFNMFBSMzVYV3RDaUpjQWpIcHdyYTNSNi9YYmpFYmp6ZXpzN1BTeWVxME5IVHBVL2ZucnI3OUd1M2J0TUdIQ0JQeisrKzl3Y25MQzU1OS9ydTQvYytZTVFrTkRpL1Q2L3RDaFE4akl5RkR6M3pNek03RjE2MVlrSnlkajE2NWRabm54RHl2SjlqY3BLUWtmZlBDQmVzMW5aMmVqV2JObWVQSEZGd0VBN3U3dW1EbHpKckt6czgxaWpZWU5HMkwwNk5GNDc3MzMwS0ZEaDBKLzcyY05nMXdycEpUNDRZY2ZrSkdSQVhkM2Q5U3JWdyt6WnMxQ1hGd2N1bmZ2anNEQVFEZzZPaUlvS0FoQWJtK21ScU5CVmxZVzl1L2ZqKzdkdTBPbjB5RWlJZ0sxYTlkRzE2NWQ4Y2NmZitUN1dYWjJkc2pLeWpMTGNkUHI5YmgzN3g0U0VoS3dmLzkrdUxpNFlOQ2dRZXIrdm4zN29tL2Z2dXFmQXdJQ1VLMWFOYno3N3J1SWpJd0VBSFRvMEFHZmZmWVordlhyaHhrelpsajlydDI2ZFlOV3E0V0Rnd051M2JxbHp1eFFrUGo0ZUZTclZnMjJ0cllZUDM3OEk0OS9XcVNVc05YSSt0N2UzbDFLdXk0bWFXbHBPSERnQUdyVnFvV1JJMGVxMjExY1hEQnUzRGpNbkRrVCsvYnRLekRJOWZQekF3RDg2MS8vVXROakZFWEI1TW1UY2VUSUVlemR1OWNzeUkyS2lrS3JWcTB3ZnZ4NDNMMTdGNTk4OG9uVnNrMDl1YVpncGlDRi9YdFZGS1dwNmVlOE9hSjVwK3d4L1N5RXFBM2dFeUhFSkFjSGh6QUFRZDdlM3VmMWV2M3hzamlZUnEvWEl6ZzRHSFoyZHBnOGVUSmVlZVVWMUs5ZkgvSHg4Zmp1dSs4c2dzdmR1M2RqM3J4NTJMVnJGMXhkWGMwYXFuSGp4aUV4TVJGcGFXbG1PZTZtbjR1VFg2dlg2ekYwNkZDemdhK0ppWW5ZdTNldnhiaUJ1TGo2aGFvbkFBQVZjRWxFUVZRNDdOeTUwNklNRnhjWC9QZS8velhiZHVqUUlZd2NPUkwxNnRVREFMaTV1U0VvS0FnYk5tekF4eDkvWE9RSDlhZWxMTjRUU3BJUXdqUFB6K3IyQXE2MS8yaTEyaWtBUW0xdGJTOTRlM3VmRjBJY0RRd01MUHc4V1UvUnlaTW5jZnIwYWZVZXFOUHBvTkZva0pTVWhQdjM3Nk5CZ3diSXpzNVdId2l6czdOeDVNZ1I5T3JWU3kwak5qWVdxMWF0UXZYcTFSRVhGNGZqeDQvRDA5TVRXcTBXMmRuWnNMT3p3NDRkTytEaTRnSjdlM3U4OU5KTHVISGpodFUzV1NYWi9qNmN4aVNFZ0sydExRSURBN0YrL1hvc1dyUUlJU0VoNk5peG8wVjlVbEpTMUptZEtIOE1jcTBRUXVEdHQ5ODIyN1pyMXk3WTJkbmhqVGZlTU51K2FORWl0RzdkR3I2K3ZraE1UTVRPblR2eHdRY2ZtQjNUc0dGRG5EaHhRczJ6dlh2M0xuYnMyS0hPYVNtbHhQNzkrK0hrNUlTcVZhc2lLeXNMRVJFUlNFbEpRYjE2OWRSa2Rtc3BBYi85OWh1NmQrOXVsdHZacGswYkxGKysvSkc5SzNrSHhTeGR1aFEyTmpaNDRZVVgxRzNoNGVGd2RYVTFtOWJveUpFamVQNzU1ODJlcHNzQ0FjRFJWak5JVVpUODM4Mlhnck5uejBLdjE2TlRwMDRXUVl2cENkejBlNUdmNU9Sa1hMeDRFUTBiTnJTNHlkV3BVd2YxNjlkSFRFd01FaE1UMWNCbTBhSkZhdTdhcjcvK1dtRDlURUd1YWZCVVFSUkYyZkxJZ3dCSUtlM3lDOUR5YTRUek5NQU9Rb2hXVXNxV2lxSU10N0d4U2ZEeDhRbEx6ellFNXNpeU0wM1Z1WFBua0o2ZWp2cjE2K1B2Zi84N0ZpMWFoRjI3ZHFGeDQ4WnFyMDdlUUhmbzBLR1FVdVliQlByNCtBRElEU0NiTld1R0sxZXVBTWpOTVN6T3EwaWowUWk5WGwvaUtRMjNidDFDVkZTVTJkUkdBTkNwVXlka1ptYVcyUUFYS0p2M2hCSm1tYVNLL0IrUThseHJqZ0RhU2luYktJb3lYRW9aNytQakU1S2ViUWd0UzlmYS9mdjM4Y1VYWDZCang0N3FXNVQwOUhRNE9EZ2dMUzBObzBlUHhyaHg0NkRYNjlHNmRXdXNYNzhlZCs3Y3djNmRPOUc4ZVhNMXBhNXUzYnFZTldzV2dOejJyR1BIanVqZHU3ZjZPU2twS1ZpM2JoM216cDJMMmJObkE4aWQxZVRJa1NNWU9YTGtJeDgySDZmOXZYWHJGcjc3N2p1NHU3dkQyZGtaTVRFeDJMMTdONnBXclFvZkh4L0V4Y1ZCVVJUVXIxL2ZJbjNSMXRhMlVQZnRaeG1EM0dLNmNlTUdEaDgrakRGanhxaFBsbzhpcFVUTGxpM2g2K3NMZjM5L0RCbzBDTEd4c1pCU3dzSEJBV1BIamxXUC9mSEhIOUd1WGJ0QzVlUm1aV1hodDk5K3d6ZmZmR08yWFZFVWRPM2FGYXRYcjhiNzc3OWZxTzlsYTJ1THBrMmI0dlhYWDFlM1RaOCtIUzFhdERDYjh6YzJOcmJzanFDV1FpT2xMRE9QdDFldlhnV1EvNVJycnE2dWNISnl3bzBiTjlUcG9SNW1tcmJPMnUrQ2g0Y0hZbUppRUJzYnF3YTUrUTNPc01ZVTVHN2V2Qm0vL1BJTEtsZXVqR2JObXFGang0NFdneXFMOFBkYTVBVHRCL21FcHA4VkFJNEFLaXVLWWx1VzVtTTRmUGd3K3ZYcmg4aklTTHoyMm12WXVYTW5EQWFET3RBcU9EZ1lsU3BWVW52bXo1dzVnL256NTJQTm1qVnFMK2pEVHAwNmhXN2R1cWxCU0ZaV2x0bkRaMkZuTWpITnpWdlN2VHVIRGgxQzI3WnRMUnJVWHIxNlllalFvZWpWcTFlaDNnU1VtakoyVHloSlFvaVN1dFpjeXRLMVpqQVlNR2ZPSEl2QjF1bnA2WEJ5Y29KR280R0RnNE5GaWtKa1pDUU9IejZjN3h6VzFpeGV2Qml2dlBLSzJUUmNyNzc2S2hZdlhveVBQdm9JYytmT3RUcmc4M0hiMzVvMWErTExMNzhFa0hzZk1CcU42TisvdjFrUGIxR205aVJ6REhJTGtKaVlDRDgvUDdXeHVYanhJaElTRXJCKy9YcmN2MzhmYVdscENBOFBSM0p5c2pxb3A2QVZWS3p0SzB3RFppMEFBbkp6WTE5NDRZVjhCeFlOR2pRSWd3WU5RcmR1M2RRY240Sm90VnFjUEhrU3FhbXA2cmJvNkdnY1BYb1VzYkd4NnJZclY2NVluYWV6TkVrQUdUcjl0a3EybWk5THV5NFBCTnk1Y3dkQTdtSWYrYWxhdFNwaVkyT1JtWm1aYjg2VzZYeHJUK3ltN1huL3pZckNGT1FHQkFTWWJmZnc4TUNpUll2TWJyWlNTdXVKYW5rb2l2STNBTE1mM203dEdualE0R1pLS2NNQUJFa3BBL1Y2L2UraG9hRWhIcDdlWFNEd1ZyNG5QbVhKeWNtNGVmTW1oZzBiaHNqSVNDaUtnbFdyVnNGZ01PRGt5Wk5vMzc0OTJyWnRpN0ZqeDJMTm1qWFFhcldJaUloQW16WnRyQWE0S1NrcFNFMU5oVWFqVWU4RjhmSHhabWxEaFYzcTg5NjllMUFVQlZ1Mm1IZTRaMlJrSURNejB5TFh2akMvTTNxOUhsdTNibFViNHJ6czdlM1J0MjlmZlBYVlY1Zy9mMzZoNnZpMGxjRjdRa2w3UlFoaE1TQ2lvR3ROU3BraHBid0lJRVJLR1NpbFBCb2NISHl4TEYxcjY5YXR3OWl4WS9Ibm4zK2FyZUtYa3BLQzU1NTdEa0tJZkgrbjc5NjlXK2pQU0VwS1FuaDRPSzVmdjQ3dnYvL2VZditFQ1JNd2JOZ3dmUHJwcHhZTHI1aVVaUHU3ZS9kdUFNRHExYXZSc21WTHZQcnFxMnBIdzk2OWV5M2FrUHltOFNOekRISUw0T3JxaWdrVEppQW9LQWpObXpmSDd0MjdFUllXaG43OStwbTlucnR6NTQ0NkdyT2dJRGZ2dkpkNVpXUmtJQzdPZkRZbG5VNkhPM2Z1d05IUkVTa3BLZmppaXk4d2MrWk1kYTYvdkdWdTNyelo2dWg4SnljbmpCa3pCdE9tVGNQNjllc2YrUXBVcjllamZmdjJaajI1VjY1Y1FaY3VYY3g2Y3VQaTRzd0czcFFWUWdqb0RJZ0pDZ282V3RwMU1jbkt5Z0pnZlJDUjZkV3l0U25aVE9kYmV3VnRLcmNvU3ovbk5XblNKUHpyWC8rQ3JhMHRrcE9UY2VYS0ZheGN1UkpCUVVHWVBIa3l0bS9mcnFiSkZQYnYxZHZiMjhYMFVQYUl3QlpTeW5ncDVUYUR3YkFkUURTQSt5RWhJZW5GK2pKUDJLNWR1ekJwMGlUY3ZuMWIzV2JxTmQreFl3ZDhmSHhnYjIrUGF0V3FZYytlUFJnNGNDQWlJaUxRdFd0WGk3SnUzTGdCT3pzN3JGaXhBazJhTkFId1Z6QWJGeGVuUGx5WUZuOEFjcS8zZ3FidVMwaElRTDE2OVN4NnR4SVRFL0h6eno5YmJEY3RCbEdRZ3djUDRvVVhYckE2MmZ5d1ljTXdZTUFBYk4rKzNleStVVmFVeFh0Q1NmTDI5cTZmNTFySzk1aUhyclZOVXNxZFVzb1lLV1ZTV2J6V2twS1MwSzlmUDdpNnV1TFBQLzgwMjVlWW1LaTJnOVo2Y2c4ZE9sUmcrVkZSVVZpNWNpVWNIQnh3NnRRcExGbXlKTitwUUcxdGJURmx5aFJNbkRqUkxCM01wQ1RiMyt2WHIrUEtsU3VvVTZjT1JvNGNpY1dMRitQbzBhTnFjTjIzYjErTHQzbDc5KzR0OEhzU2c5eEh5czdPeHVUSmt6Rmh3Z1Mxb1E4TURNU3BVNmN3WmNvVWFMVmFSRVZGcVJkZFFVR3VhY0NLd1dCQTU4NmRjZURBQVVSSFIwT3IxZUxnd1lPd3NiRlJCNmJremNrRmdMRmp4K2E3cnIyZm54OWVldWtsdEdqUnd1cm5EaGt5QkFjUEhzU1VLVlBVMWRtczBlbDBPSDM2dE5tU3BOZXVYY094WThmTUF2R0lpQWl6dkYyeXp2UmdZKzJod0JTMFdQdDNNZDE4aTN2K28rUjlMVjYxYWxXMGE5Y09QajQrOFBYMVJVUkVCSTRmUDU1dmtGWVVlUnBaSTRCTUlVU3lsUEljZ0I4Q0F3UDNvUnhNYTJSYXZjekx5d3Z4OFpiVGp0YXNXUk5idDI3RjZOR2o0ZW5waVdQSGpxbEJibjY1NjJscGFWaTJiQm44L2YyeGF0VXFBRUNEQmczZzVlV0ZiZHUyb1dYTGxnQ0F6ei8vWEUyRjBPbDB5TTYyUGhnK0tpb3EzelNpNGk3Y2twR1JnVldyVm1IQmdnVldqN0czdDhlTUdUTXdaY29VdUxxNm9rdVhDam0rcTl4NCtGb0RrR3cwR2s4TElWWUZCZ1llUWptNDFncks4YjUrL1RyNjlPbFQ1RUdadDIvZnhzR0RCeEVURXdNZkh4OE1IRGdRcTFldnh0eTVjd3RjcktWRGh3N28xNjlmdm0vaVNyTDkvZWFiYi9ENTU1OWo5dXpac0xHeHdjeVpNOVhycnFDNGdnckdJUGNSRGh3NGdHYk5tbUhJa0NIWXRXc1hBS0JyMTY0NGN1UUk1czZkaTRFREIrTEZGMTlVbjlBSyttVnMyYklsQmc0Y2FEYUFxMCtmUG5CM2QxY1htakQ1OGNjZjBiNTllelJxMU1ocWVmSHg4ZGkzYjErK3IxbnlVaFFGYytmT3hZZ1JJL0RPTysvZ3E2KytzanAzWU0rZVBlSGw1V1gyeEdwYVNqQnZUMjZQSGoxdy9mcDFHQXdHNWdzOWdpbEFzVFpkVTFKU0Vod2NIS3plL0V3M1lHdXZwa3pwQnRiU0lZckQxdFlXUFhyMFFFUkVCQ0lqSXg4cnlIM3dlalFad0JraHhGa3BaYURCWURnWkhCeHNmY0g0TWtpcjFhcHIxK2NYTkhwNmVtTExsaTBZUFhvMEdqVnFCTDFlajhqSVNOU3RXemZmZkZWUFQwL01talVML3Y3KzZuS2tZOGFNUVU1T0RzNmNPWVBCZ3dmamh4OSt3T2pSbzlWejVzNmRpNWRlZWdtblQ1L090NDVuenB3eEcxQmpZalFhaTlWUUxsdTJEQ05Hak1CTEw3MVU0SEVkTzNiRTBLRkRNWFhxVkh6ODhjZFBiQ282S3RpRGErMitFT0kwZ0Q4QkJHZG5aeDh2ajR0QjVFZEtpWmlZR0RSdTNCaDM3OTdOZDFxOGUvZnVXWnczYmRvMEhENThHTDE2OWNLYU5Xdmc2dXFLMjdkdlkvTGt5WVZhekNtL1pYMUxzdjMxOS9kSGl4WXR6SUpsTnpjMy9POS8vd09RZS8weVhhRjRHT1FXUUsvWFk5KytmV1lMUDVpODg4NDcyTDU5T3padjNtdzJkVk5Cci9CTnIvc3lNek1SRlJXRnExZXZJakV4RWJWcTFWSWJUeE1wNVNON2hSY3NXSUJaczJZVmFoUjJyVnExc0dUSkVreVlNQUdEQncvR3lKRWo4Y1liYjVpdGxySmx5eGJFeGNVaEtpcks3Q2s1djU3YzlQUjBIRHAwQ0FNR0RNQ29VYU1lK2ZuUE1sTXVablIwdE1XK3BLUWtKQ2NubzJuVHBoYjdURXdMTk9SM1BwRDc3Nk1vaXNWVU5JL0xOTkRpY1phSmxWSkdDaUhXQVBBM0dBelhRMEpDN2dFb1hJSnBHWlAzd1MrL29MRmV2WHBxVG5XM2J0M1FyVnMzckZ1M3JzRDVObS9lekkzejh6N2dyRjI3RnErLy9qcTh2THh3OWVwVnZQLysrMWl5WkFrY0hSMEx6SVBQeXNyQ3BVdVg4czJOMWV2MStRYm1CZDFqVHB3NGdaeWNuRUlIckpNbVRVSkNRZ0xtejUrUHc0Y1A0KzIzMzdhYTRrQWx6MmcwWGxZVVpiWFJhRHlzS01xTndNREEreWluMTVvMUZ5OWVST3ZXcmRXM3FvNk9qaGJUNHBrR251VTFaTWdRREJvMHlPejMwZDNkdmRqMUtNbjJOelkyRnRIUjBYam5uWGNBNVA4QUxhVmt1a0l4TWNndHdMWnQyekJ4NGtSa1oyY2pMUzBOeWNuSmFvTmZwMDRkdEd2WERoY3VYREM3Y0V4cnpqL3N3b1VMV0w1OE9XSmlZbEM1Y21WMDdOZ1JuVHAxd3F1dnZwcnZnREtEd1ZCZ3dMeDY5V3BNbkRnUkRSbzBzTmlYbkp5Y2I1bk5temZIaWhVck1HZk9IRFJvME1DaUIzYnc0TUg1UHRYbTE1TUxBTys5OTU2NnZ5d09RaXNyVEt2ZS9QNzc3K3BxVVNZblRwd0FBUHp0YjMremVuN2R1blhoNXVhR3NMQXczTDkvMzZ4WDBEUzFVNnRXcllvMG8wSmhtSExoaXBPV290Rm9BdlY2ZmJ2ZzRPQ3p5QjM3VTZGSUtTMEdnelZ0MmhRTEZ5NDAyM2IxNmxWMUNjOFRKMDdBeTh2TGJBQ2hhZXE0ckt3czJOdmI0OWRmZjBWQ1FnSSsrK3d6QUxsdmVqWnUzSWhWcTFaaDh1VEp1SFRwRXVyV3JhdU9NTS9yeUpFajhQWDF6WGVhUWFQUnFONVAwdFBUY2ZIaVJUZzdPeU1vS0NqZmF6NGlJZ0pYcmx6QnA1OSttdS8zeis4ZW85Rm9NSHYyYkZTdVhCazZuWTdMalQ0bGlxS2NNQmdNTFlPRGc2M1BRMWlPNVgwUU8zRGdBSVlOR3dhZzRCU2NoeC9lVEtrL2hmV284U1lsMmY3ZXUzZFBEWEJObi8xdy9Rc2FlRnJZUWFuUEtnYTVWbVJsWmNIVDB4UGUzdDY0ZXZVcWxpeFpnaU5IanVEZi8vNDNnTnplczlPblQyUHk1TWxtNStuMStueHo1anc5UGRHNGNXTjgvdm5uaFZwbVVLL1hXeDFJbEpTVWhDRkRocGpsTFNVbEpXSDc5dTBJQ0FoQVRFeU0xVW1zbXpScGdrMmJOcG4xem9XRWhLaUxXdVFudjU3Y3ZQdDI3OTZOTDc3NFFsMEppY3pWcTFjUExWdTJ4UG56NTdGNzkyNzA3OThmUU83TmNPWEtsYkN6c3pQcjdUUDlidlh0MnhlT2pvNFFRbURBZ0FGWXVYSWxsaXhaZ3YvKzk3OFFRc0JvTkdMeDRzVUF6RmNIS3Fwang0NmhRNGNPWnNIT1R6LzloSUNBQUxpN3V4ZHJOWjF6NTg1ZEIzQzkySlVxNC9JT0FOdXlaUXV1WGJzR056YzNpd2RIblU2SERSczJ3R0F3d04vZkh4NGVIdmp5eXkvVlFZUStQajdvM2JzM3BKVFl2bjA3c3JLeTFBQVh5TzFGZit1dHQ5U1pUVEl6TXpGcTFDaEVSMGVyODNrQ3VRM2pxVk9uck01YnJkZnIxYlFaT3pzN2FMVmEvUERERHpoNjlHaStEMWcyTmpZV1BXVEhqeC9IZ1FNSEVCd2NqUGo0ZUl3WU1jTGlQSzFXaTA4Ly9kUnNpaXA2c3M2ZlB4OVoyblY0a2t4QlhFWkdCaFJGVVR0VWpFYWoxZGtWQ2hxY1daalBLMmdRYjBtM3Z3L244K3AwT25Xd3NZbkJZTENhcmxEY0FjZlBDZ2E1VnRqYjI2dFBmeSs4OEFJV0xGaUFmZnYyNGRWWFgwVnljakl1WDc2TUR6LzgwT0k4alVhVGIwNmNqWTJOeFFJUkJXbmV2TG5WMXluNUplVlhxVklGYjczMUZ2cjI3WXVQUHZvSTA2ZFB0MXIydzQzUGl5KytpRXFWS3FGMjdkcjU1b1UrYXFuRXNyWWdSRmswYmRvMGpCa3pCck5temNMaHc0Zmg1dWFHUC83NEE0bUppZmpQZi81amxxZjkrZWVmNCtMRmk3aDc5NjQ2djZLdnJ5OENBZ0t3Yjk4K1JFWkd3dFBURXhjdlhrUkVSQVI2OSs3OVdEbXpTNVlzd1pkZmZvbVdMVnRDcTlYaTh1WExpSTZPaHBPVEUrYlBuMS9pQ3d0VUJEWTJOdXBDRHRiZWdEenNyYmNzWjJZeUJiMkJnWUZvMTY0ZDZ0YXRhM0ZNM2pjb1BqNCtXTDU4T2ZidjM0OVhYbmxGM1g3cDBpVk1tRERCYWozcTFLbUQ3ZHUzQThnTlJGdTJiQWtmSHg5OCsrMjNhcy9Zdy9WNldNZU9IZEd4WTBjc1diSUUyZG5aNk55NXM5WHZ5Z0NYU29xdHJTMDhQVDF4NnRRcGk5VTFlL1RvWWRFK1hiOStIV2xwYWNYK3ZBNGRPcWdwWXZrcDZmYjNZVzNhdERGckQ0RGNKYlJIang1dGtkdnY0dUtTYjI4eS9hWE0zWWtlek5PM3krMjU1NnA4di9UL3djZTdlV2xYaWNxQnNQRExlR2ZpUjdoeE15NExVZzY0ZGpua1lHblhDUUJrbnZkT1VWRlJXTHAwS2M2ZlB3KzlYZzlQVDArTUdUTUdIVHQyTkR2bjY2Ky94bzRkT3pCMzdseXpmYW1wcVZpMmJCbU9IRG1DbEpRVTFLbFRCd01IRHNTYmI3NXBkUTVsSUhmRnMwOCsrUVNqUm8zQ3BFbVRMUGF2V2JNRysvYnRRMXhjSEl4R0kxeGRYZEdoUXdlTUhqM2FZa0oxVVFyUkMrOEpWQnhsOVo1UWx2RmFvK0lveTljYWUzS0pucExubjM5ZVRTOG95T1RKa3kzU1lJRGNXUmFtVFp1R2FkTXM1bjB2VUxkdTNYRHUzRG1yKzhlTUdXUHhhcHFJaUtpOEt6dUxWQk1SRVJFUmxSQUd1VVJFUkVSVTRURElKU0lpSXFJS2gwRXVFUkVSRVZVNEhIaEc5QVNWeG13RVJFUkV4SjVjSWlJaUlxcUFHT1FTRVJFUlVZWERJSmVJaUlpSUtwd3ltNU9yMCtrUUdoYU9iSzdMVElWd0xlWTZzclA1dTFLUjhaNUFSY0Y3UXZIeFdxT2lLTXZYV3BrTmNsTlNVN0Y0NmZKQ3JRbFBwRGZva1pLU1d0clZvQ2VJOXdRcUN0NFRpby9YR2hWRldiN1d5dHh2Y0k0MDNyS0ZTREFDdUorY1hOclZvWEpHQ0pHaTE4a2JwVjBQS2ptOEo5RGo0RDJoOEhpdDBlTW9pOWRhV1p6ZVNLbmoyYXlKRnByblNyc2lWUDRJbys1KzlKV0xGd0FZUzdzdVZHSjRUNkJpNHoyaFNIaXRVYkh4V2lN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1mTS93Y2JxMkFROC9ybTRRQUFBQUJKUlU1RXJrSmdnZz09IiwKCSJUaGVtZSIgOiAiIiwKCSJUeXBlIiA6ICJmbG93IiwKCSJVc2VySWQiIDogIjI0MjAxNzg4NSIsCgkiVmVyc2lvbiIgOiAiMTUiCn0K"/>
    </extobj>
    <extobj name="ECB019B1-382A-4266-B25C-5B523AA43C14-2">
      <extobjdata type="ECB019B1-382A-4266-B25C-5B523AA43C14" data="ewoJIkZpbGVJZCIgOiAiMzk2MzUzMjMzMTI5IiwKCSJHcm91cElkIiA6ICIxMzgyODY0OTEiLAoJIkltYWdlIiA6ICJpVkJPUncwS0dnb0FBQUFOU1VoRVVnQUFCQ01BQUFGMENBWUFBQUFaL1BNZ0FBQUFBWE5TUjBJQXJzNGM2UUFBSUFCSlJFRlVlSnpzM1hsY0ZWWC9CL0RQbWJuQVpSRlEzRkJBTGMxY2MybXplaDVOZlZKQmJIV3RMSmMweTh4U0s4M3EwZExNMUxSSGYrYVdhVmJta2dzcWFacTdwbWFhcVdndUlDQTdzcS8zM2ptL1A2NWNRVURCZ09IQzUvMTY4U3JQblR2em5lSE9mQS9mZStZTV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M1F1Z2RBQkhkbWVqQXdNNEFVTjlzL2swRUIrY0FRR1N2WGo2cXdYQzNVQ3pYdnRxMDdjeC9BUTBBcnZicDlhZ2lEUVpGaUhQMU5tK09CWUNvd0M2MW9ibTJFSXFTZlMwdExhVFZuajNwMW1WN05sZWtRMzBBQ2Q1QlFXZXN5M1owRVdqUUNvQ0xSTnFaQmtGN0VnQWd0aytmZXBxVTkyckNiRzY0T2ZnZ0FQd1hVRVlHQnJZQVVGdktyTkFHVzNhR0E0RHMyMWVOeWM1K0RBQzhnNEwyNXUxSDdGTzk3dFlzQmg5VnlxaTZXN1pjdUhuL1JFN083L1YzN01nQWdQQSsvMm5nSUkzTkZDbVRFeTVmRG1sMTltd3VBTVE4NmYrUTFGU2pnNVFYYTIvWmNoVUFJbnIwcUtVNEtTMVVJY3hwdVRLa1dYQndLZ0RFOXVwMXQyWXcrQ2hTSnRmYnN1VlBBQWp0MHNYbzVPcmFTaWlLVzdiRmNyN0p0bTB4QUJENWREY3YxZXpTK3VhWW93SUNXZ2hGcVF2VmRNVjc0ODloTjhlY2Y5bVl3TUFtRXZDVG1oYlhZT3ZXa0gvd0s2ODJwSlFOQVRUVE93NnEwaTRKSVNMMERxSTZ5THN1T21WbG5heTFjMmNLQUZ4ODRvbTZyazVPTGFTbXBVT0pDV2tRZER6eityS3RBTlRHVGZrSFd2MFdRbEhjTW5KeVFwcnUyQkVIRkg5OWp1L1RzN2xaT3RRWFFIajlvS0RRbStNb0xtZUdwR1NHUEw1bmp4bTRrVk9reFJMV1lOdTJLd0FRK2xRWFR4ZXpXd3V6WWxGeWxhd3pUVGJ1U1FhQUtILy9Sa0pWR3d2RmtsMS8wN1lqQUxDN1N4ZERDdytYRmxKVGExbk01a3Mrd2NHUlFQRjVzTGc4a1JlenhaQjUybWZEcnNUOHh3NUFwa1RVbWJ4alYxenV6anQyK1hQYnRlN2RQWEtjbmRzVmQrd1UxUnhaYjJQd3BUdjluVlBsd2I0aSs0cVZuVUh2QUlqb0RnbHROUUJjQXg0QUVBa0Fpb1BhQzlDbWFsTHNmcjVYcnlIL3ZaNTRGS0V1QXpRUFRjbzNBYXl4dnQvbGZtSEFRaWxsWkswYVRxOENPQU1BQW9aUkVGcC9DQkVNWUNnQVdFVHRCaXJrSEFIWkZIQVpBdUJuQU5Da3VUT0VtS2NJTlFYQXZRRHdmSzllRG9BMkhnSTloVEJPQXpBZkFLNmxwN3ZDUVZsOVBYcnZ2TjNRek1wTFVMUlhMRUt1QlBEdXpmc25uVVQzdk5nY05FTjNLTnBubXNDaFdvMGF2WXF6WitNQlFFcmxmeENhYjY0UUh3SllBZ0FHZytFK1FDeVVFcWt1S2w0RjhBY0FhSTdLWUVodGhFWGdFSUJuQWNEUjBiR09vbUtHaE5iYVVaRmpBZndJQUlyRjZRRUliZm5OTVF0VmpBRzBwMkJSWndPWWRYUE1CZllQMmlBaE1GcW9ZaU9BVVNYNHpWWnJVa29mQUlzQWROQTdGcXJTemtrcGh3Z2h3bTYvS1AwajE2K0xKcVB4R1FDSEFjRE55ZEJKQ3UwclJjVnBFMnFQQW5BUkFLREljWkN5MTgzNXgrSDY5ZG5OeWZBcWdFMUE4ZGRueS9VY3Brbk1CekR0NWppS3k1bHRuWjFmQlpBSzNNZ3B3aUJtQVpnTkFJNG0xNWFhaW9VS1ZDZEhrK3RRQUljQVFCakVjNEEyWGtvbEFzQ0RBTkRXMmRrbFI0cUpRbWlQS3c2cUxTOFZtd2VMeXhQWFkxWXNUcmE4bTNmc0pNUkZDMm9QeVR0MnhlVnVoeUp5bThsb2JGbFV2cklkTzdPeUJNQ0h0L25Oa2oxZ1g1RjlSU0tpOGhBenNMK01HZGhmbXVQaVpKNk1iVnRsek1EKzh0cW4wNldXazJOcmp4MCtSTVlNN0M4ejkrNnh0V1VkUFNwakI3OGdFOGE5SlhORFEyM3R5UXYvVDhZTTdDK1Rabjl1YXpORlJzcUVjVy9KbUlIOVpkYlJvN2IyekwxN1pNekEvakoyK0JCYm01YVRJNU5tZlM1akJ2YVg2UnMzMk5vdDZla3lMK2I4VWxkOEkyTUc5cGNwU3hjWGFNOWJOamZzUm13WnYreXc3dC9VLzBwelVwS3RQWDdNYUJrenNML00yTGJWMXBaOThvU01IVDVFeG84WkxYUC8vdnZHOWxaYXQzZnQ0eW0yTm5OY3JFeDQ3eDNyTWRxeis4WXhPbmEweUppVHY1d3JZd2IybDJscjF4UVpjMzVwMzM4bll3YjJsOGxmenBWU1NwbDc2WktNR3o1VVJ2VUp5SW9LN1BXVTNwK2p5a1pLK2JDVU1sUVNsYTlvS1dVWHZUL3YxVUhlZFRIbnpCbmJ3Yzg2ZUVER0RPd3ZFOTU3UjVvaUkyM3RTYk0vTHpyL1hMOCtaeDA4Y0dNZHhWMmZGeTZ3WHArLy82NUErKzF5cGlVOTNkYWVsMVBTMXEyMXRlV2NPUzNqUm8yUXNjT0h5Snd6cDIzdGFldld5cGlCL1dYOG1ORzJOa3Q2dXJ6MjZmUkNlYW00UEhoem5yZzU1cXhqTi9LdTdkaU5lNnZBc1NzMmR4ZVIyM0xPbkxubHNVdGQ4WTJVVXNyczMzK1hNUVA3eStnK0FkR1JnYjBlMXZ1elJLWEh2aUw3aXBVZGI5TWdzbE01cDA1SkFIQm8zaHpDMFJFQVlFbElnQ1U2R3FLR0d3eCtqU0FVQlFDUWUvWU1ZTkdnK3ZoQXJWa1RBS0NscHNBY0hnRTRPc0xnNnd2RjJSa0FZSTZNZ0phVURPSHVEb2RHalFBQU1pY2JwaXZoUUU0T0RJMzhvTGg3V0xlWGxBUkxaQ1NnS25CczJjcTZyS2JCSEJFQm1ab0t0WDQ5cUhYcVd0c3RGcGpPbmdVQU9MWnBZOXNQYzNRVXRJUkVLTFZxd2RDd29hMDk5NisvQUFDR3BrMXRzVm11SmNKeU5RckMxUlVHWDE4SUJ3ZnJzdWZQQWJrbXFON2VVR3ZYdHU1Zldock1FZUdBcXNMZzZ3ZkZ4Y1c2dmFnb2FJbUpFSzZ1Y0xqckxtdHN1Ymt3WDdrQ21aMWQrQmhkQ1M4Y2MzZzR0SlFVcVBYcVFxMWJyMURNQlphTmlZRVdIdy9Gd3dNR1B6K1lMbDlHOHFmVFlJNkx6WWJVQmpZSUN0NVl3bDk1dFNDbGZCakFEd0FhNngwTFZXa3hBQVlLSWZib0hVaFZsNWVyREUyYVFIRnpBd0JZa3BOaGlZaUFNQnBoOFBPRmNESUNBRXhYcmtDbXBoYktQK2J3Q092MTJkY1hxcWNuZ0Z0Y242L25NS1ZPSFJqcTE3ZTE1MTJmaTgyWnZuNFFxbXBkTmkrbjFLMEx0WjcxR3E5bHBGdHpwdFJnYU5RSWl1djFmWW1OaFNVdURuQjBnR1B6ZTYweFd5d3dSNFJEcHFVWHlFdkY1c0diOHNUTk1SZkl1OWVQSFp5YzROREl6M2JzaXN2ZHRtT1hQN2VscDhNY0dscjhzYXZ0QllOM0ErUWNQNDdrMlo5RFpxVEhXS1QydEU5UThHOGwrWjFUNWNHK0l2dUtsUjJMRVVSMlNrb3A5WTZCU2svbTVNQVNGNHVZMFNQdnk4MDBYN243K2ozVVpNVmlCRlVRRmlNcUNIT1YvZEl5TTJHSmowUGlHNisybG5BTWJSQVVsS2wzVEZRNlBQL3NVM1hxSzdJWVFXUm5vZ0lENzRXUWc5MzZENWpvMHIxN2dXb3IyUThoQksrL1JXQXhnaW9JaXhIbExLSjM3NFlHUlE1MWVmcVpxYzVkdXNLaE1VOXBlOFY4WlgvWVY2d2Fxc081cCtnZEFCR1Zrc1hTR0FLanNuYjhERXRTa3Q3UkVCRVJGU0kwclE0RWhtWnUzUUpMVExUZTRSQlZMK3dya3AxZ01ZTEl6Z2dIR1E1TkxuZnUwaFhLOVh0bnlYNW9xYW5JMnJzSE1ZRUJ3NktmNnNtdkNvbW9hcEl5UVdqNHpxWDdFN1o1RjhpK1dPTGprYmx6SjZJQy9WK01lZnFKdW5ySFF5WEh2cUo5cTA1OXhTby85SU9vcXVKOWdQYXBPazFLZENkNG13WlZFTjZtVVVHWXErd1hKN0MwZnp6LzdGTjE2aXR5WkFRUlVRVVN6a1k0Tkc4T1JZaDlrREpCNzNpSWlJaUtJbXJVZ0dPTEZnQndTRFVqVmU5NGlLcUw2dFJYWkRHQ2lLZ0NxWFhxd3YyVmtSQXlhM0NHUlJ6VE94NGlJcUtpT0RScEF2YzMzZ1JNMnF0WDQrSXU2QjBQVVhWUm5mcUt2RTJEeU01RStmdjNoSVB5ZytycDZlazU4WDNiYzgzSnZsU0hHWkx2QkcvVG9BckMyelRLV2FTL2Z6dlZRV3lBZzJOanozRVRZSHk0azk0aDBSMWl2ckkvN0N0V0RkWGgzT1BJQ0NJaUlpSWlJaUtxVUN4R0VOa1pCNFBob0dLVy82bzU5Uk00Tk9LWHgvYkdIQm1KYTFQL2krZ25BMzZMREFoNFhPOTRpSWpLZzB4S09pL044UGY2ZkRZYzI3VFZPeHk2QTdraFo1RTQ4VjNFUEJud1M0eS9meHU5NDZHU1kxL1J2bFdudnFKQjd3Q0lxSFRxYk42Y0J1QzA5TnVpZHloMEIyUnVMaXdSRVpBUzl5bUs1cUYzUEVSRTVjSDM4T0VzQUNGeUMzT1Z2WktaV1RCZnVRSXAwZHFpU2xlOTQ2R1NZMS9SdmxXbnZpSkhSaEFSVlNDbFprMjRCUFlCQkQ0QkxPZjBqb2ZzZzhsa1FrWkdSb21XVFV0TFExcGFXcGxzOSsrLy84YUpFeWRRMU5QaGZ2MzFWMXRNSVNFaE1KbE1aYkpOSXFvY1ZHOXZ1RDc3SEFETWdobVJlc2REVkYyd3IwaEVsZGJWSjUvd2pRNzBmem56MTEzU25KUWt5VDdwL1RtcXJLU1VEMHNwUS9YKy9aU0ZyNy8rV2s2WU1PRWZyMGZUTlBuc3M4L0tUei85dEVUTHo1a3pSLzdyWC8rU1NhVzRQdVRtNXNyNCtQaEM3VysrK2FiczBxV0x6TXpNTE5CKzVNZ1IyYUZEQjdsOSszWVpFeE1qSDN6d1FmbjU1NStYZUh1VlFMU1Vzb3Zlbi9lcUxQTHBibDVSZ1lHRE1yYi9MRTB4TVhyL3Z1a2YwUHV6UktYSHZtTFZvUGZucUNMd05nMGlPeU5NaGxiU1Fma2liY1Z5ZURab0FOWFRVKytRYmlzaElRRTlldlFBQUR6NTVKUDQ4TU1QaTEyMmMrZk9NSnZOT0hqd1lMSEwvUDc3Ny9qb280L3cvdnZ2NDVGSEhpbnplSW1La3B5Y2pNek16RUx0UnFNUnRXclZLbkw1Mk5qWUl0ZWxhUnFPSFN2OHRDNUhSMGMwYmRvVXljbkpCZG9mZlBCQi9QVFRUd2dNRElTN3UzdUIxOXpkM2VIaFlSM0ZtWktTZ3ZYcjE2TlBuejd3dkg1dGlJeU14TkdqUjIwakp2SitrcEtTa0pDUWdJU0VCS1NtcHNKb05HTC8vdjFRRk91Z3laaVlHQnc0Y0FBalJveUFzN056Z1czKzhNTVA4UEh4UWJkdTNhQ3FLb1lNR1lJbFM1YWdjK2ZPZU9DQkI0bzdoRlNkNURqNUNnZHRXdXFTUmZBY053R0dldlhLYk5WbG1WTTBUY05QUC8yRU9YUG1ZUGZ1M1hCeWNpcXpPRzhuT1RrWmE5ZXV4Y0dEQnhFZUhvNk1qQXg0ZW5xaVRwMDY2TlNwRTU1NjZpazBiTml3eVBkR1JVWGhvNDgrUXBzMmJUQm16SmdLaTVuc1EzbjJGYWRObTRhZmZ2b0pqbzZPV0xObURYeDlmWXRjN3Z2dnY4ZnMyYlB4NXB0dll2RGd3YmIyckt3c3JGeTVFdHUzYjBkVVZCU2NuSnpRc21WTERCa3lCQTgrK0dDWnhYazdodzhmeHRhdFczSHk1RWxjdTNZTnFxcWlWcTFhYU5hc0dicDE2NFpldlhvVldQN0VpUlA0NXB0dmNPclVLV1JtWnFKKy9mcm8yclVyaGc4ZkRsZFgzc1YwcDFpTUlMSXpGa1c1WnBBNDROQzhSVy9GMlVYdmNFcHQwNlpONk4yN056cDA2RkRxOTU0N2R3N0xsaTNEcjcvK1dnNlJWUXd0S3d2bThIQkVCUVQ4QzBwR1NJT2dQUWw2eDBRbDgrV1hYMkxUcGsyRjJqdDM3b3hYWG5rRjU4NFZIRWw1OGVKRkpDVWxZY09HRFFYYTI3ZHZEMjl2Yjd6MjJtdUYxbFdyVmkyOCtPS0xtRGR2WHBFeDVPL1E1Umt4WWdSR2pod0pBUGo2NjYvaDRPQmcremRnTFNwTW16WU5EZzRPY0hOemc3dTdPMkpqWStIbzZJaXVYYnVpVnExYThQTHlRcTFhdFdDeFdHekZpUFhyMThOb05LSi8vLzRGdG5mMTZsWHMzNzhmRXlkT2hLcXFBSUJodzRiaDdObXp0dmNTU1lNbEhkTHdtMlBMVm8yVm13cG9aZWxPYzRxVUV2djI3Y1BpeFlzTG5ic1ZJVGc0R05PblQwZG1aaVljSFIxeDExMTN3Y1hGQlNrcEtiaHc0UUpDUWtKUW8wYU5RdWQ4Zkh3OFZxMWFoVFZyMWlBM054ZHQycFRmdkpKYVdock1FUkdJN2QyN1U2ckZjcVpaY0hCcXVXMk15bFJGOUJWemMzTXhiZG8wZlBYVlZ5VitqNVFTUTRZTXdZVUxGOUM2ZFdzODhjUVRpSW1Kd2RHalIzSDA2RkZNbVRJRnZYdjNMcGQ0OHlRbkorUDk5OS9IYjcvOUJnQ29YNzgrV3Jac0NiUFpqS3RYcjJMMzd0MDRmUGh3Z1dMRUw3Lzhnb2tUSjZKR2pScDQ0SUVIb0tvcVRwdzRnWlVyVitMdzRjTll2bng1b2FMOVAxR2Qrb29zUmhEWkdSOW41NU94S1NuRDNFZTlGcXU0dWVrZFRxblVyVnNYOGZIeG1EWnRHbjc0NFFjNE9qcVcrTDB2dlBBQ1FrSkM0T1RraENaTm1pQTBOTFFjSXkwL2xyZzRwQzVaQkdIQVNpbGRSZ0g0V2UrWXFHUkdqUnFGUVlNR0lUWTJGbVBHak1Fbm4zeUNaczJhd2MzTkRaczJiY0xpeFl0aE5CcHR5NXZOWmxnc0ZzeWFOY3ZXbHAyZGpVbVRKdUhaWjUvRnJsMjdBQUJ2dmZVVzZ0ZXZqM2ZmZlJkQ0NMaTZ1cUpQbno0d0dvMzQ5ZGRmNGVucGlZNGRPd0lBWW1OanNYNzllb3djT1JLcHFhbFFGTVUyS2lNeU1oSnIxcXpCVzIrOVpSc3BjZno0Y2JSdjN4NEhEeDRzRU50TEw3MEVBUGpnZ3crSzNOZU1qQXo4OU5OUDZOZXZIenc4UExCMDZWTGJDSWdmZi93UlVrcjgzLy85WDZGTzZIdnZ2VmZnM3hzMmJJQ2JuVjJucUd6NHBPYUV4VGdyWXp6R3ZqMUFLYWR2RGU4MHA0U0ZoV0hVcUZHSWk0dEQvZnIxNGVucFdXZzBVbmxhdjM0OXBrK2ZEcVBSaUFrVEp1Q3BwNTRxY0g1bVoyZGozNzU5aGZabjFxeFpXTE5tRFN3V0MxcTBhSUdRa0pCeWpkTVVHb3JVcnhaQVUvQ1ZDOVFoQVA0bzF3MVNtYW1Jdm1MOSt2Vng3Tmd4QkFVRklUQXdzRVR2c1Znc3lNbkp3WW9WSzlDNmRXdGIrK0hEaHpGbXpCak1uajBiUFh2MmhNRlFQbitpcHFlblk5aXdZUWdMQzhNRER6eUF0OTkrRy9mY2MwK0JaVUpEUXhFVUZGU2c3Y0tGQ3hnOGVEQkdqaHhwR3oyVm5aMk5jZVBHNGJmZmZzUDY5ZXZ4d2dzdmxGbWMxYW12eUs4d2lPeU1XTHMydC82T0hYR3FweWRFT1Yyc3kwdmR1blVSR0JpSXNMQXdMRisrdkZUdkRRc0xRMkJnSU5hdFcyZmZ3OENsQkV3bVFBcWpaaEdxM3VGUXlkV3BVd2RObXphRm41OGZBTURIeHdkTm16WkYvZnIxQVZnN1pnY1BIclQ5REJnd0FLMWF0Ykw5ZS8zNjlRQmd1MzNDMDlNVG5wNmVNQmdNY0hSMGhLZW5Kenc4UEJBZEhZMXUzYm9oSmlZRzZlbnBtRGh4SWlaT25Jamc0R0M4OU5KTHVIanhJc3htTXo3OTlGTXNXYkxFMW1tYk1XTUc3cjMzWGp6MzNITUFnTzNidDJQRWlCSFl0R2xUZ1Q5MFNtTFZxbFhRTkExRGhneEJhbW9xdnZubUcxeTdkZzFSVVZGWXQyNGQyclp0aTlHalIrTzExMTdEYTYrOWhucjE2c0hGeGNYMjc3eWZpaHp5VHBXTDJMUEg3QjBjSEsvV3JBbFJpc0p6YWR4cFRrbEtTa0p1Ymk1R2pCaUJ0V3ZYRm5tYlZYbTVjT0VDWnM2Y0NhUFJpQ1ZMbG1EQWdBR0Z6aytqMFlnbm5uZ0NYYm9Vbk5iazh1WEw2Tml4STVZdVhZcVhYMzY1L0lPVkdxUjFZbG9ub1dqOG04R09WRVJmOGNVWFg0U0Rnd08rK09LTEVoZnpWRlhGOHVYTEN4UWlBS0JUcDA3bzJMRWpVbE5UeS9YTHBtblRwaUVzTEF3OWV2VEFnZ1VMQ2hVaUFLQkpreWFGYm4wYU9IQWd4b3daVXlDbkdZMUdEQjgrSEFCdzh1VEpzZzIwR3ZVVjdlc3ZHU0t5YXhhTEJXUEhqc1grL2Z2eDlkZGZvMGVQSG1qY3VHVFB2LzdsbDEvS2RBaWNYdFI2OWVEKzJ1dElmSHRjZjBYTlBLdDNQRlJ4TGx5NEFBQzJZa1pKOU92WEQ4MmFOY1BvMGFPeGQrOWVOR25TQkRObnppeDBmK3I2OWV0eDdOZ3hyRjY5R29xaUlDMHREYk5telVLelpzM1FwMCtmVXNXWm5KeU1WYXRXNFpWWFhrR05Hald3YU5FaXFLcUs0Y09IWThxVUtjakp5WUdmbngrZWZ2cHAyM3NPSFRvRVIwZkhBbTFFNWUxT2MwckxsaTJ4WThjTzIyMUdGV254NHNVd204MFlNMllNV3Jac1dhcjN6cDQ5MjVZSGQrN2NXUjdoRmVCdzE5M3dmR3NjRXQ1NWQyaW1Kdjh1OXcyU1hXbllzQ0dHRHgrT2hRc1hZczZjT1pnNmRlcHQzeU9Fc0JYa2I1WTNpcTQwbzJaTDQ4S0ZDOWl4WXdlOHZMenc0WWNmbHVyOHIxbXpacEh0NVJWemRlb3Jzc3BKWkdkaUF3SWVpWDR5WU4rMUR5ZkRGQmFtZHppbDV1SGhnZkhqeDhOc051T1RUejRwOHBHQlJha0toUWdBVUp5ZDRkajhYalRZdG0xZlZiNEhrQXJ6OXZiRzhPSERTMXlNeU1yS3dxUkprekJxMUNqMDZ0VUxjK2ZPaGFxcWVQYlpad3ZkNDc1cTFTcElLVEYwNkZEOCs5Ly9SdmZ1M1pHYW1vb3BVNmFVZXJqcnpwMDdrWm1aaWRXclZ5TWdJQUJmZi8wMWhnMGJoak5uem1EdjNyMmxXaGRWWDFkNzltd2UvV1R2cllrVHhpSG4xS2x5Mjg2ZDVCUW5KeWRkQ2hIWjJkazRjT0FBREFZRG5ubm1tVksvdjZMem9GS2pCaHhidGtMRHJWc1BjYjRJKzFKUmZjV1hYMzRaZDk5OU43WnUzWXFqUjQvZThYcE1KaFArK3VzdkdJMUdlSHQ3bDJHRU4rVE5OL2JrazArV2VyUmdjVTZjT0FFQXVQdnV1OHRrZlhtcVUxK1JJeU9JN0l4RlNuZEFhV01PdndLWms2MTNPSGVrWjgrZTJMcDFLdzRkT29TTkd6ZnkyMVN5QzhlUEg4ZnUzYnVSbnA0T3dEcFR1SmVYRjdwMTZ3YkFXanpJUDFsbFVSTllkdW5TeFRiTWMrUEdqVENiellpUGo0ZkpaTUs2ZGV2ZzQrTmptejAvSmlZR0JvTUIwNlpOZzQrUER3RGdvNDgrd29ZTkcyQXltWkNSa1dGYjc2dXZ2b3JZMkZqVXJGa1RmLzMxRjlhdlg0ODMzM3dUelpzM0wvViszbi8vL1hqMjJXZFJwMDRkSEQ1OEdBYURBUU1IRHNTd1ljUGc1K2NIVGRNUUhSMWQ0SnZaK1BoNHBLV2xGV2h6Y25MQ3YvNzFyMUp2bjZvR3FTak9nR3hwQ2d1RnpNeTQvUnYrQVh2SkthR2hvY2pOelVXTEZpMnFUSUdkS3FlSzZpc2FEQVo4OE1FSEdESmtDS1pObTRZMWE5YmMwZTE1eTVjdlIwSkNBdnIxNjFkdUl5UHk1bGhwMjdadG1hd3ZJU0VCeTVZdGc4RmdLUEdjR1ZRWWl4RkVkc1ppc1Z3ME9JZ1pyazg5UFVQMXFxMTNPSGRzMHFSSmVPNjU1ekJ2M2p6OCs5Ly9ocGVYbDk0aFZRaExVaEt5OSs5RDFKTUI3ME16clc4UXRLUGlwM0duTzVLYW1vcXdzREJrWjFzN2R0SFIwYmJIWkFMV3gycCs5dGxuTUpsTUJiNTF5WnZBTWpzN0d5Tkhqa1NMRmkwQUFFdVdMRUZXVmhiUzA5TVJFeE9EOFBCd2RPN2NHY09HRFlQUmFNVGt5Wk1Cd0RiUlpYN2J0bTFEYm00dW1qUnBBZ0MyeHh4R1JrWmkxcXhaZU9TUlIvRGlpeThpUFQwZDMzMzNYYUgzNXoxeWROR2lSUVhhYTlhc2lYNzkrbUhTcEVtSWk0dkRpaFVyYkUvaUdEeDRNRHc4UERCejVreWNQSGtTWjg2Y3NiMHZOemNYVWtwODlORkh0all2THk4V0k2b3hFeEJqa0dLdWE5LytjdzNYaTJubHlSNXlTdDU5OVVVTlU5KzllemZHang5Zm9LMUZpeFpZdFdwVmhjUldGSE5VRkxJUEgwSjBuNEJ4RnBQMm8wOXdjS1J1d1ZDcFZHUmZzVTJiTnVqYnR5L1dyRm1EcFV1WDR2WFhYeS94ZXpWTncxZGZmWVZseTVhaFNaTW1SVDVscXF6YzZ2d2JNR0NBN1ZiS1BIUG56aTAyaDRXR2htTHMyTEZJU0VqQSsrKy9qN3AxNjVacHJOV3ByOGhpQkpHZDhkMisvU0tBeitUR0xUUDBqdVdmeUh1MDRadzVjekJyMWl4OCt1bW5lb2RVSWJTa0pHUUdiUVlrSmdQcUdRQlZOc0ZVTlk4Ly9qZ2VmL3h4UkVSRTRLbW5uc0s0Y2VOc2o5VUxDUW1CdDdjM1B2NzRZd3dmUGh3clY2NHNNR3p6enovL3hOQ2hRd3ZjSTc1MTYxWUF3Q3V2dklJR0RScGd5cFFwdHRjT0hqeFlZTnNMRnk1RVZGUVVQdjc0WTF2YnRtM2JDc3dka1ptWmlmSGp4OFBOelEwZmYvd3hoQkMyNTduZkxDY25Cd0FLdlhiWFhYZWhYNzkrQUlEcDA2ZWpmZnYyNk55NU13Q2dlL2Z1dHVWNjllcFZJTjRKRXlZZ01URVJYMy85OVMyUElWVWZUYlp0aXdFd1QyNEttbHNSMjdPSG5KSlhwTXcvcWltUGw1Y1hPblhxQk1CYTNEdCsvSGlGeGxZVVMzUTBNdGF2QTREeE1PQWdBQllqN0VSRjl4VkhqeDZOUFh2MllPWEtsZWpSb3dlYU5tMTYyL2NrSmliaS9mZmZ4N0ZqeDlDK2ZYdDgvdm5ucUZHalJybkZlS3Z6cjEyN2RxaGQyMXEwdVhUcEV1TGk0b3BkVDFCUUVHYk1tQUZOMC9EZi8vNjNYRVpGVktlK0lvc1JSS1NiQVFNR0lEZzRHRHQyN0VCZ1lDQWVlZVFSdlVNcWQ4SmdnRkxiQzRpTHV3SWdVKzk0cUd4a1ptYkNhRFNpVFpzMmNIRnh3ZmJ0Mnd0OHcvUDk5OStqVnExYWVQamhoMis3cnZqNGVNVEh4eGRvMjdCaEF4NTQ0QUdjUFh0akhxdkdqUnREQ0FIQWVyL3QrUEhqRVI0ZWpxKy8vaHFlbnA0d204M0l5TWpBenovL1hLaURsL2RvenhVclZoUVp3K3JWcTNIczJER3NYYnNXbVptWnRwRVVlU014aUNxanlwNVRHalJvQU1ENlZBeE4wNkFvTjZadWE5dTJMZWJQbncvQU9uTEozOTlmbHhqekUwNk9VT3ZVZ1RrakkwS1lrYU4zUEZSNXVicTY0cjMzM3NQYmI3K05Uejc1NUxaUHQvbnJyNzh3YnR3NEpDY25ZK1RJa1JnMmJGaTV6K09TZC81ZHVIQ2hVQzdPLzFqcXFWT25ZdE9tVFlYZW4vY1VxNDBiTjZKcDA2YTJ4M3VYaCtyVVYyUXhnc2pPUlBUb1VVdHhVbHJrbmd1QndhOFJGQmNYdlVPNlk2cXE0b01QUHNDTEw3Nkk2ZE9uWTkyNmRiWS9ycW9xZzU4ZnZENmRDU0hFdlhySFFtVW5KU1VGSGg0ZU1CZ002TjY5TzM3KytXZU1HREVDQm9NQkVSRVIyTDE3TjBhTkdsV2l5U1RYckZtRDVjdVgyMFk5WkdkbncyS3g0TUNCQXpodzRJQnRPYlBaak56Y1hCdzdkZ3p6NTgvSGtTTkgwS1JKRXl4Y3VCQVJFUkc0ZXZVcXpHWXoxcTFiVjZwdm0rTGk0akI3OW13NE9EaGc0TUNCdGpreUJnMGFoSEhqeGdFQTU0eWcyenJUcFl1Ymw0ZExxOXd6cDJIdzlZWGk3bEh1MjZ6c09hVmV2WHBvMUtnUnJseTVnbjM3OWhWNmRHZGw0OWk2RFdyUCt4K0VFQS9xSFF1VmpoNTl4YzZkTzZOcjE2NzQ5ZGRmYjNudW5UaHhBcU5IajRhN3V6dVdMRm1DKys2N3I5eGpBNENISG5vSW16WnRRbkJ3TUY1ODhjVlN2VmZUTkx6MzNudll2WHMzK3ZidGk3ZmZmcnZjNXJZQXFsZGZrY1VJSWp0ak1CanVBOFRDMUlVTDRQSEdXQ2dsR0FwWG1UVnYzaHpQUC84OFZxNWNpVVdMRnNGZ01NQmtmYTQ1VWFXV2xwYUdkZXZXSVNjbkIxZXZYa1d0V3JVQVdKOUh2bm56WnF4YXRRb3Z2UEFDSmsrZURDOHZML1R2MzcvRTYyN2F0Q2xXcjE0Tms4bUV2bjM3d3QvZkgwT0dETUUzMzN5RFBuMzZvRjY5ZXRpMmJadHRqb1o2OWVxaGVmUG1hTlNvRWZ6OC9OQ3RXemY0K1BqQTI5c2I5ZXZYTDlWKzFhNWRHMTI3ZGtYRGhnM2g2K3VMaGcwYm9rR0RCcWhYcjU1dEdjNFpRYmRUcTRaVEl5bVYveVhQblFPUFYxK0hVOGVPRmJMZHlwNVRCZzRjaUJrelptRDI3TmxvMTY1ZHNZODVKUG9uOU9vcnZ2dnV1emg2OUNqbXo1OWZaTTdMenM3R2UrKzlCemMzTnl4ZnZyelUrZW1mNk5xMUsrclZxNGZ6NTgvYjhuTkpyVjY5R3J0Mzc4YXdZY1BLZFY2TDZvakZDQ0k3STRSUXBKQkdhVElCSlh3c1ptVTNjdVJJN05xMUM5OTk5OTBkemNKc1Q2VEZBcG1UZzB2ZHUzc2tKU1ZsM24vOGVPWHBKZE50V1N3Vy9QWFhYd0NBTVdQR0FBQmVlT0VGbkQ1OUdxKysraW9BNEo1NzdvRy92ejhXTDE2TXNMQXduRDU5R25QbnpvWExMYjZaU2sxTlJYQndzTzEyQ0FDUVVtTHUzTG1JUUprL0FBQWdBRWxFUVZUUU5BMzkrL2RIU2tvS2Z2dnROeHc1Y2dTTEZ5OHU4UDVCZ3daaDBLQkJaYktQaXFMZ3M4OCt1K1V5bkRPQ2JzZHNVUldEQVU3SU5VRnFXb1Z1dXpMbmxHZWVlUWE3ZHUzQ3NXUEg4TkpMTCtIZGQ5OUZwMDZkQ255TC9QZmZmK3NZNFEzU2JJYk15VUZpcjE3dXRkemNNc1RhdFJhOVk2S1MwYXV2V0x0MmJZd1pNd2JUcDAvSDJyVnJDNzIrYTljdUpDUWtZT1RJa1JWYWlBQUFCd2NIZlBUUlJ4ZzllalMrK09JTHhNVEVZT2pRb2JZdkVnRHJLTWVZbUpoQzcxMjllalVjSEJ6d3lpdXZWRWlzMWFtdnlHSUVrWjB4bVV3blZJZ1hQTjRZdTErOS9naEFlMmMwR2pGcDBpUzgvdnJydG52dnF5cExYQ3pTdjFzRloxZmpHbWRqblk4QkhManRtNmhTbUR0M0xyWnQyNGJFeEVRMGJOZ1FmZnIwUVdCZ0lNNmRPNGR2di8wV0hUcDBzQzA3WWNJRTdOdTNEMEZCUVJnMGFGQ2hFUUlwS1NuNCtlZWZjZXJVS1p3N2R3NlptWm40L2ZmZjhaLy8vTWYyRklCang0NWg5ZXJWQUt6ZjZMaTd1Nk5telpwSVRFekUwcVZMYlkvN3pNOWlzU0FtSmdhaG9hRzRmUGt5UWtORDRlM3RqUkVqUnR6eGZtdWFodERRVUp3NWM4WTJ3UjdSN2FSbVpvWjYxSEFlV1d2Q3U0Y05mcjRWdXUyeXpDblIwZEg0OE1NUDhjNDc3NVRKL2VHcXFtTDI3Tmw0Ly8zM3NYLy9mcnp4eGh2dzhQQ0FuNThmcEpTSWpvNUdZbUlpZ0tKbi9hOUlwc3VYa2JGbU5YSWNsT1V4NmVrZkFEaDcyemRScGFCblgvR1paNTVCY0hBd1RwdzRVZWkxOCtmUEF3RDI3ZHVIYytlS25wT3hmZnYydHRzb0ZpMWFoS3lzTEl3Wk02YkFIQ3QzNnFHSEhzS3NXYk13ZWZKay9QREREMWk5ZWpXYU5Ha0NEdzhQSkNjbkl5SWlBbWF6R2FxcXdzM05EWUIxd3N1clY2L0NhRFRpM1hmZkxYYmQ3NzMzWHBrOVZhTTY5UlZaakNDeU03N2J0MThEY0VBR0Jlc2RTcGw2K09HSEVSQVFZSHZDUUZVbHM3SmhPbjhla1BMZkVNSituODFhRFowNWN3YjMzSE1QK3ZmdmowY2ZmZFRXTVpvNGNTSWFOMjZNMXExYkE3QStQbXphdEdsSVQwK0hvaWdJRGc3R1F3ODloTWNlZTh5MkxrVlJzR0xGQ3JSczJSS2pSbzFDKy9idGNjODk5MEJWVlN4WXNBQUE4T0NERDJMeDRzVm8yTEFoNnRTcFk1dmNhKy9ldlFnUEQwZHViaTZFRURDWlRIam5uWGNRSGg2T3lNaEltTTFtQU5iYkpCbzNibHlnU0ZJU2lZbUpPSERnQU02ZlA0Ky8vLzRiNTg2ZFExWldGb1FRdG0rNk1qTXpFUlVWWlh0UGRuWTJjbk56QzdRQlFLMWF0YXAwY1pHSzEyclBublFBdjhuTjIzVFpmbG5sbEt5c0xGeTllaFZEaHc3RmpCa3o4T2lqai83ajJGeGRYVEYzN2x3Y1BIZ1FtemR2eHFsVHB4QVNFZ0pWVlZHblRoMzA2TkVEM2J0M3R6M0pSaTh5TFEyNVo4OUNBSTlZREhEWE5SZ3FGVDM3aWtJSVRKNDhHUU1HRENoMGkxVGVreXhDUWtJUUVoSlM1UHZ6ajJiS3pNekVxbFdyY09YS0ZVeWZQaDNPenM3L09MN09uVHRqOCtiTitQSEhIM0hnd0FGRVJFVGd5cFVyY0hOelErdldyZkhnZ3c4aU1ERFFOdUZsWHN6WjJkbll1M2R2c2V2Tkd5MVpGcXBUWDdIeXpPcERSS1VpWlJXNVI2T2EwVkpTa0gzMEtGTG5mL21HeVdRSjlnc092cVIzVEpXSmxQSmhBRDhBYUt4M0xEZkx5Y2twTk9SNzgrYk5tREpsQ2o3NDRBUDA3TmtUUVVGQldMcDBLWktUa3pGbXpCZzgrdWlqR0Q5K1BFSkRReEVRRUlBWFgzenh0dCt1TGxpd0FQdjM3N2VOaXNqdmwxOSt3ZW5UcDZHcUtuNzU1UmNvaW9KTm16Wmh5cFFwY0hGeHdkMTMzNDFtelpxaFNaTW10bTkxaW5LcnAybWNPWE1HZ3djUFJyMTY5ZEN5WlV1MGJOa1NiZHEwUVlzV0xlRG01b2ErZmZ2aTh1WExKVGxrdDN4T3U4NWlBQXdVUXV6Uk81Q3FyaXJrcXJpNE9Jd2VQUnBoWVdINDhNTVAwYnQzYjcxRHFoQ1d1RmprSEQrT2xLOFdqakNZdGFDNjFzZTFraDJwQ3VmZjk5OS9qOW16WjZOMTY5YjQzLy8rQjNmM3FsOFhxMDU5Ulk2TUlMSXpFVDE2TkRVWURjOW1iUHdKeHNmK0RiVjJsUzZZVmptS2h3ZGMvdk1mdUQ3eHhIeTlZNkhTdWJrUWtaMmRqVGx6NXFCZHUzYW9XN2N1ZXZYcWhkVFVWRFJ2M3R6V2NRS0FsU3RYWXZiczJkaThlVE8yYnQyS2dJQUFUSjA2OVk1aVVCUUZ4NDRkZzVRU0RSczJ4TEJod3dDZ3dNU1IvMVNMRmkyd2MrZE8xS3haczlobE9uZnVYS0pKdkx5OXZjc3NMckl2b2Y3KzlaME5Tdi8wTlQvQytNZ2pNUGhVN0swYVphbHUzYnBZdEdnUlJvd1lnZSsvL3g0OWUvWXMwWk54N0oxYXR4NWNldm5EMVQ5Z2lkNnhVT2xVcGI3aW9FR0RZREFZTUhQbVRCdzVjZ1QvK2M5LzlBNnAzRldudmlKSFJoRFptU2gvLzU1d1VINVFQVDA5UFNlK0Q4Zm1WZjZwUDFXU3FFelBtNnRFS3ZQSWlLTHMyclVMclZ1M2hvZUhCeVpQbm96ZXZYc1grN2krOFBCd0xGbXlCSDM3OWtYYnRtMHJPRks2Q1VkR2xMTklmLzkycW9QWUFBZkh4cDdqSnNENHNQM1BOM0x0MmpVb2lxTDdYQTRWamZuSy9sVEZ2bUpvYUNpYU5HbWlkeGdWcWpxY2UxVy9yRXRVeFFoVlprRWlYS2xkMjFNWUhQUU9oMHBKbWt6UVVsSVExYnUzSDBSMFFvT2c0NWw2eDBSM3JsdTNicmIvbnpWcjFpMlg5ZlB6dzhjZmYxemVJUkZWQ3FxVXVWSXFrWVk2ZFJ1TFN2WkVpenVWZjliOTZrRG01RUJMVFVWaXIxNCsxNEQ0WnNIQk9YckhSQ1ZURmZ1SzFha1FVWjM2aWl4R0VOa1o3NkRndlFEdXF3cjNBVlpINW9nSUpIODZEVkRrZWNpNkF3RnMxRHNtSXFLeTVoMGNmQmJBdjVpcjdGZnU2ZE5JbnYwNXBJTnl6RmxxVHdQNFRlK1lxR1RZVjdSdjFhbXYrTStma1VKRVJFUkVSRVJFVkFwVi9qNFVvcXBHZHVsaXVPYnM3T0s1Ym0yS2NESkNYSC9jSDltWDZuQWY0SjJ3dHpranlHNXh6b2h5dGdaUUgrL1R4NlhXOTkrbkNpY25pR293NFdOVnhYeGxmOWhYckJxcXc3bkhrUkZFZGliU3phMURyb1A2WGNxWDgyQzVlbFh2Y0lpSWlBcnAxS2RIRXpNc2k1TS8vd3ltdjgvckhRNVJ0Y0srSXRrTEZpT0k3SXlxYWJXa3dHT21jeUhRc3Fyc2ZEWkVSR1RIaEZsMWc4RER1V2RPUTB0TjFUc2NvbXFGZlVXeUZ5eEdFTm1mRUNIbEpMZUJ6ME90VzFmdldLaVVMSW1KU1A5eE5hTDc5SjRaNGUvZlJ1OTRpSWpLZ3lybFZjMk1qMnU4TkFTR1JyenJ5aDZaSXlPUTl1MEtSQWNHVElueTkyK2tkenhVS3V3cjJySHExRmVzOHZlaEVGVlZuQ0haUHBrdVgwYnlwOU5nam92Tmh0UUdOZ2dLcnJJekpOOEp6aGxCRllSelJsUVE1aXI3bFhQOHVQVnBHaG5wTVJhcFBlMFRGTXluYWRnWm5uLzJxVHIxRlRreWdvaW9BaW51TldEOGQyY0lZS2txMVZDOTR5RWlJaXFLVXFjMm5MdDFBeUJYR21DSjFUc2VvdXFpT3ZVVk9US0N5TTVFZE9yazdGSzNSbTJQcGF2Q0ZROVBDQWNIdlVPaU8xQWRaa2krRXh3WlFSV0VJeVBLMlptV0xSM3IzWFZYSGM5bHl5SVZEM2NJSjZQZUlkRWRZcjZ5UCt3clZnM1Y0ZHpqYzVhSTdJeGFzMmJuSENnL0pJNS9HNTRUMzRkajgzdGhqb3lFbHB3RXhjc0xCdThHdG1WelQvOEZBSEJvMGRMMldDZExmQndzc2JFUU5keGg4UFdGVUpRQ3k2b05mYURXckdsZE5qa1psc2dJd05FSkRvMzhiSjFKMDVVcmtHbXBVRHhyd3VEakF3RFFzckpnam9nQVRMa3crUHBDY2Zld3JpTXBDWmFya1lDaXdyRmxTd0NBdEZoZ2pnaUhURStIV3Q4YmF1M2ExdmJjWE51czY0NnRiOXdpWjQ2T2dwYVlDS1ZtTFJnYU5peThmL2MwaDNCMHRHNHZJUUdXbUdnSU56Y1lmUDFzKzUxNy9qeGd5aTJ3UFMwdERlYndLNERCQVFZL1B5ak96dGJ0WFQrZW9vWTdIQnBaYjVPVk9ka3dSMFJBWm1kRDlmR0Y2dWxwWFVkcXFuVWROOFdjZDR6VWV2V2cxcWxyMjI5VHlObVMvN0tKaU95VVIrUEdMVTJxM0JELytxdndIRGNCeG9jN3dSd1RBeTBoSG9xSEJ3eStmclpsODY3bEJyOUdVTnpkQVJUTVB3WmYzMXRmbjNOellRNi9ZcjArNTh0aFdrWTZ6S0hXTHhVTDVKVGI1Y3o4T2VWYUlpeFJVUkN1cmpENCtOcitxRE5kdkdEZFh0MjZVT3ZXczI0dk05T2FEelJwamJsR0RlczZydWVsQW5sUTA2dzU1Ulo1SW4vTWxyaFlXT0xpaWoxMkJmWTdOY1dhangwY2l6NTJycTV3YUhMWGpXTVhFUUdabFZsd0hWbFpNRis2V0xKZk5sVTY3Q3V5cjJndmVKc0dVUldRR2J3TnliTm1JdXZYWHd1MEo4K2FpZVJaTXlGenNtMXQyVWVPSUhuV1RHUnUzQUNZellXV3pUMXoydFptT2hlQzVGa3prYlo4R1N5SjEyNXNiOU1HNnpwKzNtWnJzOFRGSVczNU1pVFBuUVBUaFJzZG1Od3pwNUU4YXlaUzVuOXBhNVBaMmNoWXR3N0pzMllpNS9qdnRuWXROY1VXUjM1WnYvNXEzYjlmZGhTNWYxcHFpcTB0NS9qdlNKNDFFeG5yMWtGbTM5anYxQ1dMck52NzQvaU4vUXNOUmZMY09VaGRzZ2lXdUxnYisvZXo5WGhtYnRwd1kvOFNyeUZ0NVFva3o1b0owN21RRyt1NGVLSEltRE0zV285UjlwRWpOL1k3Sjd2SVpZbUlxb1BzZlh1dDErZWdvQUx0ZWRkRjA4VUx0cllDK2VjMjEyY3RKY1YyZmM3N3d3TUF6QkVSUlYrZmI1TXo4K2VVM0pNbmtUeHJKdEpYcjRhV2tXRnJ6OXRlOXFHRHRqWkxWQlJTRnk1QXl2eDVNSVhlR0ZtZDg4ZnhRbmtRWm5PcDhrVDJ3WU8zUEhZRmN2ZUZpMGllTzZmWVk1Zis0K29DeHk3OSsxV0ZqcDBsUG83NXFvcGhYNUY5eGNxb3lnLzlJS29Pb2dNREZraEZERklrRnRiZnZHVlNYbnZVazcyVEFNQXAxOUxJS3pnNEZRQ2lBZ1BHUWhFZktWSnVUVE5wdzVvRkIrZmtYMWJSdE5mcUIyMzdBUUNpK2dROEF5R1dDZUJ2c3dVditHN1pjdUY2K3lvSUVTQWd2L2ZldFBWMUFJanc5MjlqY0ZDV1FzTFBZcEhEZmJadTNRb0FNWUgrQXpWRitUOEJtZUs5YVd0akFMalV2YnVIczdOeEdSUjBFMUpPOHQ2OGRTRUFKRDc1aEc4T0hFOUJTdVNrWm5nMzJiTW5Hd0JpK3ZTZXJnbU1naWFYTndqYStuYWgvVU51VzY5Tk95SUFJTHBQd0NncHhIUm8ySldWbFQzczdwMDdVNnp0dmYrVUFuNlFtTmhnODVhdkFDQ21kKzl1VXNFcUFIRm1zL2FDNzdadGZ3RkE5Sk1CQ3lURUlFaTV0Y0htclM4QVFFVHYzczBNaWx3bWhXZ0RLWWMxMkx6MUordXl2ZjBsOEIwQU5OaTBwV1plYkRGOUFsWnBRZ1JBazFNYUJHMmRDd0NKdlhxNTV6aXFWMjVlbG02UVV0NEZZQ1dBVm5ySFlnOHNGZ3N5TTYyUGJYTjJkb2JCd0FHUEpSUUs2MjBhNS9VT3BEcUo3dTMva1ZTVnNVTEtuN3czYngyVzE1NTNMUmZBODk2YnRtd0Ric28vSm0zNHJhN1BVYjI3K3duRmFaVVVvZzAwN2ZVR1FkdStCNERZUHIwZXRRaDFDMUR3bW52Ym5Kay9wL1QySHlKVlpZNlFPQ0N5YzRmVjM3RWo3bm9jKzZSRUcwaHRWb09nNEduV21QM3ZGMUJXUVVpanNJaGg5YmRzMldWdDcvMHFCRDdObndjdjlPcmxWTU5CV1ZiU1BCSFYyLzg5cU1xN3hSMjcvTGs3TWlBZ1FGWEZVZ2lFRjNYc2hNUUI3ODFiQXZPT0hSU25aUkRpL3Z6SExpWWdvTFZtRVB0dmpvUHNGL3VLN0N0V1J1eTFFRlVCRXFiL0NZdmpXcE5paXN6ZkxpeDRHZ0JPWmVWN3lMVE0rVWxZakNkekpSSytDdzQyM2J4c2xvWnplVzJaMmFZRHJvNk9UNXVCVEZWRVg4MXJOMXN3dzBGZ3FSU21tTHkyMU16TVVIYzN0emRVVFRNcWFxWnRmRm1XQmJ1TkVrOUxXR3lsOVhDek9hT3BNRTgxV0F6ekxSYk5WaHBQVGNtTk43bzVQcTFJcmFmUjFYVUlnSVVBWUlMcGE0UEZZWWRGazFGRjdWOXFlbTU4WHB2RnBBV3BxaHBpVnN6WHdzMW0yOWRZRm1rWnFXcXEwV0t4Mkxabk1wbE9xS3JhWDFObGJtcG1sdTFyTEttWi9pZWs0MXFUUkVKZW15cWlyMHB6dmJlRkl0d3ljazFuYnl5YmZsUkl0NmR2L3AzazVoMGo1RnpPYXp1VmxaVjVyMXA0V1NvZ0RNQXdBTjU2QjJJUGZ2enhSNzhWSzFZTUErRHc1Sk5Qcm5qdHRkZjR4M1hKeEFLNGNOdWxxRXpsU3ZHdG93VjdZZEhpOHJmblhjdWxTTGQ5M1pvLy82Um1adDd5K3B5VGJvNXpjbkY4V3lqQ0xUdC9Ea3ZOT21OMEszek52VjNPeko5VFRJcHB1NFBGNldtTHBpV25SRVltMjlaaGttK3JRajRuOHcweXpqREp2MTBVT1ZRSWkySTJTVnVlMEV5V0xhcXFuc3VmQjc4TERqWU5EUWdvY1o0UUJtMDF6TXB2eFIyNy9MbGJVVEtPU0xOTGY0dWlaQmQxN0N5YVp0dVBuSFJ6bktPYitxNENCL2Y4eHk0eEl5T3NWaEhIanV3WCs0cnNLMVpHSEJsQlJKVk9kSi9lMnlTa2U0UE5XeC9UT3hhaXlxeHQyN1lQR1F5R2pWSktveEJpd0I5Ly9MRmQ3NWlJcWd2bUtpTDk4UHlyR2pobkJCRlZLbGQ3OW13T0lWc0s0Sjc0M3IwNzZCMFBFUkhSelppcmlQVEQ4Ni9xWURHQ2lDb1hCNlVEcEtnRENIZVRvblhST3h3aUlxSkNtS3VJOU1QenI4cGdNWUtJS28zUUxsMk1paENQQU5JWmtJNENvbE5jbHk1dWVzZEZSRVNVaDdtS1NEODgvNm9XRmlPSXFOSXdPanZYa0JDUFFnaGgvVUZ6MWRuWlUrKzRpSWlJOGpCWEVlbUg1MS9Wd21JRUVWVWFCbFgxRlFMM1FrcEFTa2lKZTNKVnRhbmVjUkVSRWVWaHJpTFNEOCsvcW9YRkNDS3FORXhDdmdEQU9lL2ZRZ2ducWNoK09vWkVSRVJVQUhNVmtYNTQvbFV0TEVZUVVhVWd1M1F4Q0lHQmtESmZvNFFBbnZtOVkwY0gvU0lqSWlLeVlxNGkwZy9QdjZxSHhRZ2lxaFNpWEYzOUlVVDlRaThJVWEraGQ5MG5kUWlKaUlpb0FPWXFJdjN3L0t0NldJd2dva3BCVWZGOGNhOUpSUXl0eUZpSWlJaUt3bHhGcEIrZWYxVVBpeEZFcEx2d1B2OXBJQ0hhMjRiZENXSDlBYXpENzRSb0Z4UDRSQlA5SWlRaW91cU91WXBJUHp6L3FpWVdJNGhJZHdacGVGQkExaXZ1ZFNtRkI0VEQ0eFVaRXhFUlVYN01WVVQ2NGZsWE5iRVlRVVM2V3RNWHFxSW9yWVFRYnRZV2tlOVZBVUJBQ0JpbFFFZlpwWXRCanhpSmlLaDZZNjRpMGcvUHY2cUx4UWdpMGxYSHBPNXVtb1pIWk43MTZPYjhBZ2tBaXBSb0YrcXVlbFY4aEVSRVZOMHhWeEhwaCtkZjFjVmlCQkhweXNYVm9hRVE0ckhiTFNlQSt4eWxJKzhGSkNLaUNzZGNSYVFmbm45VkY0c1JSS1F2VGZHSGdEdWt2REVSVVg1QzRQcHJyaXFVSnlvK1FDSWlxdmFZcTRqMHcvT3Z5dUk5TlVTa216VjlvU0pIakFSUWRITEprL2VhZ3NHeUw2YUp0YkJVUUhoRWxVcmJ0bTFkVlZXdG5iOU5TdWt0cFZTRkVJcVVzbDc3OXUwYjVYODlKeWNuOGV6WnMra1ZHeWxSMWNKY1JhUWZubjlWRzBkR0VKRnVIczBNZUFnQ1RVditEbkYzWkhhdjJ3N1RJNnFLRkVXNVR3Z1JsdjlIVVpRTlFvZzZBTnlGRUN0dWZ0M0p5YW1qM25FVDJUdm1LaUw5OFB5cjJqZ3lnb2gwWXdaQ2pCYTBLOUNveURZYXhCY0FuQUQ1cnFLSlF3VmVOMmtSRlJnaVVhVng4dVRKbyszYXRidXNLTXBkSlZsZVNobDI0c1NKUTdkZmtvaHVoYm1LU0Q4OC82bzJGaU9JU0RlTnRtNU5BcENVdnkzbVNYOGpKTXhTQ0FQTXVGeHY2NVkvZFFxUHFMSXhBMWdLWUxxVUVnQWdiaHF5ZWxQN3R3Qk1GUmtnVVZYRVhFV2tINTUvVlJ0djB5QWlJcklUUW9oTkFGSnZMa0xjdEF5a2xCa1dpMlZieFVWR1JFUkVWRG9zUmhBUkVka0pLV1VVZ01PM1cwNEljZHBzTm9kVlFFaEVSRVJFZDRURkNDSWlJanR4OHVUSk5DbmxRWG45Zm95ODJ6THkvNyswT25uMjdObEVmYUlrSWlJaXVqMFdJNGlJaU95SFJVcjVseEFpcmJnRmhCQlpBSTZCODBVUUVSRlJKY1ppQkJFUmtSM1JOTzEzS1dYY0xSWkpsVkx1cTdDQWlJaUlpTzRBaXhGRVJFUjI1TlNwVTVFQVR1Vk5ZaW1sTFBBVURVM1RUcDg4ZWZLQ2ppRVNFUkVSM1JhTEVVUkVSUFpuUlhFdkNDRVdWV1FnUkVSRVJIZUN4UWdpSWlJN2s1YVd0bDFLR1p1Lzdmb2pQZVBUMHRLQzlJcUxpSWlJcUtSWWpDQWlJckl6Rnk5ZXpBR3dOdTlXalh3MlhYK05pSWlJcUZKak1ZS0lpTWdPV1N5VzVRQ3k4djR0cGN5UlVuNm5ZMGhFUkVSRUpjWmlCQkVSa1IxU1ZUVkNTdm0zRUFMWFIwaGNNcHZObC9TT2k0aUlpS2drV0l3Z0lpS3lRMGxKU1drQURzbnJBSnd6bVV6SmVzZEZSRVJFVkJJc1JoQVJFZG1oc0xDd2JBRDdoUkJaQUhJQkhEeC8vbnlhem1FUkVSRVJsUWlMRVVSRVJIYktaREtkQkpBZ2hFaVRVdTdYT3g0aUlpS2lrbUl4Z29pSXlFNmRQbjA2UkVwNVhrcDUrZVRKazhmMGpvZUlpSWlvcEF4NkIxQVVLYVV2Z0x2MWpvUEtWYWdRNG9yZVFkZ3I3eVl0R2prNU9UWFJPNDd5TURzNjFlK0YycTUvSzBJNEJGM0xiTno0M25aZDlJNnBQRWlwWGJseS9sU28zbkZVUmo3MzNOUFFvTGcwMHpzT2U1RnQxdjVRSUJ5cjZybFNIbkpONWt0UmwwNUg2QjFIWlZTVjgwdFpxaTY1cXF3eDl4V1B1YS9rZVA3ZG1jcVkrd285b0Z4dlVzckdBSllEdUZmdldLaGNoUVBvTDRRSTB6c1FlK056ZDZ1bUJrZkRkd0Q4OUk2bFBLZ0EzQlZGRVFEU3BhYmxTcjBqS2g5Q0lsNXFXcit3di84NnAzY3NsVW5EcG0xOUhGUmxFUlRaUWU5WTdJZThuc3RGRlQxYnlvSEVPV1NMSVdGaEo1bUQ4bW5jdUYxak9Nc2ZVVVh6UzFtcUxybXFyQW1KZUpQSi9FemtwVE1YOVk2bE1tSHVLeDJlZjNlb0V1YSt5amd5b2pHc2hZajZlZ2RDNWNvSTYrKzYwcHdNOXNKZ1VKc0M0aDVGQ0U5bloyZW9hdFc3MjhweS9iL0c2ejlWaVdiUmtKbVZCVTFxbm9CNkx3QVdJL0p4QUh3ZzBGSkExSGQyZG9iQm9Pb2RFbFVoRnJNRm1WbFprRUlDUnVhZ1FveG9iTXN2UmlOVW5uKzNWSlZ6VlZteldEUmtYYzk5MW40TVdJekloN212OUhqK2xWeGx6bjJWc1JoQlJDWGdYcU1HM2g3ekdwbzE1UjFOOWlUc1Nqam1mUGwvaUU5STBEdVVTczNCWU1BYm8wYWdYZHZXZW9kQ1ZjalprUE9ZOCtVQ1pHUmw2aDFLcGVaZW93YmVHRFVDTFZzMDF6c1VxaUl1WEx5RS95MWN3dHgzRzh4OVZCNHFjKzVqTVlMSVRqazRPS0IxeXhabzM2NnQzcUZRS2JqWHFBRW5KMGU5dzZqMGhLS2dSZk5tZVBqQisvVU9oYW9ZZnR0L2V3NE9EbWpab2puUFB5b3pUbzZPekgwbHdOeEg1YVd5NXI2cU43NmJpSWlJaUlpSWlDbzFGaU9JaUlpSWlJaUlxRUt4R0VGRVJFUkVSRVJFRllyRkNDSWlJaUlpSWlLcVVDeEdFQkVSRVJFUkVWR0ZZakdDaUlpSWlJaUlpQ29VaXhGRVJFUkVSRVJFVktGWWpDQWlJaUlpSWlLaUNzVmlCQkVSRVJFUkVSRlZLQllqaUlpSWlJaUlpS2hDc1JoUkJtSmlZbkRxMUNtWXplWi92SzZwVTZmaTIyKy9MZFY3VnF4WWdXWExscFY0K2V6c2JNVEd4a0xUdE5LR1IxVllaR1FrWW1KaXltUmQ2ZW5wK091dnY1Q1RrMVBvdFlTRUJPemZ2eC9aMmRrbFdsZEdSZ2FTazVOdnVVeFlXRmlKMWhVVkZZV1BQdm9JRnk1Y0tIYVp5TWhJVEo0OEdXZk9uQ25ST29tcW9vTUhEK0tERHo0bzBiTG56cDNEeElrVEVSc2JXODVSRVpXOWt2U0ZZbUppU3R4bnVuVHBVcUcyek14TUhEeDRzTlN4RVJGVmRTeEdsSUdWSzFmaWxWZGVRV3BxNmo5ZTE2VkxseEFWRlZXcTkvejU1NTg0Y2VKRWdiYUVoQVFjT25TbzBJK1VFZ2NPSElDL3YvOHQ0ODNPemtabVp1WWQ3UVBacC9IangrUHp6ejh2azNXZE9uVUtMNy84TXFLam93dTlkdUxFQ1l3ZE94WUpDUWtsV3RmOCtmUHg2cXV2MnY1dE5wc3hZOFlNSERod0FBQ3djZU5HREJ3NEVPSGg0YlpsTkUzRGE2KzlodlhyMXhkWVYzSnlNclpzMllMNCtIaGJXMVpXVm9GbGtwS1NFQndjWENqMmtoWlBxSHFJakl6RS92MzdDN1dkUFh1MlJEK0ppWWs2UlY0eVY2NWN3UysvL0ZLaVplUGo0N0ZqeHc2a3BhV1ZjMVJFWmV2aXhZdm8xYXRYb1Q1VWZwY3VYVUtmUG4yd2NPSEMyNjd2Nk5HajZOZXZIM2JzMkZHZy9kaXhZeGd6Wmd3aUlpTCtjY3hFOWk3dkM2dC84cE9VbEZUa3VzK2NPWU4rL2ZwaDkrN2RCZHFuVHAyS0JRc1dWTVR1VVNrWjlBNmdvbVJuWitQWXNXTkZ2dGFnUVFQTW1UTUhSNDhldmUxNkhudnNNWHp4eFJlMmYyZGtaR0RidG0wd204MElEQXdzZFZ5alJvM0NDeSs4VU9ScmYvNzVKMzc3N2JkQzdSMDdkc1Q5OTk5L3kvVWVQWG9VSDN6d0FZeEdJd0RBWXJIQVpETGh5SkVqeGI0bk1qSVNCdzRjd0lFREIzRDgrSEc4OU5KTEJmNElwRHZYdG0xYlYwVlI3anQ1OHVSUkFQOThDRTA1RVVLVSt6YWtsQUFBZytIT0xqOEdnd0ZYcjE3RmxDbFRzSDc5ZWdRRUJHRGx5cFdZUG4wNnZ2cnFLd0RBbGkxYmNPVElFVHo4OE1PM1hOZTVjK2Z3Mm11dlljR0NCV2pSb2tXeHk0V0dobUxFaUJINCtPT1BiN3ZPNnFodDI3YXVxcXAyUEhIaXhDRlU0czkzV1ZxMWFoWFdybDJMdm4zN1l1ellzVEFhalpnM2J4NSsvZlhYRXIzL3pUZmZ4T0RCZzhzNXl0SzVjT0VDUWtORDhjUVRUeFJvajQ2T3h1SERoOUdyVnk5SUtiRjY5V3E4OU5KTFVGVlZwMGdwUDN2Skw1WFJ1blhya0p1YmkrYk5td093NXFmYzNOd0N5L2o0K09EWlo1L0Z6cDA3TVdqUUlMaTR1TmhlVTFXMVFDNWJzMllOZkh4ODBMVnIxd0xyNk5peEkxUlZ4ZUhEaCtIcjZ3dUx4WUxZMkZoRVJrWWlNaklTRVJFUmFOV3FGYnAzNzE2T2UwdGxyVHJtdnJKdzZ0UXB2UEhHRy85b0haTW5UOGJUVHo5ZHFIM0xsaTI0ZE9rUzZ0U3BVNkQ5MEtGRDhQWDEvVWZicFBKUmJZb1I4Zkh4R0R0MmJKR3Y5ZXZYRDA4OTlSUWVldWdoVzlzMzMzd0RMeSt2UWdXR216L0lQLzc0STlMVDAvSDU1NStqWnMyYXBZNnJRWU1HeGI3MjU1OS9ZdkhpeFlYYVI0NGNlZHRpQkFBb2ltSWJGcmg5KzNaTW1qU3B3T3QvLy8wM1FrTkRjZkxrU1p3NGNRTHg4ZkZ3YzNORGh3NGRNSGJzV0R6MjJHT2wzQnNxanFxcXRZVVFCOXUzYjM5SjA3U2xpcUpzbGxKR25UeDVNZzJBUmUvNGdGc1BWWTJJaU1EYmI3OWQ3T3N6WnN6QTNYZmZqVTJiTmtIVE5GeStmQmtBc0hQblRuaDVlYUY5Ky9ZSUN3dERiR3dzenA0OUN3RFl0bTBiWEYxZGJldG8yYklsMnJScFU2SllKMDJhaE9lZWV3N2ZmZmNkUm8wYWhiRmp4MkxLbENtSWpJeUVsNWNYRml4WWdKWXRXK0w1NTUrLzVYcWFOR2tDRnhjWHpKZ3hBOTk4ODAyeHhaZ3Z2L3dTeWNuSnFGV3JWb25pcTI2dWY3NzM1bjIrTlUzYnFxcHFSR1g2ZkplMWQ5OTlGMzUrZnBnM2J4NSsvLzEzTEZxMENKOTk5bG1KaG5MZi9NZCtaWEhpeEFrc1dyUUlqei8rZUlIMjRPQmdMRnUyREQxNzlzU2ZmLzZKcjc3NkNuLzg4UWRtekpnQk56YzNuYUtsUFBhUVh5cWp0TFEwYk5teUJZTUhEN1lWR0U2ZlBvMlhYMzY1MlBmY1hDeDQ3TEhITUcvZVBBRFdQTGxueng1TW5UclZWcUFJRHc5SFdGZ1lJaUlpNE9ycWltWExsdUg3Nzc5SGRIUzA3ZFplWjJkbitQajR3TnZidXp4Mms4cFJkY3g5WlduV3JGbEZGZ2hTVTFPaGFSbzhQVDBMdlphVGsxTnNJVDhuSndjN2R1eEE4K2JOMGJwMTZ4TEZFQklTQWszVDBLcFZxOUlGVDJXbTJoUWpHalpzaUYyN2RnRUFmdmpoQnl4ZHVoUmJ0bXlCczdNem5KeWM0T3pzYkZzMktpb0s4K2JOdzVneFkvRFVVMDhWdTg3NCtIaDg4ODAzNk5PbkR4bzJiRmlvbW40N2VYOTRYYnQyRFgvKytTY0E2d2w0OWVwVjdONjlHMjNhdExIRkRGaFBNbjkvZjdpNnV0citvQU9zQ2RWa011SHMyYk9vWGJzMjZ0YXRXNkx0anhvMUNuNStmbWpkdWpXR0RoMktkdTNhb1duVHBsQVVCYUdob2ZqeXl5OHhhZElrZUhoNGxHcS9xSGhDaUx0VlZmMVVTdm0rRU9KNGh3NGRqbW1hZGhMQXdYa3ZCTzhBQUNBQVNVUkJWSk1uVDVaczRvTXlOR3ZXTEd6WXNBR0E5Zk1WR2hxS1J4OTkxUGE2b2lqWXYzOC9jbkp5Y1BueVpYVHAwZ1dOR2pXeXZSNFpHWWxkdTNiWjVvYVlQMzgrTEJhTHJaUDE3YmZmUWxWVnZQWFdXOWkxYXhlT0hUc0dpOFdhbi9QUGM1S2RuWTJSSTBjV0tFYnMzcjBiYVdscENBME5SV3BxS2padjNneHZiMjg0T3pzaktTa0pnd1lOUXZQbXpiRi8vMzRJSWZET08rOGdORFFVSzFhc1FFSkNBZ1lNR0lCRGh3NmhXYk5teU1qSVFHaG9LSzVldlFyQStrZFhabVltbWpWcmhyZmVlZ3Z2dlBNT3RtelpVdVRvcGtPSERtSGZ2bjBZTkdnUTdybm5uckk2OUZWUzN1ZGJVWlRKQUg3djBLSERNU25sWDFMS2ZYcDh2c3VURUFLREJnMUMyN1p0c1hmdlhuaDVlUUVBQmc4ZVhPencwVHhsY1V0ZmVlamV2VHRtenB4WmFIanJ6cDA3MGJWclY3aTR1S0JUcDA2WVAzOCtKa3lZZ0pkZWVzbjJoeGpwcjdMbGw4cHUvZnIxVUZVVkF3WU1RRUpDQXRhc1dZTU9IVG9BQUQ3OTlOTkMzNndXSlgvL2FQbnk1YmpycnJ2UXMyZFBXQ3dXS0lxQzk5NTdEK2ZQbjRlbnB5ZHExcXlKSzFldUlEQXdFRU9IRG9XdnJ5OThmWDFoTnB1UmtwSmlHNTFCOXFjNjViNnk1T3ZyaTZaTm14WnFuekJoQXRMUzBteWpYZk83MVMza216ZHZSbkp5TXNhUEgxK2k3Y2ZHeG1MczJMRklUMC9IcGsyYlVMdDI3WklIVDJXbTJoUWpGRVd4VmRqeWJsM3c4UEFvTU53dXo0NGRPK0RzN0h6YmI2K20vVDk3OXgwV3hkWDlBZnc3VytnQ1VWQlFGRVFGUVVRd0VudVBHalZSWTJMTEd6VytyeVVtOWw0eEd2d2xHbnVMWXNVV0pWYnNzV1BFTG9nSW9xQ0lhRUJRT2l4c3ViOC8xcDJ3N2lKRjJGM2dmSjdISnpBN08zczN6TjI3YytiY2N4Y3ZobHd1eDlpeFl6RisvUGdTendVTURnNkdVQ2hFZEhRMFpzeVlBVUI1ZHpvK1BwNVBpVjIwYUJHL3YrcHVzNG1KQ1lZT0hhcHh2S0ZEaDJMNDhPR1lNR0hDZTE5WGRmZjMyTEZqaFdabVJFVkY0Y0tGQzFpNGNHR0ozaE1wR21NTUhNZFpBT2pJR09zZ0VBZ3lHV092dkwyOXd6bU8yNUdSa2ZGWFRFeU1adVhIY3RDeVpVdFVxMVlOZ0RLOXRFYU5HdWphdFNzQTRNYU5HeHBGSEh2MjdLbDJaK2pLbFN0cUFUUFZIUE9Ra0JDTUh6OGVBUUVCY0hKeUFnRCtRbi8vL3YxWXVuUXBMbDI2QkxGWXpMZmozV2tiVzdac1FWeGNIR1F5R2VSeU9aWXNXWUlPSFRvZ016TVQxNjVkSy9LOXJWdTNEZ0F3ZS9ac3BLYW1Zc2VPSGZ3VWtkMjdkME1nRUdEY3VIRVlNbVFJbWpScGd2WHIxNk5idDI1cXg4akp5Y0hpeFl0aFoyZUhzV1BIRnZtYWhEKy96ZkgyL09ZNExndEFrcmUzZDdoQ29kaVRuWjE5UWxmbnR5NTRlSGlvM1lINTRZY2Z0Qlp1TGNqWDE3ZThtMVVxMWF0WGg3ZTNONEtDZ3RDbVRSc0F5am4xMGRIUm1EeDVNci9mSjU5OEFuOS9mOHljT1pNS0lSc1lReHBmREZsdWJpNTI3ZHFGWWNPR3dkTFNFaHMyYkVCQVFBRHExNjhQQUhCemM0T1JrVkdSTmJ5Y25aMEJLR3VzSER0MkRMLzk5aHNFQWdIMjd0Mkxnd2NQWXZIaXhhaGJ0eTdNemMwaGtValF1M2R2eU9WeTlPblRCd3FGQXNlT0hjT0tGU3RRcDA0ZFBuaFBLcWFxTnZhVmxjek1USTB4VXlxVlFpYVRhZFFXRTR2Ri9QZkdkOG5sY3V6YXRRdTFhOWN1VnZaaGJtNHVKaytlakpTVUZNeWFOWXNDRVhwVVpZSVJKWEg2OUduMDZORkRhNkJDWmZmdTNiaHk1UXA4ZlgxaGEydUxmZnYybGZyMVdyZHVqVnUzYmlFN094dGR1blJCLy83OU1YUG1URERHY1ByMGFYVHIxZzFDb1JBSkNRa0FsR21CUjQ0YzRaLy9mLy8zZjVCS3BWaXdZQUYvWVFrb1B4aDM3dHdKUURrbFEwV1ZhaDRiRzZzMUdKR1RrNE1USjA2Z2NlUEdmT0NHbEMzVlJURUFqakZtQ2NDUzQ3aUdBUHBYcTFZdHlkdmJPMUF1bCsvSXo4OS9KcEZJc3VQaTRzcWxlbUw3OXUzUnZuMTdBTXBVYkZkWFY0d1pNd2FBOGp4NCtQRGhCNytHS29xZGtaRUJPenM3cEtlbnc4VEVSR05BRVFqVTYrbnUyYk1IQUxCa3lSS0Vob2J5Zld6Y3VISG8wcVZMc1lwdCt2ajRBQUJHalJxRlVhTkdJVEl5RWtPSERzWHk1Y3Y1aXkzVk1ROGZQcXlSM1pTZm53OTdlM3VNSERueXZaOEhSTjA3NTNjMUFOVTRqbXNvRkFyNTg1c3h0a3Npa1R3cHovTzd2SVNIaDJQdjNyMllQMysrMmxTajFOUlVOR2pRb01qbkcvSUZSL2Z1M2RXQ2tJOGZQNGF6czdQRzFFQlhWMWNjT0hBQUlwRUl6NTQ5MDNVenlYc1l5dmhpeUFJQ0F2anNwdHpjWEJ3NGNBQjkrL2FGZzRNRHY4L0preWV4WWNNRy9yTmZWY1RZeE1RRWNya2N1Ym01dUhQbkRnQmxscUc3dXpzNmRlcUVuSndjYk4rK0haOTg4Z2thTjI3TUg4L0V4QVNqUm8zQ2I3LzlCbnQ3ZTF5NGNBRnhjWEhvMTY4ZkprK2VqRjI3ZHFGbHk1YnZyVjlFREZ0bEgvdkt3N3g1OC9pQzVPL3EwYU9IMnU4ZUhoNkZGcEk5ZVBBZ1hyeDRnUzVkdWhRNXhrb2tFa3lmUGgzUjBkSDQ1cHR2TUdEQWdOSTFucFNKS2hPTVlJd2hNREFRZ1BLTEpBQWNPblFJWXJFWUxpNHU4UGIyQmdEY3ZYc1hqeDgvNXFQbTJqSVFBT1VVaXo1OSt1RHExYXRZdW5ScGlkcGlaMmVuVWVVZkFPN2N1YU8yUEdoQ1FnSjhmWDJSbnA2T1FZTUdJVG82R3BhV2xxaFZxNWJhODB4TlRTRVVDalhtWFRIR0VCWVdCZ0I0OWVxVld0dWRuWjM1b212dnlzdkxBOGR4V0xKa1NZbmVWMG5JWkRJRUJBUTA5UEx5S3JmWE1DUWN4OVVxOERPL3ZjREF4Zi84ZHQveElwRm9sRWdraWpJMU5iMXZaV1YxQzhEVmUvZnVGVjd5K3dOSnBWSVlHUm54djh2bDhsSmZOS21xNmk5YXRBaVJrWkg0NVpkZnNIRGhRbmg0ZUNBdkx3LzE2dFZUMjE4Z0VCVDdEbXV0V3JXS0hTUnpjbktDcGFWbG9ZKy9lZk9HRDdoODhjVVhpSWlJNEpjSmpZNk9ocG1aR1VhTUdBR0ZRb0dRa0JEVXExZFA3Y3ZxaDJDTXdZaGpqbDVlWHAzSzVJQjZWSnJ6RzhCb016T3pTRk5UMC9zZmZmVFJIWVZDY2FVOHorK3k5T2JORzF5K2ZCa3hNVEZZc1dJRmZ6NVBtalFKRVJFUmVtN2RoeGt3WUFBR0RCaUF2WHYzQWxCbVEzWHIxbzMvdTE2L2ZoMVdWbFp3YzNNcmRSRmFROEFZZzdHUVZZb3hxQ0tNTDRaR1ZkOW8rUERoU0U5UFIxNWVIa2FQSHEyeGlwS1hseGMyYjk0TVFIblJaR1JrQkY5Zlg5eS9mNSt2TFpHVGs0UHIxNi9EeU1nSTdkcTFRMjV1TGt4TlRURng0a1QrT0FxRkF1SGg0ZnhVd2ExYnQ2Sng0OGJZdDI4ZkdqWnNDSmxNaHExYnR5STdPN3ZTQnlNWVl4QUxGUFZwN0t0NFkxOTVtRFp0R244VFRHWE5talhJeWNuQnJGbXoxTFlYZGxNb0l5TkQ2NVFPYlRJek16RnAwaVNFaFlXaGI5Kys3NjJIUm5TajRuNlRLQ0dGUW9FMWE5WUFBSC9CcjRxdURSdzRrQTlHN055NUU3VnIxMFphV2hvU0VoTGc3KytQdW5Ycm9tZlBubXJIYTlhc0dabzFhNFluVDU3QXhjVUZKMDZjd055NWM5VXUzbTdkdW9Velo4NWc2dFNwZkUyS1BYdjJJQ29xU21zYlZlbnV5Y25KT0hUb0VQcjM3NDlCZ3daaHc0WU42TjY5TzY1ZnY0NlBQLzRZeDQ4ZngrM2J0L0hUVHorOTl6MExCQUtzV0xFQ2dIb0JTNUZJaEowN2QrTHUzYnZJeXNyU2VKNlJrUkZjWFYzZlcxenpRK1htNWlJd01IQ29RQ0NvRXBQd0dXTkNiY1VSdFExZUJRWXVFd0RlQUx5RVF1RkFBSys4dkx5aTg2WHNmbzZDYVJ6clEyVmxaYWw5ME12bDhoSmRiS1NucDJQOSt2VzRjZU1HbjhYREdNT0VDUlBRb2tVTCtQbjV3Yy9QRDhuSnlmajQ0NC9WZ2gxaXNiallOVmZtejUrUGNlUEdxZFcyS015T0hUdlFxRkdqUWgrL2QrOWVvWE1MdDIzYnByRnQ3Tml4R0RseVpMSGFXUlFPZ0ttSjhDdUJnSnRWNU00R3JwVG50ekhlbnQ4QUJnbUZ3aVF2TDY5b21ReTNzMlFvLzJWZFBrQ25UcDJ3YWRNbWpCOC9Ia09IRHVXbkk2MWF0YXBZNS9FdnYvd0NPenM3SGJTMFpCWXZYb3lUSjA4Q1VJNlRNcGxNclorZE9IRUNCdzhlUkhCd01FYVBIbzBSSTBab1pEUlZGQnpBbVlnRmxXSU1Lc3Z4UlNwbmQ3T3J3Sm9BUC83NEk3S3lzaUFRQ1BEYmI3OWgxS2hSc0xHeDBRaEdaR1JrSUNRa0JJQnl5WFNSU0lTUWtCQSthQTBvTDVEOC9Qd2dFQWlRbTV1TFJZc1dZZFNvVVRBMU5jV3VYYnNRRmhhR3NMQXdwS1dsd2M3T0RrT0hEc1gxNjljUkV4T0RrSkFRMk52YjQrclZxOGpKeWVFekZTc3pEb0M1a1dpZ1FDQm9YT1RPQnE0c3h6NUp2dUsyUkdIWVkxOTUwRmJBVXBYbDdlN3VydkdZdHBvUnExYXRRbnA2ZXBFcndxV25wMlBVcUZGNC9QZ3hCZzhlakduVHB1bGtGVG55ZmxVbUdDRVVDdm1WSmJadjM0NTE2OWJoN05temFoZGZUNTgreFpVclZ6Qno1a3hzM0xnUkFvRUFqeDQ5UWtCQUFCbzNic3pQSlN6STJka1pPVGs1Mkx4NU04NmVQWXZaczJjRFVDNzU2ZXZyQzJ0cmF6UnYzcHkvay92WFgzOXBEVVpJSkJKY3VuUUpOalkyU0U1T3hySmx5NUNTa29JeFk4Ymc1TW1UV0xKa0NTSWlJdmhwSWNlT0hjUFFvVU9MbFJLc2phbXBhYkV1NXNyTDJ3OWxNV09zU3N3RDRUaXV4Ti9ZMzg0L1ZQMHFCR0RHY1p3VkoyQkdLT05wMm5LNUhGbFpXV3FWaTB1YUdTRVdpM0hpeEFuNCtQaWdWYXRXT0hEZ0FCWXNXTURYakdqWHJoMm1UcDJLV2JObThVdkhMbHk0RUEwYU5JQ1ptUm15czdNQkFMLzk5aHVhTld1bU51ZFBMcGZqNHNXTHVIVHBFaFl1WElpOHZEdzBidHdZQXdjTzFOcVc1OCtmNC9mZmZ5ODAyK0w2OWVzNGZ2dzRPblhxcERibENWQm1STXljT1JNelpzeFFtOG9Cb095THVUSW1ZZ3dWdmc5ODZQbjk5dm5LODV0VEdKZDErOHFEcDZjbjFxNWRpMjNidHFGZXZYbzRlZkpra2JVaVZEcDI3SWpzN0d5Y09IRUN2WHYzTHVlV0ZsK2ZQbjM0NlJnclY2NUVhbXFxV24wTGMzTnpMRm15QkZ1M2JzWHZ2LytPME5CUUxGdTJURi9OL1dBQ2pxc1VZMUJaamk4QWpJQ3lEM1libXM4Ly94eUFjbnBGelpvMUM2M09IeGNYeDlmdVVtWDh4Y1RFUUNxVnF1Mm5TaWVmT25VcTNOemM4Si8vL0FkQ29SQ1hMMStHVENiRDExOS9qYlp0MjZKcDA2YmdPQTQ1T1RsWXMyWU4xcTlmenhkK2J0ZXVIVHc5UGN2ckxSc1VCb2lvNzZtUGZRSmxrS0pLWW96aDBxVkwvTy9KeWNtUVNDUnF4WlRidEdrRFkyUE4vMFhCd2NFNGV2UW9CZzRjeUFmVEN4TWJHd3VCUUdDUVMydFhaVlVtR0ZFY0sxYXNnSzJ0TGZyMDZjT24rL2o2K21MSWtDR1lPWE1tZHU3Y3FaWWUvdURCQS80dVdQZnUzWkdXbG9iUVVHV21WV0JnSUZKU1VqQmh3Z1ErK0ZDdFdqV0lSQ0t0RjBqSGp4OUhuVHAxSUJhTDRlN3VqcEVqUjJMVHBrMFlPblFveG8wYkJ6OC9Qd2lGUXJSdjN4NldscFp3ZDNmSDl1M2I0ZWZuVitMM21aeWMvTjVWUWxUT25UdW50c3BJV1RJek04UEFnUU8zclZ1M0xxWmNYc0RBdkUzUDB5Z3NVakNWNzUzOUFVRENHSHNJNEQ1ajdKWmNMcjhhSGg1KzE4blY4ek1JQk4rV1pmdFUxZjBMWG13ckZJb1NaVWFZbVpuaHdvVUxNRFkyUmtoSUNBNGNPS0QydUV3bXcvYnQyMUd6WmsyTUdqVUt5NWN2eDRnUkkzRGl4QWxVcjE0ZHljbkpBSUNyVjYrQ01ZWnUzYnJoM3IxN2lJcUt3cE1uVHpCdDJqUTRPRGp3L2NmZTNwNy9Bamh0MmpUVXJWdVhUNHU5Zi8rKzJyekN4TVJFQkFjSDg5bEhlL2JzUWFOR2pUQjgrSENOcUh4YVdob0FvRWFOR3VXNkpqVURrSnVuMkc5dUtyaFhiaStpSTZVNXZ4bGplWXl4S0NqUDc5dHl1Znp2OFBEd3UwNE5QVnRCSk9oZnprMHVFNTZlbmxpMWFoVUE1VVdOUXFGUXF5SHhQdG5aMldDTUdWUXdvbW5UcG1qYXRDbWlvcUtRbkp3TXNWaU1XclZxd2RYVlZXMHNHRFZxRkZ4ZFhYSHQyclVLVzFlSUFTd25YNzdOVEN5bzhHTlFtWTR2amIwNmdlTkdsR3VERGNTREJ3K3dmLzkrTEZteVJPTThWbDBzZW5wNkZqbE5RK1hZc1dPNGR1MGE5dTdkeTQrZFc3WnMwZnJhWm1abW1EVnJGa2FOR29YUTBGQ1ltSmlnZGV2V1pmMFdEUklEa0pNdjIydGhMTktlSmx5QmxQM1l4MVdJc2Erc3llVnlUSnMyRFdLeFdPMG0yTHg1ODZCUUtKQ2ZuNCtUSjA5cVRGTUhsRm1zam82T21EaHhvdFpnUkU1T0R0YXZYNCtVbEJSWVdGaGc2ZEtsYU5teVpibStIMUl5Rkl4NEt6ZzRHQ0VoSWZEMTlWVWJsQ3d0TGVIbjU0ZlJvMGRqK2ZMbG1EdDNMdi9ZdkhuejFHb3hBTURseTVjaGxVcGhZbUlDZ1VDZ05wWEN4OGNIRFJzMjFFampsY2xrMkxWckZ3WU9ISWkvL3ZvTGdMS3dZTnUyYlNFUUNOQ25UeCtzWHIwYTV1Ym0vSnJ1UTRZTXdVOC8vYVJXNGZ4ZGpER2NPWE1Hd0w5MU1nRGxSYVpFSXNHa1NaUDR1OVlGUlVWRllkT21UWVYrbUpZRmtVaUUvLzN2ZnpFalI0NjhWUFRlRlorM3Q3ZWo2c3RORVY4UXdSaExab3dkWll6dGtjbGtzVktwTkMwNk9qcXpQTnVucWhpdUttNEtLR3VIRkZhMXVEQ3FxTFZxS2xUQkZPN2x5NWNqT2pvYUN4Y3V4T2VmZnc0dkx5ODhmUGdRMWFwVmc3T3pNeUlpSWlDVlN2SFBQLytnWHIxNitQenp6NUdZbUFnQXNMR3h3YSsvL3NwUHAzclgwNmRQM3hzNFdMdDJMVTZmUHMybnh2djUrV2xNdmRJMWp1TWdWWERQd3NMQ0tud2ZLTTM1TFpmTDl5a1Vpa2U2T0wvTEMyTU1MMTY4NE91SWpCNDlHbjM2OUNueXMxTXNGdVBRb1VQWXRHbVRMcHBaWXJ0Mzc0WllMQVpqREQvLy9ETnExcXlKTld2V3FIMGVkT2pRQVIwNmRBRHdiMkcvVzdkdTRjNmRPMGhNVE1USWtTT0xIWmpSQjQ3amtDL25ZaDQ5cUpyOVQ1ZmppeUhLeU1qQW5EbHowTDU5ZTNoN2UrUE9uVHQ0OGVJRmY3R2p5cHBOVFUzRnVYUG5BQ2lEMmlLUkNPZk9uVU44Zkx6YThhS2lvdkRycjcraVo4K2VlUDc4T1c3ZnZnMXpjM01jT25SSWJVcEhVUUlEQS9IUlJ4K1YwYnMwVEJ6SFFhWVFQS1d4cjJyMnZmZng5ZlZGcjE2OTFMYmR1SEVEUC96d1E2SFA2ZE9uajlhQys0d3huRDE3RnF0V3JVSlNVaElBd01YRmhRSVJCcWhLQnlOdTM3Nk5lL2Z1b1VHREJ0aTBhUk1hTjI3TXArNFY1TzN0emM4TGJ0T21EVHAzN2d3QU9IejRzTWErUVVGQldMaHdJVTZmUHEyMnNvWEt0bTNiTk9ZN0JRVUZJU1VsQlo5Ly9qa2ZqQUQrdlpBN2Z2dzRNak16a1ptWmlTTkhqcUIvLy83bzFxMGJuSjJkK2JYdDM4VVlBMk1NSzFldUJBQ3Q2Y05lWGw1bzJyU3B4blpEcnZSZVdSUVluQmpIY2JrQU1oUUtSUVRIY1pzeU16T1A2WHI1cC92Mzd3T0FXdUdzMGdRalZxNWN5V2RHaUVRaTJOcmFJaWNuQjB1WExzV3hZOGZRczJkUHZvODVPenZ6eTZKMTZkSUZwMDZkd3JCaHd5Q1R5ZURoNFFGSFIwZU1HaldLejQ0b0xCQWhrOG1Ra0pDQWxKUVV4TWJHYXAyNjlQWFhYMlBVcUZISXljbkIwS0ZEWVdWbEJZbEV3aGUxTFVnVkFBa09EdGE2ckZ2Mzd0ME5jcjYvSVhuUCtiMHRNelB6VUdWWjNpd3lNaExmZmZjZDFxMWJoK2JObThQT3pnNkRCZzNpejZIQ2RPL2VIZDI2ZGNQSEgzK3NvNVlXWDF4Y0hNNmRPNGVlUFh2aTlPblRXTGx5SmI3Nzdqdk1uajBiUC83NEk4NmVQWXVrcENRa0ppYnkvMVRCaUdYTGxzSGEyaHExYTlmR2YvN3pINE1PUmxSbWhqYStHS0xObXpjaklTRUJyMTY5NHBlcmRuVjF4WC8vKzE4QS84NVpmL255SlRaczJBQkFXVE9DNHpoczJMQkI0enZWMGFOSElaRkljT1RJRVJ3NWNnUm1abWI0NnF1djhPV1hYeUl0TFExUlVWRTRlZklreG80ZEN6TXpNengrL0JoQlFVRVlNMllNZjVNSlFMbGxveExkcUNwam55SHAzMTh6bVNReU1oS0xGaTNDNDhlUCtYcE9peGN2MWtQclNIRlVtV0NFUkNKQmFHZ283dDY5aXdzWExnQUFwa3laQWs5UFQ1dzlleGFKaVluWXVYTm5vUmZpWThhTXdhVkxsK0RuNTRlbVRadkN4c1lHbHk5ZjFsZ3ZYaldQc0hmdjNtcEZVWVJDSVM1Y3VBQnJhMnZrNStkRElwSHdVYnlhTld0aTBLQkJXdWVqWjJWbFllM2F0V2pac2lWRUloSFdyMStQYnQyNm9WcTFhbXBMUnIwck56Y1hKaVltT0gzNk5BRDFBcFlxRHg0ODBGb0lKam82dXREamtnLzNOazB2QzhBZGp1TnVNc2J1eXVYeUcrSGg0VS8xMWFidzhIRFkyTmpBM3Q2ZTN5YVJTTlJXMXlpT0J3OGVJQ29xQ2hZV0ZuemgxdlhyMStQWXNXUG8xYXNYRml4WW9QVjVuVHQzeHVlZmY0N1RwMCtqVjY5ZThQRHc0TDhBRm5VKzNyMTdGektaRENkUG5rVDE2dFcxWmd1cEFobVJrWkg4dHF5c0xLeGV2YnJRNDU0NGNVTHJkbGRYVndwR3ZNZmI4enNid0cyTzQyNHFGSW93aFVKeFRaL25kM2tKRGc0R1l3d3VMaTU4N1FSSFIwZE1uVG9WTmpZMm1ENTl1dHIrb2FHaCtPMjMzOUNpUlF0MDZkSUZYYnAwMFVlekN5V1h5K0hyNndzZkh4KzR1TGpnOU9uVHFGZXZIcFl2WDQ0clY2NGdPVGtaSjA2Y2dMMjlQZXp0N2RHc1dUUFkyZGtoS1NrSkd6ZHV4TzdkdXl2OVNnQ0d6aERIRjBQMHlTZWZRQzZYbzNIanhuQjJkb2FUa3hNc0xDeXdiOTgrbUptWlFTd1dvMVdyVm5CeWN1SnZRQldjcHZINjlXcytZd0lBQmc4ZWpJNGRPNkptelpxb1ZhdVdXb0FCVU42SU1qSXl3di8rOXo5d0hJZUxGeThpS0NnSWZmdjIxWnA2VGlxZXFqVDJsWmZvNkdpTkc3bVBIajBxOFhGcTFhb0ZxVlNLV2JObW9YLy8va1hlWkQxMDZCRE16YzNSclZ1M0NsdVV1U0tyTXNHSU8zZnVZTUtFQ2Z5OHZPSERoNk5EaHc0SURnN0d3b1VMTVdiTW1QZGUzQnNiRzJQQmdnWHc5ZlZGYW1vcWJHeHM0TzN0cmJIZTdaVXJWK0R2NzQ4VksxYW9GY2RVQlNaVUZ6R0ppWWxJU1VuQkgzLzhnVGx6NW1pOTY4c1l3eSsvL0lMczdHek1uajBiRW9rRVE0WU13ZSsvLzQ0Wk0yYTg5LzFtWkdSb0RJYnZXck5tamRZcXNzVmRZcEdVSEdNc0RzQXV1VngrVWlhVHhVVkdScjRHSUMzcWVlVXBOemNYVjY5ZTFVaGR5OHZMSzNFd1lzdVdMVkFvRk1qSnllSFB2KysvL3g3Tm1qVkR1M2J0MVBZdFdDQlRMcGZEemMwTjA2ZFBML0s4QlpRQkFWVXE2ODZkTzFHalJnMjFPMHJtNXVabzNydzVjbkp5a0ppWXFEVjRZR05qdzY4Ulg1QnFMdkNTSlV2NE8yYWtlRlRuTjJQc2RINSsvaE5ET0wvTFUzQndNSm8xYTZhV1Z0MmdRUU1zV0xBQUkwZU9SR2hvS0FZUEhnd0FlUExrQ2Z6OS9kRzVjMmQ4OWRWWCttcnlld1VFQkNBcUtncTdkKzlXNnh2ZTN0NzhHSFgwNkZHTjUxMjVjZ1VBU3B4SlJjcVdJWTR2aHFwOSsvWmFWNjU0OE9BQlhGMWRBZnk3d3RTTkd6Y0FLRE1qeEdJeC83dVRreE0vdmpnNU9XbE1lODNLeW9KWUxJYXhzVEVlUEhnQVIwZkhRaXYzTThhd2VmTm1mUDMxMTJyVEpVbkZVTlhHdnZLeWYvOStqWHBqcGJrbXFWR2pCZzRlUEZqcy9TOWZ2b3pyMTYralc3ZHVKWDR0OHVHcVREQ2lTWk1tV0xGaUJWcTFhcVZXamRYVjFSWDkrdlVyMW5KOXpabzF3OEdEQnlFU2laQ1Rrd09GUXFHeC9LVnFOUUk3T3p1Tmk2cTB0RFE0T2pvQ1VGWjBWYTJnc1dEQkFxM3ByR3ZXck1IcDA2Y3hidHc0Zmo1ODc5NjljZURBQVh6enpUZjhQR1Z0NHVQaml5eSt0Mm5USnEzVE5FSkNRakIrL1BqM1BwZVVURjVlM210alkrTk9vYUdoSVRDd0FlcjQ4ZVBJeXNwQ256NTkxTGFyc21zS2lvbUpVWXRhYTR0WW56OS9Ib3NXTGNJZmYvd0JCd2NIckZxMUNubDVlWHd3Z2pHR1VhTkdvVVdMRnZqKysrOEJLSU56cTFldnhyTm56ekJ6NXN3aTI2eGFqblA3OXUyNGR1MGE1c3laZ3oxNzl2Q1BPenM3WS9QbXpmanJyNzh3Y3VSSVhMbHlwZEQxcWNtSGUzdCtmeG9hR2hvTUF6dS95OHVMRnkvdzZORWp2bWhxUWQ3ZTNwZzFheGFXTEZtQ3BLUWtOR2pRQUwvODhndGF0R2pCVitZM1JBa0pDZmp1dSsvZzZ1cXFOVkJIREpNaGp5K0dMQ3NyQzFGUlVmeS8vUHg4UkVkSG8ydlhyZ0NVNDR5cS9oSHdiK2JyM2J0MytXMFRKMDVFcjE2OWNPZk9IU1FrSkNBaElRRnhjWEY0K3ZRcGtwT1RzWC8vZnBpWm1TRTRPQmhqeDQ0dHRDM3A2ZW5ZdEdtVDFxWGtpZUdxaW1OZmVlQTREZzRPRHBnOGVUSTZkZXFrOXRpOWUvZmc2K3RicmxQSVg3eDRBVHM3TzhxSzBKTXFFNHl3dHJaR3g0NGROYmE3dXJwaS92ejV4VDZPcWtMeXNtWEx0TjRoVXVuYnQ2L1c3ZWZQbjRlZG5SMysvdnR2Mk5uWndkcmFHcGFXbGhyN1hiaHdBVHQzN2tTdlhyM1VLamFQSFRzV2JkcTBVUXRFeUdReWpXaDdhR2lvMXZkTDlDTXlNaklMd0dWOXQrTmRFb2tFdTNmdmhvT0RnOXBTcjFLcEZQSHg4UnJMdjZxcWlyOVBRRUFBR2pSb3dKK2p0cmEyV0x0MkxiNzU1aHM0T1RtQjR6aTR1YmxoejU0OUdEeDRNS3l0cmVIZzRJQVJJMGJBMzk4ZnZYcjFVZ3VTYVl1S3A2ZW5ZOVdxVlFnS0NrS2ZQbjN3MVZkZlllL2V2UnI3SmlRa3dNcktpZzlFeU9WeUFDajA3aFFwbmJmbjkzbDl0ME9YVHAwNkJRQ0ZmczRPR0RBQVQ1NDh3YzZkT3dFb0ErTGFxdllia2pGanhzREd4a2JmelNBbFpLamppeUViTldvVUgxU29WcTBhM056Y0lCS0o4TTgvLy9EVE1pNWZWdjlmV25DYVJrR0ppWW1ZTW1VS3hHSXg2dGV2RDJkblo3Um8wUUtPam82d3M3UER4SWtUWVdSa3BMYUsyYnRGRHhNU0VnQkFhMUZ4WXJpcTR0aFhIb1JDWWFIWFZNMmFOWHZ2OVZaeEdSa1o4VXZJRjVTWm1Zbm56NTlyTE9WT2RLZktCQ1BLMnFSSmt6Qm16QmlON2VmT25jT0tGU3Z3NTU5L2FzMTJzTFMweFBEaHcvSGJiNy9CMHRLeTBLSjhuM3p5Q2ZyMDZZTzVjK2VxWFRqWjJkbkJ6czZPLzRLYmxaV0ZXN2R1cVFVLzd0Ky9qNFNFQkh6MjJXZUlqNCtIa1pFUm9xS2lJQlFLMVNLTFk4YU1vV2thVmR6eTVjdVJrSkNBK2ZQbkl5VWxCWnMyYllLRmhRV2lvcUtRbVprSkx5OHZ0ZjNuenAyckZxQzRlZk9tMm9veHAwNmRRbFJVRk5hdVhjdHYrL3JycjdGMTYxWnMyYktGWDRwMjZOQ2hDQXdNeE5hdFd6RjE2bFFBd1BEaHczSDA2Rkg4L1BQUDJMdDNMNEtEZy9IbzBTTmN1blNKei9KUkZRRTdmUGd3WkRJWnhvMGJ4d2ZyVkhWYzNOemNZR3BxaXZ6OGZCdzllaFJObXpiRnRXdlhFQlVWaFh2M2xLdG9xaktZQ0NtdFU2ZE93Y25KaWM5MkE1UlRteUlpSW5EOStuVys0cjZQancrc3JhMXg3dHc1OU9qUkE5MjdkMGZyMXEzaDd1NXVjTFZIYU80NnFTcSsrT0lMOU9uVEI1NmVucWhYcng1a01obEdqQmlCaGcwYndzdkxDd2tKQ1VoTlRWVjdUbHBhR3NSaU1WL3dHVkFXR20vU3BBa0NBd1BoNk9pb3RoeDJZbUlpcGsrZmpyQ3dNUHo2NjY5cTB5OVVVN3NDQXdQUnRHbFQvUG5ubnpBMU5kVmFnSm1ReW1yWXNHRTZ1em5rNHVLQ2l4Y3Z3dGZYRi9YcTFRT2d2Tjc1KysrL0laUEp0RTdiSXJwQndZaFNzclMwMUpyUm9FcGh0N1cxMWJxYUJxQzhZNWFUazROYnQyN2h4eDkvMUxxUGhZVkZvY1grQU9EYXRXdTRlZk1taEVJaDNOemNNSHo0Y1A2eGxKUVU5T3JWQys3dTdwZzJiUm91WHJ3SUFPalJvNGRhcHg4N2R1eDdsL1lrbFZ0V1ZoYk9uVHVIZHUzYW9WKy9mcEJLcFRoOStqUnljM05oWkdTRUxsMjY0SXN2dmxCN2pxV2xwZG9GUzhHTGV0V2NWeDhmSDdVSXM1bVpHZnIzNzQrYk4yOGlQejhmUmtaR3FGbXpKZ1lPSEtpMkZKYXhzVEhHangrUGMrZk9JVHM3RzVjdVhjTEpreWZ4MFVjZjRkdHZ2NFZNSnNPaVJZc1FIeC9QWnd6VnFWT0hmLzdvMGFPeFlNRUN0VXduSnljbmpCczNEbUZoWVZpL2ZqMEVBZ0U2TzNsMjB3QUFJQUJKUkVGVWQrNzgzdm93aEJRbExpNE9jWEZ4R0RGaUJBQmxFR0xNbURHSWlvcUNUQ2FEalkwTnVuYnRpaVZMbHNERnhRV0FjdXJjNGNPSGNmcjBhUnc2ZEFnQTBMVnJWeXhkdWxSdjc0T1FxdXJkYVltSER4OVdDNlJ2MjdhdDBMdXh3Y0hCL004bUppYTRldldxUmhDQk1ZWXBVNmJneVpNbm1EVnJsc1pjOUtaTm02Smp4NDdZdlhzMzVISTVyS3lzTUczYXRCTFhhU0trSWhzOGVIQ0pzL0drVWluV3JGbFQ0dGVhTW1VS0pCSUpybDY5aXZQbmxja3NITWZCeXNvS3c0WU5VOHRjSXJwbGNMbktqTEZPQVA0QVlGaTNqQXlRUXFFQXgzSHZqU3FtcGFYaDlldlhNREV4VWJ0d013QnBBTDdrT0s3Q3J6T3RhMDZ1bnA5QklQakR0a1lONjAxclY4RGJ5N1BVeDdwLy96NXExNjZ0dGtTc0trQlFtbWgxYW1vcWNuTnpOV3FwU0tYU0VoZTNZNHhwdENFbEpRVVdGaFlsVG5WWEtCU1F5V1FhMlVINkVCa1ZqVEhqSnlQaHhVc0pGTnlRdUVkaFIvVGFJQVBqMU5DekZVU0NQNHlOalp3MnJWMkJqdTNiRnYwa1BZaUppWUdwcVNuL3VYcnk1RWtrSnlmRHg4Y0hibTV1N3kxVUZ4VVZoZXZYcitQVFR6L2w3OUFRM2JoKzh6YkdqSitNak16TVJEQnVTTnpETUJxRENuQnE3TlVKSEE3YjFxaGh2V2I1cjJqMVNRdDlOMGtuVkNzeXZSdWsrQkNQSGowQ3gzRm8xS2hSbVIyeklnc05DOGVFYWJPVVl4OWpYOFpGaDUvV2Q1c01TVVVaKzhvQ1l3eHl1Vnd0azRpVUwwTWUrK2dzcU1DS1UyakYydHFhVXRKSm9iUVZNUDJRbExtUFB2cEliV1VCbGRKVTJkZldqdExPWnhjSUJIVEhpWlNwaGcwYnF2M2VxMWV2WWoyUDR6aTR1N3ZEM2QyOVBKcEZDQ2tGa1VoVXBvRUlBSHhXRkNGRUhjZHhGSWdnUENvYlNnZ2hoQkJDQ0NHRUVKMmlZQVFoaEJCQ0NDR0VFRUowaW9JUmhCQkNDQ0dFRUVJSTBTa0tSaEJDQ0NHRUVFSUlJVVNuS0JoQkNDR0VFRUlJSVlRUW5hSmdCQ0dFRUVJSUlZUVFRblNLZ2hHRUVFSUlJWVFRUWdqUktRcEdFRUlJSVlRUVFnZ2hSS2NvR0VFSUlZUVFRZ2doaEJDZEV1bTdBWVNRMHBGS3BZaUlqRUplZnI2K20wSktJTzVaUFBMeTZHOVdGS1pRSUNyNk1ZeU5qZlhkRkZLSlJFWkZReTZUNjdzWkJrOHFsU0l5S2xyZnpTQ1Z5T09ZV0JyN2lvSEdQbEllREhuc28yQUVJUlZVUm1ZbVZxNzlIU0lSZGVPS1JDYVhJU01qVTkvTk1IaFNtUXdidDJ5RGtkaEkzMDBobFloVUtrV3VSS0x2WmhpOGpNeE1yUDNkSDJLeFdOOU5JWldFVENaRFJpYU5mVVdoc1krVUIwTWUrd3p4S3VhZnQvOU05TjBRVXE2U29QdzdreEtTeTVBZ0ZMTWtCWURVOUhSOU40ZVVFc2R4R1FwRi9qTjl0OFBRS0RqMlNnajJnb0d6VHFlZ0RTay8vK1F6QlkxQjc4aG5pbitNd0NVcEFLUmxaT2k3T2FRUzRqZ3VReVpsQ2ZwdWg2R2hzYTlrbUlLQlUvME1nQk53Nzl1ZC9Ndmd4ajZEKzhzeHhnUUFHZ09vcWUrMmtIS1ZBaUNTNHppRnZodFNBUWtjR2pkdElvS3docjRiUWtxUFUwaFRuejU2RUFIQU1QUG05RWRRMzlXekVlTUU5dnB1Q0ttOG1GeVc5T3h4UkRRQUdvUFUwZmhDeXRYYnNlOCtxTys5aThhK0VqQVNjdlZNeE94L0FvNFRTL0lVQVJJRlIvUEtpc0VReHo2REMwWVFRZ2doaEJCQ0NDSGFlSHA2dGhTSlJFY1lZeVljeHcyK2UvZnVHWDIzaVpRT3JhWkJDQ0dFRUVJSUlZUVFuYUpnQkNHRUVFSUlJWVFRUW5TS2doR0VFRUlJSVlRUVFnalJLUXBHRUVJSUlZUVFRZ2doUktjb0dFRUlJWVFRUWdnaGhCQ2RvbUFFSVlRUVFnZ2hoQkJDZElxQ0VZUVFRZ2doaEJCQ0NORXBDa1lRUWdnaGhCQkNDQ0ZFcHlnWVFRZ2hoQkJDQ0NHRUVKMmlZQVFoaEJCQ0NDR0VFRUowaW9JUmhCQkNDQ0dFRUVJSTBTa0tSaEJDQ0NHRUVFSUlJVVNuS0JoQkNDR0VFRUlJSVlRUW5hSmdCQ0dFRUVJSUlZUVFRblNLZ2hHRUVFSUlJWVFRUWdqUktaRytHMEFJSVlRUVFnZ2hoTHpMMDlQVFhDZ1UyaFRjeGhpelo0d0pPWTRUTU1acWVYdDdPeFo4UEM4djczVmtaR1NXYmx0S1NvT0NFWVFRUWdnaGhCQkNESTVBSUdqR2NkelZndHM0aml2NGM4Qzd6ekUyTnU0RTRITDV0NDU4S0s3b1hRZ2hoQkJDQ0NHRUVKMFRlWGw1UlFzRUF1Zmk3TXdZaXdzTkRYVUJJQzNuZHBFeVFEVWpDQ0dFRUVJSUlZUVlJaG1BTFFEQUdBTmpUR09IZDdidkFnVWlLZ3dLUmhCQ0NDR0VFRUlJTVVnY3h4MEZrRkZ3ZW9hV2ZjQVl5NWJMNVNkMTF6THlvU2dZUVFnaGhCQkNDQ0hFSURIR1hnSzRWdFIrSE1kRnlHU3lPQjAwaVpRUkNrWVFRZ2doaEJCQ0NERklZV0ZobVl5eHErenRYSXlDVXpWVVB6T2xzTWpJeU5mNmFTVXBEUXBHRUVJSUlZUVFRZ2d4VkhMRzJIMk80eklMMjRIanVGd0F0MEQxSWlvVUNrWVFRZ2doaEJCQ0NERllDb1hpTm1QczFYdDJ5V0NNQmV1c1FhUk1VRENDRUVJSUlZUVFRb2pCQ2c4UFR3QVFyaXBpV1hBRkRZN2pvRkFvSXNMQ3doN3JzWW1rRkNnWVFRZ2hoQkJDQ0NIRTBBVVU5Z0RIY1p0MDJSQlNOaWdZUVFnaGhCQkNDQ0hFb0dWbVpwNWhqQ1VWM1BaMlNjL2t6TXpNWS9wcUZ5azlDa1lRUWdnaGhCQkNDREZvTVRFeGVRRCtWRTNWS09EbzI4ZElCVVBCQ0VJSUlZUVFRZ2doQms4dWwyOEhrS3Y2blRHV3h4amJvOGNta1E5QXdRaENDQ0dFRUVJSUlRWlBLQlErWjR3OTRqZ09iek1rWW1VeVdheSsyMFZLaDRJUmhCQkNDQ0dFRUVJTVhtcHFhaWFBRVBZV2dJZFNxVFJOMyswaXBVUEJDRUlJSVlRUVFnZ2hCaTh1TGs0QzRBckhjYmtBOGdGY2pZNk96dFJ6czBncFVUQ0NFRUlJSVlRUVFraUZJSlZLd3dDa2NCeVh5Umk3b3UvMkVFSUlJWVFRUWdnaHBBcnc5dmIreTl2Yis0YSsyMEUrak1hNktJYUFNVllYUUFOOXQ0T1VxNmNjeHozVGR5TjB4Y0hGcFk1SVlOWkkzKzBnbFZlK1ZCYjdNamJpdWI3YlVSYW92NUR5VnBuNlMxbXpyKy9tYUd4c1hGL2Y3U0NWRTJPS1o4K2l3NS9xdXgyR2lNYStrakVWczg4RTRJeXlwUWpTZDFzcUNrTWMrd3d1R01FWWN3S3dIVUJqZmJlRmxLdDRBSU00am92VGQwUEtXNTJHbmc1aW9XQVRCS3k1dnR0Q0tqR0doNUJ3SStMaXdpcDBuNkwrUW5TaWt2U1hzdWJrNU9VRVU3WWZRRDE5dDRWVVRoeERzbFFxNjU4USt5QkczMjB4SkRUMmxRWjdleDNMTWYyMm93SXh3TEZQcE84R2FPRUVaU0RDVHQ4TkllWEtCTXEvdGNGMGh2SWlCaHpBd1owRFoyZHFhZ3FSU0tqdkpwRktSQzZUSXljM0Y0eGpnRW5GNzFQVVgwaDVxbXo5cGN5WndBbmdYQVFjWjIxcVlnSWg5VDlTUnVSeUJYSnpjNkZnQ211UlNOZ1FBQVVqQ3FDeGo1UW5ReDc3RERFWVFVaWxKQmFKTUg3c2FIaDVldWk3S2FRU2lZeUt4b28xNjVHZG02UHZwcFFwNmkra1BGVFcvbExXTEt0VncvaXhvK0h1NXFydnBwQks0bkZNTE5iK3ZobkpLU242Ym9wQm83R1BsQWRESHZzb0dFR0lqbkFDQWR4Y0c2SFZKeTMwM1JSU3lWVEd1NWZVWDBoNXFZejlwYXlKeFdLNHU3bFMveU5seHRqSUNNYkdSdnB1aHNHanNZK1VGME1kKzJocFQwSUlJWVFRUWdnaGhPZ1VCU01JSVlRUVFnZ2hoQkNpVXhTTUlJUVFRZ2doaEJCQ2lFNVJNSUlRUWdnaGhCQkNDQ0U2UmNFSVFnZ2hoQkJDQ0NHRTZCUUZJd2doaEJCQ0NDR0VFS0pURkl3Z2hCQkNDQ0dFRUVLSVRsRXdnaEJDQ0NHRUVFSUlJVHBGd1FoQ0NDR0VFRUlJSVlUb0ZBVWpDQ0dFRUVJSUlZUVFvbE1VakNobk1wa005Ky9mUjFKU0VnQWdMUzBOQ29WQ3o2MGlwSHlkT25VS08zYnNLSEtmUFh2MlFDYVRsY2xyWm1abUlpTWpvMHlPUllndXlXUXloSVNFNEo5Ly9pblgxOG5MeTRORUlpblgxeUNrSXBGSUpGaTJiQmtlUDM1Y0pzZkx6czVHVEV3TTh2THl5dVI0aEZSVnIxKy8xdGpHR01PclY2KzA3cCtTa29McDA2Y2pJU0ZCNDdHZ29DQnMyTEJCYmRzZmYveUJ2WHYzbGsxanlRZWhZRVE1eTh2THczZmZmWWZEaHc4REFDWk9uSWovL3ZlL2lJMk4xYnAvWm1ZbWdvS0NTdlR2eElrVHVueExoQlFwUER3Y3djSEJoVDRlSFIyTmVmUG1ZY1dLRlhqdzRJSFdmUlFLQldReW1jWS9iUklTRXZEcHA1OWk0Y0tGWmRKK1FuUXBLeXNMNDhlUHg4V0xGOHYxZFNaT25JaEZpeGFWNjJzUVVwRklwVkw4OGNjZldpOWdTdVBtelpzWU5HZ1FuajE3VmliSEk2UXlVaWdVeU1uSjBmakhHQU1BSEQxNkZGOTk5WlZHUHpweTVBajY5ZXVIYTlldWFSd3pOemNYRnk1YzBIcFQ2dEdqUjdoOSs3YmF0dkR3Y0lTR2hwYmh1eUtsSmRKM0F5bzdFeE1UQU9DeklSWXVYSWc1YytiZ20yKyt3Wnc1YzlDM2IxKzEvWk9Ta3JCdzRVSVlHUmxCSUNnNlZpU1R5Y0J4SEhyMzdsMzJqYThBSEJ3Y1RHMXNiRHFIaFlXZDFIZGJTUEV3eHJCaXhRcFlXRmpBd3NJQ1M1Y3V4YzZkT3lFVUN0WDJXNzE2TlhidjNxM3gvSDM3OXFGUm8wWnEyOWF0V3dlRlFvRy8vLzRiTVRFeGFOaXdZYm0raDhyTTA5UFRYQ0FRZEtRK3BWOUJRVUU0ZHV4WXNmYnQxNjhmZXZmdURabE1ocXlzckVMM0d6QmdBUHo5L1JFZkh3OUxTMHV0K3hnWkdjSE16S3hVYmE2aWhCNGVIaTFGSWxGa1dGaFltcjRiUThyR2pCa3pjUFhxVmEyUExWcTBDRjI3ZG4zdjh6bU9LNDltRVhYQ1pzMmFmY3h4M0NQcWV4WExreWRQTUdqUUlJM3RSNDRjUWQyNmRkRzVjMmRzMmJJRlU2ZE94YTVkdTJCcWFvcTB0RFNzVzdjTzlldlh4OGNmZjF6a2F4dy9maHpYcjE4SEFFUkZSU0V0TFEzejVzM2pIdzhQRHdjQWZwdVJrUkY4ZlgzTDR1MlJFcUpnUkRrVENvVVFpVVQ4SFYwbkp5Y0VCQVRBMzk4ZlBqNCtoVDV2MWFwVmFObXlaWkhIWDdseUpmYnYzMTltN2EwQVJFMmFOTEVVaVVTT0hNY040RGh1R01keGRRRFF5RjlCN051M0Q3ZHYzOGJjdVhOaGEydUxTWk1tWWNPR0RSZy9mcnphZmw5KythVmFINGlPanNhNmRldGdiVzJ0dHQrbFM1ZHc5dXhaL1BUVFQvanp6eit4Y09GQ2JOMjZGVVpHUmpwNVA1V0FxRW1USnBZQ2dhQytVQ2o4U2lBUWpBQmdCK3BUZXBXZm40L016RXlON1JrWkdVaEtTa0s5ZXZWZ2JHek03d3NBZCs3Y3dROC8vRkRrc2IvODhzdENIK3Zac3lmOC9QeEsyZW9xUWVqczdHeGhaV1ZWaHpIV2krTzQwUnpITldLTWVRR2dDNkpLSWk4dkQrYm01aGc0Y0NDLzdjMmJOOWkvZi85N3B4WVdOUTEzK2ZMbC9BWFN1ejcrK0dQTW1qV3JkQTJ1R29UT3pzNFc1dWJtOWtLaDhIUHFleFhmc21YTFVMdDJiVHg3OWd5elo4L210MXRhV3NMUHp3K1RKazNDNDhlUDRlbnBpVjkrK1FVS2hRSkxseTR0MXZlNy9QeDg1T1RrQUZCbVFLbXlNVlRrY2prWVkvdzJ1VnhleHUrT0ZCY0ZJejdRa2lWTEVCUVU5TjU5WkRJWjl1elpveEUwVU0xVk9uTGtDR3h0YmN1dGpaVkJzMmJOWEFRQ1FYdU80endZWTIwNGp2TUVZS0x2ZHBGL1pXUms4Q2wxcjErL1JrNU9EdTdmdnc4QWNIUjBoS1dsSmFLaW9yQm16UnEwYnQwYVgzNzVKVGlPUTkrK2ZiRmp4dzY0dUxpZ1I0OGUvUEdjbkp6dy9QbHp2SHo1RW9NR0RlSUhEQ3NySzM2ZnhNUkVMRnk0RUczYXRNRVhYM3lCcGsyYjR0dHZ2OFhQUC8rTW4zLytXWWZ2dnVKcDNyeTVHMk9zRFFCUEFLMEFlSEVjUnhFY0hjbkl5T0JUVGJPenN3RUFEeDgreEprelp3QUFuVHAxd3RkZmY2M3h2TU9IRDhQUHp3K0xGeStHdTd1NzFtTnYzNzZkejI1UUtCUzRlUEVpMnJScEExTlRVN1g5VWxOVGNlZk9IWHo2NmFmOHRtclZxbjM0bTZ1RVBEdzg2b3BFb2c0QVBEbU9hd0hnRTRGQVlLSHZkcEdTVXlnVU9IdjJMQUR3TlZUQ3dzS1FuNThQanVQUXZYdDNBRUQxNnRVeGN1Ukkvbmt4TVRGYWIvNjhlZk1HWDN6eEJYOXNBQmcrZkxoYWRzVElrU014WXNRSUpDWW00czJiTnhwWnNjZVBIeS8zbWpFVmxZZUhSMTJ4V055T01lYkZjVnlMdC8xUGUyb1hxVkRxMTY4UEp5Y250VzJ2WDcvbXAvbis3My8vUTJ4c0xQNysrMitjTzNjT1BYdjJ4TTJiTndFQVhidDJoYVdsSlI5b2tFcWxBSlNCaDd5OFBQVHAwd2Y5Ky9jSG9BeDZSRVpHWXNXS0ZmenJ6SjQ5R3pLWkRMLzk5cHN1M2lwNUR3cEdmQ0JWa2FJeFk4WVV1cysyYmR2ZzRPREFEM0R2TWpjM0w1ZTJWWFR1N3U0V1lyRzROOGR4d3dRQ1FXUEdXQzBBNXFvQm5qRkdxWkFHNU02ZE81ZzJiWnJhdHUrKyt3NkFjaUJ3ZFhYRnhJa1RZV1ZsQlQ4L1AvNXZOMnZXTER4NThnVHo1ODhIWXd5ZmZmWVovL3dMRnk3ZzlldlhHRFJvRU5MVDAyRmlZc0pIeE4rOGVZTWZmL3dSNXVibWZPREJ5Y2tKaXhjdnh0U3BVMkZtWm9hWk0yY1dhN3BUVmZHMlQvWGpPRzRJWTh3TlFFMk80L2dQSU9wVHVwT1FrSUE1Yythb2JUdHg0Z1JmQTJqdDJyV3dzYkVwMWJIcjE2L1BqMDBTaVFUKy92NW8wNllOcksydFlXWm1ocXlzTERERzhQVHBVK3pZc1lQUGxCQUtoYVYrelVwSzFMeDU4NTRLaGVKYmp1TzhPWTZyeFJpejREaE9BRkIvcWFoa01obGZPMFUxUnowd01CQUNnUUFpa2FqUTcycUZNVEV4d2JCaHd3QUFzYkd4T0gvK1BQcjI3UXRyYTJ2SVpESnMyN2FOZngxQUdlU1lNR0dDMmpGVUYxaUVKMnJldlBtbkNvVml4TnUrVnhOQU5lcDdsVjk4ZkR6OC9QeGdZV0doTm4zWHlzb0tJU0VodUhMbENyS3lzdEMwYVZOWVdscGk1TWlSaUlpSTRQZjc3My8vQ3dEbzBxVUxGaTFhaEx5OFBMUnExUXB1Ym01SVMvczNnZWJUVHo4Rll3eHBhV2tRaVVTd3NLRFlzcjVRTUtJTUdCc2I4d09STmtlUEhvV0RnOE43OXlISytnL1ZxMWV2QnNCWktCU09BdENINHpnYkFHb0R1ZXBuR29nTVM0Y09IWERseWhVd3h0Qy9mMy9ZMjl2ejFZdVRrNU14ZHV4WTVPVGtZUFBteldwVExZeU1qTEIyN1ZyODhNTVBtRGR2SHA0K2ZZclJvMGRES0JUaTlldlhxRjY5T2dBZ1BUMmRmMTVpWWlJbVRweUkxTlJVK1B2N3F4MnZZOGVPbURObkRoWXZYb3hYcjE3QjE5Y1hIMzMwa1E3L1R4aU80dlNwZ24yTCtwVHV1TGk0OEZrUUdSa1pHREJnQUw3Ly9ucytNRkF3QTZnMENtWVpBZjhHQmtlUEhvMHRXN2FvcFpQMzZ0V0xmODBMRnk1ODBPdFdaRTVPVGlZMWF0U3drRXFsOVlSQzRYOEFEQUZnTHhBSXdCalQybWRJeFdOa1pNVFhnemg5K2pUbXpwMkwvL3UvLzBQbnpwMUxkVHd6TXpQK2h0U3BVNmR3L3Z4NS9PYy8vNEdEZ3dOeWNuS3diZHMyalpwSVJKMnE3OG5sY2dlTzQ0YUMrbDZWRUJzYmk1eWNISzBGWDdkdTNhcTEvbGRvYUtoYXh0TEVpUk9SbnA2T00yZk80T3paczVnMGFSSWNIQnhRczJaTnJGbXpCb0dCZ1VXMnc4M05UV3VOTXFJYkZJelFBWE56YzQyaVl0SFIwYkMzdHkrMGlOaWtTWk5LVk1DeUl2UHk4dklCMEJaQUM0N2pmQUE0cWRMRnRRMDgydDZ2bDVkWHAzSnVacWxKOHVWT3VYSldzZjlJeFNBVUNtRm1ab2FJaUFpa3BLU2dUcDA2TURNenc1czNiekJ5NUVoa1pXWEJ6ODhQRGc0T1d1ZkNMMTI2Rkg1K2Z0aXlaUXRxMWFxRi92Mzc0L1hyMTJqUW9BRUFaVXE1dGJVMXdzTENNSFhxVk1qbGN2enl5eSt3c2JGUmkzWUR5b2g0Ym00dTFxeFpnNEVEQitMdzRjTlZLdXJ0NmVuWlNpQVF0RUl4K2xSaG54LzY2bE81K1RKbmlieUNmNmdWZzBnazRyTVFSQ0xsVUd4dWJsNW1tUWszYnR4QVhGd2NKazZjaU1URVJNeWZQeCtkT25XQ3BhVWx4b3daZzQwYk4rTE1tVE40OGVJRlhGeGM4Tk5QUDFYWndxOGVIaDZlUXFHd0E4ZHhIelBHV29oRW9vWjRPdzJ3dUdNUWdCWmVYbDRWUHVxWkkxVTB6RmRVK3U3SHUzTGxTcGtlVDVVcXJzcmdVODFEcDJDRWRoNGVIcDRpa2FnZEFCL0dXQXVCUU5BQWdDbFFCZnVlUk9HWXIrOUc2RmhaMUVocDNydzVBR1VXT3FDc3ZhS2F3bmo4K0hHNHVycGk1Y3FWaFQ3Lzk5OS9SMHhNekFlM2c1UWVCU1BLUUY1ZUhuYnUzS214dlhYcjFtalVxQkVzTFMzVkxwWVlZNWd6Wnc3eTh2SVFGQlNrTmVnd2VQQmcxSzlmdjhqWC91dXZ2elNXcTZrSUdHUGM2dFdyZTN0NWVmbHlITmNJUUUwQVl1N3RTRlBjQ3lZVmdVRHdSM20xOVVNWkcrRzVOQjlWNXB1SWFubkNuSndjYk5pd0FhTkhqOGJYWDMrTjVzMmJZK25TcFpneFk0Ylc1NG5GWWx5OWVoVkhqeDVGdjM3OUFDalhqVlpsTmFTbnA4UEt5Z28xYXRTQXZiMDlac3lZZ1JFalJoVGFqbWJObW1IOSt2VjQvUGh4bFFoRWNBQm5Ka2FmdDMzS0JZQXRLbUNmTWpVU0o4bnlXWlhwTDRXUnlXUjhrS0kwd3NMQ01IZnVYRXlhTkFuejVzM0QxYXRYc1huelptemZ2aDI3ZCsvR2pSczNNR1hLRkV5ZlBoMnpaOC9HdUhIajhNTVBQNkIzNzk1VjQ4S0pNWmlLOFptM3QvY01BTzV2cDJBWTQyM2gxcEwyRjQ3amZ1VTRydkRLaGhXRWlSaVBwSktxVWJ3Mk96c2JseTVkQWdBOGZmb1V4c2JHYU5PbXpRY2RVM1hqU1ZXelJSV00rSkMrWE9rbysxNFhiMi92Q2FDK3h6TXpRYXcwRDFWcVh1bWZmLzRKSnljblJFZEg0NXR2dmluMWNWNitmSW5JeUVnQXdPM2J0MkZwYVFrSEJ3Y0F5bXUwNTgrZkYvcGNiVGZIaUc3UnArTUhrc2xra0VnazJMUnBrOXAyaVVTQzZ0V3JvMUdqUnJDMXRVVnNiQ3ovMk5XclZ4RVhGNGZ2di85ZUl4RGg2T2lJZ3djUHdzN09qbDhXOUgzYXQyK3ZkVTNkaWtBbWt4a0pCQUlyS0tQZ2dnOUp3Mk9NR1d3eFN3NmNtQlZSWWJzeXVYRGhBaG8wYUFDRlFvSGp4NDlES3BWaTRzU0pBSUM1YytlcVZUTXVTQ0FRUUNnVThnV0hHR05JVFUxRlVsSVNybHk1Z21mUG5rRWtFaUU1T1JtN2QrK0dUQ2JUNkhjRldWaFlvSEhqeG1qUm9rWFp2MG1EeFl3RUFxRVZZOHlVNDdpSzJxZkVURkUxVTNGVFUxUHg1NTkvNHN5Wk0yalVxQkZtenB4WnF1UEV4TVJnd29RSm1EdDNManAyN0FnQW1EQmhBakl6TTdGNjlXckV4c1ppL2ZyMWlJdUxBd0EwYWRJRVM1Y3V4ZXpaczVHZW5vNmhRNGVXMlhzeVpBSndSbEFXd2pNRC9nMFlseklWM0pneFZ1Ry9Vd2s0VGd4VWpmNTM0c1FKbUp1YlF5S1I0TXlaTTlpMGFSTVdMbHpJMXkwcVRiMmg5UFIwdGZubmxCbWhuWUNER0cvN0htT00veDlkbGZzZUE0eXFTTmNyYzJmUG5vV2xwU1V5TWpKdzlPaFJIRGh3QU51M2J3ZWdyTTlVY0VuUGQyVm1aaGJyNWk4cFB4Vys4K3BiVGs0TzZ0U3BvN2FpeHBNblR6Qmd3QUErbUZDclZpMmtwS1JBS3BWQ0xCWWpJQ0FBbHBhV0dEeDRNUDhjaFVLaHR0elR5NWN2MVY2bmRldlc0RGdPaVltSmVQTGtpVVk3WHJ4NEFWTlRVM2g3ZTVmMVd5d1hITWV4YWRPbUhaNCtmZnJFZ3RNMEFQQXA1U1dwRThFWUszeXRPajJUNU11ZDVFendrMWpmRGRHQjRPQmdaR1Jrb0d2WHJvaUppY0gwNmRQeC9mZmZvMWV2WHJDMXRVV2pSbzFnYm02T3MyZlBZdlBteldweitiWnYzdzZaVElaMjdkb0JVSDZwWTR3aE1EQ1EzMCtoVUdERmloWDgzRDQzTnplWW01dnpGMVlGcXlJdlg3NGNyMTY5UW9jT0hYVDRmMEIvR01DeXBkeUJCL2Z2amlzNFRRTVZyRS9sNXN1YzVVem9XeFg2QzZBTVFLaHFSNmpTVE4zYzNJcTFqdnE3VkhVZ1hGeGNjUFRvVWRqYTJrSXFsV0w0OE9Hb1ZxMGE2dGF0aThtVEo4UEV4QVFXRmhiSXo4L241OTU2ZW5waS8vNzkvQjNkU28vamtDMUYwSVA3b1ZNOFBEdzh4V0p4UjhaWTg3ZlYraHNDTU5IV1g1UlAxZXd6akxISmpMRllqUWNxbUJ5cG9pSGp1RXBmWGw0bWt5RWdJQUE5ZXZUQTNyMTc4ZjMzMytQU3BVdVlQMzgrM056Y0lKVktTMVZjUEQwOVhXMzZyYXBQVW1aRUFSeUg3SHgyNXNIOTBNbHZwMm0waDNKS1lRdU80eG9BTUsyS2ZTOVhvbkJrRVB5azczWVlpaTFidG1oZDNlbjE2OWRxditmbjUrT1BQLzVBcDA2ZEVCUVVoSG56NW1IVnFsWDQ1WmRmWUd0cmk4YU5HeU1nSUtEUTExbXlaQW0vOGh2UkQvcDAvRUE1T1RscXhmTUFJRGMzRjhDL2FYcjE2dFdEUXFGQVFrSUNIajU4aUx0MzcyTFNwRWxxblV3cWxXTDgrUEdGdnM2Tkd6Y2dFb2x3K2ZKbExGMjZWT3MrRGc0T09IcjA2SWUrSlowTEN3dTdCZUJXdzRZTkxjM016R3B3SE5kSUtCUU9BOUNUNDdqcVFORUZMTVBDd2k3cHRORWw0TlRRc3hVbjRxcEV2TnZmM3g4OWV2VGcvMFkrUGo3WXNXTUhIQndjMEtsVEo4eVlNUU5mZmZVVlB2cm9JOFRHeHVMNTgrZW9XN2N1bjEzVXMyZFBQaGhoYlcyTlc3ZHVxUjMvMTE5L3hhTkhqd0FBZmZ2MlJjK2VQVEZ1M0RpWW1abmg2dFdyeU12TGc3R3hNUklURTdGMzcxN1VxbFZMdC84RERFUjRlUGgxQU5lTDA2Y0srNktucno3bDFOQlRVaFg2UzNoNE9OYXZYNCs3ZCsveUZ5eGR1blRCK1BIalVhOWV2VklkVTdWTTRiRmp4N0IyN1ZxMXg3UXRTYWlpdW9NRUFPUEdqY09RSVVOSzlmb1ZWVVJFUkRpQWNIZDNkd3RqWStNYWpMSDZITWNOQk5DZjQ3aGFnUFl4Q0ZEck03ZkR3c0x1NmE3VjVjT3BzUmVxd2lTTndNQkFKQ2NubzErL2Z2d3k2NzYrdnVqZXZUc2NIUjJSbnA0T2UzdjdFaC8zNWN1WGZORmw0TjhWMThUaXFoSmVMWmwzKzU1Y0xxOG5GQXFIb0NyMnZZYWVyYXJhVmRtalI0K1FtWm1KK1BoNGpjZmk0dUlRRXhNRGUzdDdXRmxaSVNvcUNvNk9qaG9aUzBlT0hFRktTZ3A2OWVxRm9LQWdHQnNiWThXS0ZUQXlNc0tHRFJ2dzRNRUR0RzNidHRBMnlHUXlOR3JVcU16Zkd5bStLbmJhbDczRXhFUitYcEtLS2cxZEZWVjNjWEVCQUZ5N2RnM2J0bTFEZ3dZTkN2MnlOM0hpUkw2YU9xQmNVMzcxNnRVYSs1MC9mMTR0N1cvMTZ0VWFGMjRWVFV4TVRBYUFEQUJQQWZ6bDZ1cGF6Y3pNN0V2RzJPaTNkNnFzQVJqVDBwNkc2Y3FWSzRpS2lzS0NCUXR3Nk5BaGZudlRwazM1L3dZSEIrT3JyNzVDMDZaTklSYUxFUllXaHJwMTZ5SXNMQXhTcWJUUWF1WXltUXdKQ1FuSXo4K0hzYkV4QU1EYjJ4dG56cHpCdUhIajRPUGpnM1hyMWlFME5CU3RXclhpKzBmUG5qM0wvNDBic0VMNjFFREcySWkzdFZxc09JNHpWdTFQZlVwM1pESVpZbUppTUdEQUFMUnYzeDdqeG8yRHQ3ZDNxUU1SZ0RJUUxoYUwwYmx6Wno3dFZDcVZZdm55NVZBb0ZKZzVjMmFSNmVLT2pvNmxmdjJLTGpJeU1ndEFGb0JuQUM0Qm1PanQ3ZDBYd0g4NWp2TUNZTTBZTXltc0RndXBHTkxTMHJCeDQwYjA3dDBiTld2VzVMY0xoVUwrb2lVdExRMk5HemN1OGJFaklpTFVzdkVvR0ZFODcvUzlLMUQydlo0QXZuL2I5MVRURDZudlZTSUxGeTRFb1A3M2RITno0NmVydDIzYkZtUEhqa1diTm0zUXRXdFhUSjQ4R1Q0K1BraE1URVNkT25VQUFBRUJBZWpVcVJQczdPejRZOVNvVVFNQVVMTm1UWFRxMUFuRGh3OEhBRVJGUldISmtpVll0bXdaWHl6NnI3Lyt3cHMzYjNUeWZvbDJGSXo0QUZLcEZBa0pDZnlkWEJWVkRRZFY1b096c3pPc3JhMnhldlZxTU1hd2F0V3FRbFAyakkyTjFUSW1WQmRlNzdLd3NGQTdSbVVjNktLam96TUI3QVN3MDlQVDAxVW9GTFlENE1FWWE4TnhuQ2ZIY1FaYko2SXE0amdPYmR1MkxUVEMzTFp0VzJ6ZXZKa1BLRFJvMEFEMzd0M0RGMTk4Z1d2WHJzSFUxQlF0Vzdiazl6OTE2aFFpSXlQNWYzWHExRUhqeG8zNTZVK2RPM2ZHcVZPbkVCRVJBVGMzTjFoWVdPREdqUnQ4TUtKTm16YjhnRVNVM3ZhcHJRQzJlbnQ3dXdOb3pSaHJCcUFsQUMvVmlodWsvSGw1ZWVITW1UTVFpVVFhcThHVVZrcEtDcXBYcjQ1YXRXcWhWcTFheU03T3hyUnAwL2psQlZWZjNrZ29oeVFXQUFBZ0FFbEVRVlN4U1VORFF3OEFPT0R1N2w1UExCWjM0RGl1S2NkeExSaGpuM0FjVi9rcjQxWkM1dWJtc0xTMHhOaXhZN1UrbnBhV2hzVEVSTGk2dXI3M09LcWd1NnJPMGJObno1Q2VuZzVQVDA5K0gxVzJrbXAxRFZKczB0RFEwQ0FBUWU3dTd2V01qWTNiTXNhOE9JNXJBZVdVRHUxTDBaRUtRVlZMSlRBd0VIWHExRkVyWUdsaVlnSW5KeWNrSkNRQWdGckFzT0RqS2k0dUxoZzllclRXMTNtM3lQay8vL3dEUURuMVhmVmRVblhEak9nUEJTTSt3TU9IRHlHWHk5R2tTUk8xN1VsSlNRREFUOThRQ0FSd2QzZEhTRWdJSmt5WUFBOFBEd0RLUVdya3lKR1lNbVdLeGpHSXV2RHc4R2dBMGU3dTdrWmlzZGhXSUJBMDREanVTOGJZWUk3ajdJbzhBQ2wzclZxMTBzZ1NLdWpqanovR3VuWHJjTy9lUGZqNCtLQlJvMFlJQ3dzREFJU0VoS0I5Ky9acXdiZU5HemZ5ZFZBR0RScUU1czJiNDlkZmYrVUhrRFp0MnNESXlBam56NStIaDRjSG1qZHZqb2lJQ0R4Ly9oejM3dDByZERvVFVRb05EWTBFRUtucVV3QmNoRUpoSDhiWU54ekgxU3pxK2VURENBU0NVaFhJZTUvNCtIaStEOGJFeEdEKy9QbDQ5T2dSUkNJUkJnNGMrTjduTm1yVUNEdDI3Q2pUOWxRbWtaR1I4UUIyQXhCNWVIalVFQWdFOVlWQ1lYZkcySENCUU9DczcvYVI0aE9MeGRpeVpRdHExcXlwdFpMK25UdDNBUHk3WkdCaDd0Ky9qN3QzNy9MQmlIUG56Z0ZRcnVTa29zcU1vR0JFNmIzdGUvRUEvdlR3OEtnaEZBb2RCUUxCWjlUM0txNTNWNTNSUnBYdFhkaVMwdzhmUG9TZG5SMSsrdWtuV0ZsWmFheVkwYlp0V3o0WStLN0NwbTJFaElRVWVoT1lsQjhLUm55QTgrZlBBMUFPUEtxZk9ZN0QvdjM3WVdkbng4OGJYTHQyTFVKQ1FnQkE3UTdZMDZkUEVSVVZoZFRVVkIyM3ZPS0tqSXpNQi9EaTdiL2cyclZyejYxWnMyWjNQVGVMUUZtZ3EyQzArbDN1N3U0d01USEJ6WnMzNGVQamd6WnQyc0RhMmhyUG56L0hreWRQTk81U0hUaHdRQ1BqSnljbmg1L0hhMnBxaXQ2OWUvUEZ3dWJObXdjckt5dHMzTGdSbHBhV1ZhWnc1WWQ2cDA5ZGRIZDNuMjlrWlBTcG5wdEZTaUVxS2dydTd1NVl2MzQ5ZHU3Y3lXZEN6SjQ5KzczVEx3SURBL0gwNlZOZE5iT2lrMFZFUkNRQlNBSndIY0JpYjIvdmR2bjUrWVd2SFVjTVRzR1U3bmVkT0hFQ2RuWjJhTkNnd1h1UGtacWFDbHRiV3dES2FWZC8vdmtuM04zZDFaNm5xaUZXY0hXMDNOeGMzTGh4USsxWTJkblpsTWxYdElKOTd5YUF4VjVlWGkybFVpbjF2UW9tUGo0ZVlyRllyZGhyUVRLWkRIdjM3a1h6NXMxaGJXMnROWHZRMzk4ZkVva0VHelpzMEhvTWYzOS92aDRUb0J3Zmx5NWRDbGRYVjhUR3htTHExS2thVTdFb2FLZ2ZGSXdvSllsRWd0T25UOFBIeHdkMmRuWllzMllOWHhIZHhNUUVmbjUreU1yS2dwK2ZIODZlUFl0ZXZYcEJJcEZnMTY1ZGNIRnhRYytlUFJFVkZRVkFPVDlLUlNxVnFpMTlLSlZLdGI2K1FxR0FUUGJ2c3NwVmRmN2N5NWN2YzE2K2ZIbEUzKzBnUlJPSlJGaTJiQm4vNGQrOWUzZDA3OTRkTzNmdWhMbTV1VWFrV3R2VW82U2tKTFhCbytCeVRUVnExSUJjTHNleFk4ZncyV2VmVmNxcFM3cndkdTR1OVNrZEt2aFpYaFRWbDdKM2F6OGtKeWZqNGNPSHFGZXZIZzRkT29SaHc0YWhaOCtlR0RKa0NGeGNYT0R1N2w3b01TOWR1a1RCaU5LVGg0YUdYdFozSTBqWmVQandJUzVmdm94WnMyWnAxTTlSWlRLcHNoMWV2bnpKVCtVNGR1d1lrcE9UTlFxUnE1WjFWd1V0QUdXcStBOC8vS0R4Mmg5U0w2YUtrb2VGaFlYb3V4R2s1Tzdldll2NjlldHJyV0hFR01PU0pVdnc5T2xUYk5teVJlTXhsVmV2WHFsZFA3MUxsWEdlbDVlSGd3Y1BZdVBHamVqUm93ZjgvUHl3WnMwYXJGcTFDc09HRGNPMzMzNWJxcFZ6U05taFlFUXBCUVFFSURrNUdkT25Ud2NBekpvMUM2TkhqNFpjTGtlZE9uVVFIeCtQZ1FNSDR2WHIxeGcvZmp5KysrNDdaR1ZsSVNrcENmUG16Y1BCZ3dmeDVNa1QxSzVkRzdWcjErWUh0NVVyVjJMbHlwVkZ2bjdyMXEwMXRyMHZSWjRRZmNuTXpPUURkWUJ5R2RxQ2poNDlpdHExYStQWXNXUDh0azgvL1JUVzF0YTRkdTBhbmoxN0JuTnpjMFJIUnlNdUxnNWp4b3hCdDI3ZHRMNldRcUZBV2xvYVRwdzR3YWZNK3ZqNDRQLys3Ly9LNFowUjhtRTJiOTRNeGhnZVAzNE1BQm9yTXdIS3pMcjQrSGlZbXBxQ01ZWkxseTVCSkJLaGR1M2FhdnZ0MjdjUDl2YjI4UFB6dzhDQkErSHQ3WTJZbUJnQVFGaFltTVp5YUFXOTJ5Y0pxWW95TXpNeGQrNWNPRGc0b0cvZnZocVAyOXJhUWlnVXd0L2ZINWN2WDBac2JDd0dEUnFFK1BoNExGKytIQTRPRHVqV3JSc0NBd1B4N05rekFNb2doWTJOalZwL2RYUjB4TysvLzY1MjdJa1RKNWJ2bXlQRVFLU2xwZUhTcFVzWU1tUUl3c1BEa1plWGg4dVhsZkZjdVZ5T21UTm40dno1ODVnNmRTcTh2THdBL0R1ZDQrREJnOGpMeThQcjE2L3g4T0ZEOU9yVlMrdHJwS1NrNE5hdFc3aDE2eGJPbno4UHNWaU1DUk1tNE91dnZ3YWc3Ry9ObXpmSDBxVkxFUkFRZ1BidDI2TlpzMmJvMzcrL1doWVQwUTBLUnBSU28wYU4wTFp0VzNUdDJoVUFZR2xwcVpadTVPam9pSTRkTzZKdjM3NzhuVndMQ3d2NCsvdGp5NVl0T0hYcUZNUmlNYVpNbWFKMjNNR0RCNnV0S0hEeDRrWHMyN2Z2Lzl1NzgvaW95cnZ2NDkvcnpHUWZTSUFBWVFkUlVYQzlrVnFzRnF3SUFnYkVscnJVYnJiUFl4RkxLM3E3YTIwclZaRnFXM0d0UzkxQnFLSWdzZFJicVV2ZDcvcFlKVkJrVFVoQzJDYjdNblBPOWZ3UlprZ2c3RE9aWlBpOFh5Lys0Sm96NTN6UG1mT2J5ZnptTEhzcy85RkhIMjF4dnZGenp6MFgvWU1XYUU5MjdOaXh4MjBHVzlOOG1wTlBQbGs1T1RrcUxpN1dQZmMwM2ZJK1BUMWRVNlpNMFRubm5CTzlTT3lCMk5maHVFQWl2ZlhXVzFxMWFwVWN4OUdwcDU2cTBhTkg3ekZOZlgyOTNuenp6ZWovYzNOemRmWFZWKzl4Ly9VdFc3WkU3NVp4NnFtbnRuanNpU2VlMk90Rms2V204M2RwWnVOSTk5cHJyMm43OXUxNjhza25XejFjdTFPblRwbzVjNlplZnZsbHJWMjdWdm41K1pvMGFaTCs4cGUvcUtHaFFiLzk3VytWbXBxcWlvb0t6WjgvWDlaYTllalJRemZmZkhPTCt2UDVmSHZjZG5wZjlRa2trMDJiTmlrdExVMFhYbmloNXN5Wm83ZmZmbHQrdjE5VHAwNVZmWDI5M24vL2ZkMTIyMjB0R29LcHFhbTY5TkpMdFdEQkFyMzc3cnZ5Ky8wNjVaUlQ5dHFNV0w5K3ZlNjg4MDZkZHRwcHV2YmFhelZ1M0xnOWF2cXNzODdTeUpFanRXelpNcjMrK3V0YXVYSWxqWWdFYVhmM2NMUFdqcGIwZ3FSMi93Mml2cjZlSGZmUUJTVk5NY1lzVDNTUWVHdTZkN1R6UWxwYTZzQkg3cjlYbzg3YSsvMk9zU2RycmNMaHNQeCtQN2VkYk1VSEgzMmlLMzUrdFNxcnFzcGt6U1hyVjM3V29XdnFTS3NYMTNWbGpJbjV4U3dqSXJXREpzbFdMN0UyOExoVFJzdm81ZTdkdXVYODZmZDM2ZXRmT3kzUmtkclU5dTNibzlmN09sQ2U1K25kZDkvZDR6cEZudWZGcmE0N29uOTk5cmxtWEh1RGlqZVYxTXZhS2V0WGZmNTZvak8xSjBmU1oxOTFkYlVDZ2RadlJsUlJVYUhzN096RFhvYnJ1dnU5bGZXUnBEMS85dkVYeW1HZ0VRSEVuekdHNno4Z2FjWDdqeVVhRWNDQk85aEdoTlIwTFluV0xwaE1Jd0pvM2Q0YUVaSmkwb2lRNHYvWml0amhuUklBQUFBQUFMUXBtaEVBQUFBQUFLQk4wWXdBQUFBQUFBQnRpbVlFQUFBQUFBQm9VelFqQUFBQUFBQkFtNklaQVFBQUFBQUEyaFROQ0FBQUFBQUEwS1pvUmdBQUFBQUFnRFpGTXdJQUFBQUFBTFFwZjZJREFFY0s2M2txWExWYWFXbHBpWTZDSkxLaWNKWGNzSnZvR0RGSHZTQWVrclZlWWkwVUNtbEY0YXBFeDBBU1dmM1ZHalUwTkNZNlJydkhaeC9pb1QxLzl0R01BTnBJS0J6V3c0ODlvZFNVMUVSSFFSSUpoVUtxcTY5UGRJeVlvMTRRRDhsYUw3RldXVldsK3g5NlZDa3BLWW1PZ2lRUkRvZFZXVldWNkJqdEhwOTlpSWYyL05uWEhwc1JwVHYvcFNjNkNPSnFzNXBlNTZUbkdWdnVrOTFrWlhJcUt2a2dSdHlVTmxxdnc5Y1U5WEp3SEVtWnhraVM2cXhWKy96ZG8xMUtpbnFKdFVicmxhYktiUFlrQlNzckV4Mm5YYVAyRG8weHBqSWNzc1dKenRIZThObUhOdEx1UHZ0TW9nUHN6bHJyU0RwT1VvOUVaMEZjYlpXMHdoampKVHBJRzNBR0RUbnBHR3VjWG9rT2d1UmwzZkRtRGF1L1dDV3BvOWNVOVhJUXBuWU85TDhzTitzbmpqRXBpN2ZYUHZYb2prcU9yVDhBU1ZRdnNlYjBQZTdFWVg3NXVpVTZTSHRIN1IwYTQ0VjJyUHZQbC84V3RiYzdQdnNRZCszeHM2L2ROU01BQU1DQktaczg0WFJyelNKclRMckM5dUxlcjczMnQwUm5BbzRFMUI0QUhEN3VwZ0VBQUFBQUFOb1V6UWdBQUFBQUFOQ21hRVlBQUFBQUFJQTJSVE1DQUFBQUFBQzBLWm9SQUFBQUFBQ2dUZEdNQUFBQUFBQUFiWXBtQkFBQUFBQUFhRk0wSXdBQUFBQUFRSnVpR1FFQUFBQUFBTm9VelFnQUFBQUFBTkNtYUVZQUFBQUFBSUEyUlRNQ0FBQUFBQUMwS1pvUkFBQUFBQUNnVGRHTUFBQUFBQUFBYllwbUJBQUFBQUFBYUZQK1JBY0FBQUQ3VnpaMmJKYm45K2MySC9NOFh5OFp6MmVzZGVRM1BVc21UQmpRL0hGL2JlMjJIc3VYVjdkdFVpQzVVSHNBRUI4MEl3QUE2QURjbEpTVEhiOTVyK1dvbFdRaS8zbktwTFE4NExHaFU4Wm9TZjlvZzNoQTBxTDJBQ0ErT0UwREFJQU9vSGROelVleVdudmd6N0RyTjVlVS96TitpWUFqQTdVSEFQRkJNd0lBZ0E3QUxGOGV0dklla3lSWnUvY0pJNDlaUFhQYXA1K0cyaUFha05Tb1BRQ0lENW9SQUFCMEVNYllWMlJWS1dOYS8xSmtyWFkrVm1Pc3Q3VHRFd0xKaWRvRGdOaWpHUUVBUUFkUlgxRlhJdG4zRDJEU0wrcGNzejd1Z1lBakJMVUhBTEZITXdJQWdBNWlZUGZsVlpMZWs3VldNazNYMEl1d1V0T1l0Y2JvczIyYk4yOUxURW9nK1ZCN0FCQjdOQ01BQU9nZ3pBSzUxbnIvbGxUVjlBMW85MjlFVnBLcGN6MTl6RG5yUU94UWV3QVFlelFqQUFEb1FOTEMra1RHbE85OUNsdnAyY2EzMnk0UmNHU2c5Z0FndG1oR0FBRFFnWFFyS0NpV3RaL0xtS1lCYTNkZFVNOFlXZW1MZmt2K3ZqcHhDWUhrUk8wQlFHelJqQUFBb0lQeFhEMjF0OGVNNXozU2xsbUFJd20xQndDeFF6TUNBSUFPcHRiei9tYXMzZHowQzYzWjlZQzFXL0pjTFU1WU1DREpVWHNBRURzMEl3QUE2R0NPS1Nob3NOS0NwdjgxTzB6Y21sZE1RVUZENHBJQnlZM2FBNERZb1JrQkFFQUg1UGZNazVMcVpNek9MME8yd1ZnOWwraGNRTEtqOWdBZ05taEdBQURRQVlWZHQ4aGErNTltUTJzOFgrT2FoQVVDamhEVUhnREVCczBJQUFBNm9QcTZ1aW9qL1ZQV1dsbHJqYlN5YW10Tk1ORzVnR1JIN1FGQWJOQ01BQUNnQXhxMGZIbTlaKzA3a3FtVFRLT1ZmZSs0OTk2clNuUXVJTmxSZXdBUUcvNUVCd0FBQUlmR2VPWXo2OU5XU1puR2V1OGtPZzl3cEtEMkFBQUFBQnpSeWlaTlhGWTZlZUtIaWM0QkhHbW9QUUE0UEJ3WkFRQkllcVg1K2FNa0tTOGMvaUJ5KzczaThlUDcrdnord2NaeHR6Lzh5dEl2YjVjOFNkbzBhZnczSE92M084YXM3UG5xcTVzbHFTUi9kSzY4ck9PTjQ5UnZyNm9xSExaOGVYWFR0T2NOY1d4S25xU3R2Ull2L3JKcDJ1R1pScjJIU2NxMHF2cXk5K0xsV3lWcDg2UkpQVDFyai9OTU9Oem4xWUwzSk9sMnlia2lQLzk0U2JuVzFxM3J2ZVNOalpKa3AwNzFsZFhYbnlsSnZSWXYva2RrUFRaZk1INnc1L3I3K3F3dDZiRmt5V3BKc3A1OXdWcHpZbWwrL2lqVDBQQkozckpsTlpLMGNkSzV2Vk5zK2pHT3RjR3RhOWNXRGx1eG9sR1N5aVpQT04xNnZ2UVVhNy9LWGJKa2t5UVZqUnZYMVVsemp2Y1pFNjVxdElYSEZCUlVTdExtOGVNSGUzNS9YOGZhWU04bFMvNmZKSzBiUFRvOUxTdHJtSEdjUUwzcnJocTBkR21aSkJWUE9hZWJMNXg1d3U2WlN5Wk9QTjQ0VGcvNVFodDZMWHA5L2U2dlNmTnB5L0x6QjFtcHYvVzg4dDZ2dlZaNDJDODhFaTd5T3FmVjFYM1c5WTAzS2lUcHE3RmplMlNscFIxdlBhOWFUbGxoNzhXZjF1NmNkcGlrWE8xV1QvTHlqamVPRTZocGFDZzhldG15Y21udis5dVdTZWNOQ2R1VVBDTnR6RnU4ZU4zdU9mYjJIbEJZVVZ0NDl2TGxZV2xYalZqWFhkOTc2ZElOa3JUdWd0RTVtZUhBOFdISGRScWR1aThITFZvZTNGbDd2VXZ6ODBjWng2M1BlMlhwaDVMMDF1alIvdU96TTQrM25xK3JHdzZ2NlZ0UVVDenR2YTczdHQ5SE1ydisyaS82dnZ3LzI1cHZPMG0xVmlWZlJyYmQzdDZMSXR1dWVhMXVIek1tdXlFajQ1UzliVHZIRnk3dXVhaUFDM0lDaUR1dUdRRUFTSDdHbXlmanpkc3VkWThNT1NtKzhUTGVQTSthRzc4M2ZueEtkTno0SG04YUQ0L2E5ZnpNMDR4ZlQxdGo3KzNhS1cxQWRGaithVExlUERuMm1zaVlhM0o3VzJQdmJWcG01bW1SY2MrR1I4bDQ4eHpqZXp3eTFyUmM3MW9aYjU1eDBpZEZ4cmRYVjJkRk1qZGZEUy9zL0ZER20rYzYzazhqWTc3cTJnWEdwMHRsdkhrMnpReU1qS2Q0L2pFeTNqelBzYmQxSFRBZ096SnVyWE8vakRldjBkR0V5SmpmN3ovWmtlOXhhNTM3TTMyK282UExTM1YrMExROGUxdGtMRFUxdGJ2ajAxMHkzcnhVeDBhM2tlT21qV2d0cy9HWkdUTGVQTG0rNzdUMm1yUllQM21YeW5qempNL01FSkxEenRjNWxKNCtORElVU1BPUGxQSG1PVDdkNVpyYzN0RnBIWHROYS9VVTJkOENhZjZSMFVuM3NyKzVPMnZTazNkcGF6bjI5aDV3VWtaR1ptUThVaVBHYjZMN2JHb29hNmpuNkdGSHZzZFRRMWxEcGFiYWt6d3I0ODJ6MXJrL011MUpHUm1abmpVM3luanpuQlRmK01qNFh1dDZiL3Y5em1rZE4yM0U3dHZPR250djgyMjN0L2VpMW1vMWxKNCtkSi9iTHV6OFVBRFFCbWhHQUFDU25za0s1Sm1zUUY3MlUwOFYyWjJ5ZnpidFVaTVZ5RXNmK1kxTEJpOWFWQjhaZDdwM0gyS3lBbm5aMTE0M1B6TFc1WmJiQzV6c0xnTlRqem5tekc1L2V2aUx5SGptK0FtL01GbUJ2UFJ2anZweFpDenZ3Y2RYcHg1enpKa21LNURYNVpiYkM2TEx1L2E2K1NZcmtPZDA3ejRrTWpaNDBhTDY5RkdqZjJTeUFubWRMdi9KL1pIeG5BVUxLaUtaYlROWlU2ZmVhcklDZVptVExyZ3VNdGI5cmJlcVRGYWdwOGtLNUhXN2YxZTJ6cis0K2ltVEZjaExPMjNFaGQyZmY3NDhNdTRmT0hDRXlRcmtaZjlzMnFQUjladDF4NXRPais1RC9BTUhqdWgrNzcyZlJwZjM3YW0zbWF4QVh2cUlyMTBZR2V2NTdETWIvVU9IalRGWmdid3UxMTQzTHpxUFcyOHZhQzF6eHBneFB6TlpnYnpBRDM1NFQvUHgxcWJ0ZE1tbGQ1aXNRRjdHbURFL3M5YmF4alZyYlBsUEw3Y2xreWJXbGVTUHZ5RFIreEVPWHVSMXpybjc3bjlHYStHR214YVpyRUNlZitpd01Ya1BQcjQ2TXA3K3pWRS9icTJlSXZ0YjlnMDNMZHJmL3BZK2Z2d3ZURllncjlNbGw5N1IydjYydC9lQW5BVUxLbmF2a2NBUGZqUW5NcFk3Kys3M2ZIMTZuK1QwNkQ0a2QvYmQ3MW5iVkh1ZGZuejVMSk1WeVBNUEhEZ2lNbTNPZ2dVVjZTTy9jY251ZGJhM3V0NTl2OTg5YzVkYm03MlA3TngycWNjY2MyYnpiYmUzOTZMV2FqWG43cnYvdWE5dGx6VjE2cTNXV2x2L3lTZTI3SktMYk9ta2lhWEYrZU8vbnVoOUNVRHlNWWtPQUFCQXZEVjgvcm1WcEpRaFEyUlNVeVZKN3RhdGNrdExaVG9GNU84L1FNWnA2czgzcnZoU2NqMzUrdmFWcjBzWFNaSlhXYUh3eGlJcE5WWCtmdjNrWkdSSWtzTEZSZkoyQkdVNmQxYktnS1lESm14RHZVSWJOa29ORGZJUDZDK25jOU5CQ2U2T0hYS0xpeVdmbzlTaHc1cW05VHlGaTRwa0t5dmx5K3NwWC9jZVRlT3VxOUNLRlpLazFCTlBqSzVIdUxSRTN0WnRjcnAybGI5UG4raDQ0Ny8vTFVueUgzMTBOSnU3Zlp2Y1RTVXlXVm55OStzbms5SjA4RWZqcXBWU1kwaStYcjNreTgxdFdyK3FLb1dMTmtvK24vejkrc3ZKYlBxUk9GeFNJbS9iTnBtc0xLVWNkVlJUdHNaR2hUZHNrSzJ2MzNNYmJkaTRaK2FORytWVlZNalhzNGQ4UFhydWtibkZ0R1ZsOHJac2taT2RMWC8vL2dxdFhhdmduYk1VTHQ5Y0wrdGQwbnR4d2FJRGZNblJUa1Jxeno5b2tKeEFRSkxrQm9OeWk0cGswdFBsNzk5UEppMWRraFRhc0VHMnNuS1BlZ3B2TEdyYTMvcjFreThuUjlJKzlyZWROZWwwN3k1L1hsNTBQTEsvN2ZVOW9GOS9HWit2YWRwSWpmVG9JVi9QcG4zV3E2bHVlZyt3bnZ3REJzakoycmt1bXpmTExTK1hVbE9VT3VTNHBzeXVxM0RSUnRtcTZoWjF0dGU2M20yLzN6MXppL2VSbmR0T2FXbEtHZEEvdXUzMjlsNFUzWGJOYTdXNld1RjE2L2ErN1hLN3lkK3J0eG8rL1ZUQjM5OGpXMU5kNWxwdlN0L0ZCUjhjeUdzT0FBZUtaZ1FBSU9sWmEyMmlNK0RnMllZR3VlV2JWWGJWRlNjMzFvWTNETjU1elFGMEhOUmV4K1hWMXNyZFVxNXRQLy9aQ1ZhcDYzb3ZYbHliNkV3QWtndk5DQUJBMGlySnp6OU94djRnY05IRk4yYU9HZFBpbDNsMEhNWVkvbDdwWUlyT1A3K1AzN0dYWjA2NThEY1pvNytsbElFRDkvOGt0RXZVSDRCNDRab1JBSURrNWJvRFpUU3RidG5yY25mc1NIUWE0SWhoUEsrN2pDNnZmVzJKM0xMU1JNY0JBTFJETkNNQUFFbkxwTmlOOHV5VEdhTy9KV2ZudWVib09MektTdFg5WTduSzhpZitwUFNDOC9ocHZTT3hkcXZ4OUZ6bW1MSFI2eTZnWTNHM2JGSHRHMitvSkgvQzk4dW1qTzJSNkR3QWtnK0hYUUVBa2g3bnJYZE1YTUN5NDZQMk9pNHVZQWtnM2pneUFnQUF0RXNtSTEwcFE0YklNZVp0V2JzMTBYbUFJNG5wMUVtcHh4OHZTZi8waFZXWjZEd0FrZy9OQ0FBQTBDNzV1dmRRNS85emhZeXQrMEdOYXo1T2RCN2dTSkl5YUpBNi8vd1hVc2o3MmFieTh0V0p6Z01nK1hDYUJnQWdhWlZNbUhDZVVwd1hmRGs1T1RrMzNxelVJY2NsT2hJT0FWZno3M2lLSjB3NHhaZGlYbFpLNnNDY2EvNWI2VjhmbWVoSU9FVFVINEI0NGNnSUFBQUFBQURRcG1oR0FBQ1NWb3JmLzU0VHRtZDErYzBkU2huQXpSZzZtbkJ4c2JiLzVuYVZUcDc0UWZIRWlXY25PZzhPbk4yeFk1VU5hMEszZTM2djFCTlBTblFjSElMR3doWGFkdVAxS3BzODhlOWxFeWFjbU9nOEFKS1BQOUVCQUFDSWwrNnZ2bG9sNlF2YmYwbWlvK0FRMk1aR3VVVkZzbFluTzQ2WG5lZzhPSEQ5M24rL1RsS2hYVUx0ZFZTMnRrN2hEUnRrclU1d2ZUWXIwWGtBSkIrT2pBQUFBTzJTMDZXTE12TW5TVVozU083S1JPY0JqaVMrWHIyVTllM3ZTTkljaFZXYzZEd0FrZzhYcEFFQUpLMU5rOGYyY3p6L09kbFhYL05rNnFuL0pWOU9UcUlqNFJCd0FiMk9wM2pLT2QyY2NPYTQ3S3VtUDVkNjhpbnk5K3laNkVnNFJOUWZnSGpoeUFnQVFOSXlJZjh3NnpqM1ZUMzFwTnpOWlRHZDk2eFpzelI4K0hDTkhEbFNSVVZGZTUzdStlZWYxL0Rody9YMDAwL3ZjMzRsSlNVNi9mVFROWHo0Y0czZXZEbW1XZmZsL2ZmZjF5MjMzS0x6eno5Zlo1eHhoczQ2Nnl4Tm5qeFoxMTU3clFvS0NscE1XMVZWcFNlZWVFTGYrOTczTkhyMGFJMGFOVXFYWFhhWlhucnBKYm11MjJhWjBRRTBwUFV6amplcjhzK1BLTHh1YmFMVEhMRERyZXVpb2lMZGZmZmR1dkRDQy9XTmIzeEQ1NTU3cnE2ODhrcDk5TkZIOFk0T0FCME96UWdBUU5KeUhXZTdzWG8zWmNqeGNqSXk0N0tNeHNaR3pabzE2N0RuOCtDRER5b2NEc2NnMFlFSkJvT2FQbjI2cnJycUtoVVVGTWhhcTZGRGgycnc0TUdxcmEzVlcyKzlwVHZ1dUtQRmN6NzU1Qk05OHNnanlzckswdGxubjYzaHc0ZHI3ZHExbWpWcmxtNi8vZmFZWi9UcTZ0UzRhcFZLSms0OHF5Ui9kRzdNRjRDNHNYNjNXbFlmcEE0ZEpxZHo1MFRIT1dpSFd0Zno1ODlYUVVHQit2VHBvM0hqeHVtb280N1NoeDkrcUduVHB1bVZWMTZKUTlMNDhhcXExTGhpaFRhZmYvN0kxZVBIZDd3WEVVQzd4d1VzQVFCSnEyOUd4bWViS3lwKzBubmFsWnVkUUNBdXk4akx5OVBISDMrc3hZc1hLejgvLzVEbVVWaFlxSUtDQWptT0k4L3pZcHh3VDlYVjFmckpUMzZpOWV2WGE4U0lFWm81YzZhT1BmYllGdE9zVzdkT2l4Y3ZiakYyN0xISGF0R2lSZXJWcTFkMHJMaTRXQmRmZkxHV0xsMnE2ZE9uS3k4dkwyWTUzZkp5VmY3NUVSbS9uclkyYzVxazEyTTJjOFJWMzhxRzlXVVp6b3pzWDg2ODJNbnFlTmMrUE5TNm5qQmhncVpObTZhc1p1dThiTmt5M1hqampYcjg4Y2MxZWZMa2VNU05pOUM2ZGFwOCtBRjVqaDdPbE8vSGt2NDMwWmtBSkJlT2pBQUFKQzJ6WUVGajNySmw1YjZjSEJsL2ZQcnYzLy8rOTVXU2txTDc3cnRQd1dEd29KL3Z1cTd1dU9NT0RSdzRVRi83MnRmaWtIQlBzMmJOMHZyMTZ6VnUzRGc5OE1BRGV6UWlKR25Rb0VHYU1XTkdpN0UrZmZxMGFFUklVdCsrZlRWczJEQkpVbVZsWld5RFdpdUZRcEkxNlo1cmZMR2RPZUxKTEY4ZTdsVlFzTVhYcFl0TWFtcWk0eHkwUTYzcm9VT0h0bWhFU05JNTU1d2puOCtuaW9xS1dNZU1MK3ZKaGtLU2xHWWNqKzhNQUdLT054WUFBQTVEbno1OTlOT2YvbFFWRlJXNjk5NTdEL3I1enovL3ZGYXVYS25ycnJ0Ty9qZzFUSnBidlhxMWxpMWJwbTdkdXVtMjIyNlR6M2Q0My9IRDRiQ0tpNHNWQ0FUVXYzLy9HS1ZzNHV2WlU1MnZuQzRiOWk1eW5Kb1BZenB6WUI4T3Q2NmJLeWtwa2V1NjBhWmRSNUZ5MUdEbFhIMk5QTmRlWGhPeS8wbDBIZ0RKaDJZRUFDQnBiWjQ0OFl6U3lSUGYzbjdiTFFxdFh4KzM1ZnpvUnovUzRNR0Q5ZHBycngzVWhlbzJidHlvaHg5K1dHUEdqTkhwcDU4ZXQzek52Zm5tbTVLa3laTW5LejA5L1pEblUxVlZwYzgvLzF6WFhudXR0bXpab3V1dXUrNnc1dGNhSnlORHFVT09VKytsUzkvdXZYajUxcGpPSEhHMTZienpocFJPUHYrMWJmOTlqUm8rL3p6UmNRN0pvZGExSkhtZXArM2J0MnY1OHVXNit1cXJsWk9UbzEvKzhwZHhTaG9mVHFkT1NoMDZUSDFlZSsyZnh4UVV4UGl3SndDZ0dRRUFTR0t1dFoydHpJbmhqUnRrRytyanRoeS8zNjliYjcxVnhoak5talZMRFEwTiszMU9PQnpXVFRmZEpML2ZyNWt6WjhZdDIrNEtDd3NsU1NlZGROSWhQWC9od29VYVBueTRSbzhlclIvLytNZmF1bldybm43NmFVMmNPREdXTWRIQldjZkprT3pRMFBwMXNyVTFpWTV6U0E2bHJpWHB4aHR2MUlnUkkzVHV1ZWZxbW11dTBaQWhRelIvL3Z4V1Q0Y0NnQ01aelFnQVFOSnlYZmNySTN0WDFnVlQ1T3NXMzVzeG5IamlpWm82ZGFxS2k0djEyR09QN1hmNmh4NTZTSVdGaGJyKyt1dlZzMmZQdUdackxuTCtlMDVPemg2UFhYenh4Um8rZkhpTGYrKzg4MDZMYVFZUEhxenZmdmU3R2p0MnJJWU5HNmJDd2tKTm56NDllc1JGTExrN2Rxam0xVmRVTW5uaXpTWDVZNCtMK1FJUU55R3B6Rmp6aDhEVWkrVHYyemZSY1E3WndkYTFKSTBjT1ZMZitjNTNkUGJaWjZ0djM3NTYvZlhYTlgzNmRLMVpzeWJPYVdNclhGS2k2cjh1Vk9ta2lkY1VqeC9mY1Y5RUFPMFdkOU1BQUNTdGZuLzcyMWVTN3JhTGx0elZGc3U3NnFxcnRIejVjajM5OU5NYU4yNmNqajc2NkZhblc3NTh1Zjd5bDc5b3dvUUptakJoUWx0RWk0cWNTbEZUcytldjFhZWNjb3B5YzV1YU5tdldyRkY1ZWZrZTA1eDY2cWs2OWRSVG8vLy96My8rb3l1dnZGTFhYMys5bm5ubUdSMTNYT3g2QnQ2T0hhcGQvS3BrZFl2aysxTFN5cGpOSEhFMWFPblNNa2wvdEs4cy9rT2lzeHl1QTYzcmlFbVRKbW5TcEVtU0pHdXRYbi85ZGQxNjY2MmFNV09HRmk1Y3FJeU1qTGFJZllNMUtjMEFBQTlFU1VSQlZOamMwbExWL0hXaEpGMHJ2OTZUVkp6Z1NBQ1NERWRHQUFBUUkxbFpXYnJoaGhzVURvZDF4eDEzeUZxN3h6UnIxNjdWcmJmZXFvRURCK3FtbTI1cTg0eTllL2VXMUhRaHk5M2RjTU1ObWp0M3J1Yk9uYXVSSTBjZTBQeU9QZlpZVFo4K1haN25hZEdpUlRITmF2eCtPYm5kSkprTmttcGpPblBnQUIxSVhlK05NVWJqeDQvWGVlZWRwN0t5TXIzNzdydHhUQnBiSmkxVnZ1N2RKWmtpRTlhQm5hTUNBQWVCSXlNQUFFbXJhTnk0cms2YWMzemp5a0w1K3crUWs1a1o5MldPR2pWSzMvcld0L1RtbTI5cTRjS0ZNc2EwZUh6ZXZIbXFyYTNWK3ZYcmRlYVpaN1k2ajhqUkVuUG16TkhaWjU4ZDAzeW5uMzY2WG5ubEZSVVVGT2o3My85K1RPWVorYVc0dExRMEp2T0w4UGZ2cjI1M3pwWXhobE0wT3BndlI0OE9kTXZPSE5iNDVSZnk5K3NucDNOMm9pTWRsdjNWOWY0TUhqeFlVdXhySko1U1R6aFJ1WCs4WDhhWXRybm5NSUFqRHMwSUFFRFM4dnY5SjB2bW9jcUhIbEQyejM4cFp6K0hWOGZLOWRkZnI0OCsra2h6NTg3VlJSZGQxT0t4MDA0N2JhKzMwM3publhkVVdscXEvUHg4WldSa3FHOGN6clgvMXJlK3BaNDllMnJWcWxWNjl0bG5kZGxsbHgzMlBOZnZ2Rk5KWGw3ZVljOEx5YUZycDdRQjFqcjNCLzl3cjdKL05sMXB3NGNuT3RKaDIxZGQ3OCtHRFJza1VTTUEwQnpOQ0FCQTBqTEdPTmJZZEJzS1NRZHhhUFhoeXMzTjFZd1pNL1M3My8xT0N4WXNhUEhZMkxGak5YYnMyRmFmVjFKU290TFNVazJiTmkxdUY3Vk1TVW5ScjM3MUsxMTExVlc2Nzc3N1ZGWldwc3N2djF4ZHUzYU5UbE5SVWFHeXNySTludnZNTTgvb3dnc3ZWRlpXVm5Tc3FLaElEejc0b0NURi9Qb1gxblZsR3hxMFpzeVk3QjA3ZHRTZTl1bW5vWmd1QUhFVGRuMk8zNjgwTllaa1BTL1JjV0ppWDNVdFNlWGw1ZnJnZ3c5MC92bm55M0YyblFuOXpqdnZhT25TcGNySnlkRVpaNXpSbHBFUGl3MkhaUnNhdEczOCtNNWRBNEVhczJDQm0raE1BSklMelFnQVFOSUtoVUwvOHNsY2x2M3pYNzdqNjlPblRaZDk0WVVYcXFDZ1FQLzYxNzhPZTE2UFBQS0k2dXJxTkdQR2pCWmZjZzdWNmFlZnJqbHo1dWlXVzI3UkN5KzhvSG56NW1uUW9FSEt6czVXTUJoVVVWR1J3dUd3ZkQ2ZkFvRkE5SG5QUGZlYy92em5QMnY0OE9IcTFxMmJ5c3JLOVBISEh5c2NEdXVLSzY3UXlTZWZmTmpabW5QTE42djZ1V2VWa1pYK1lrWjY5OTlLNmpnbjNCL2hLbXRyMTJWM3lyaWk2MzlmLzc2L2Y3OUV4NG1aZmRWMVEwT0RmdjNyWCt1aGh4N1NxYWVlcXJTME5LMWJ0MDcvL3ZlL2xaYVdwdC8rOXJjdDZxbTlDNjFkcTVvWDU2a2h4WG15ckxyNlZra3JFcDBKUUhLaEdRRUFTRnI5L3ZhMzdaTGV0WXNMMm56WnhoamRjc3N0dXZqaWl4VUtIZDRQK3JXMXRYcjIyV2UxWWNNRy9lNTN2NHZKMWZoSGpScWxWMTk5VmZQbno5ZTc3NzZyb3FJaWJkaXdRWUZBUUNlY2NJSys5cld2S1Q4L1AzckJTMG1hT1hPbVhucnBKYTFZc1VMQllGQ0JRRUFqUjQ3VXhSZGZySzkvL2V1SG5XbDN0cTVlb1ZXckpHdS9LV1BpZTI5V3hOU3c1Y3VySlgxZ1gxMmE2Q2d4dGErNjd0R2poMmJNbUtHLy8vM3YrdUNERDFSVFU2UGMzRnhObWpSSlAvemhEelZ3NE1BRXBUNDB0cXBLalN0V3lFaG51SDUxVG5RZUFNbm40SzYrQXdCQUIyUVA1dkwzN2RUenp6K3YzLy8rOXpyaGhCTjAvLzMzcTNQbjVQOXU0RlZVcVA2amoxUTU5MDgvRDRYY2d2NEZCV3NTblFrSEp4bHE3MGpsbG05V3c2ZWZxdUxoaC82dlArd3Q3dEYwdTFZQWlCbWFFUUNBcEZVMGJ0elIvblQvdHp2OTZQSzcwcy84cG55NUhmdkg5UmRmZkZHelo4L1duWGZlcVhQUFBUZlJjZHFNT2RoYkZ5RGgxazJZa0pmaGR5N0srdDVsZjBnLzR3ejUreWJQcVJwSEd1b1BRTHh3bWdZQUlHbjVmTDZqcmN3Tk5ZdGVWc3J4UXp0OE0rSzczLzJ1Um93WW9VR0RCaVU2Q3JCUEtWS2VOZmFYMVF2bXk5Ky9QODBJQU1BZUR2OHFXQUFBdEZQR1ordU0xVVluTjFmR241TG9PREZ4SkRVaWJDZ2tkK3RXbFp4L2Z2K1MvT0daaWM2REErZXp0dEZhVSt6cjNrTW1MUzNSY1hBSWJFT0QzQzFidEczOCtMNnJ4NC9uUlFRUWN4eDJCUUJJZXB5MzNqR0YxcTVWOE01WkNwZHZycGYxTHVtOXVHQlJvalBoNEZCN0hWZkRwNThxK1B0N1pHdXF5MXpyVGVtN3VPQ0RSR2NDa0Z3NE1nSUFBQUFBQUxRcGpvd0FBQ1F0TzNxMGYzdEdSbWJPd2dVVkppMWR4dWRMZENRY0FpNmcxL0c4S1BuT25qUXBzK3Z6ejFlYXREUVpQNWNwNjZpb1B3RHh3cEVSQUlDa1ZSd0kvRmRqaXUrNWlqLzlVZTZtVFltT0F4d3hSazRhTnlnczk5SGdQWGNyOUo5VmlZNERBR2lIYUVZQUFKS1d6L082V3FNelF5c0w1ZFhWSmpvT2NNUXdZVjlBUmw5di9QSUxlWldWaVk0REFHaUhhRVlBQUpKWm9iSDJwc0FsMzVPdlI0OUVaOEZCY3JkdFUvWDhlU3FkZFA3c29na1RUa3gwSGh3NG43V2J2TEIrMittSFA1Wi93TUJFeDhFaENCY1hxZXFacDFTYVAvSFhKUk1tREVoMEhnREpoM1BBQUFCSmp5djZkMHpjVGFQam8vWTZMdTZtQVNEZU9ESUNBQUMwUzA3blRrci81aWdaNlRHZjlhMUxkQjdnU09KMHoxWEdPZWRJc2svNzVXNU9kQjRBeVljakl3QUFTYXRvNU1pTXpCNmRjck1mZTNhams1MGprNUtTNkVnNEJGek52K1A1Y3VqUTFKNUhIZFU5NS9ISGk1M3N6akpwNlltT2hFTkUvUUdJRis2ekJBQklXcjR1WFVZMXlIbGgyN1V6bFhQanpVb2RjcHpDeGNYeWdqdmtkT3NtZjYvZTBXa2J2L2kzSkNubCtLSFJXNEM2VzhybGJ0NHMwNm16L1AzNnlUaE9pMmw5ZmZySzE2VkwwN1RCb056aUlpazFUU2tEK2tlL2ZJVTJiSkN0cXBTVDAwWCt2bjBsU1Y1ZG5jSkZSVktvVWY1Ky9lUjB6bTZheDQ0ZGNqY1ZTNDVQcVVPSFNwS3M2eXBjdEZHMnVscSt2Rjd5NWVZMmpUYzJSdTlTa0hyQ3Jzc3BoRXRMNUczYkpxZExWL243OU5sei9ZNGRJcE9hMnJTOHJWdmxscFhLQkFMeTkrc2ZYZS9HVmF1a1VHT0w1WGxWVlFwdjNDRDVVK1R2MzE5T1JrYlQ4blp1VDlPcHMxSUdOSjFXYmh2cUZTNHFrcTJ2bDY5dlAvbHljcHJtVVZuWk5JL2RNa2Uya2E5blQvbTY5NGl1ZDZod3hZRy8yR2hYc2djT0hCcnkyWmUzVFArWmNxNzViNlYvZmFUQ1pXWHl0bTZSazUwdGY3LyswV2tqKzZhLy93QTVuVHRMYWxsUC9uNzk5cjIvTlRZcXZIRkQwLzdXckNhOW1tcUYxelVkVU5PaVJ2YjNIdEM4UnJadmsxdFNJcE9WSlgvZmZ0R0dadWlyMVUzTDY5RkR2aDQ5bTVaWFc5dTBmM3UyS1hPblRrM3oyRmxuTGVyYTg1cHFaQi83ZmZQTWJ2bG11ZVhsZTkxMkxkYTdzcUxwL1NVbHRmVnRsNVdsbEVGSDdkcDJSVVd5ZGJVdDUxRlhwL0Nhcnc3c3hRYUFROFJwR2dDQUkwcHR3VklGNTh4VzNadHZ0aGdQenBtdDRKelpzZzMxMGJINkR6OVVjTTVzMVM1NldRcUg5NWkyOGNzdm9tT2hsWVVLenBtdHFpY2ZsN3R0KzY3bHZmSnkwenhlWHhvZGM4dkxWZlhrNHdyKzRWNkZWdS82ZzcveHl5OFVuRE5iRlhQL0ZCMno5ZldxV2JoUXdUbXoxZkRwSjlGeHI3SWltcU81dWpmZmJGcS92eTlyZGYyOHlvcm9XTU9ubnlnNFo3WnFGaTZVcmQrMTNwVi9mcVJwZWYvNzZhNzFXN2RPd1QvY3E4by9QeUszdkh6WCtyM2V0RDFyWDNsNTEvcHQyNjZxcDU5U2NNNXNoVllXN3BySFY2dGJ6Vnk3cUdrYjFYLzQ0YTcxYnFodmRWcDBYUFZ2LzZOcGYxdTh1TVY0NUhVT2ZiVTZPdGFpbnZhenYza1ZGZEg5TGZMbFhKTENSVVd0NzIvN2VROW9YaU9ObjMybTRKelpxcDQzVDE1TlRYUThzcno2Zjc0WEhYTkxTbFQ1MEFPcW1QdEhoZGJ0T3F1bzRYOC8zYU91RlE0ZjFINWYvOTU3Kzl4MkxkNkxWbitsNEIvdTNldTJxNTQvcjhXMnEzNysyVDIybmJ1bG5Qb0RFSGMwSXdBQVNhdjMwcVd2OTM1bFNaZWVUejFyMG80NzNoaGpUTzNpVng5MGc4Rmc3WXZ6N3pUTnVNRmcwQTBHZzhIdlRNMk9qRlUrK3NqVmJqQVlySC96amVmV1hIQkIrdTdUVnM2KzY5TEkySTQ3WjMzYkRRYURvY0lWSDVWZGNjV3hrZkhhLzNuak9UY1lETll1ZWZYQnlOam1LNjg4S1ZTNDRpT3ZmRXZaMWwvOTZ2em84bWJmZGFrYkRBYmRrdUlOa2JIMUYxeVFVL2YyMjM5MWc4Rmc1WU56cjR5TVYvejBzdjZSSE0zWG8vYkYrWGU2d1dDdytxVy8zdGZhK2xYODlMTCswZVU5T1BkS054Z00xcjM5OWwvWFgzQkJUbVE4dkhyMTUyNHdHS3g0WU82MHlGanc1cHZIZU9WYnlzS3JWMysrK2NvclQ0b3ViOG5PN2ZrL2J6d1hHU3U3NG9wakcvL2ZaKys0d1dCd3g1Mnp2aDNkUnIrNWZXSnJtZXZmYk5wR2xZOCtjblYwZWQrWm1oMlpOdEg3RVE1ZTM2VkxQK3YxeW11RGVpMTgyV1NNUE1NWVkwejFNMC9mN2dhRHdicS9GVHpSMnI2NTR6ZTNUMnl0bnZhM3Y1VmZmdW1BeVA0V3ZPZnU3MFgzb2V1dk9iUFZHdG5QZTBEekdxbTQ3OTdMM1dBdzJQREIrMHUyWG5SUno4aDQ0K2ROeTZ2Nnl4TTNSTWEyWHZPTEVlSDFHMWE1SlpzMkJHKytlVXgwSGcvTW5iWjdYYSs1NElMMC9lMzN6Yk5WUHZINGpmdmFkczNmaTdiKzZsZm5lK1ZieXZhMjdScmVmMzlKODIxWC84bkhiK3krN2JaZk9mMUU2ZzlBdkhHYUJnRGdpR0lWdXQrNHFRdENUcWk0K2JoeE5VV1NQcStycTkwMWNjTkx4azMvck5GcTYzTUZCYUhkcDYzenRESXlWbHNmZWpjck5YVktXS3IxbWRKTmtmR3dxN3RTakI2ekpsUVdHYXVzclYzWE9SRDR1Yy96MGgxZmJmUmNoRHBYYjZWYlRiRnlvNGRoYkF5SGE0NDI0ZC80WGY5YzEvV2loMUZVVmpSdVNRK2tUdGw5L1VJS1BlRjNVNWE1bmkxcGJmMHFxeHUzUk1iY2tMZlk1L01WaHAzdzlvM2hjUFJuWDllNlYvZzhYN3JydXRIbGhVS2hmL2w4dm9zOG4yMnNySzJML3V4cnZkRDl4cVl1Q0ZsdGpZejVUT2ttRys0NTB6Z21VTk1ZV3JGcjJ1cVBqQTNza2JreHNvM1VzRFl5OW5sZFhlMXh2ajJuUmNmVmFNMHpxYTcrSWRjcmJ6NGUyVGV0cVk3K3ZOKzhuaXByYS9lNXZ6VlVoOHZUTWxObkdzY0U2cHZYWkdYZGwrbUJQZmVoL2IwSE5LK1JrQlA2VzRxYk5zWDF2R0JGY1hIMGk3a04yWm5HTVFHRjNmV1JzWnFRL1UrbVl5ODN4blhDSVJ2ZDc3MlF1OFRuODYxc1h0ZlBGUlNFTHA4NDhZRDNlK1AzNWluc2ZMQzNiZGY4dmNoeGFqNjA0Y3lMWE1lcGIyM2J1WjRYWFkrRzZuQjVhc0IzdmFPVXpzMjMzYmFhbXZWZFc5bD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nIxL3dFandlZkY2eDNFL0FBQUFBQkpSVTVFcmtKZ2dnPT0iLAoJIlRoZW1lIiA6ICIiLAoJIlR5cGUiIDogImZsb3ciLAoJIlVzZXJJZCIgOiAiMjQyMDE3ODg1IiwKCSJWZXJzaW9uIiA6ICIzM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10168</Words>
  <Characters>10800</Characters>
  <Lines>0</Lines>
  <Paragraphs>0</Paragraphs>
  <TotalTime>0</TotalTime>
  <ScaleCrop>false</ScaleCrop>
  <LinksUpToDate>false</LinksUpToDate>
  <CharactersWithSpaces>10914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2025-04-17T08:35:00Z</dcterms:created>
  <dc:creator>Administrator</dc:creator>
  <cp:lastModifiedBy>长安节能</cp:lastModifiedBy>
  <dcterms:modified xsi:type="dcterms:W3CDTF">2025-05-30T01:02:43Z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eyJoZGlkIjoiZGQ3OTFhZGZhZTg4MjkzYjFmMmM3MGUwNzBkYTI5NTQiLCJ1c2VySWQiOiIyNDIwMTc4ODUifQ==</vt:lpwstr>
  </property>
  <property fmtid="{D5CDD505-2E9C-101B-9397-08002B2CF9AE}" pid="4" name="ICV">
    <vt:lpwstr>235F10DCB58B4BFE8B669603A4302DF7_12</vt:lpwstr>
  </property>
</Properties>
</file>