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C50E3">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108FF8DB">
      <w:pPr>
        <w:adjustRightInd w:val="0"/>
        <w:snapToGrid w:val="0"/>
        <w:jc w:val="center"/>
        <w:rPr>
          <w:rFonts w:eastAsia="方正小标宋_GBK"/>
          <w:bCs/>
          <w:sz w:val="72"/>
          <w:szCs w:val="72"/>
        </w:rPr>
      </w:pPr>
      <w:r>
        <w:rPr>
          <w:rFonts w:eastAsia="方正小标宋_GBK"/>
          <w:bCs/>
          <w:sz w:val="72"/>
          <w:szCs w:val="72"/>
          <w:lang w:bidi="ar"/>
        </w:rPr>
        <w:t>建设项目环境影响报告表</w:t>
      </w:r>
    </w:p>
    <w:p w14:paraId="136530FE">
      <w:pPr>
        <w:adjustRightInd w:val="0"/>
        <w:snapToGrid w:val="0"/>
        <w:spacing w:before="192" w:beforeLines="80"/>
        <w:jc w:val="center"/>
        <w:rPr>
          <w:rFonts w:eastAsia="楷体_GB2312"/>
          <w:bCs/>
          <w:sz w:val="48"/>
          <w:szCs w:val="48"/>
        </w:rPr>
      </w:pPr>
      <w:r>
        <w:rPr>
          <w:rFonts w:eastAsia="楷体_GB2312"/>
          <w:bCs/>
          <w:sz w:val="48"/>
          <w:szCs w:val="48"/>
          <w:lang w:bidi="ar"/>
        </w:rPr>
        <w:t>（生态影响类）</w:t>
      </w:r>
    </w:p>
    <w:p w14:paraId="76DB4626">
      <w:pPr>
        <w:adjustRightInd w:val="0"/>
        <w:snapToGrid w:val="0"/>
        <w:spacing w:line="288" w:lineRule="auto"/>
        <w:jc w:val="center"/>
        <w:rPr>
          <w:rFonts w:eastAsia="华文仿宋"/>
          <w:kern w:val="44"/>
          <w:sz w:val="44"/>
          <w:szCs w:val="44"/>
        </w:rPr>
      </w:pPr>
      <w:bookmarkStart w:id="0" w:name="_Hlk57883728"/>
    </w:p>
    <w:p w14:paraId="4D54C05B">
      <w:pPr>
        <w:jc w:val="center"/>
        <w:rPr>
          <w:rFonts w:eastAsia="仿宋"/>
          <w:sz w:val="52"/>
          <w:szCs w:val="52"/>
        </w:rPr>
      </w:pPr>
    </w:p>
    <w:p w14:paraId="5FDDAFE6">
      <w:pPr>
        <w:jc w:val="center"/>
        <w:rPr>
          <w:rFonts w:eastAsia="仿宋"/>
          <w:sz w:val="52"/>
          <w:szCs w:val="52"/>
        </w:rPr>
      </w:pPr>
    </w:p>
    <w:p w14:paraId="7BAFAF24">
      <w:pPr>
        <w:ind w:firstLine="1040"/>
        <w:rPr>
          <w:rFonts w:eastAsia="仿宋"/>
          <w:sz w:val="44"/>
          <w:szCs w:val="44"/>
        </w:rPr>
      </w:pPr>
    </w:p>
    <w:p w14:paraId="62FDC58D">
      <w:pPr>
        <w:pStyle w:val="30"/>
        <w:ind w:firstLine="880"/>
        <w:rPr>
          <w:rFonts w:eastAsia="仿宋"/>
          <w:sz w:val="44"/>
          <w:szCs w:val="44"/>
        </w:rPr>
      </w:pPr>
    </w:p>
    <w:p w14:paraId="0B17C0BE">
      <w:pPr>
        <w:pStyle w:val="29"/>
        <w:ind w:firstLine="440"/>
        <w:rPr>
          <w:rFonts w:eastAsia="仿宋"/>
          <w:sz w:val="44"/>
          <w:szCs w:val="44"/>
        </w:rPr>
      </w:pPr>
    </w:p>
    <w:p w14:paraId="735B4407"/>
    <w:p w14:paraId="1F26225D">
      <w:pPr>
        <w:ind w:firstLine="1040"/>
        <w:rPr>
          <w:rFonts w:eastAsia="仿宋"/>
          <w:sz w:val="44"/>
          <w:szCs w:val="44"/>
        </w:rPr>
      </w:pPr>
    </w:p>
    <w:p w14:paraId="47BE6F75">
      <w:pPr>
        <w:ind w:firstLine="1040"/>
        <w:rPr>
          <w:rFonts w:eastAsia="仿宋"/>
          <w:sz w:val="44"/>
          <w:szCs w:val="44"/>
        </w:rPr>
      </w:pPr>
    </w:p>
    <w:p w14:paraId="38682E03">
      <w:pPr>
        <w:pStyle w:val="30"/>
      </w:pPr>
    </w:p>
    <w:p w14:paraId="77445A8F">
      <w:pPr>
        <w:ind w:firstLine="1040"/>
        <w:rPr>
          <w:rFonts w:eastAsia="仿宋"/>
          <w:sz w:val="44"/>
          <w:szCs w:val="44"/>
        </w:rPr>
      </w:pPr>
    </w:p>
    <w:p w14:paraId="0E7B3BB3">
      <w:pPr>
        <w:ind w:firstLine="640"/>
        <w:rPr>
          <w:rFonts w:eastAsia="仿宋"/>
          <w:sz w:val="44"/>
          <w:szCs w:val="44"/>
        </w:rPr>
      </w:pPr>
    </w:p>
    <w:bookmarkEnd w:id="0"/>
    <w:p w14:paraId="2A71145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080" w:firstLineChars="300"/>
        <w:jc w:val="both"/>
        <w:textAlignment w:val="auto"/>
        <w:rPr>
          <w:rFonts w:hint="default" w:ascii="宋体" w:hAnsi="宋体" w:eastAsia="宋体" w:cs="宋体"/>
          <w:sz w:val="36"/>
          <w:szCs w:val="36"/>
          <w:u w:val="single"/>
          <w:lang w:val="en-US" w:eastAsia="zh-CN"/>
        </w:rPr>
      </w:pPr>
      <w:r>
        <w:rPr>
          <w:rFonts w:hint="eastAsia" w:ascii="宋体" w:hAnsi="宋体" w:cs="宋体"/>
          <w:sz w:val="36"/>
          <w:szCs w:val="36"/>
          <w:lang w:bidi="ar"/>
        </w:rPr>
        <w:t>项目名称：</w:t>
      </w:r>
      <w:r>
        <w:rPr>
          <w:rFonts w:hint="eastAsia" w:ascii="宋体" w:hAnsi="宋体" w:cs="宋体"/>
          <w:sz w:val="36"/>
          <w:szCs w:val="36"/>
          <w:u w:val="single"/>
          <w:lang w:bidi="ar"/>
        </w:rPr>
        <w:t xml:space="preserve">  </w:t>
      </w:r>
      <w:r>
        <w:rPr>
          <w:rFonts w:hint="eastAsia" w:ascii="宋体" w:hAnsi="宋体" w:cs="宋体"/>
          <w:sz w:val="36"/>
          <w:szCs w:val="36"/>
          <w:u w:val="single"/>
          <w:lang w:eastAsia="zh-CN" w:bidi="ar"/>
        </w:rPr>
        <w:t>大唐陈仓5万千瓦风电项目</w:t>
      </w:r>
      <w:r>
        <w:rPr>
          <w:rFonts w:hint="eastAsia" w:ascii="宋体" w:hAnsi="宋体" w:cs="宋体"/>
          <w:sz w:val="36"/>
          <w:szCs w:val="36"/>
          <w:u w:val="single"/>
          <w:lang w:val="en-US" w:eastAsia="zh-CN" w:bidi="ar"/>
        </w:rPr>
        <w:t xml:space="preserve"> </w:t>
      </w:r>
    </w:p>
    <w:p w14:paraId="48CD0AE6">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080" w:firstLineChars="300"/>
        <w:jc w:val="both"/>
        <w:textAlignment w:val="auto"/>
        <w:rPr>
          <w:rFonts w:hint="eastAsia" w:ascii="宋体" w:hAnsi="宋体" w:eastAsia="宋体" w:cs="宋体"/>
          <w:sz w:val="36"/>
          <w:szCs w:val="36"/>
          <w:u w:val="single"/>
          <w:lang w:val="en-US" w:eastAsia="zh-CN"/>
        </w:rPr>
      </w:pPr>
      <w:r>
        <w:rPr>
          <w:rFonts w:hint="eastAsia" w:ascii="宋体" w:hAnsi="宋体" w:cs="宋体"/>
          <w:sz w:val="36"/>
          <w:szCs w:val="36"/>
          <w:lang w:bidi="ar"/>
        </w:rPr>
        <w:t>建设单位（盖章）：</w:t>
      </w:r>
      <w:r>
        <w:rPr>
          <w:rFonts w:hint="eastAsia" w:ascii="宋体" w:hAnsi="宋体" w:cs="宋体"/>
          <w:sz w:val="36"/>
          <w:szCs w:val="36"/>
          <w:u w:val="single"/>
          <w:lang w:bidi="ar"/>
        </w:rPr>
        <w:t xml:space="preserve">   </w:t>
      </w:r>
      <w:r>
        <w:rPr>
          <w:rFonts w:hint="eastAsia" w:ascii="宋体" w:hAnsi="宋体" w:cs="宋体"/>
          <w:sz w:val="36"/>
          <w:szCs w:val="36"/>
          <w:u w:val="single"/>
          <w:lang w:eastAsia="zh-CN" w:bidi="ar"/>
        </w:rPr>
        <w:t>大唐宝鸡热电厂</w:t>
      </w:r>
      <w:r>
        <w:rPr>
          <w:rFonts w:hint="eastAsia" w:ascii="宋体" w:hAnsi="宋体" w:cs="宋体"/>
          <w:sz w:val="36"/>
          <w:szCs w:val="36"/>
          <w:u w:val="single"/>
          <w:lang w:bidi="ar"/>
        </w:rPr>
        <w:t xml:space="preserve"> </w:t>
      </w:r>
      <w:r>
        <w:rPr>
          <w:rFonts w:hint="eastAsia" w:ascii="宋体" w:hAnsi="宋体" w:cs="宋体"/>
          <w:sz w:val="36"/>
          <w:szCs w:val="36"/>
          <w:u w:val="single"/>
          <w:lang w:val="en-US" w:eastAsia="zh-CN" w:bidi="ar"/>
        </w:rPr>
        <w:t xml:space="preserve"> </w:t>
      </w:r>
    </w:p>
    <w:p w14:paraId="5DDD2B2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1080" w:firstLineChars="300"/>
        <w:jc w:val="both"/>
        <w:textAlignment w:val="auto"/>
        <w:rPr>
          <w:rFonts w:hint="eastAsia" w:ascii="宋体" w:hAnsi="宋体" w:cs="宋体"/>
          <w:sz w:val="36"/>
          <w:szCs w:val="36"/>
          <w:u w:val="single"/>
        </w:rPr>
      </w:pPr>
      <w:r>
        <w:rPr>
          <w:rFonts w:hint="eastAsia" w:ascii="宋体" w:hAnsi="宋体" w:cs="宋体"/>
          <w:sz w:val="36"/>
          <w:szCs w:val="36"/>
          <w:lang w:bidi="ar"/>
        </w:rPr>
        <w:t>编制</w:t>
      </w:r>
      <w:r>
        <w:rPr>
          <w:rFonts w:hint="eastAsia" w:ascii="宋体" w:hAnsi="宋体" w:eastAsia="宋体" w:cs="宋体"/>
          <w:sz w:val="36"/>
          <w:szCs w:val="36"/>
          <w:lang w:bidi="ar"/>
        </w:rPr>
        <w:t>日期</w:t>
      </w:r>
      <w:r>
        <w:rPr>
          <w:rFonts w:hint="eastAsia" w:ascii="宋体" w:hAnsi="宋体" w:cs="宋体"/>
          <w:sz w:val="36"/>
          <w:szCs w:val="36"/>
          <w:lang w:bidi="ar"/>
        </w:rPr>
        <w:t>：</w:t>
      </w:r>
      <w:r>
        <w:rPr>
          <w:rFonts w:hint="eastAsia" w:ascii="宋体" w:hAnsi="宋体" w:cs="宋体"/>
          <w:sz w:val="36"/>
          <w:szCs w:val="36"/>
          <w:u w:val="single"/>
          <w:lang w:bidi="ar"/>
        </w:rPr>
        <w:t xml:space="preserve">       二〇二四年十</w:t>
      </w:r>
      <w:r>
        <w:rPr>
          <w:rFonts w:hint="eastAsia" w:ascii="宋体" w:hAnsi="宋体" w:cs="宋体"/>
          <w:sz w:val="36"/>
          <w:szCs w:val="36"/>
          <w:u w:val="single"/>
          <w:lang w:val="en-US" w:eastAsia="zh-CN" w:bidi="ar"/>
        </w:rPr>
        <w:t>二</w:t>
      </w:r>
      <w:r>
        <w:rPr>
          <w:rFonts w:hint="eastAsia" w:ascii="宋体" w:hAnsi="宋体" w:cs="宋体"/>
          <w:sz w:val="36"/>
          <w:szCs w:val="36"/>
          <w:u w:val="single"/>
          <w:lang w:bidi="ar"/>
        </w:rPr>
        <w:t xml:space="preserve">月  </w:t>
      </w:r>
      <w:r>
        <w:rPr>
          <w:rFonts w:hint="eastAsia" w:ascii="宋体" w:hAnsi="宋体" w:cs="宋体"/>
          <w:sz w:val="36"/>
          <w:szCs w:val="36"/>
          <w:u w:val="single"/>
          <w:lang w:val="en-US" w:eastAsia="zh-CN" w:bidi="ar"/>
        </w:rPr>
        <w:t xml:space="preserve"> </w:t>
      </w:r>
      <w:r>
        <w:rPr>
          <w:rFonts w:hint="eastAsia" w:ascii="宋体" w:hAnsi="宋体" w:cs="宋体"/>
          <w:sz w:val="36"/>
          <w:szCs w:val="36"/>
          <w:u w:val="single"/>
          <w:lang w:bidi="ar"/>
        </w:rPr>
        <w:t xml:space="preserve"> </w:t>
      </w:r>
    </w:p>
    <w:p w14:paraId="68D00571">
      <w:pPr>
        <w:adjustRightInd w:val="0"/>
        <w:snapToGrid w:val="0"/>
        <w:spacing w:line="288" w:lineRule="auto"/>
        <w:ind w:firstLine="1040"/>
        <w:rPr>
          <w:rFonts w:eastAsia="仿宋_GB2312"/>
          <w:sz w:val="36"/>
          <w:szCs w:val="36"/>
          <w:u w:val="single"/>
        </w:rPr>
      </w:pPr>
    </w:p>
    <w:p w14:paraId="251EEB96">
      <w:pPr>
        <w:pStyle w:val="26"/>
        <w:jc w:val="center"/>
        <w:outlineLvl w:val="0"/>
        <w:rPr>
          <w:rFonts w:hint="eastAsia" w:ascii="黑体" w:hAnsi="黑体" w:eastAsia="黑体"/>
          <w:snapToGrid w:val="0"/>
          <w:sz w:val="30"/>
          <w:szCs w:val="30"/>
        </w:rPr>
      </w:pPr>
    </w:p>
    <w:p w14:paraId="5F1A8EFC">
      <w:pPr>
        <w:pStyle w:val="26"/>
        <w:jc w:val="center"/>
        <w:outlineLvl w:val="0"/>
        <w:rPr>
          <w:rFonts w:hint="eastAsia" w:ascii="黑体" w:hAnsi="黑体" w:eastAsia="黑体"/>
          <w:snapToGrid w:val="0"/>
          <w:sz w:val="30"/>
          <w:szCs w:val="30"/>
          <w:lang w:eastAsia="zh-CN"/>
        </w:rPr>
        <w:sectPr>
          <w:headerReference r:id="rId3" w:type="default"/>
          <w:footerReference r:id="rId4" w:type="default"/>
          <w:footerReference r:id="rId5" w:type="even"/>
          <w:pgSz w:w="11906" w:h="16838"/>
          <w:pgMar w:top="1701" w:right="1531" w:bottom="1701" w:left="1531" w:header="851" w:footer="1077" w:gutter="0"/>
          <w:pgNumType w:start="1"/>
          <w:cols w:space="720" w:num="1"/>
          <w:docGrid w:linePitch="312" w:charSpace="0"/>
        </w:sectPr>
      </w:pPr>
    </w:p>
    <w:p w14:paraId="49FD951F">
      <w:pPr>
        <w:pStyle w:val="26"/>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91"/>
        <w:gridCol w:w="2385"/>
        <w:gridCol w:w="1955"/>
        <w:gridCol w:w="2639"/>
      </w:tblGrid>
      <w:tr w14:paraId="69F8DE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204EAE7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建设项目名称</w:t>
            </w:r>
          </w:p>
        </w:tc>
        <w:tc>
          <w:tcPr>
            <w:tcW w:w="6979" w:type="dxa"/>
            <w:gridSpan w:val="3"/>
            <w:vAlign w:val="center"/>
          </w:tcPr>
          <w:p w14:paraId="0588BE4A">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大唐陈仓5万千瓦风电项目</w:t>
            </w:r>
          </w:p>
        </w:tc>
      </w:tr>
      <w:tr w14:paraId="3C177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0B74D30B">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项目代码</w:t>
            </w:r>
          </w:p>
        </w:tc>
        <w:tc>
          <w:tcPr>
            <w:tcW w:w="6979" w:type="dxa"/>
            <w:gridSpan w:val="3"/>
            <w:vAlign w:val="center"/>
          </w:tcPr>
          <w:p w14:paraId="1BD100C6">
            <w:pPr>
              <w:adjustRightInd w:val="0"/>
              <w:snapToGrid w:val="0"/>
              <w:jc w:val="center"/>
              <w:rPr>
                <w:rFonts w:hint="eastAsia" w:eastAsia="宋体"/>
                <w:color w:val="000000" w:themeColor="text1"/>
                <w:sz w:val="24"/>
                <w:lang w:eastAsia="zh-CN"/>
                <w14:textFill>
                  <w14:solidFill>
                    <w14:schemeClr w14:val="tx1"/>
                  </w14:solidFill>
                </w14:textFill>
              </w:rPr>
            </w:pPr>
            <w:r>
              <w:rPr>
                <w:rFonts w:hint="eastAsia"/>
                <w:color w:val="auto"/>
                <w:sz w:val="24"/>
                <w:lang w:val="en-US" w:eastAsia="zh-CN"/>
              </w:rPr>
              <w:t>/</w:t>
            </w:r>
          </w:p>
        </w:tc>
      </w:tr>
      <w:tr w14:paraId="4ACE6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6AA7E87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建设单位联系人</w:t>
            </w:r>
          </w:p>
        </w:tc>
        <w:tc>
          <w:tcPr>
            <w:tcW w:w="2385" w:type="dxa"/>
            <w:vAlign w:val="center"/>
          </w:tcPr>
          <w:p w14:paraId="468D06C6">
            <w:pPr>
              <w:adjustRightInd w:val="0"/>
              <w:snapToGrid w:val="0"/>
              <w:jc w:val="center"/>
              <w:rPr>
                <w:rFonts w:hint="eastAsia" w:eastAsia="宋体"/>
                <w:color w:val="000000" w:themeColor="text1"/>
                <w:sz w:val="24"/>
                <w:lang w:val="en-US" w:eastAsia="zh-CN"/>
                <w14:textFill>
                  <w14:solidFill>
                    <w14:schemeClr w14:val="tx1"/>
                  </w14:solidFill>
                </w14:textFill>
              </w:rPr>
            </w:pPr>
          </w:p>
        </w:tc>
        <w:tc>
          <w:tcPr>
            <w:tcW w:w="1955" w:type="dxa"/>
            <w:vAlign w:val="center"/>
          </w:tcPr>
          <w:p w14:paraId="2B49BDF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联系方式</w:t>
            </w:r>
          </w:p>
        </w:tc>
        <w:tc>
          <w:tcPr>
            <w:tcW w:w="2639" w:type="dxa"/>
            <w:vAlign w:val="center"/>
          </w:tcPr>
          <w:p w14:paraId="47094CA6">
            <w:pPr>
              <w:adjustRightInd w:val="0"/>
              <w:snapToGrid w:val="0"/>
              <w:jc w:val="center"/>
              <w:rPr>
                <w:color w:val="000000" w:themeColor="text1"/>
                <w:sz w:val="24"/>
                <w14:textFill>
                  <w14:solidFill>
                    <w14:schemeClr w14:val="tx1"/>
                  </w14:solidFill>
                </w14:textFill>
              </w:rPr>
            </w:pPr>
          </w:p>
        </w:tc>
      </w:tr>
      <w:tr w14:paraId="3BD59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6AF9420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建设地点</w:t>
            </w:r>
          </w:p>
        </w:tc>
        <w:tc>
          <w:tcPr>
            <w:tcW w:w="6979" w:type="dxa"/>
            <w:gridSpan w:val="3"/>
            <w:vAlign w:val="center"/>
          </w:tcPr>
          <w:p w14:paraId="7766BFB6">
            <w:pPr>
              <w:adjustRightInd w:val="0"/>
              <w:snapToGrid w:val="0"/>
              <w:jc w:val="center"/>
              <w:rPr>
                <w:color w:val="000000" w:themeColor="text1"/>
                <w:sz w:val="24"/>
                <w14:textFill>
                  <w14:solidFill>
                    <w14:schemeClr w14:val="tx1"/>
                  </w14:solidFill>
                </w14:textFill>
              </w:rPr>
            </w:pPr>
            <w:r>
              <w:rPr>
                <w:rFonts w:hint="eastAsia"/>
                <w:color w:val="000000" w:themeColor="text1"/>
                <w:sz w:val="24"/>
                <w:u w:val="single"/>
                <w14:textFill>
                  <w14:solidFill>
                    <w14:schemeClr w14:val="tx1"/>
                  </w14:solidFill>
                </w14:textFill>
              </w:rPr>
              <w:t xml:space="preserve"> </w:t>
            </w:r>
            <w:r>
              <w:rPr>
                <w:color w:val="000000" w:themeColor="text1"/>
                <w:sz w:val="24"/>
                <w:u w:val="single"/>
                <w14:textFill>
                  <w14:solidFill>
                    <w14:schemeClr w14:val="tx1"/>
                  </w14:solidFill>
                </w14:textFill>
              </w:rPr>
              <w:t>陕西</w:t>
            </w:r>
            <w:r>
              <w:rPr>
                <w:rFonts w:hint="eastAsia"/>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省</w:t>
            </w:r>
            <w:r>
              <w:rPr>
                <w:rFonts w:hint="eastAsia"/>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宝鸡</w:t>
            </w:r>
            <w:r>
              <w:rPr>
                <w:rFonts w:hint="eastAsia"/>
                <w:color w:val="000000" w:themeColor="text1"/>
                <w:sz w:val="24"/>
                <w:u w:val="single"/>
                <w14:textFill>
                  <w14:solidFill>
                    <w14:schemeClr w14:val="tx1"/>
                  </w14:solidFill>
                </w14:textFill>
              </w:rPr>
              <w:t xml:space="preserve"> </w:t>
            </w:r>
            <w:r>
              <w:rPr>
                <w:color w:val="000000" w:themeColor="text1"/>
                <w:sz w:val="24"/>
                <w14:textFill>
                  <w14:solidFill>
                    <w14:schemeClr w14:val="tx1"/>
                  </w14:solidFill>
                </w14:textFill>
              </w:rPr>
              <w:t>市</w:t>
            </w:r>
            <w:r>
              <w:rPr>
                <w:rFonts w:hint="eastAsia"/>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陈仓区</w:t>
            </w:r>
            <w:r>
              <w:rPr>
                <w:rFonts w:hint="eastAsia"/>
                <w:color w:val="000000" w:themeColor="text1"/>
                <w:sz w:val="24"/>
                <w:u w:val="single"/>
                <w14:textFill>
                  <w14:solidFill>
                    <w14:schemeClr w14:val="tx1"/>
                  </w14:solidFill>
                </w14:textFill>
              </w:rPr>
              <w:t xml:space="preserve"> </w:t>
            </w:r>
            <w:r>
              <w:rPr>
                <w:rFonts w:hint="eastAsia"/>
                <w:color w:val="000000" w:themeColor="text1"/>
                <w:sz w:val="24"/>
                <w:u w:val="single"/>
                <w:lang w:val="en-US" w:eastAsia="zh-CN"/>
                <w14:textFill>
                  <w14:solidFill>
                    <w14:schemeClr w14:val="tx1"/>
                  </w14:solidFill>
                </w14:textFill>
              </w:rPr>
              <w:t>拓石镇</w:t>
            </w:r>
            <w:r>
              <w:rPr>
                <w:rFonts w:hint="eastAsia"/>
                <w:color w:val="000000" w:themeColor="text1"/>
                <w:sz w:val="24"/>
                <w:u w:val="single"/>
                <w14:textFill>
                  <w14:solidFill>
                    <w14:schemeClr w14:val="tx1"/>
                  </w14:solidFill>
                </w14:textFill>
              </w:rPr>
              <w:t xml:space="preserve"> </w:t>
            </w:r>
          </w:p>
        </w:tc>
      </w:tr>
      <w:tr w14:paraId="147CD9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9" w:hRule="atLeast"/>
          <w:jc w:val="center"/>
        </w:trPr>
        <w:tc>
          <w:tcPr>
            <w:tcW w:w="1891" w:type="dxa"/>
            <w:tcMar>
              <w:top w:w="16" w:type="dxa"/>
              <w:left w:w="16" w:type="dxa"/>
              <w:right w:w="16" w:type="dxa"/>
            </w:tcMar>
            <w:vAlign w:val="center"/>
          </w:tcPr>
          <w:p w14:paraId="0C779B7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地理坐标</w:t>
            </w:r>
          </w:p>
        </w:tc>
        <w:tc>
          <w:tcPr>
            <w:tcW w:w="6979" w:type="dxa"/>
            <w:gridSpan w:val="3"/>
            <w:vAlign w:val="center"/>
          </w:tcPr>
          <w:p w14:paraId="3B3F1B8A">
            <w:pPr>
              <w:pStyle w:val="26"/>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风电场坐标范围：</w:t>
            </w:r>
            <w:r>
              <w:rPr>
                <w:rFonts w:hint="eastAsia" w:ascii="Times New Roman" w:hAnsi="Times New Roman"/>
                <w:color w:val="000000" w:themeColor="text1"/>
                <w:szCs w:val="24"/>
                <w14:textFill>
                  <w14:solidFill>
                    <w14:schemeClr w14:val="tx1"/>
                  </w14:solidFill>
                </w14:textFill>
              </w:rPr>
              <w:t>东经</w:t>
            </w:r>
            <w:r>
              <w:rPr>
                <w:rFonts w:ascii="Times New Roman" w:hAnsi="Times New Roman" w:eastAsia="宋体"/>
                <w:color w:val="000000" w:themeColor="text1"/>
                <w:kern w:val="2"/>
                <w:szCs w:val="24"/>
                <w14:textFill>
                  <w14:solidFill>
                    <w14:schemeClr w14:val="tx1"/>
                  </w14:solidFill>
                </w14:textFill>
              </w:rPr>
              <w:t>10</w:t>
            </w:r>
            <w:r>
              <w:rPr>
                <w:rFonts w:hint="eastAsia" w:ascii="Times New Roman" w:hAnsi="Times New Roman" w:eastAsia="宋体"/>
                <w:color w:val="000000" w:themeColor="text1"/>
                <w:kern w:val="2"/>
                <w:szCs w:val="24"/>
                <w:lang w:val="en-US" w:eastAsia="zh-CN"/>
                <w14:textFill>
                  <w14:solidFill>
                    <w14:schemeClr w14:val="tx1"/>
                  </w14:solidFill>
                </w14:textFill>
              </w:rPr>
              <w:t>6</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33</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20</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58</w:t>
            </w:r>
            <w:r>
              <w:rPr>
                <w:rFonts w:hint="eastAsia" w:ascii="Times New Roman" w:hAnsi="Times New Roman" w:eastAsia="宋体"/>
                <w:color w:val="000000" w:themeColor="text1"/>
                <w:kern w:val="2"/>
                <w:szCs w:val="24"/>
                <w:lang w:val="en-US" w:eastAsia="zh-CN"/>
                <w14:textFill>
                  <w14:solidFill>
                    <w14:schemeClr w14:val="tx1"/>
                  </w14:solidFill>
                </w14:textFill>
              </w:rPr>
              <w:t>0</w:t>
            </w:r>
            <w:r>
              <w:rPr>
                <w:rFonts w:ascii="Times New Roman" w:hAnsi="Times New Roman" w:eastAsia="宋体"/>
                <w:color w:val="000000" w:themeColor="text1"/>
                <w:kern w:val="2"/>
                <w:szCs w:val="24"/>
                <w14:textFill>
                  <w14:solidFill>
                    <w14:schemeClr w14:val="tx1"/>
                  </w14:solidFill>
                </w14:textFill>
              </w:rPr>
              <w:t>″～10</w:t>
            </w:r>
            <w:r>
              <w:rPr>
                <w:rFonts w:hint="eastAsia" w:ascii="Times New Roman" w:hAnsi="Times New Roman" w:eastAsia="宋体"/>
                <w:color w:val="000000" w:themeColor="text1"/>
                <w:kern w:val="2"/>
                <w:szCs w:val="24"/>
                <w:lang w:val="en-US" w:eastAsia="zh-CN"/>
                <w14:textFill>
                  <w14:solidFill>
                    <w14:schemeClr w14:val="tx1"/>
                  </w14:solidFill>
                </w14:textFill>
              </w:rPr>
              <w:t>6</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eastAsia="宋体"/>
                <w:color w:val="000000" w:themeColor="text1"/>
                <w:kern w:val="2"/>
                <w:szCs w:val="24"/>
                <w:lang w:val="en-US" w:eastAsia="zh-CN"/>
                <w14:textFill>
                  <w14:solidFill>
                    <w14:schemeClr w14:val="tx1"/>
                  </w14:solidFill>
                </w14:textFill>
              </w:rPr>
              <w:t>36</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27.108</w:t>
            </w:r>
            <w:r>
              <w:rPr>
                <w:rFonts w:ascii="Times New Roman" w:hAnsi="Times New Roman" w:eastAsia="宋体"/>
                <w:color w:val="000000" w:themeColor="text1"/>
                <w:kern w:val="2"/>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之间，</w:t>
            </w:r>
          </w:p>
          <w:p w14:paraId="6392DEDE">
            <w:pPr>
              <w:pStyle w:val="26"/>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北纬</w:t>
            </w:r>
            <w:r>
              <w:rPr>
                <w:rFonts w:ascii="Times New Roman" w:hAnsi="Times New Roman" w:eastAsia="宋体"/>
                <w:color w:val="000000" w:themeColor="text1"/>
                <w:kern w:val="2"/>
                <w:szCs w:val="24"/>
                <w14:textFill>
                  <w14:solidFill>
                    <w14:schemeClr w14:val="tx1"/>
                  </w14:solidFill>
                </w14:textFill>
              </w:rPr>
              <w:t>34°</w:t>
            </w:r>
            <w:r>
              <w:rPr>
                <w:rFonts w:hint="eastAsia" w:ascii="Times New Roman" w:hAnsi="Times New Roman"/>
                <w:color w:val="000000" w:themeColor="text1"/>
                <w:kern w:val="2"/>
                <w:szCs w:val="24"/>
                <w:lang w:val="en-US" w:eastAsia="zh-CN"/>
                <w14:textFill>
                  <w14:solidFill>
                    <w14:schemeClr w14:val="tx1"/>
                  </w14:solidFill>
                </w14:textFill>
              </w:rPr>
              <w:t>33</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27.437</w:t>
            </w:r>
            <w:r>
              <w:rPr>
                <w:rFonts w:ascii="Times New Roman" w:hAnsi="Times New Roman" w:eastAsia="宋体"/>
                <w:color w:val="000000" w:themeColor="text1"/>
                <w:kern w:val="2"/>
                <w:szCs w:val="24"/>
                <w14:textFill>
                  <w14:solidFill>
                    <w14:schemeClr w14:val="tx1"/>
                  </w14:solidFill>
                </w14:textFill>
              </w:rPr>
              <w:t>″～34°</w:t>
            </w:r>
            <w:r>
              <w:rPr>
                <w:rFonts w:hint="eastAsia" w:ascii="Times New Roman" w:hAnsi="Times New Roman" w:eastAsia="宋体"/>
                <w:color w:val="000000" w:themeColor="text1"/>
                <w:kern w:val="2"/>
                <w:szCs w:val="24"/>
                <w:lang w:val="en-US" w:eastAsia="zh-CN"/>
                <w14:textFill>
                  <w14:solidFill>
                    <w14:schemeClr w14:val="tx1"/>
                  </w14:solidFill>
                </w14:textFill>
              </w:rPr>
              <w:t>3</w:t>
            </w:r>
            <w:r>
              <w:rPr>
                <w:rFonts w:hint="eastAsia" w:ascii="Times New Roman" w:hAnsi="Times New Roman"/>
                <w:color w:val="000000" w:themeColor="text1"/>
                <w:kern w:val="2"/>
                <w:szCs w:val="24"/>
                <w:lang w:val="en-US" w:eastAsia="zh-CN"/>
                <w14:textFill>
                  <w14:solidFill>
                    <w14:schemeClr w14:val="tx1"/>
                  </w14:solidFill>
                </w14:textFill>
              </w:rPr>
              <w:t>4</w:t>
            </w:r>
            <w:r>
              <w:rPr>
                <w:rFonts w:ascii="Times New Roman" w:hAnsi="Times New Roman" w:eastAsia="宋体"/>
                <w:color w:val="000000" w:themeColor="text1"/>
                <w:kern w:val="2"/>
                <w:szCs w:val="24"/>
                <w14:textFill>
                  <w14:solidFill>
                    <w14:schemeClr w14:val="tx1"/>
                  </w14:solidFill>
                </w14:textFill>
              </w:rPr>
              <w:t>′</w:t>
            </w:r>
            <w:r>
              <w:rPr>
                <w:rFonts w:hint="eastAsia" w:ascii="Times New Roman" w:hAnsi="Times New Roman"/>
                <w:color w:val="000000" w:themeColor="text1"/>
                <w:kern w:val="2"/>
                <w:szCs w:val="24"/>
                <w:lang w:val="en-US" w:eastAsia="zh-CN"/>
                <w14:textFill>
                  <w14:solidFill>
                    <w14:schemeClr w14:val="tx1"/>
                  </w14:solidFill>
                </w14:textFill>
              </w:rPr>
              <w:t>26.307</w:t>
            </w:r>
            <w:r>
              <w:rPr>
                <w:rFonts w:ascii="Times New Roman" w:hAnsi="Times New Roman" w:eastAsia="宋体"/>
                <w:color w:val="000000" w:themeColor="text1"/>
                <w:kern w:val="2"/>
                <w:szCs w:val="24"/>
                <w14:textFill>
                  <w14:solidFill>
                    <w14:schemeClr w14:val="tx1"/>
                  </w14:solidFill>
                </w14:textFill>
              </w:rPr>
              <w:t>″</w:t>
            </w:r>
            <w:r>
              <w:rPr>
                <w:rFonts w:ascii="Times New Roman" w:hAnsi="Times New Roman"/>
                <w:color w:val="000000" w:themeColor="text1"/>
                <w:szCs w:val="24"/>
                <w14:textFill>
                  <w14:solidFill>
                    <w14:schemeClr w14:val="tx1"/>
                  </w14:solidFill>
                </w14:textFill>
              </w:rPr>
              <w:t>之间</w:t>
            </w:r>
          </w:p>
        </w:tc>
      </w:tr>
      <w:tr w14:paraId="27D20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0" w:hRule="atLeast"/>
          <w:jc w:val="center"/>
        </w:trPr>
        <w:tc>
          <w:tcPr>
            <w:tcW w:w="1891" w:type="dxa"/>
            <w:tcMar>
              <w:top w:w="16" w:type="dxa"/>
              <w:left w:w="16" w:type="dxa"/>
              <w:right w:w="16" w:type="dxa"/>
            </w:tcMar>
            <w:vAlign w:val="center"/>
          </w:tcPr>
          <w:p w14:paraId="14C0DC19">
            <w:pPr>
              <w:adjustRightInd w:val="0"/>
              <w:snapToGrid w:val="0"/>
              <w:jc w:val="center"/>
              <w:rPr>
                <w:color w:val="000000" w:themeColor="text1"/>
                <w:sz w:val="24"/>
                <w14:textFill>
                  <w14:solidFill>
                    <w14:schemeClr w14:val="tx1"/>
                  </w14:solidFill>
                </w14:textFill>
              </w:rPr>
            </w:pPr>
            <w:bookmarkStart w:id="1" w:name="_Hlk49843745"/>
            <w:r>
              <w:rPr>
                <w:color w:val="000000" w:themeColor="text1"/>
                <w:sz w:val="24"/>
                <w14:textFill>
                  <w14:solidFill>
                    <w14:schemeClr w14:val="tx1"/>
                  </w14:solidFill>
                </w14:textFill>
              </w:rPr>
              <w:t>建设项目</w:t>
            </w:r>
          </w:p>
          <w:p w14:paraId="45C868B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行业类别</w:t>
            </w:r>
            <w:bookmarkEnd w:id="1"/>
          </w:p>
        </w:tc>
        <w:tc>
          <w:tcPr>
            <w:tcW w:w="2385" w:type="dxa"/>
            <w:vAlign w:val="center"/>
          </w:tcPr>
          <w:p w14:paraId="34675409">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t>四十一、电力、热力生产和供应业</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90.陆上风力发电4415</w:t>
            </w:r>
          </w:p>
        </w:tc>
        <w:tc>
          <w:tcPr>
            <w:tcW w:w="1955" w:type="dxa"/>
            <w:vAlign w:val="center"/>
          </w:tcPr>
          <w:p w14:paraId="7B0F9F47">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用地面积（m</w:t>
            </w:r>
            <w:r>
              <w:rPr>
                <w:color w:val="000000" w:themeColor="text1"/>
                <w:sz w:val="24"/>
                <w:vertAlign w:val="superscript"/>
                <w14:textFill>
                  <w14:solidFill>
                    <w14:schemeClr w14:val="tx1"/>
                  </w14:solidFill>
                </w14:textFill>
              </w:rPr>
              <w:t>2</w:t>
            </w:r>
            <w:r>
              <w:rPr>
                <w:color w:val="000000" w:themeColor="text1"/>
                <w:sz w:val="24"/>
                <w14:textFill>
                  <w14:solidFill>
                    <w14:schemeClr w14:val="tx1"/>
                  </w14:solidFill>
                </w14:textFill>
              </w:rPr>
              <w:t>）</w:t>
            </w:r>
          </w:p>
        </w:tc>
        <w:tc>
          <w:tcPr>
            <w:tcW w:w="2639" w:type="dxa"/>
            <w:vAlign w:val="center"/>
          </w:tcPr>
          <w:p w14:paraId="215E67F9">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永久占地</w:t>
            </w:r>
            <w:r>
              <w:rPr>
                <w:rFonts w:hint="eastAsia"/>
                <w:color w:val="000000" w:themeColor="text1"/>
                <w:sz w:val="24"/>
                <w:lang w:val="en-US" w:eastAsia="zh-CN"/>
                <w14:textFill>
                  <w14:solidFill>
                    <w14:schemeClr w14:val="tx1"/>
                  </w14:solidFill>
                </w14:textFill>
              </w:rPr>
              <w:t>5069</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p>
          <w:p w14:paraId="3DC774A1">
            <w:pPr>
              <w:adjustRightInd w:val="0"/>
              <w:snapToGrid w:val="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临时占地</w:t>
            </w:r>
            <w:r>
              <w:rPr>
                <w:rFonts w:hint="eastAsia"/>
                <w:color w:val="000000" w:themeColor="text1"/>
                <w:sz w:val="24"/>
                <w:lang w:val="en-US" w:eastAsia="zh-CN"/>
                <w14:textFill>
                  <w14:solidFill>
                    <w14:schemeClr w14:val="tx1"/>
                  </w14:solidFill>
                </w14:textFill>
              </w:rPr>
              <w:t>489942</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2</w:t>
            </w:r>
          </w:p>
        </w:tc>
      </w:tr>
      <w:tr w14:paraId="201399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91" w:type="dxa"/>
            <w:tcMar>
              <w:top w:w="16" w:type="dxa"/>
              <w:left w:w="16" w:type="dxa"/>
              <w:right w:w="16" w:type="dxa"/>
            </w:tcMar>
            <w:vAlign w:val="center"/>
          </w:tcPr>
          <w:p w14:paraId="40898938">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建设性质</w:t>
            </w:r>
          </w:p>
        </w:tc>
        <w:tc>
          <w:tcPr>
            <w:tcW w:w="2385" w:type="dxa"/>
            <w:vAlign w:val="center"/>
          </w:tcPr>
          <w:p w14:paraId="7761EDAD">
            <w:pPr>
              <w:ind w:firstLine="240" w:firstLineChars="1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新建（迁建）</w:t>
            </w:r>
          </w:p>
          <w:p w14:paraId="02E7F8DE">
            <w:pPr>
              <w:ind w:firstLine="240" w:firstLineChars="1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改建</w:t>
            </w:r>
          </w:p>
          <w:p w14:paraId="1843093C">
            <w:pPr>
              <w:ind w:firstLine="240" w:firstLineChars="1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扩建</w:t>
            </w:r>
          </w:p>
          <w:p w14:paraId="5EC5F932">
            <w:pPr>
              <w:ind w:firstLine="240" w:firstLineChars="1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技术改造</w:t>
            </w:r>
          </w:p>
        </w:tc>
        <w:tc>
          <w:tcPr>
            <w:tcW w:w="1955" w:type="dxa"/>
            <w:vAlign w:val="center"/>
          </w:tcPr>
          <w:p w14:paraId="6BF5DF0F">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建设项目</w:t>
            </w:r>
          </w:p>
          <w:p w14:paraId="527B31D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申报情形</w:t>
            </w:r>
          </w:p>
        </w:tc>
        <w:tc>
          <w:tcPr>
            <w:tcW w:w="2639" w:type="dxa"/>
            <w:vAlign w:val="center"/>
          </w:tcPr>
          <w:p w14:paraId="5B34EF62">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 xml:space="preserve">首次申报项目             </w:t>
            </w:r>
          </w:p>
          <w:p w14:paraId="18D0655C">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不予批准后再次申报项目</w:t>
            </w:r>
          </w:p>
          <w:p w14:paraId="0DCD3D56">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 xml:space="preserve">超五年重新审核项目     </w:t>
            </w:r>
          </w:p>
          <w:p w14:paraId="15B6C797">
            <w:pPr>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重大变动重新报批项目</w:t>
            </w:r>
          </w:p>
        </w:tc>
      </w:tr>
      <w:tr w14:paraId="34CED7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91" w:type="dxa"/>
            <w:tcMar>
              <w:top w:w="16" w:type="dxa"/>
              <w:left w:w="16" w:type="dxa"/>
              <w:right w:w="16" w:type="dxa"/>
            </w:tcMar>
            <w:vAlign w:val="center"/>
          </w:tcPr>
          <w:p w14:paraId="2B055AD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077B9F7D">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备案）部门（选填）</w:t>
            </w:r>
          </w:p>
        </w:tc>
        <w:tc>
          <w:tcPr>
            <w:tcW w:w="2385" w:type="dxa"/>
            <w:vAlign w:val="center"/>
          </w:tcPr>
          <w:p w14:paraId="2CA231AA">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陕西省发展和改革委员会</w:t>
            </w:r>
          </w:p>
        </w:tc>
        <w:tc>
          <w:tcPr>
            <w:tcW w:w="1955" w:type="dxa"/>
            <w:vAlign w:val="center"/>
          </w:tcPr>
          <w:p w14:paraId="65580386">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项目审批（核准/</w:t>
            </w:r>
          </w:p>
          <w:p w14:paraId="7C8C116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备案）文号（选填）</w:t>
            </w:r>
          </w:p>
        </w:tc>
        <w:tc>
          <w:tcPr>
            <w:tcW w:w="2639" w:type="dxa"/>
            <w:vAlign w:val="center"/>
          </w:tcPr>
          <w:p w14:paraId="24859C6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陕发改能新能源</w:t>
            </w:r>
            <w:r>
              <w:rPr>
                <w:color w:val="000000" w:themeColor="text1"/>
                <w:sz w:val="24"/>
                <w14:textFill>
                  <w14:solidFill>
                    <w14:schemeClr w14:val="tx1"/>
                  </w14:solidFill>
                </w14:textFill>
              </w:rPr>
              <w:t>〔202</w:t>
            </w:r>
            <w:r>
              <w:rPr>
                <w:rFonts w:hint="eastAsia"/>
                <w:color w:val="000000" w:themeColor="text1"/>
                <w:sz w:val="24"/>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14</w:t>
            </w:r>
            <w:r>
              <w:rPr>
                <w:rFonts w:hint="eastAsia"/>
                <w:color w:val="000000" w:themeColor="text1"/>
                <w:sz w:val="24"/>
                <w:lang w:val="en-US" w:eastAsia="zh-CN"/>
                <w14:textFill>
                  <w14:solidFill>
                    <w14:schemeClr w14:val="tx1"/>
                  </w14:solidFill>
                </w14:textFill>
              </w:rPr>
              <w:t>79</w:t>
            </w:r>
            <w:r>
              <w:rPr>
                <w:color w:val="000000" w:themeColor="text1"/>
                <w:sz w:val="24"/>
                <w14:textFill>
                  <w14:solidFill>
                    <w14:schemeClr w14:val="tx1"/>
                  </w14:solidFill>
                </w14:textFill>
              </w:rPr>
              <w:t>号</w:t>
            </w:r>
          </w:p>
        </w:tc>
      </w:tr>
      <w:tr w14:paraId="2C09C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7E40EF4E">
            <w:pPr>
              <w:adjustRightInd w:val="0"/>
              <w:snapToGrid w:val="0"/>
              <w:jc w:val="center"/>
              <w:rPr>
                <w:color w:val="auto"/>
                <w:sz w:val="24"/>
              </w:rPr>
            </w:pPr>
            <w:r>
              <w:rPr>
                <w:color w:val="auto"/>
                <w:sz w:val="24"/>
              </w:rPr>
              <w:t>总投资（万元）</w:t>
            </w:r>
          </w:p>
        </w:tc>
        <w:tc>
          <w:tcPr>
            <w:tcW w:w="2385" w:type="dxa"/>
            <w:vAlign w:val="center"/>
          </w:tcPr>
          <w:p w14:paraId="1C2980D8">
            <w:pPr>
              <w:adjustRightInd w:val="0"/>
              <w:snapToGrid w:val="0"/>
              <w:jc w:val="center"/>
              <w:rPr>
                <w:rFonts w:hint="default" w:eastAsia="宋体"/>
                <w:color w:val="auto"/>
                <w:sz w:val="24"/>
                <w:lang w:val="en-US" w:eastAsia="zh-CN"/>
              </w:rPr>
            </w:pPr>
            <w:r>
              <w:rPr>
                <w:rFonts w:hint="eastAsia"/>
                <w:color w:val="auto"/>
                <w:sz w:val="24"/>
                <w:lang w:val="en-US" w:eastAsia="zh-CN"/>
              </w:rPr>
              <w:t>24425.66</w:t>
            </w:r>
          </w:p>
        </w:tc>
        <w:tc>
          <w:tcPr>
            <w:tcW w:w="1955" w:type="dxa"/>
            <w:tcMar>
              <w:top w:w="16" w:type="dxa"/>
              <w:left w:w="16" w:type="dxa"/>
              <w:right w:w="16" w:type="dxa"/>
            </w:tcMar>
            <w:vAlign w:val="center"/>
          </w:tcPr>
          <w:p w14:paraId="7F409B88">
            <w:pPr>
              <w:adjustRightInd w:val="0"/>
              <w:snapToGrid w:val="0"/>
              <w:jc w:val="center"/>
              <w:rPr>
                <w:color w:val="auto"/>
                <w:sz w:val="24"/>
              </w:rPr>
            </w:pPr>
            <w:r>
              <w:rPr>
                <w:color w:val="auto"/>
                <w:sz w:val="24"/>
              </w:rPr>
              <w:t>环保投资（万元）</w:t>
            </w:r>
          </w:p>
        </w:tc>
        <w:tc>
          <w:tcPr>
            <w:tcW w:w="2639" w:type="dxa"/>
            <w:vAlign w:val="center"/>
          </w:tcPr>
          <w:p w14:paraId="6C9BB208">
            <w:pPr>
              <w:adjustRightInd w:val="0"/>
              <w:snapToGrid w:val="0"/>
              <w:jc w:val="center"/>
              <w:rPr>
                <w:rFonts w:hint="default" w:eastAsia="宋体"/>
                <w:color w:val="auto"/>
                <w:sz w:val="24"/>
                <w:lang w:val="en-US" w:eastAsia="zh-CN"/>
              </w:rPr>
            </w:pPr>
            <w:r>
              <w:rPr>
                <w:rFonts w:hint="eastAsia"/>
                <w:color w:val="auto"/>
                <w:sz w:val="24"/>
                <w:lang w:val="en-US" w:eastAsia="zh-CN"/>
              </w:rPr>
              <w:t>120.08</w:t>
            </w:r>
          </w:p>
        </w:tc>
      </w:tr>
      <w:tr w14:paraId="1189A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91" w:type="dxa"/>
            <w:tcMar>
              <w:top w:w="16" w:type="dxa"/>
              <w:left w:w="16" w:type="dxa"/>
              <w:right w:w="16" w:type="dxa"/>
            </w:tcMar>
            <w:vAlign w:val="center"/>
          </w:tcPr>
          <w:p w14:paraId="0D18FF1A">
            <w:pPr>
              <w:adjustRightInd w:val="0"/>
              <w:snapToGrid w:val="0"/>
              <w:jc w:val="center"/>
              <w:rPr>
                <w:color w:val="auto"/>
                <w:sz w:val="24"/>
              </w:rPr>
            </w:pPr>
            <w:r>
              <w:rPr>
                <w:color w:val="auto"/>
                <w:sz w:val="24"/>
              </w:rPr>
              <w:t>环保投资占比（%）</w:t>
            </w:r>
          </w:p>
        </w:tc>
        <w:tc>
          <w:tcPr>
            <w:tcW w:w="2385" w:type="dxa"/>
            <w:vAlign w:val="center"/>
          </w:tcPr>
          <w:p w14:paraId="12FF3628">
            <w:pPr>
              <w:adjustRightInd w:val="0"/>
              <w:snapToGrid w:val="0"/>
              <w:jc w:val="center"/>
              <w:rPr>
                <w:rFonts w:hint="default" w:eastAsia="宋体"/>
                <w:color w:val="auto"/>
                <w:sz w:val="24"/>
                <w:lang w:val="en-US" w:eastAsia="zh-CN"/>
              </w:rPr>
            </w:pPr>
            <w:r>
              <w:rPr>
                <w:rFonts w:hint="eastAsia"/>
                <w:color w:val="auto"/>
                <w:sz w:val="24"/>
                <w:lang w:val="en-US" w:eastAsia="zh-CN"/>
              </w:rPr>
              <w:t>0.49</w:t>
            </w:r>
          </w:p>
        </w:tc>
        <w:tc>
          <w:tcPr>
            <w:tcW w:w="1955" w:type="dxa"/>
            <w:tcMar>
              <w:top w:w="16" w:type="dxa"/>
              <w:left w:w="16" w:type="dxa"/>
              <w:right w:w="16" w:type="dxa"/>
            </w:tcMar>
            <w:vAlign w:val="center"/>
          </w:tcPr>
          <w:p w14:paraId="63CD485D">
            <w:pPr>
              <w:adjustRightInd w:val="0"/>
              <w:snapToGrid w:val="0"/>
              <w:jc w:val="center"/>
              <w:rPr>
                <w:color w:val="auto"/>
                <w:sz w:val="24"/>
              </w:rPr>
            </w:pPr>
            <w:r>
              <w:rPr>
                <w:color w:val="auto"/>
                <w:sz w:val="24"/>
              </w:rPr>
              <w:t>施工工期</w:t>
            </w:r>
          </w:p>
        </w:tc>
        <w:tc>
          <w:tcPr>
            <w:tcW w:w="2639" w:type="dxa"/>
            <w:vAlign w:val="center"/>
          </w:tcPr>
          <w:p w14:paraId="555DFB97">
            <w:pPr>
              <w:adjustRightInd w:val="0"/>
              <w:snapToGrid w:val="0"/>
              <w:jc w:val="center"/>
              <w:rPr>
                <w:color w:val="auto"/>
                <w:sz w:val="24"/>
              </w:rPr>
            </w:pPr>
            <w:r>
              <w:rPr>
                <w:rFonts w:hint="eastAsia"/>
                <w:color w:val="auto"/>
                <w:sz w:val="24"/>
              </w:rPr>
              <w:t>12个月</w:t>
            </w:r>
          </w:p>
        </w:tc>
      </w:tr>
      <w:tr w14:paraId="5AA6E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5" w:hRule="atLeast"/>
          <w:jc w:val="center"/>
        </w:trPr>
        <w:tc>
          <w:tcPr>
            <w:tcW w:w="1891" w:type="dxa"/>
            <w:tcMar>
              <w:top w:w="16" w:type="dxa"/>
              <w:left w:w="16" w:type="dxa"/>
              <w:right w:w="16" w:type="dxa"/>
            </w:tcMar>
            <w:vAlign w:val="center"/>
          </w:tcPr>
          <w:p w14:paraId="68EF66F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是否开工建设</w:t>
            </w:r>
          </w:p>
        </w:tc>
        <w:tc>
          <w:tcPr>
            <w:tcW w:w="6979" w:type="dxa"/>
            <w:gridSpan w:val="3"/>
            <w:vAlign w:val="center"/>
          </w:tcPr>
          <w:p w14:paraId="434D9EB1">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52"/>
            </w:r>
            <w:r>
              <w:rPr>
                <w:color w:val="000000" w:themeColor="text1"/>
                <w:sz w:val="24"/>
                <w14:textFill>
                  <w14:solidFill>
                    <w14:schemeClr w14:val="tx1"/>
                  </w14:solidFill>
                </w14:textFill>
              </w:rPr>
              <w:t>否</w:t>
            </w:r>
          </w:p>
          <w:p w14:paraId="13CDD667">
            <w:pPr>
              <w:adjustRightInd w:val="0"/>
              <w:snapToGrid w:val="0"/>
              <w:rPr>
                <w:color w:val="000000" w:themeColor="text1"/>
                <w:sz w:val="24"/>
                <w14:textFill>
                  <w14:solidFill>
                    <w14:schemeClr w14:val="tx1"/>
                  </w14:solidFill>
                </w14:textFill>
              </w:rPr>
            </w:pPr>
            <w:r>
              <w:rPr>
                <w:color w:val="000000" w:themeColor="text1"/>
                <w:sz w:val="24"/>
                <w14:textFill>
                  <w14:solidFill>
                    <w14:schemeClr w14:val="tx1"/>
                  </w14:solidFill>
                </w14:textFill>
              </w:rPr>
              <w:sym w:font="Wingdings 2" w:char="00A3"/>
            </w:r>
            <w:r>
              <w:rPr>
                <w:color w:val="000000" w:themeColor="text1"/>
                <w:sz w:val="24"/>
                <w14:textFill>
                  <w14:solidFill>
                    <w14:schemeClr w14:val="tx1"/>
                  </w14:solidFill>
                </w14:textFill>
              </w:rPr>
              <w:t>是：</w:t>
            </w:r>
            <w:r>
              <w:rPr>
                <w:rFonts w:hint="eastAsia"/>
                <w:color w:val="000000" w:themeColor="text1"/>
                <w:sz w:val="24"/>
                <w:u w:val="single"/>
                <w14:textFill>
                  <w14:solidFill>
                    <w14:schemeClr w14:val="tx1"/>
                  </w14:solidFill>
                </w14:textFill>
              </w:rPr>
              <w:t xml:space="preserve">       </w:t>
            </w:r>
          </w:p>
        </w:tc>
      </w:tr>
      <w:tr w14:paraId="6AE21D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891" w:type="dxa"/>
            <w:vAlign w:val="center"/>
          </w:tcPr>
          <w:p w14:paraId="5039756A">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专项评价设置情况</w:t>
            </w:r>
          </w:p>
        </w:tc>
        <w:tc>
          <w:tcPr>
            <w:tcW w:w="6979" w:type="dxa"/>
            <w:gridSpan w:val="3"/>
            <w:vAlign w:val="center"/>
          </w:tcPr>
          <w:p w14:paraId="475A364E">
            <w:pPr>
              <w:pStyle w:val="3"/>
              <w:spacing w:before="0" w:beforeLines="0" w:after="0" w:afterLines="0" w:line="240" w:lineRule="auto"/>
              <w:jc w:val="center"/>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7042F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891" w:type="dxa"/>
            <w:vAlign w:val="center"/>
          </w:tcPr>
          <w:p w14:paraId="7F858B07">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规划情况</w:t>
            </w:r>
          </w:p>
        </w:tc>
        <w:tc>
          <w:tcPr>
            <w:tcW w:w="6979" w:type="dxa"/>
            <w:gridSpan w:val="3"/>
            <w:vAlign w:val="center"/>
          </w:tcPr>
          <w:p w14:paraId="4133835B">
            <w:pPr>
              <w:autoSpaceDE w:val="0"/>
              <w:autoSpaceDN w:val="0"/>
              <w:adjustRightInd w:val="0"/>
              <w:snapToGrid w:val="0"/>
              <w:jc w:val="center"/>
              <w:rPr>
                <w:color w:val="000000" w:themeColor="text1"/>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45F6F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3" w:hRule="atLeast"/>
          <w:jc w:val="center"/>
        </w:trPr>
        <w:tc>
          <w:tcPr>
            <w:tcW w:w="1891" w:type="dxa"/>
            <w:vAlign w:val="center"/>
          </w:tcPr>
          <w:p w14:paraId="552ED4F4">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规划环境影响</w:t>
            </w:r>
          </w:p>
          <w:p w14:paraId="00AC81AA">
            <w:pPr>
              <w:adjustRightInd w:val="0"/>
              <w:snapToGrid w:val="0"/>
              <w:jc w:val="center"/>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评价情况</w:t>
            </w:r>
          </w:p>
        </w:tc>
        <w:tc>
          <w:tcPr>
            <w:tcW w:w="6979" w:type="dxa"/>
            <w:gridSpan w:val="3"/>
            <w:vAlign w:val="center"/>
          </w:tcPr>
          <w:p w14:paraId="74F7153F">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1B9F9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1891" w:type="dxa"/>
            <w:vAlign w:val="center"/>
          </w:tcPr>
          <w:p w14:paraId="2F8CBB87">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规划及规划环境影响评价符合性分析</w:t>
            </w:r>
          </w:p>
        </w:tc>
        <w:tc>
          <w:tcPr>
            <w:tcW w:w="6979" w:type="dxa"/>
            <w:gridSpan w:val="3"/>
            <w:vAlign w:val="center"/>
          </w:tcPr>
          <w:p w14:paraId="4502E888">
            <w:pPr>
              <w:autoSpaceDE w:val="0"/>
              <w:autoSpaceDN w:val="0"/>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无</w:t>
            </w:r>
          </w:p>
        </w:tc>
      </w:tr>
      <w:tr w14:paraId="02C8BA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30" w:hRule="atLeast"/>
          <w:jc w:val="center"/>
        </w:trPr>
        <w:tc>
          <w:tcPr>
            <w:tcW w:w="1891" w:type="dxa"/>
            <w:vAlign w:val="center"/>
          </w:tcPr>
          <w:p w14:paraId="5449793A">
            <w:pPr>
              <w:autoSpaceDE w:val="0"/>
              <w:autoSpaceDN w:val="0"/>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其他符合性分析</w:t>
            </w:r>
          </w:p>
        </w:tc>
        <w:tc>
          <w:tcPr>
            <w:tcW w:w="6979" w:type="dxa"/>
            <w:gridSpan w:val="3"/>
            <w:vAlign w:val="center"/>
          </w:tcPr>
          <w:p w14:paraId="21BC8502">
            <w:pPr>
              <w:spacing w:line="360" w:lineRule="auto"/>
              <w:ind w:firstLine="482" w:firstLineChars="200"/>
              <w:rPr>
                <w:b/>
                <w:bCs/>
                <w:color w:val="000000" w:themeColor="text1"/>
                <w:sz w:val="24"/>
                <w:lang w:val="en-GB"/>
                <w14:textFill>
                  <w14:solidFill>
                    <w14:schemeClr w14:val="tx1"/>
                  </w14:solidFill>
                </w14:textFill>
              </w:rPr>
            </w:pPr>
            <w:r>
              <w:rPr>
                <w:rFonts w:hint="eastAsia"/>
                <w:b/>
                <w:bCs/>
                <w:color w:val="000000" w:themeColor="text1"/>
                <w:kern w:val="0"/>
                <w:sz w:val="24"/>
                <w14:textFill>
                  <w14:solidFill>
                    <w14:schemeClr w14:val="tx1"/>
                  </w14:solidFill>
                </w14:textFill>
              </w:rPr>
              <w:t>1</w:t>
            </w:r>
            <w:r>
              <w:rPr>
                <w:b/>
                <w:bCs/>
                <w:color w:val="000000" w:themeColor="text1"/>
                <w:kern w:val="0"/>
                <w:sz w:val="24"/>
                <w14:textFill>
                  <w14:solidFill>
                    <w14:schemeClr w14:val="tx1"/>
                  </w14:solidFill>
                </w14:textFill>
              </w:rPr>
              <w:t>、</w:t>
            </w:r>
            <w:r>
              <w:rPr>
                <w:b/>
                <w:bCs/>
                <w:color w:val="000000" w:themeColor="text1"/>
                <w:sz w:val="24"/>
                <w:lang w:val="en-GB"/>
                <w14:textFill>
                  <w14:solidFill>
                    <w14:schemeClr w14:val="tx1"/>
                  </w14:solidFill>
                </w14:textFill>
              </w:rPr>
              <w:t>产业政策相符性分析</w:t>
            </w:r>
          </w:p>
          <w:p w14:paraId="3C7FEEDB">
            <w:pPr>
              <w:pStyle w:val="6"/>
              <w:spacing w:line="360" w:lineRule="auto"/>
              <w:ind w:firstLine="480" w:firstLineChars="20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本项目</w:t>
            </w:r>
            <w:r>
              <w:rPr>
                <w:rFonts w:hint="eastAsia" w:ascii="Times New Roman" w:hAnsi="Times New Roman"/>
                <w:bCs/>
                <w:color w:val="000000" w:themeColor="text1"/>
                <w:szCs w:val="24"/>
                <w:lang w:val="en-US" w:eastAsia="zh-CN"/>
                <w14:textFill>
                  <w14:solidFill>
                    <w14:schemeClr w14:val="tx1"/>
                  </w14:solidFill>
                </w14:textFill>
              </w:rPr>
              <w:t>属于</w:t>
            </w:r>
            <w:r>
              <w:rPr>
                <w:rFonts w:hint="eastAsia" w:ascii="Times New Roman" w:hAnsi="Times New Roman"/>
                <w:color w:val="000000" w:themeColor="text1"/>
                <w:szCs w:val="24"/>
                <w14:textFill>
                  <w14:solidFill>
                    <w14:schemeClr w14:val="tx1"/>
                  </w14:solidFill>
                </w14:textFill>
              </w:rPr>
              <w:t>风力发电项目</w:t>
            </w:r>
            <w:r>
              <w:rPr>
                <w:rFonts w:ascii="Times New Roman" w:hAnsi="Times New Roman"/>
                <w:bCs/>
                <w:color w:val="000000" w:themeColor="text1"/>
                <w:szCs w:val="24"/>
                <w14:textFill>
                  <w14:solidFill>
                    <w14:schemeClr w14:val="tx1"/>
                  </w14:solidFill>
                </w14:textFill>
              </w:rPr>
              <w:t>，</w:t>
            </w:r>
            <w:r>
              <w:rPr>
                <w:rFonts w:ascii="Times New Roman" w:hAnsi="Times New Roman"/>
                <w:color w:val="000000" w:themeColor="text1"/>
                <w:kern w:val="2"/>
                <w:szCs w:val="24"/>
                <w14:textFill>
                  <w14:solidFill>
                    <w14:schemeClr w14:val="tx1"/>
                  </w14:solidFill>
                </w14:textFill>
              </w:rPr>
              <w:t>根据《</w:t>
            </w:r>
            <w:bookmarkStart w:id="2" w:name="OLE_LINK1"/>
            <w:r>
              <w:rPr>
                <w:rFonts w:ascii="Times New Roman" w:hAnsi="Times New Roman"/>
                <w:color w:val="000000" w:themeColor="text1"/>
                <w:kern w:val="2"/>
                <w:szCs w:val="24"/>
                <w14:textFill>
                  <w14:solidFill>
                    <w14:schemeClr w14:val="tx1"/>
                  </w14:solidFill>
                </w14:textFill>
              </w:rPr>
              <w:t>产业结构调整指导目录（2024年本）</w:t>
            </w:r>
            <w:bookmarkEnd w:id="2"/>
            <w:r>
              <w:rPr>
                <w:rFonts w:ascii="Times New Roman" w:hAnsi="Times New Roman"/>
                <w:color w:val="000000" w:themeColor="text1"/>
                <w:kern w:val="2"/>
                <w:szCs w:val="24"/>
                <w14:textFill>
                  <w14:solidFill>
                    <w14:schemeClr w14:val="tx1"/>
                  </w14:solidFill>
                </w14:textFill>
              </w:rPr>
              <w:t>》</w:t>
            </w:r>
            <w:r>
              <w:rPr>
                <w:rFonts w:ascii="Times New Roman" w:hAnsi="Times New Roman"/>
                <w:bCs/>
                <w:color w:val="000000" w:themeColor="text1"/>
                <w:szCs w:val="24"/>
                <w14:textFill>
                  <w14:solidFill>
                    <w14:schemeClr w14:val="tx1"/>
                  </w14:solidFill>
                </w14:textFill>
              </w:rPr>
              <w:t>，本项目不属于鼓励类、限制类、淘汰类，可视为允许类建设项目。</w:t>
            </w:r>
          </w:p>
          <w:p w14:paraId="58475685">
            <w:pPr>
              <w:pStyle w:val="6"/>
              <w:spacing w:line="360" w:lineRule="auto"/>
              <w:ind w:firstLine="480" w:firstLineChars="200"/>
              <w:rPr>
                <w:rFonts w:ascii="Times New Roman" w:hAnsi="Times New Roman"/>
                <w:bCs/>
                <w:color w:val="000000" w:themeColor="text1"/>
                <w:szCs w:val="24"/>
                <w14:textFill>
                  <w14:solidFill>
                    <w14:schemeClr w14:val="tx1"/>
                  </w14:solidFill>
                </w14:textFill>
              </w:rPr>
            </w:pPr>
            <w:r>
              <w:rPr>
                <w:rFonts w:ascii="Times New Roman" w:hAnsi="Times New Roman"/>
                <w:bCs/>
                <w:color w:val="000000" w:themeColor="text1"/>
                <w:szCs w:val="24"/>
                <w14:textFill>
                  <w14:solidFill>
                    <w14:schemeClr w14:val="tx1"/>
                  </w14:solidFill>
                </w14:textFill>
              </w:rPr>
              <w:t>本项目</w:t>
            </w:r>
            <w:r>
              <w:rPr>
                <w:rFonts w:hint="eastAsia" w:ascii="Times New Roman" w:hAnsi="Times New Roman"/>
                <w:bCs/>
                <w:color w:val="000000" w:themeColor="text1"/>
                <w:szCs w:val="24"/>
                <w14:textFill>
                  <w14:solidFill>
                    <w14:schemeClr w14:val="tx1"/>
                  </w14:solidFill>
                </w14:textFill>
              </w:rPr>
              <w:t>也</w:t>
            </w:r>
            <w:r>
              <w:rPr>
                <w:rFonts w:ascii="Times New Roman" w:hAnsi="Times New Roman"/>
                <w:bCs/>
                <w:color w:val="000000" w:themeColor="text1"/>
                <w:szCs w:val="24"/>
                <w14:textFill>
                  <w14:solidFill>
                    <w14:schemeClr w14:val="tx1"/>
                  </w14:solidFill>
                </w14:textFill>
              </w:rPr>
              <w:t>不在《市场准入负面清单（2022年版）》</w:t>
            </w:r>
            <w:r>
              <w:rPr>
                <w:rFonts w:hint="eastAsia" w:ascii="Times New Roman" w:hAnsi="Times New Roman"/>
                <w:bCs/>
                <w:color w:val="000000" w:themeColor="text1"/>
                <w:szCs w:val="24"/>
                <w14:textFill>
                  <w14:solidFill>
                    <w14:schemeClr w14:val="tx1"/>
                  </w14:solidFill>
                </w14:textFill>
              </w:rPr>
              <w:t>（发改体改规〔</w:t>
            </w:r>
            <w:r>
              <w:rPr>
                <w:rFonts w:ascii="Times New Roman" w:hAnsi="Times New Roman"/>
                <w:bCs/>
                <w:color w:val="000000" w:themeColor="text1"/>
                <w:szCs w:val="24"/>
                <w14:textFill>
                  <w14:solidFill>
                    <w14:schemeClr w14:val="tx1"/>
                  </w14:solidFill>
                </w14:textFill>
              </w:rPr>
              <w:t>2022</w:t>
            </w:r>
            <w:r>
              <w:rPr>
                <w:rFonts w:hint="eastAsia" w:ascii="Times New Roman" w:hAnsi="Times New Roman"/>
                <w:bCs/>
                <w:color w:val="000000" w:themeColor="text1"/>
                <w:szCs w:val="24"/>
                <w14:textFill>
                  <w14:solidFill>
                    <w14:schemeClr w14:val="tx1"/>
                  </w14:solidFill>
                </w14:textFill>
              </w:rPr>
              <w:t>〕</w:t>
            </w:r>
            <w:r>
              <w:rPr>
                <w:rFonts w:ascii="Times New Roman" w:hAnsi="Times New Roman"/>
                <w:bCs/>
                <w:color w:val="000000" w:themeColor="text1"/>
                <w:szCs w:val="24"/>
                <w14:textFill>
                  <w14:solidFill>
                    <w14:schemeClr w14:val="tx1"/>
                  </w14:solidFill>
                </w14:textFill>
              </w:rPr>
              <w:t>397</w:t>
            </w:r>
            <w:r>
              <w:rPr>
                <w:rFonts w:hint="eastAsia" w:ascii="Times New Roman" w:hAnsi="Times New Roman"/>
                <w:bCs/>
                <w:color w:val="000000" w:themeColor="text1"/>
                <w:szCs w:val="24"/>
                <w14:textFill>
                  <w14:solidFill>
                    <w14:schemeClr w14:val="tx1"/>
                  </w14:solidFill>
                </w14:textFill>
              </w:rPr>
              <w:t>号）</w:t>
            </w:r>
            <w:r>
              <w:rPr>
                <w:rFonts w:ascii="Times New Roman" w:hAnsi="Times New Roman"/>
                <w:bCs/>
                <w:color w:val="000000" w:themeColor="text1"/>
                <w:szCs w:val="24"/>
                <w14:textFill>
                  <w14:solidFill>
                    <w14:schemeClr w14:val="tx1"/>
                  </w14:solidFill>
                </w14:textFill>
              </w:rPr>
              <w:t>禁止准入类之列。</w:t>
            </w:r>
            <w:r>
              <w:rPr>
                <w:rFonts w:ascii="Times New Roman" w:hAnsi="Times New Roman"/>
                <w:bCs/>
                <w:color w:val="000000" w:themeColor="text1"/>
                <w14:textFill>
                  <w14:solidFill>
                    <w14:schemeClr w14:val="tx1"/>
                  </w14:solidFill>
                </w14:textFill>
              </w:rPr>
              <w:t>根据《可再生能源产业发展指导目录》的通知（发改能源</w:t>
            </w:r>
            <w:r>
              <w:rPr>
                <w:rFonts w:ascii="Times New Roman" w:hAnsi="Times New Roman"/>
                <w:color w:val="000000" w:themeColor="text1"/>
                <w:kern w:val="2"/>
                <w:szCs w:val="24"/>
                <w14:textFill>
                  <w14:solidFill>
                    <w14:schemeClr w14:val="tx1"/>
                  </w14:solidFill>
                </w14:textFill>
              </w:rPr>
              <w:t>〔</w:t>
            </w:r>
            <w:r>
              <w:rPr>
                <w:rFonts w:ascii="Times New Roman" w:hAnsi="Times New Roman"/>
                <w:bCs/>
                <w:color w:val="000000" w:themeColor="text1"/>
                <w14:textFill>
                  <w14:solidFill>
                    <w14:schemeClr w14:val="tx1"/>
                  </w14:solidFill>
                </w14:textFill>
              </w:rPr>
              <w:t>2005</w:t>
            </w:r>
            <w:r>
              <w:rPr>
                <w:rFonts w:ascii="Times New Roman" w:hAnsi="Times New Roman"/>
                <w:color w:val="000000" w:themeColor="text1"/>
                <w:kern w:val="2"/>
                <w:szCs w:val="24"/>
                <w14:textFill>
                  <w14:solidFill>
                    <w14:schemeClr w14:val="tx1"/>
                  </w14:solidFill>
                </w14:textFill>
              </w:rPr>
              <w:t>〕</w:t>
            </w:r>
            <w:r>
              <w:rPr>
                <w:rFonts w:ascii="Times New Roman" w:hAnsi="Times New Roman"/>
                <w:bCs/>
                <w:color w:val="000000" w:themeColor="text1"/>
                <w14:textFill>
                  <w14:solidFill>
                    <w14:schemeClr w14:val="tx1"/>
                  </w14:solidFill>
                </w14:textFill>
              </w:rPr>
              <w:t>2517号），本项目属于</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一、风能</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风力发电</w:t>
            </w:r>
            <w:r>
              <w:rPr>
                <w:rFonts w:hint="eastAsia" w:ascii="Times New Roman" w:hAnsi="Times New Roman"/>
                <w:bCs/>
                <w:color w:val="000000" w:themeColor="text1"/>
                <w14:textFill>
                  <w14:solidFill>
                    <w14:schemeClr w14:val="tx1"/>
                  </w14:solidFill>
                </w14:textFill>
              </w:rPr>
              <w:t>—</w:t>
            </w:r>
            <w:r>
              <w:rPr>
                <w:rFonts w:ascii="Times New Roman" w:hAnsi="Times New Roman"/>
                <w:bCs/>
                <w:color w:val="000000" w:themeColor="text1"/>
                <w14:textFill>
                  <w14:solidFill>
                    <w14:schemeClr w14:val="tx1"/>
                  </w14:solidFill>
                </w14:textFill>
              </w:rPr>
              <w:t>2、并网型风力发电</w:t>
            </w:r>
            <w:r>
              <w:rPr>
                <w:rFonts w:hint="eastAsia" w:ascii="Times New Roman" w:hAnsi="Times New Roman"/>
                <w:bCs/>
                <w:color w:val="000000" w:themeColor="text1"/>
                <w14:textFill>
                  <w14:solidFill>
                    <w14:schemeClr w14:val="tx1"/>
                  </w14:solidFill>
                </w14:textFill>
              </w:rPr>
              <w:t>”，因此本</w:t>
            </w:r>
            <w:r>
              <w:rPr>
                <w:rFonts w:ascii="Times New Roman" w:hAnsi="Times New Roman"/>
                <w:bCs/>
                <w:color w:val="000000" w:themeColor="text1"/>
                <w14:textFill>
                  <w14:solidFill>
                    <w14:schemeClr w14:val="tx1"/>
                  </w14:solidFill>
                </w14:textFill>
              </w:rPr>
              <w:t>项目建设</w:t>
            </w:r>
            <w:r>
              <w:rPr>
                <w:bCs/>
                <w:color w:val="000000" w:themeColor="text1"/>
                <w14:textFill>
                  <w14:solidFill>
                    <w14:schemeClr w14:val="tx1"/>
                  </w14:solidFill>
                </w14:textFill>
              </w:rPr>
              <w:t>符合</w:t>
            </w:r>
            <w:r>
              <w:rPr>
                <w:rFonts w:hint="eastAsia"/>
                <w:bCs/>
                <w:color w:val="000000" w:themeColor="text1"/>
                <w14:textFill>
                  <w14:solidFill>
                    <w14:schemeClr w14:val="tx1"/>
                  </w14:solidFill>
                </w14:textFill>
              </w:rPr>
              <w:t>《</w:t>
            </w:r>
            <w:r>
              <w:rPr>
                <w:bCs/>
                <w:color w:val="000000" w:themeColor="text1"/>
                <w14:textFill>
                  <w14:solidFill>
                    <w14:schemeClr w14:val="tx1"/>
                  </w14:solidFill>
                </w14:textFill>
              </w:rPr>
              <w:t>可再生能源产业发展指导目录》</w:t>
            </w:r>
            <w:r>
              <w:rPr>
                <w:rFonts w:hint="eastAsia"/>
                <w:bCs/>
                <w:color w:val="000000" w:themeColor="text1"/>
                <w14:textFill>
                  <w14:solidFill>
                    <w14:schemeClr w14:val="tx1"/>
                  </w14:solidFill>
                </w14:textFill>
              </w:rPr>
              <w:t>。</w:t>
            </w:r>
          </w:p>
          <w:p w14:paraId="43CF2061">
            <w:pPr>
              <w:pStyle w:val="6"/>
              <w:spacing w:line="360" w:lineRule="auto"/>
              <w:ind w:firstLine="480" w:firstLineChars="200"/>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本项目于202</w:t>
            </w:r>
            <w:r>
              <w:rPr>
                <w:rFonts w:hint="eastAsia" w:ascii="Times New Roman" w:hAnsi="Times New Roman"/>
                <w:color w:val="000000" w:themeColor="text1"/>
                <w:kern w:val="2"/>
                <w:szCs w:val="24"/>
                <w14:textFill>
                  <w14:solidFill>
                    <w14:schemeClr w14:val="tx1"/>
                  </w14:solidFill>
                </w14:textFill>
              </w:rPr>
              <w:t>4</w:t>
            </w:r>
            <w:r>
              <w:rPr>
                <w:rFonts w:ascii="Times New Roman" w:hAnsi="Times New Roman"/>
                <w:color w:val="000000" w:themeColor="text1"/>
                <w:kern w:val="2"/>
                <w:szCs w:val="24"/>
                <w14:textFill>
                  <w14:solidFill>
                    <w14:schemeClr w14:val="tx1"/>
                  </w14:solidFill>
                </w14:textFill>
              </w:rPr>
              <w:t>年</w:t>
            </w:r>
            <w:r>
              <w:rPr>
                <w:rFonts w:hint="eastAsia" w:ascii="Times New Roman" w:hAnsi="Times New Roman"/>
                <w:color w:val="000000" w:themeColor="text1"/>
                <w:kern w:val="2"/>
                <w:szCs w:val="24"/>
                <w14:textFill>
                  <w14:solidFill>
                    <w14:schemeClr w14:val="tx1"/>
                  </w14:solidFill>
                </w14:textFill>
              </w:rPr>
              <w:t>8</w:t>
            </w:r>
            <w:r>
              <w:rPr>
                <w:rFonts w:ascii="Times New Roman" w:hAnsi="Times New Roman"/>
                <w:color w:val="000000" w:themeColor="text1"/>
                <w:kern w:val="2"/>
                <w:szCs w:val="24"/>
                <w14:textFill>
                  <w14:solidFill>
                    <w14:schemeClr w14:val="tx1"/>
                  </w14:solidFill>
                </w14:textFill>
              </w:rPr>
              <w:t>月</w:t>
            </w:r>
            <w:r>
              <w:rPr>
                <w:rFonts w:hint="eastAsia" w:ascii="Times New Roman" w:hAnsi="Times New Roman"/>
                <w:color w:val="000000" w:themeColor="text1"/>
                <w:kern w:val="2"/>
                <w:szCs w:val="24"/>
                <w14:textFill>
                  <w14:solidFill>
                    <w14:schemeClr w14:val="tx1"/>
                  </w14:solidFill>
                </w14:textFill>
              </w:rPr>
              <w:t>28</w:t>
            </w:r>
            <w:r>
              <w:rPr>
                <w:rFonts w:ascii="Times New Roman" w:hAnsi="Times New Roman"/>
                <w:color w:val="000000" w:themeColor="text1"/>
                <w:kern w:val="2"/>
                <w:szCs w:val="24"/>
                <w14:textFill>
                  <w14:solidFill>
                    <w14:schemeClr w14:val="tx1"/>
                  </w14:solidFill>
                </w14:textFill>
              </w:rPr>
              <w:t>日取得</w:t>
            </w:r>
            <w:r>
              <w:rPr>
                <w:rFonts w:hint="eastAsia" w:ascii="Times New Roman" w:hAnsi="Times New Roman"/>
                <w:color w:val="000000" w:themeColor="text1"/>
                <w:kern w:val="2"/>
                <w:szCs w:val="24"/>
                <w14:textFill>
                  <w14:solidFill>
                    <w14:schemeClr w14:val="tx1"/>
                  </w14:solidFill>
                </w14:textFill>
              </w:rPr>
              <w:t>《陕西省发展和改革委员会关于</w:t>
            </w:r>
            <w:r>
              <w:rPr>
                <w:rFonts w:hint="eastAsia" w:ascii="Times New Roman" w:hAnsi="Times New Roman"/>
                <w:color w:val="000000" w:themeColor="text1"/>
                <w:kern w:val="2"/>
                <w:szCs w:val="24"/>
                <w:lang w:val="en-US" w:eastAsia="zh-CN"/>
                <w14:textFill>
                  <w14:solidFill>
                    <w14:schemeClr w14:val="tx1"/>
                  </w14:solidFill>
                </w14:textFill>
              </w:rPr>
              <w:t>大唐陈仓</w:t>
            </w:r>
            <w:r>
              <w:rPr>
                <w:rFonts w:hint="eastAsia" w:ascii="Times New Roman" w:hAnsi="Times New Roman"/>
                <w:color w:val="000000" w:themeColor="text1"/>
                <w:kern w:val="2"/>
                <w:szCs w:val="24"/>
                <w14:textFill>
                  <w14:solidFill>
                    <w14:schemeClr w14:val="tx1"/>
                  </w14:solidFill>
                </w14:textFill>
              </w:rPr>
              <w:t>5万</w:t>
            </w:r>
            <w:r>
              <w:rPr>
                <w:rFonts w:hint="eastAsia" w:ascii="Times New Roman" w:hAnsi="Times New Roman"/>
                <w:color w:val="auto"/>
                <w:kern w:val="2"/>
                <w:szCs w:val="24"/>
              </w:rPr>
              <w:t>千瓦风电项目核准的批复》（</w:t>
            </w:r>
            <w:r>
              <w:rPr>
                <w:rFonts w:hint="eastAsia" w:ascii="Times New Roman" w:hAnsi="Times New Roman"/>
                <w:color w:val="auto"/>
                <w:szCs w:val="24"/>
              </w:rPr>
              <w:t>陕发改能新能源</w:t>
            </w:r>
            <w:r>
              <w:rPr>
                <w:rFonts w:ascii="Times New Roman" w:hAnsi="Times New Roman"/>
                <w:color w:val="auto"/>
                <w:kern w:val="2"/>
                <w:szCs w:val="24"/>
              </w:rPr>
              <w:t>〔20</w:t>
            </w:r>
            <w:r>
              <w:rPr>
                <w:rFonts w:hint="eastAsia" w:ascii="Times New Roman" w:hAnsi="Times New Roman"/>
                <w:color w:val="auto"/>
                <w:kern w:val="2"/>
                <w:szCs w:val="24"/>
              </w:rPr>
              <w:t>24</w:t>
            </w:r>
            <w:r>
              <w:rPr>
                <w:rFonts w:ascii="Times New Roman" w:hAnsi="Times New Roman"/>
                <w:color w:val="auto"/>
                <w:kern w:val="2"/>
                <w:szCs w:val="24"/>
              </w:rPr>
              <w:t>〕</w:t>
            </w:r>
            <w:r>
              <w:rPr>
                <w:rFonts w:hint="eastAsia" w:ascii="Times New Roman" w:hAnsi="Times New Roman"/>
                <w:color w:val="auto"/>
                <w:szCs w:val="24"/>
              </w:rPr>
              <w:t>14</w:t>
            </w:r>
            <w:r>
              <w:rPr>
                <w:rFonts w:hint="eastAsia" w:ascii="Times New Roman" w:hAnsi="Times New Roman"/>
                <w:color w:val="auto"/>
                <w:szCs w:val="24"/>
                <w:lang w:val="en-US" w:eastAsia="zh-CN"/>
              </w:rPr>
              <w:t>79</w:t>
            </w:r>
            <w:r>
              <w:rPr>
                <w:rFonts w:hint="eastAsia" w:ascii="Times New Roman" w:hAnsi="Times New Roman"/>
                <w:color w:val="auto"/>
                <w:szCs w:val="24"/>
              </w:rPr>
              <w:t>号）（见附件2）。</w:t>
            </w:r>
          </w:p>
          <w:p w14:paraId="7C1A10F0">
            <w:pPr>
              <w:pStyle w:val="6"/>
              <w:spacing w:line="360" w:lineRule="auto"/>
              <w:ind w:firstLine="480" w:firstLineChars="200"/>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综上所述，本项目的建设符合国家及地方产业政策要求。</w:t>
            </w:r>
          </w:p>
          <w:p w14:paraId="0F08B004">
            <w:pPr>
              <w:spacing w:line="360" w:lineRule="auto"/>
              <w:ind w:firstLine="482" w:firstLineChars="200"/>
              <w:rPr>
                <w:b/>
                <w:bCs/>
                <w:color w:val="000000" w:themeColor="text1"/>
                <w:kern w:val="0"/>
                <w:sz w:val="24"/>
                <w14:textFill>
                  <w14:solidFill>
                    <w14:schemeClr w14:val="tx1"/>
                  </w14:solidFill>
                </w14:textFill>
              </w:rPr>
            </w:pPr>
            <w:r>
              <w:rPr>
                <w:b/>
                <w:bCs/>
                <w:color w:val="000000" w:themeColor="text1"/>
                <w:sz w:val="24"/>
                <w14:textFill>
                  <w14:solidFill>
                    <w14:schemeClr w14:val="tx1"/>
                  </w14:solidFill>
                </w14:textFill>
              </w:rPr>
              <w:t>2</w:t>
            </w:r>
            <w:r>
              <w:rPr>
                <w:rFonts w:hint="eastAsia"/>
                <w:b/>
                <w:bCs/>
                <w:color w:val="000000" w:themeColor="text1"/>
                <w:sz w:val="24"/>
                <w14:textFill>
                  <w14:solidFill>
                    <w14:schemeClr w14:val="tx1"/>
                  </w14:solidFill>
                </w14:textFill>
              </w:rPr>
              <w:t>、</w:t>
            </w:r>
            <w:r>
              <w:rPr>
                <w:b/>
                <w:bCs/>
                <w:color w:val="000000" w:themeColor="text1"/>
                <w:kern w:val="0"/>
                <w:sz w:val="24"/>
                <w14:textFill>
                  <w14:solidFill>
                    <w14:schemeClr w14:val="tx1"/>
                  </w14:solidFill>
                </w14:textFill>
              </w:rPr>
              <w:t>相关政策</w:t>
            </w:r>
            <w:r>
              <w:rPr>
                <w:rFonts w:hint="eastAsia"/>
                <w:b/>
                <w:bCs/>
                <w:color w:val="000000" w:themeColor="text1"/>
                <w:kern w:val="0"/>
                <w:sz w:val="24"/>
                <w14:textFill>
                  <w14:solidFill>
                    <w14:schemeClr w14:val="tx1"/>
                  </w14:solidFill>
                </w14:textFill>
              </w:rPr>
              <w:t>、文件</w:t>
            </w:r>
            <w:r>
              <w:rPr>
                <w:b/>
                <w:bCs/>
                <w:color w:val="000000" w:themeColor="text1"/>
                <w:kern w:val="0"/>
                <w:sz w:val="24"/>
                <w14:textFill>
                  <w14:solidFill>
                    <w14:schemeClr w14:val="tx1"/>
                  </w14:solidFill>
                </w14:textFill>
              </w:rPr>
              <w:t>符合性分析</w:t>
            </w:r>
          </w:p>
          <w:p w14:paraId="5B55416C">
            <w:pPr>
              <w:pStyle w:val="6"/>
              <w:spacing w:line="360" w:lineRule="auto"/>
              <w:ind w:firstLine="480"/>
              <w:rPr>
                <w:rFonts w:ascii="Times New Roman" w:hAnsi="Times New Roman"/>
                <w:b/>
                <w:bCs/>
                <w:color w:val="000000" w:themeColor="text1"/>
                <w:szCs w:val="24"/>
                <w14:textFill>
                  <w14:solidFill>
                    <w14:schemeClr w14:val="tx1"/>
                  </w14:solidFill>
                </w14:textFill>
              </w:rPr>
            </w:pPr>
            <w:r>
              <w:rPr>
                <w:rFonts w:hint="eastAsia" w:ascii="Times New Roman" w:hAnsi="Times New Roman"/>
                <w:bCs/>
                <w:color w:val="000000" w:themeColor="text1"/>
                <w:kern w:val="2"/>
                <w:szCs w:val="24"/>
                <w14:textFill>
                  <w14:solidFill>
                    <w14:schemeClr w14:val="tx1"/>
                  </w14:solidFill>
                </w14:textFill>
              </w:rPr>
              <w:t>本项目与相关政策、文件相符性分析见表1-1。</w:t>
            </w:r>
          </w:p>
          <w:p w14:paraId="70BBC05F">
            <w:pPr>
              <w:tabs>
                <w:tab w:val="left" w:pos="372"/>
              </w:tabs>
              <w:ind w:firstLine="422" w:firstLineChars="20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表1-</w:t>
            </w:r>
            <w:r>
              <w:rPr>
                <w:rFonts w:hint="eastAsia"/>
                <w:b/>
                <w:bCs/>
                <w:color w:val="000000" w:themeColor="text1"/>
                <w:kern w:val="0"/>
                <w:szCs w:val="21"/>
                <w14:textFill>
                  <w14:solidFill>
                    <w14:schemeClr w14:val="tx1"/>
                  </w14:solidFill>
                </w14:textFill>
              </w:rPr>
              <w:t>1</w:t>
            </w:r>
            <w:r>
              <w:rPr>
                <w:rFonts w:hint="eastAsia"/>
                <w:b/>
                <w:bCs/>
                <w:color w:val="000000" w:themeColor="text1"/>
                <w:kern w:val="0"/>
                <w:szCs w:val="21"/>
                <w:lang w:val="en-US" w:eastAsia="zh-CN"/>
                <w14:textFill>
                  <w14:solidFill>
                    <w14:schemeClr w14:val="tx1"/>
                  </w14:solidFill>
                </w14:textFill>
              </w:rPr>
              <w:t xml:space="preserve"> </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14:textFill>
                  <w14:solidFill>
                    <w14:schemeClr w14:val="tx1"/>
                  </w14:solidFill>
                </w14:textFill>
              </w:rPr>
              <w:t>项目与相关政策、文件符合性</w:t>
            </w:r>
            <w:r>
              <w:rPr>
                <w:b/>
                <w:bCs/>
                <w:color w:val="000000" w:themeColor="text1"/>
                <w:kern w:val="0"/>
                <w:szCs w:val="21"/>
                <w14:textFill>
                  <w14:solidFill>
                    <w14:schemeClr w14:val="tx1"/>
                  </w14:solidFill>
                </w14:textFill>
              </w:rPr>
              <w:t>分析</w:t>
            </w:r>
          </w:p>
          <w:tbl>
            <w:tblPr>
              <w:tblStyle w:val="31"/>
              <w:tblW w:w="6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9"/>
              <w:gridCol w:w="1176"/>
              <w:gridCol w:w="2423"/>
              <w:gridCol w:w="1949"/>
              <w:gridCol w:w="640"/>
            </w:tblGrid>
            <w:tr w14:paraId="5C55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tl2br w:val="nil"/>
                    <w:tr2bl w:val="nil"/>
                  </w:tcBorders>
                  <w:vAlign w:val="center"/>
                </w:tcPr>
                <w:p w14:paraId="6DCFEB2E">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序号</w:t>
                  </w:r>
                </w:p>
              </w:tc>
              <w:tc>
                <w:tcPr>
                  <w:tcW w:w="1176" w:type="dxa"/>
                  <w:tcBorders>
                    <w:tl2br w:val="nil"/>
                    <w:tr2bl w:val="nil"/>
                  </w:tcBorders>
                  <w:vAlign w:val="center"/>
                </w:tcPr>
                <w:p w14:paraId="5C7E287D">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名称</w:t>
                  </w:r>
                </w:p>
              </w:tc>
              <w:tc>
                <w:tcPr>
                  <w:tcW w:w="2423" w:type="dxa"/>
                  <w:tcBorders>
                    <w:tl2br w:val="nil"/>
                    <w:tr2bl w:val="nil"/>
                  </w:tcBorders>
                  <w:vAlign w:val="center"/>
                </w:tcPr>
                <w:p w14:paraId="6EE42916">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相关政策要求</w:t>
                  </w:r>
                </w:p>
              </w:tc>
              <w:tc>
                <w:tcPr>
                  <w:tcW w:w="1949" w:type="dxa"/>
                  <w:tcBorders>
                    <w:tl2br w:val="nil"/>
                    <w:tr2bl w:val="nil"/>
                  </w:tcBorders>
                  <w:vAlign w:val="center"/>
                </w:tcPr>
                <w:p w14:paraId="42091D7D">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w:t>
                  </w:r>
                </w:p>
              </w:tc>
              <w:tc>
                <w:tcPr>
                  <w:tcW w:w="640" w:type="dxa"/>
                  <w:tcBorders>
                    <w:tl2br w:val="nil"/>
                    <w:tr2bl w:val="nil"/>
                  </w:tcBorders>
                  <w:vAlign w:val="center"/>
                </w:tcPr>
                <w:p w14:paraId="72BD1ED9">
                  <w:pPr>
                    <w:keepLines/>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符合性</w:t>
                  </w:r>
                </w:p>
              </w:tc>
            </w:tr>
            <w:tr w14:paraId="7029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80" w:hRule="atLeast"/>
                <w:jc w:val="center"/>
              </w:trPr>
              <w:tc>
                <w:tcPr>
                  <w:tcW w:w="629" w:type="dxa"/>
                  <w:tcBorders>
                    <w:tl2br w:val="nil"/>
                    <w:tr2bl w:val="nil"/>
                  </w:tcBorders>
                  <w:vAlign w:val="center"/>
                </w:tcPr>
                <w:p w14:paraId="4F99DC66">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176" w:type="dxa"/>
                  <w:tcBorders>
                    <w:tl2br w:val="nil"/>
                    <w:tr2bl w:val="nil"/>
                  </w:tcBorders>
                  <w:vAlign w:val="center"/>
                </w:tcPr>
                <w:p w14:paraId="5CA91436">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国务院关于印发2030年前碳达峰行动方案的通知（国发〔2021〕23号）</w:t>
                  </w:r>
                </w:p>
              </w:tc>
              <w:tc>
                <w:tcPr>
                  <w:tcW w:w="2423" w:type="dxa"/>
                  <w:tcBorders>
                    <w:tl2br w:val="nil"/>
                    <w:tr2bl w:val="nil"/>
                  </w:tcBorders>
                  <w:shd w:val="clear" w:color="auto" w:fill="auto"/>
                  <w:vAlign w:val="center"/>
                </w:tcPr>
                <w:p w14:paraId="5D794FAE">
                  <w:pPr>
                    <w:spacing w:line="240" w:lineRule="exac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（一）能源绿色低碳转型行动</w:t>
                  </w:r>
                </w:p>
                <w:p w14:paraId="11F2ADEA">
                  <w:pPr>
                    <w:spacing w:line="240" w:lineRule="exac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2.大力发展新能源。</w:t>
                  </w:r>
                </w:p>
                <w:p w14:paraId="2606AC79">
                  <w:pPr>
                    <w:spacing w:line="240" w:lineRule="exac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全面推进风电、太阳能发电大规模开发和高质量发展，坚持集中式与分布式并举，加快建设风电和光伏发电基地。加快智能光伏产业创新升级和特色应用，创新“光伏+”模式，推进光伏发电多元布局</w:t>
                  </w:r>
                </w:p>
              </w:tc>
              <w:tc>
                <w:tcPr>
                  <w:tcW w:w="1949" w:type="dxa"/>
                  <w:tcBorders>
                    <w:tl2br w:val="nil"/>
                    <w:tr2bl w:val="nil"/>
                  </w:tcBorders>
                  <w:shd w:val="clear" w:color="auto" w:fill="auto"/>
                  <w:vAlign w:val="center"/>
                </w:tcPr>
                <w:p w14:paraId="691355DA">
                  <w:pPr>
                    <w:spacing w:line="240" w:lineRule="exac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项目为风力发电项目，属于新能源，可促进能源绿色低碳转型</w:t>
                  </w:r>
                </w:p>
              </w:tc>
              <w:tc>
                <w:tcPr>
                  <w:tcW w:w="640" w:type="dxa"/>
                  <w:tcBorders>
                    <w:tl2br w:val="nil"/>
                    <w:tr2bl w:val="nil"/>
                  </w:tcBorders>
                  <w:vAlign w:val="center"/>
                </w:tcPr>
                <w:p w14:paraId="25D1795E">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7F98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294" w:hRule="atLeast"/>
                <w:jc w:val="center"/>
              </w:trPr>
              <w:tc>
                <w:tcPr>
                  <w:tcW w:w="629" w:type="dxa"/>
                  <w:vMerge w:val="restart"/>
                  <w:tcBorders>
                    <w:tl2br w:val="nil"/>
                    <w:tr2bl w:val="nil"/>
                  </w:tcBorders>
                  <w:vAlign w:val="center"/>
                </w:tcPr>
                <w:p w14:paraId="104006BC">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1176" w:type="dxa"/>
                  <w:vMerge w:val="restart"/>
                  <w:tcBorders>
                    <w:tl2br w:val="nil"/>
                    <w:tr2bl w:val="nil"/>
                  </w:tcBorders>
                  <w:vAlign w:val="center"/>
                </w:tcPr>
                <w:p w14:paraId="034F162B">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《风电场工程建设用地和环境保护管理暂行办法》（发改能源〔2015〕1511号）</w:t>
                  </w:r>
                </w:p>
              </w:tc>
              <w:tc>
                <w:tcPr>
                  <w:tcW w:w="2423" w:type="dxa"/>
                  <w:tcBorders>
                    <w:tl2br w:val="nil"/>
                    <w:tr2bl w:val="nil"/>
                  </w:tcBorders>
                  <w:vAlign w:val="center"/>
                </w:tcPr>
                <w:p w14:paraId="0C12281F">
                  <w:pPr>
                    <w:pStyle w:val="60"/>
                    <w:spacing w:beforeLines="0" w:afterLines="0" w:line="240" w:lineRule="auto"/>
                    <w:jc w:val="left"/>
                    <w:rPr>
                      <w:rFonts w:hint="default" w:ascii="Times New Roman" w:hAnsi="Times New Roman" w:cs="Times New Roman"/>
                      <w:color w:val="000000" w:themeColor="text1"/>
                      <w:kern w:val="2"/>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风电场工程建设用地应本着节约和集约利用土地的原则，尽量使用未利用土地，少占或不占耕地，并尽量避开省级以上政府部门依法批准的需要特殊保护的区域</w:t>
                  </w:r>
                </w:p>
              </w:tc>
              <w:tc>
                <w:tcPr>
                  <w:tcW w:w="1949" w:type="dxa"/>
                  <w:tcBorders>
                    <w:tl2br w:val="nil"/>
                    <w:tr2bl w:val="nil"/>
                  </w:tcBorders>
                  <w:vAlign w:val="center"/>
                </w:tcPr>
                <w:p w14:paraId="2F99DF18">
                  <w:pPr>
                    <w:keepLines/>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根据宝鸡市自然资源和规划局《关于</w:t>
                  </w:r>
                  <w:r>
                    <w:rPr>
                      <w:rFonts w:hint="default" w:ascii="Times New Roman" w:hAnsi="Times New Roman" w:cs="Times New Roman"/>
                      <w:color w:val="000000" w:themeColor="text1"/>
                      <w:kern w:val="2"/>
                      <w:szCs w:val="24"/>
                      <w:lang w:val="en-US" w:eastAsia="zh-CN"/>
                      <w14:textFill>
                        <w14:solidFill>
                          <w14:schemeClr w14:val="tx1"/>
                        </w14:solidFill>
                      </w14:textFill>
                    </w:rPr>
                    <w:t>大唐陈</w:t>
                  </w:r>
                  <w:r>
                    <w:rPr>
                      <w:rFonts w:hint="default" w:ascii="Times New Roman" w:hAnsi="Times New Roman" w:cs="Times New Roman"/>
                      <w:color w:val="auto"/>
                      <w:kern w:val="2"/>
                      <w:szCs w:val="24"/>
                      <w:lang w:val="en-US" w:eastAsia="zh-CN"/>
                    </w:rPr>
                    <w:t>仓</w:t>
                  </w:r>
                  <w:r>
                    <w:rPr>
                      <w:rFonts w:hint="default" w:ascii="Times New Roman" w:hAnsi="Times New Roman" w:cs="Times New Roman"/>
                      <w:color w:val="auto"/>
                      <w:kern w:val="2"/>
                      <w:szCs w:val="24"/>
                    </w:rPr>
                    <w:t>5万千瓦风电项目</w:t>
                  </w:r>
                  <w:r>
                    <w:rPr>
                      <w:rFonts w:hint="default" w:ascii="Times New Roman" w:hAnsi="Times New Roman" w:cs="Times New Roman"/>
                      <w:color w:val="auto"/>
                      <w:kern w:val="2"/>
                      <w:szCs w:val="24"/>
                      <w:lang w:val="en-US" w:eastAsia="zh-CN"/>
                    </w:rPr>
                    <w:t>建设用地预审初审意见的报告</w:t>
                  </w:r>
                  <w:r>
                    <w:rPr>
                      <w:rFonts w:hint="default" w:ascii="Times New Roman" w:hAnsi="Times New Roman" w:cs="Times New Roman"/>
                      <w:color w:val="auto"/>
                      <w:szCs w:val="21"/>
                      <w:lang w:val="en-US" w:eastAsia="zh-CN"/>
                    </w:rPr>
                    <w:t>》（宝市</w:t>
                  </w:r>
                  <w:r>
                    <w:rPr>
                      <w:rFonts w:hint="default" w:ascii="Times New Roman" w:hAnsi="Times New Roman" w:cs="Times New Roman"/>
                      <w:color w:val="auto"/>
                      <w:szCs w:val="21"/>
                    </w:rPr>
                    <w:t>自然资</w:t>
                  </w:r>
                  <w:r>
                    <w:rPr>
                      <w:rFonts w:hint="default" w:ascii="Times New Roman" w:hAnsi="Times New Roman" w:cs="Times New Roman"/>
                      <w:color w:val="auto"/>
                      <w:szCs w:val="21"/>
                      <w:lang w:val="en-US" w:eastAsia="zh-CN"/>
                    </w:rPr>
                    <w:t>字</w:t>
                  </w:r>
                  <w:r>
                    <w:rPr>
                      <w:rFonts w:hint="default" w:ascii="Times New Roman" w:hAnsi="Times New Roman" w:cs="Times New Roman"/>
                      <w:color w:val="auto"/>
                      <w:kern w:val="0"/>
                      <w:szCs w:val="21"/>
                    </w:rPr>
                    <w:t>〔2024〕</w:t>
                  </w:r>
                  <w:r>
                    <w:rPr>
                      <w:rFonts w:hint="default" w:ascii="Times New Roman" w:hAnsi="Times New Roman" w:cs="Times New Roman"/>
                      <w:color w:val="auto"/>
                      <w:kern w:val="0"/>
                      <w:szCs w:val="21"/>
                      <w:lang w:val="en-US" w:eastAsia="zh-CN"/>
                    </w:rPr>
                    <w:t>34</w:t>
                  </w:r>
                  <w:r>
                    <w:rPr>
                      <w:rFonts w:hint="default" w:ascii="Times New Roman" w:hAnsi="Times New Roman" w:cs="Times New Roman"/>
                      <w:color w:val="auto"/>
                      <w:szCs w:val="21"/>
                    </w:rPr>
                    <w:t>号）</w:t>
                  </w:r>
                  <w:r>
                    <w:rPr>
                      <w:rFonts w:hint="default" w:ascii="Times New Roman" w:hAnsi="Times New Roman" w:cs="Times New Roman"/>
                      <w:color w:val="auto"/>
                      <w:szCs w:val="21"/>
                      <w:lang w:val="en-US" w:eastAsia="zh-CN"/>
                    </w:rPr>
                    <w:t>可知，项目申请用地1.9510公顷，全部为农用地（其他园地1.3863公顷、灌木林地 0.4491 公顷、其他林地 0.0490公顷、农村道路 0.0189 公顷、其他草地 0.0476 公顷），不涉及耕地，且不在省级</w:t>
                  </w:r>
                  <w:r>
                    <w:rPr>
                      <w:rFonts w:hint="default" w:ascii="Times New Roman" w:hAnsi="Times New Roman" w:cs="Times New Roman"/>
                      <w:color w:val="auto"/>
                    </w:rPr>
                    <w:t>以上政府部门依</w:t>
                  </w:r>
                  <w:r>
                    <w:rPr>
                      <w:rFonts w:hint="default" w:ascii="Times New Roman" w:hAnsi="Times New Roman" w:cs="Times New Roman"/>
                      <w:color w:val="000000" w:themeColor="text1"/>
                      <w14:textFill>
                        <w14:solidFill>
                          <w14:schemeClr w14:val="tx1"/>
                        </w14:solidFill>
                      </w14:textFill>
                    </w:rPr>
                    <w:t>法批准的需要特殊保护的区域</w:t>
                  </w:r>
                </w:p>
              </w:tc>
              <w:tc>
                <w:tcPr>
                  <w:tcW w:w="640" w:type="dxa"/>
                  <w:tcBorders>
                    <w:tl2br w:val="nil"/>
                    <w:tr2bl w:val="nil"/>
                  </w:tcBorders>
                  <w:vAlign w:val="center"/>
                </w:tcPr>
                <w:p w14:paraId="3D105E2C">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21764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29" w:type="dxa"/>
                  <w:vMerge w:val="continue"/>
                  <w:tcBorders>
                    <w:tl2br w:val="nil"/>
                    <w:tr2bl w:val="nil"/>
                  </w:tcBorders>
                  <w:vAlign w:val="center"/>
                </w:tcPr>
                <w:p w14:paraId="7BA2EE0C">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34933347">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vAlign w:val="center"/>
                </w:tcPr>
                <w:p w14:paraId="0E22FA72">
                  <w:pPr>
                    <w:pStyle w:val="60"/>
                    <w:spacing w:beforeLines="0" w:afterLines="0" w:line="240" w:lineRule="auto"/>
                    <w:jc w:val="left"/>
                    <w:rPr>
                      <w:rFonts w:hint="default" w:ascii="Times New Roman" w:hAnsi="Times New Roman" w:cs="Times New Roman"/>
                      <w:color w:val="000000" w:themeColor="text1"/>
                      <w:kern w:val="2"/>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建设用地单位在申请核准前要取得用地预审批准文件</w:t>
                  </w:r>
                </w:p>
              </w:tc>
              <w:tc>
                <w:tcPr>
                  <w:tcW w:w="1949" w:type="dxa"/>
                  <w:tcBorders>
                    <w:tl2br w:val="nil"/>
                    <w:tr2bl w:val="nil"/>
                  </w:tcBorders>
                  <w:vAlign w:val="center"/>
                </w:tcPr>
                <w:p w14:paraId="6EEE9E1C">
                  <w:pPr>
                    <w:keepLines/>
                    <w:rPr>
                      <w:rFonts w:hint="default" w:ascii="Times New Roman" w:hAnsi="Times New Roman" w:cs="Times New Roman"/>
                      <w:color w:val="auto"/>
                      <w:szCs w:val="21"/>
                    </w:rPr>
                  </w:pPr>
                  <w:r>
                    <w:rPr>
                      <w:rFonts w:hint="default" w:ascii="Times New Roman" w:hAnsi="Times New Roman" w:cs="Times New Roman"/>
                      <w:color w:val="auto"/>
                      <w:szCs w:val="21"/>
                    </w:rPr>
                    <w:t>2024年</w:t>
                  </w:r>
                  <w:r>
                    <w:rPr>
                      <w:rFonts w:hint="default" w:ascii="Times New Roman" w:hAnsi="Times New Roman" w:cs="Times New Roman"/>
                      <w:color w:val="auto"/>
                      <w:szCs w:val="21"/>
                      <w:lang w:val="en-US" w:eastAsia="zh-CN"/>
                    </w:rPr>
                    <w:t>3</w:t>
                  </w:r>
                  <w:r>
                    <w:rPr>
                      <w:rFonts w:hint="default" w:ascii="Times New Roman" w:hAnsi="Times New Roman" w:cs="Times New Roman"/>
                      <w:color w:val="auto"/>
                      <w:szCs w:val="21"/>
                    </w:rPr>
                    <w:t>月</w:t>
                  </w:r>
                  <w:r>
                    <w:rPr>
                      <w:rFonts w:hint="default" w:ascii="Times New Roman" w:hAnsi="Times New Roman" w:cs="Times New Roman"/>
                      <w:color w:val="auto"/>
                      <w:szCs w:val="21"/>
                      <w:lang w:val="en-US" w:eastAsia="zh-CN"/>
                    </w:rPr>
                    <w:t>27</w:t>
                  </w:r>
                  <w:r>
                    <w:rPr>
                      <w:rFonts w:hint="default" w:ascii="Times New Roman" w:hAnsi="Times New Roman" w:cs="Times New Roman"/>
                      <w:color w:val="auto"/>
                      <w:szCs w:val="21"/>
                    </w:rPr>
                    <w:t>日取得</w:t>
                  </w:r>
                  <w:r>
                    <w:rPr>
                      <w:rFonts w:hint="default" w:ascii="Times New Roman" w:hAnsi="Times New Roman" w:cs="Times New Roman"/>
                      <w:color w:val="auto"/>
                      <w:szCs w:val="21"/>
                      <w:lang w:val="en-US" w:eastAsia="zh-CN"/>
                    </w:rPr>
                    <w:t>关于《</w:t>
                  </w:r>
                  <w:r>
                    <w:rPr>
                      <w:rFonts w:hint="default" w:ascii="Times New Roman" w:hAnsi="Times New Roman" w:cs="Times New Roman"/>
                      <w:color w:val="auto"/>
                      <w:kern w:val="2"/>
                      <w:szCs w:val="24"/>
                      <w:lang w:val="en-US" w:eastAsia="zh-CN"/>
                    </w:rPr>
                    <w:t>大唐陈仓</w:t>
                  </w:r>
                  <w:r>
                    <w:rPr>
                      <w:rFonts w:hint="default" w:ascii="Times New Roman" w:hAnsi="Times New Roman" w:cs="Times New Roman"/>
                      <w:color w:val="auto"/>
                      <w:kern w:val="2"/>
                      <w:szCs w:val="24"/>
                    </w:rPr>
                    <w:t>5万千瓦风电项目</w:t>
                  </w:r>
                  <w:r>
                    <w:rPr>
                      <w:rFonts w:hint="default" w:ascii="Times New Roman" w:hAnsi="Times New Roman" w:cs="Times New Roman"/>
                      <w:color w:val="auto"/>
                      <w:kern w:val="2"/>
                      <w:szCs w:val="24"/>
                      <w:lang w:val="en-US" w:eastAsia="zh-CN"/>
                    </w:rPr>
                    <w:t>建设用地预审初审意见的报告</w:t>
                  </w:r>
                  <w:r>
                    <w:rPr>
                      <w:rFonts w:hint="default" w:ascii="Times New Roman" w:hAnsi="Times New Roman" w:cs="Times New Roman"/>
                      <w:color w:val="auto"/>
                      <w:szCs w:val="21"/>
                      <w:lang w:val="en-US" w:eastAsia="zh-CN"/>
                    </w:rPr>
                    <w:t>》（宝市</w:t>
                  </w:r>
                  <w:r>
                    <w:rPr>
                      <w:rFonts w:hint="default" w:ascii="Times New Roman" w:hAnsi="Times New Roman" w:cs="Times New Roman"/>
                      <w:color w:val="auto"/>
                      <w:szCs w:val="21"/>
                    </w:rPr>
                    <w:t>自然资</w:t>
                  </w:r>
                  <w:r>
                    <w:rPr>
                      <w:rFonts w:hint="default" w:ascii="Times New Roman" w:hAnsi="Times New Roman" w:cs="Times New Roman"/>
                      <w:color w:val="auto"/>
                      <w:szCs w:val="21"/>
                      <w:lang w:val="en-US" w:eastAsia="zh-CN"/>
                    </w:rPr>
                    <w:t>字</w:t>
                  </w:r>
                  <w:r>
                    <w:rPr>
                      <w:rFonts w:hint="default" w:ascii="Times New Roman" w:hAnsi="Times New Roman" w:cs="Times New Roman"/>
                      <w:color w:val="auto"/>
                      <w:kern w:val="0"/>
                      <w:szCs w:val="21"/>
                    </w:rPr>
                    <w:t>〔2024〕</w:t>
                  </w:r>
                  <w:r>
                    <w:rPr>
                      <w:rFonts w:hint="default" w:ascii="Times New Roman" w:hAnsi="Times New Roman" w:cs="Times New Roman"/>
                      <w:color w:val="auto"/>
                      <w:kern w:val="0"/>
                      <w:szCs w:val="21"/>
                      <w:lang w:val="en-US" w:eastAsia="zh-CN"/>
                    </w:rPr>
                    <w:t>34</w:t>
                  </w:r>
                  <w:r>
                    <w:rPr>
                      <w:rFonts w:hint="default" w:ascii="Times New Roman" w:hAnsi="Times New Roman" w:cs="Times New Roman"/>
                      <w:color w:val="auto"/>
                      <w:szCs w:val="21"/>
                    </w:rPr>
                    <w:t>号）</w:t>
                  </w:r>
                </w:p>
              </w:tc>
              <w:tc>
                <w:tcPr>
                  <w:tcW w:w="640" w:type="dxa"/>
                  <w:tcBorders>
                    <w:tl2br w:val="nil"/>
                    <w:tr2bl w:val="nil"/>
                  </w:tcBorders>
                  <w:vAlign w:val="center"/>
                </w:tcPr>
                <w:p w14:paraId="533488F0">
                  <w:pPr>
                    <w:keepLines/>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694A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629" w:type="dxa"/>
                  <w:vMerge w:val="continue"/>
                  <w:tcBorders>
                    <w:tl2br w:val="nil"/>
                    <w:tr2bl w:val="nil"/>
                  </w:tcBorders>
                  <w:vAlign w:val="center"/>
                </w:tcPr>
                <w:p w14:paraId="5198BAA4">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6B3D1598">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vAlign w:val="center"/>
                </w:tcPr>
                <w:p w14:paraId="21725744">
                  <w:pPr>
                    <w:pStyle w:val="60"/>
                    <w:spacing w:beforeLines="0" w:afterLines="0" w:line="240" w:lineRule="auto"/>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风电场工程建设项目实行环境影响评价制度</w:t>
                  </w:r>
                </w:p>
              </w:tc>
              <w:tc>
                <w:tcPr>
                  <w:tcW w:w="1949" w:type="dxa"/>
                  <w:tcBorders>
                    <w:tl2br w:val="nil"/>
                    <w:tr2bl w:val="nil"/>
                  </w:tcBorders>
                  <w:vAlign w:val="center"/>
                </w:tcPr>
                <w:p w14:paraId="3A8A86AC">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项目正在</w:t>
                  </w:r>
                  <w:r>
                    <w:rPr>
                      <w:rFonts w:hint="default" w:ascii="Times New Roman" w:hAnsi="Times New Roman" w:cs="Times New Roman"/>
                      <w:color w:val="000000" w:themeColor="text1"/>
                      <w:szCs w:val="21"/>
                      <w:lang w:val="en-US" w:eastAsia="zh-CN"/>
                      <w14:textFill>
                        <w14:solidFill>
                          <w14:schemeClr w14:val="tx1"/>
                        </w14:solidFill>
                      </w14:textFill>
                    </w:rPr>
                    <w:t>编制环境影响报告，</w:t>
                  </w:r>
                  <w:r>
                    <w:rPr>
                      <w:rFonts w:hint="default" w:ascii="Times New Roman" w:hAnsi="Times New Roman" w:cs="Times New Roman"/>
                      <w:color w:val="000000" w:themeColor="text1"/>
                      <w:szCs w:val="21"/>
                      <w14:textFill>
                        <w14:solidFill>
                          <w14:schemeClr w14:val="tx1"/>
                        </w14:solidFill>
                      </w14:textFill>
                    </w:rPr>
                    <w:t>办理环境影响评价手续</w:t>
                  </w:r>
                </w:p>
              </w:tc>
              <w:tc>
                <w:tcPr>
                  <w:tcW w:w="640" w:type="dxa"/>
                  <w:tcBorders>
                    <w:tl2br w:val="nil"/>
                    <w:tr2bl w:val="nil"/>
                  </w:tcBorders>
                  <w:vAlign w:val="center"/>
                </w:tcPr>
                <w:p w14:paraId="6F5D4C73">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021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32" w:hRule="atLeast"/>
                <w:jc w:val="center"/>
              </w:trPr>
              <w:tc>
                <w:tcPr>
                  <w:tcW w:w="629" w:type="dxa"/>
                  <w:vMerge w:val="restart"/>
                  <w:tcBorders>
                    <w:tl2br w:val="nil"/>
                    <w:tr2bl w:val="nil"/>
                  </w:tcBorders>
                  <w:vAlign w:val="center"/>
                </w:tcPr>
                <w:p w14:paraId="72F6FBD9">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176" w:type="dxa"/>
                  <w:vMerge w:val="restart"/>
                  <w:tcBorders>
                    <w:tl2br w:val="nil"/>
                    <w:tr2bl w:val="nil"/>
                  </w:tcBorders>
                  <w:vAlign w:val="center"/>
                </w:tcPr>
                <w:p w14:paraId="0828A607">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《关于规范风电场项目建设使用林地的通知》（林资发〔2019〕17号）</w:t>
                  </w:r>
                </w:p>
              </w:tc>
              <w:tc>
                <w:tcPr>
                  <w:tcW w:w="2423" w:type="dxa"/>
                  <w:tcBorders>
                    <w:tl2br w:val="nil"/>
                    <w:tr2bl w:val="nil"/>
                  </w:tcBorders>
                  <w:shd w:val="clear" w:color="auto" w:fill="auto"/>
                  <w:vAlign w:val="center"/>
                </w:tcPr>
                <w:p w14:paraId="1A760721">
                  <w:pPr>
                    <w:pStyle w:val="60"/>
                    <w:spacing w:beforeLines="0" w:afterLines="0" w:line="240" w:lineRule="auto"/>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严格保护生态功能重要、生态脆弱敏感区域的林地。自然遗产地、国家公园、自然保护区、森林公园、湿地公园、地质公园、风景名胜区、鸟类主要迁徙通道和迁徙地等区域，为风电场项目禁止建设区域</w:t>
                  </w:r>
                </w:p>
              </w:tc>
              <w:tc>
                <w:tcPr>
                  <w:tcW w:w="1949" w:type="dxa"/>
                  <w:tcBorders>
                    <w:tl2br w:val="nil"/>
                    <w:tr2bl w:val="nil"/>
                  </w:tcBorders>
                  <w:vAlign w:val="center"/>
                </w:tcPr>
                <w:p w14:paraId="3CFC3363">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cs="Times New Roman"/>
                      <w:color w:val="000000" w:themeColor="text1"/>
                      <w:szCs w:val="21"/>
                      <w:lang w:val="en-US" w:eastAsia="zh-CN"/>
                      <w14:textFill>
                        <w14:solidFill>
                          <w14:schemeClr w14:val="tx1"/>
                        </w14:solidFill>
                      </w14:textFill>
                    </w:rPr>
                    <w:t>4</w:t>
                  </w:r>
                  <w:r>
                    <w:rPr>
                      <w:rFonts w:hint="default" w:ascii="Times New Roman" w:hAnsi="Times New Roman" w:cs="Times New Roman"/>
                      <w:color w:val="000000" w:themeColor="text1"/>
                      <w:szCs w:val="21"/>
                      <w14:textFill>
                        <w14:solidFill>
                          <w14:schemeClr w14:val="tx1"/>
                        </w14:solidFill>
                      </w14:textFill>
                    </w:rPr>
                    <w:t>年</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月</w:t>
                  </w:r>
                  <w:r>
                    <w:rPr>
                      <w:rFonts w:hint="default" w:ascii="Times New Roman" w:hAnsi="Times New Roman" w:cs="Times New Roman"/>
                      <w:color w:val="000000" w:themeColor="text1"/>
                      <w:szCs w:val="21"/>
                      <w:lang w:val="en-US" w:eastAsia="zh-CN"/>
                      <w14:textFill>
                        <w14:solidFill>
                          <w14:schemeClr w14:val="tx1"/>
                        </w14:solidFill>
                      </w14:textFill>
                    </w:rPr>
                    <w:t>20</w:t>
                  </w:r>
                  <w:r>
                    <w:rPr>
                      <w:rFonts w:hint="default" w:ascii="Times New Roman" w:hAnsi="Times New Roman" w:cs="Times New Roman"/>
                      <w:color w:val="000000" w:themeColor="text1"/>
                      <w:szCs w:val="21"/>
                      <w14:textFill>
                        <w14:solidFill>
                          <w14:schemeClr w14:val="tx1"/>
                        </w14:solidFill>
                      </w14:textFill>
                    </w:rPr>
                    <w:t>日</w:t>
                  </w:r>
                  <w:r>
                    <w:rPr>
                      <w:rFonts w:hint="default" w:ascii="Times New Roman" w:hAnsi="Times New Roman" w:cs="Times New Roman"/>
                      <w:color w:val="000000" w:themeColor="text1"/>
                      <w:szCs w:val="21"/>
                      <w:lang w:val="en-US" w:eastAsia="zh-CN"/>
                      <w14:textFill>
                        <w14:solidFill>
                          <w14:schemeClr w14:val="tx1"/>
                        </w14:solidFill>
                      </w14:textFill>
                    </w:rPr>
                    <w:t>取得宝鸡市自然资源和规划局陈仓分局</w:t>
                  </w:r>
                  <w:r>
                    <w:rPr>
                      <w:rFonts w:hint="default" w:ascii="Times New Roman" w:hAnsi="Times New Roman" w:cs="Times New Roman"/>
                      <w:color w:val="000000" w:themeColor="text1"/>
                      <w:szCs w:val="21"/>
                      <w14:textFill>
                        <w14:solidFill>
                          <w14:schemeClr w14:val="tx1"/>
                        </w14:solidFill>
                      </w14:textFill>
                    </w:rPr>
                    <w:t>《关于大唐陈仓5万千瓦风电项目建设用地</w:t>
                  </w:r>
                  <w:r>
                    <w:rPr>
                      <w:rFonts w:hint="default" w:ascii="Times New Roman" w:hAnsi="Times New Roman" w:cs="Times New Roman"/>
                      <w:color w:val="000000" w:themeColor="text1"/>
                      <w:szCs w:val="21"/>
                      <w:lang w:val="en-US" w:eastAsia="zh-CN"/>
                      <w14:textFill>
                        <w14:solidFill>
                          <w14:schemeClr w14:val="tx1"/>
                        </w14:solidFill>
                      </w14:textFill>
                    </w:rPr>
                    <w:t>情况</w:t>
                  </w:r>
                  <w:r>
                    <w:rPr>
                      <w:rFonts w:hint="default" w:ascii="Times New Roman" w:hAnsi="Times New Roman" w:cs="Times New Roman"/>
                      <w:color w:val="000000" w:themeColor="text1"/>
                      <w:szCs w:val="21"/>
                      <w14:textFill>
                        <w14:solidFill>
                          <w14:schemeClr w14:val="tx1"/>
                        </w14:solidFill>
                      </w14:textFill>
                    </w:rPr>
                    <w:t>的函》</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符合陈仓区“三区三线”成果。该项目不占用永久基本农田和生态保护红线，不压覆重要矿产资源。</w:t>
                  </w:r>
                  <w:r>
                    <w:rPr>
                      <w:rFonts w:hint="default" w:ascii="Times New Roman" w:hAnsi="Times New Roman" w:cs="Times New Roman"/>
                      <w:color w:val="000000" w:themeColor="text1"/>
                      <w:szCs w:val="21"/>
                      <w14:textFill>
                        <w14:solidFill>
                          <w14:schemeClr w14:val="tx1"/>
                        </w14:solidFill>
                      </w14:textFill>
                    </w:rPr>
                    <w:t>不涉</w:t>
                  </w:r>
                  <w:r>
                    <w:rPr>
                      <w:rFonts w:hint="default" w:ascii="Times New Roman" w:hAnsi="Times New Roman" w:cs="Times New Roman"/>
                      <w:color w:val="000000" w:themeColor="text1"/>
                      <w:szCs w:val="21"/>
                      <w:lang w:val="en-US" w:eastAsia="zh-CN"/>
                      <w14:textFill>
                        <w14:solidFill>
                          <w14:schemeClr w14:val="tx1"/>
                        </w14:solidFill>
                      </w14:textFill>
                    </w:rPr>
                    <w:t>及</w:t>
                  </w:r>
                  <w:r>
                    <w:rPr>
                      <w:rFonts w:hint="default" w:ascii="Times New Roman" w:hAnsi="Times New Roman" w:cs="Times New Roman"/>
                      <w:color w:val="000000" w:themeColor="text1"/>
                      <w:szCs w:val="21"/>
                      <w14:textFill>
                        <w14:solidFill>
                          <w14:schemeClr w14:val="tx1"/>
                        </w14:solidFill>
                      </w14:textFill>
                    </w:rPr>
                    <w:t>、自然保护区、国家级公益林、森林公园、湿地公园、鸟类迁徙地</w:t>
                  </w:r>
                </w:p>
              </w:tc>
              <w:tc>
                <w:tcPr>
                  <w:tcW w:w="640" w:type="dxa"/>
                  <w:tcBorders>
                    <w:tl2br w:val="nil"/>
                    <w:tr2bl w:val="nil"/>
                  </w:tcBorders>
                  <w:vAlign w:val="center"/>
                </w:tcPr>
                <w:p w14:paraId="324C31DC">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0A0F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629" w:type="dxa"/>
                  <w:vMerge w:val="continue"/>
                  <w:tcBorders>
                    <w:tl2br w:val="nil"/>
                    <w:tr2bl w:val="nil"/>
                  </w:tcBorders>
                  <w:vAlign w:val="center"/>
                </w:tcPr>
                <w:p w14:paraId="13AC5DD6">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5698903D">
                  <w:pPr>
                    <w:keepLines/>
                    <w:jc w:val="center"/>
                    <w:rPr>
                      <w:rFonts w:hint="default" w:ascii="Times New Roman" w:hAnsi="Times New Roman" w:cs="Times New Roman"/>
                      <w:color w:val="000000" w:themeColor="text1"/>
                      <w:szCs w:val="21"/>
                      <w14:textFill>
                        <w14:solidFill>
                          <w14:schemeClr w14:val="tx1"/>
                        </w14:solidFill>
                      </w14:textFill>
                    </w:rPr>
                  </w:pPr>
                </w:p>
              </w:tc>
              <w:tc>
                <w:tcPr>
                  <w:tcW w:w="2423" w:type="dxa"/>
                  <w:tcBorders>
                    <w:tl2br w:val="nil"/>
                    <w:tr2bl w:val="nil"/>
                  </w:tcBorders>
                  <w:shd w:val="clear" w:color="auto" w:fill="auto"/>
                  <w:vAlign w:val="center"/>
                </w:tcPr>
                <w:p w14:paraId="35E26886">
                  <w:pPr>
                    <w:pStyle w:val="60"/>
                    <w:spacing w:beforeLines="0" w:afterLines="0" w:line="240" w:lineRule="auto"/>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风电场建设应当节约集约使用林地。风机基础、施工和检修道路、升压站、集电线路等，禁止占用天然乔木林（竹林）地、年降雨量400毫米以下区域的有林地、一级国家公益林地和二级国家公益林中的有林地</w:t>
                  </w:r>
                </w:p>
              </w:tc>
              <w:tc>
                <w:tcPr>
                  <w:tcW w:w="1949" w:type="dxa"/>
                  <w:tcBorders>
                    <w:tl2br w:val="nil"/>
                    <w:tr2bl w:val="nil"/>
                  </w:tcBorders>
                  <w:vAlign w:val="center"/>
                </w:tcPr>
                <w:p w14:paraId="0579E29F">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项目</w:t>
                  </w:r>
                  <w:r>
                    <w:rPr>
                      <w:rFonts w:hint="default" w:ascii="Times New Roman" w:hAnsi="Times New Roman" w:cs="Times New Roman"/>
                      <w:color w:val="000000" w:themeColor="text1"/>
                      <w:szCs w:val="21"/>
                      <w14:textFill>
                        <w14:solidFill>
                          <w14:schemeClr w14:val="tx1"/>
                        </w14:solidFill>
                      </w14:textFill>
                    </w:rPr>
                    <w:t>占地面积约1.9517公顷，涉及使用灌木林地0.4491公顷、其他林地0.049公顷、其他草地0.0477公顷、非林业用地1.4059 公顷。涉及使用林地部分按森林类别分</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地方级公益林0.0952公顷、商品林0.4029公顷。</w:t>
                  </w:r>
                </w:p>
                <w:p w14:paraId="49D0B9E4">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风机基础施工和检修道路、集电线路等占地类型为农用地。不占</w:t>
                  </w:r>
                  <w:r>
                    <w:rPr>
                      <w:rFonts w:hint="default" w:ascii="Times New Roman" w:hAnsi="Times New Roman" w:cs="Times New Roman"/>
                      <w:color w:val="auto"/>
                      <w:szCs w:val="21"/>
                    </w:rPr>
                    <w:t>用灌木林地、年降雨量400毫米以下区域的有林地、一级国家公益林地和二级国家公益林中的有林地</w:t>
                  </w:r>
                </w:p>
              </w:tc>
              <w:tc>
                <w:tcPr>
                  <w:tcW w:w="640" w:type="dxa"/>
                  <w:tcBorders>
                    <w:tl2br w:val="nil"/>
                    <w:tr2bl w:val="nil"/>
                  </w:tcBorders>
                  <w:vAlign w:val="center"/>
                </w:tcPr>
                <w:p w14:paraId="6778382B">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BDF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6" w:hRule="atLeast"/>
                <w:jc w:val="center"/>
              </w:trPr>
              <w:tc>
                <w:tcPr>
                  <w:tcW w:w="629" w:type="dxa"/>
                  <w:vMerge w:val="continue"/>
                  <w:tcBorders>
                    <w:tl2br w:val="nil"/>
                    <w:tr2bl w:val="nil"/>
                  </w:tcBorders>
                  <w:vAlign w:val="center"/>
                </w:tcPr>
                <w:p w14:paraId="15E1CD53">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128EAFE3">
                  <w:pPr>
                    <w:keepLines/>
                    <w:jc w:val="center"/>
                    <w:rPr>
                      <w:rFonts w:hint="default" w:ascii="Times New Roman" w:hAnsi="Times New Roman" w:cs="Times New Roman"/>
                      <w:color w:val="000000" w:themeColor="text1"/>
                      <w:szCs w:val="21"/>
                      <w14:textFill>
                        <w14:solidFill>
                          <w14:schemeClr w14:val="tx1"/>
                        </w14:solidFill>
                      </w14:textFill>
                    </w:rPr>
                  </w:pPr>
                </w:p>
              </w:tc>
              <w:tc>
                <w:tcPr>
                  <w:tcW w:w="2423" w:type="dxa"/>
                  <w:tcBorders>
                    <w:tl2br w:val="nil"/>
                    <w:tr2bl w:val="nil"/>
                  </w:tcBorders>
                  <w:shd w:val="clear" w:color="auto" w:fill="auto"/>
                  <w:vAlign w:val="center"/>
                </w:tcPr>
                <w:p w14:paraId="06FE5CED">
                  <w:pPr>
                    <w:pStyle w:val="60"/>
                    <w:spacing w:beforeLines="0" w:afterLines="0" w:line="240" w:lineRule="auto"/>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吊装平台、施工道路、弃渣场、集电线路等临时占用林地的，应在临时占用林地期满后一年内恢复林业生产条件，并及时恢复植被</w:t>
                  </w:r>
                </w:p>
              </w:tc>
              <w:tc>
                <w:tcPr>
                  <w:tcW w:w="1949" w:type="dxa"/>
                  <w:tcBorders>
                    <w:tl2br w:val="nil"/>
                    <w:tr2bl w:val="nil"/>
                  </w:tcBorders>
                  <w:vAlign w:val="center"/>
                </w:tcPr>
                <w:p w14:paraId="673FB22F">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本项目吊装平台、施工道路、集电线路等临时占地不占用林地，项目土石方挖方填方平衡，不设弃渣场；占地类型为农用地，项目施工结束后，及时进行复垦</w:t>
                  </w:r>
                </w:p>
              </w:tc>
              <w:tc>
                <w:tcPr>
                  <w:tcW w:w="640" w:type="dxa"/>
                  <w:tcBorders>
                    <w:tl2br w:val="nil"/>
                    <w:tr2bl w:val="nil"/>
                  </w:tcBorders>
                  <w:vAlign w:val="center"/>
                </w:tcPr>
                <w:p w14:paraId="11A396DC">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8F2B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continue"/>
                  <w:tcBorders>
                    <w:tl2br w:val="nil"/>
                    <w:tr2bl w:val="nil"/>
                  </w:tcBorders>
                  <w:vAlign w:val="center"/>
                </w:tcPr>
                <w:p w14:paraId="4B805D03">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167D0BAB">
                  <w:pPr>
                    <w:keepLines/>
                    <w:jc w:val="center"/>
                    <w:rPr>
                      <w:rFonts w:hint="default" w:ascii="Times New Roman" w:hAnsi="Times New Roman" w:cs="Times New Roman"/>
                      <w:color w:val="000000" w:themeColor="text1"/>
                      <w:szCs w:val="21"/>
                      <w14:textFill>
                        <w14:solidFill>
                          <w14:schemeClr w14:val="tx1"/>
                        </w14:solidFill>
                      </w14:textFill>
                    </w:rPr>
                  </w:pPr>
                </w:p>
              </w:tc>
              <w:tc>
                <w:tcPr>
                  <w:tcW w:w="2423" w:type="dxa"/>
                  <w:tcBorders>
                    <w:tl2br w:val="nil"/>
                    <w:tr2bl w:val="nil"/>
                  </w:tcBorders>
                  <w:shd w:val="clear" w:color="auto" w:fill="auto"/>
                  <w:vAlign w:val="center"/>
                </w:tcPr>
                <w:p w14:paraId="56354ED9">
                  <w:pPr>
                    <w:pStyle w:val="60"/>
                    <w:spacing w:beforeLines="0" w:afterLines="0" w:line="240" w:lineRule="auto"/>
                    <w:jc w:val="both"/>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各级林业主管部门提前介入测风选址工作，指导建设单位避让生态脆弱区和生态敏感区</w:t>
                  </w:r>
                </w:p>
              </w:tc>
              <w:tc>
                <w:tcPr>
                  <w:tcW w:w="1949" w:type="dxa"/>
                  <w:tcBorders>
                    <w:tl2br w:val="nil"/>
                    <w:tr2bl w:val="nil"/>
                  </w:tcBorders>
                  <w:vAlign w:val="center"/>
                </w:tcPr>
                <w:p w14:paraId="561ECFB8">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本项目选址不在生态保护红线划定范围、生态脆弱区和生态敏感区</w:t>
                  </w:r>
                </w:p>
              </w:tc>
              <w:tc>
                <w:tcPr>
                  <w:tcW w:w="640" w:type="dxa"/>
                  <w:tcBorders>
                    <w:tl2br w:val="nil"/>
                    <w:tr2bl w:val="nil"/>
                  </w:tcBorders>
                  <w:vAlign w:val="center"/>
                </w:tcPr>
                <w:p w14:paraId="7713AD77">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0F64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629" w:type="dxa"/>
                  <w:vMerge w:val="restart"/>
                  <w:tcBorders>
                    <w:tl2br w:val="nil"/>
                    <w:tr2bl w:val="nil"/>
                  </w:tcBorders>
                  <w:vAlign w:val="center"/>
                </w:tcPr>
                <w:p w14:paraId="224E3C4F">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1176" w:type="dxa"/>
                  <w:vMerge w:val="restart"/>
                  <w:tcBorders>
                    <w:tl2br w:val="nil"/>
                    <w:tr2bl w:val="nil"/>
                  </w:tcBorders>
                  <w:vAlign w:val="center"/>
                </w:tcPr>
                <w:p w14:paraId="2E6C7712">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《“十四五”现代能源体系规划》（陕发改能新能源</w:t>
                  </w:r>
                  <w:r>
                    <w:rPr>
                      <w:rFonts w:hint="default" w:ascii="Times New Roman" w:hAnsi="Times New Roman" w:cs="Times New Roman"/>
                      <w:bCs/>
                      <w:color w:val="000000" w:themeColor="text1"/>
                      <w:szCs w:val="21"/>
                      <w14:textFill>
                        <w14:solidFill>
                          <w14:schemeClr w14:val="tx1"/>
                        </w14:solidFill>
                      </w14:textFill>
                    </w:rPr>
                    <w:t>〔2019〕</w:t>
                  </w:r>
                  <w:r>
                    <w:rPr>
                      <w:rFonts w:hint="default" w:ascii="Times New Roman" w:hAnsi="Times New Roman" w:cs="Times New Roman"/>
                      <w:color w:val="000000" w:themeColor="text1"/>
                      <w:szCs w:val="21"/>
                      <w14:textFill>
                        <w14:solidFill>
                          <w14:schemeClr w14:val="tx1"/>
                        </w14:solidFill>
                      </w14:textFill>
                    </w:rPr>
                    <w:t>1378号）</w:t>
                  </w:r>
                </w:p>
              </w:tc>
              <w:tc>
                <w:tcPr>
                  <w:tcW w:w="2423" w:type="dxa"/>
                  <w:tcBorders>
                    <w:tl2br w:val="nil"/>
                    <w:tr2bl w:val="nil"/>
                  </w:tcBorders>
                  <w:shd w:val="clear" w:color="auto" w:fill="auto"/>
                  <w:vAlign w:val="center"/>
                </w:tcPr>
                <w:p w14:paraId="1220B540">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项目应符合各类规划、自然资源、生态环境等管理要求，不得占用基本农田和生态林地，应避开交通要道、特高压路线、各类管线、军事敏感区等</w:t>
                  </w:r>
                </w:p>
              </w:tc>
              <w:tc>
                <w:tcPr>
                  <w:tcW w:w="1949" w:type="dxa"/>
                  <w:tcBorders>
                    <w:tl2br w:val="nil"/>
                    <w:tr2bl w:val="nil"/>
                  </w:tcBorders>
                  <w:vAlign w:val="center"/>
                </w:tcPr>
                <w:p w14:paraId="0BD60536">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2024年8月28日取得《陕西省发展和改革委员会关于</w:t>
                  </w:r>
                  <w:r>
                    <w:rPr>
                      <w:rFonts w:hint="default" w:ascii="Times New Roman" w:hAnsi="Times New Roman" w:cs="Times New Roman"/>
                      <w:color w:val="000000" w:themeColor="text1"/>
                      <w:szCs w:val="21"/>
                      <w:lang w:val="en-US" w:eastAsia="zh-CN"/>
                      <w14:textFill>
                        <w14:solidFill>
                          <w14:schemeClr w14:val="tx1"/>
                        </w14:solidFill>
                      </w14:textFill>
                    </w:rPr>
                    <w:t>大唐陈仓</w:t>
                  </w:r>
                  <w:r>
                    <w:rPr>
                      <w:rFonts w:hint="default" w:ascii="Times New Roman" w:hAnsi="Times New Roman" w:cs="Times New Roman"/>
                      <w:color w:val="000000" w:themeColor="text1"/>
                      <w:szCs w:val="21"/>
                      <w14:textFill>
                        <w14:solidFill>
                          <w14:schemeClr w14:val="tx1"/>
                        </w14:solidFill>
                      </w14:textFill>
                    </w:rPr>
                    <w:t>5万千瓦风电项目核准的批复》（陕发改能新能源〔2024〕14</w:t>
                  </w:r>
                  <w:r>
                    <w:rPr>
                      <w:rFonts w:hint="default" w:ascii="Times New Roman" w:hAnsi="Times New Roman" w:cs="Times New Roman"/>
                      <w:color w:val="000000" w:themeColor="text1"/>
                      <w:szCs w:val="21"/>
                      <w:lang w:val="en-US" w:eastAsia="zh-CN"/>
                      <w14:textFill>
                        <w14:solidFill>
                          <w14:schemeClr w14:val="tx1"/>
                        </w14:solidFill>
                      </w14:textFill>
                    </w:rPr>
                    <w:t>79</w:t>
                  </w:r>
                  <w:r>
                    <w:rPr>
                      <w:rFonts w:hint="default" w:ascii="Times New Roman" w:hAnsi="Times New Roman" w:cs="Times New Roman"/>
                      <w:color w:val="000000" w:themeColor="text1"/>
                      <w:szCs w:val="21"/>
                      <w14:textFill>
                        <w14:solidFill>
                          <w14:schemeClr w14:val="tx1"/>
                        </w14:solidFill>
                      </w14:textFill>
                    </w:rPr>
                    <w:t>号）</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且</w:t>
                  </w:r>
                  <w:r>
                    <w:rPr>
                      <w:rFonts w:hint="default" w:ascii="Times New Roman" w:hAnsi="Times New Roman" w:cs="Times New Roman"/>
                      <w:color w:val="auto"/>
                      <w:szCs w:val="21"/>
                    </w:rPr>
                    <w:t>不占用</w:t>
                  </w:r>
                  <w:r>
                    <w:rPr>
                      <w:rFonts w:hint="default" w:ascii="Times New Roman" w:hAnsi="Times New Roman" w:cs="Times New Roman"/>
                      <w:color w:val="auto"/>
                      <w:kern w:val="0"/>
                      <w:szCs w:val="21"/>
                    </w:rPr>
                    <w:t>基本农田和生态林地，不涉及交通要道、特高压路线、各类管线、军事敏感区等</w:t>
                  </w:r>
                </w:p>
              </w:tc>
              <w:tc>
                <w:tcPr>
                  <w:tcW w:w="640" w:type="dxa"/>
                  <w:tcBorders>
                    <w:tl2br w:val="nil"/>
                    <w:tr2bl w:val="nil"/>
                  </w:tcBorders>
                  <w:vAlign w:val="center"/>
                </w:tcPr>
                <w:p w14:paraId="2C929B7F">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9EB6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629" w:type="dxa"/>
                  <w:vMerge w:val="continue"/>
                  <w:tcBorders>
                    <w:tl2br w:val="nil"/>
                    <w:tr2bl w:val="nil"/>
                  </w:tcBorders>
                  <w:vAlign w:val="center"/>
                </w:tcPr>
                <w:p w14:paraId="0DE38498">
                  <w:pPr>
                    <w:keepLines/>
                    <w:jc w:val="center"/>
                    <w:rPr>
                      <w:rFonts w:hint="default" w:ascii="Times New Roman" w:hAnsi="Times New Roman" w:cs="Times New Roman"/>
                      <w:color w:val="000000" w:themeColor="text1"/>
                      <w:szCs w:val="21"/>
                      <w14:textFill>
                        <w14:solidFill>
                          <w14:schemeClr w14:val="tx1"/>
                        </w14:solidFill>
                      </w14:textFill>
                    </w:rPr>
                  </w:pPr>
                </w:p>
              </w:tc>
              <w:tc>
                <w:tcPr>
                  <w:tcW w:w="1176" w:type="dxa"/>
                  <w:vMerge w:val="continue"/>
                  <w:tcBorders>
                    <w:tl2br w:val="nil"/>
                    <w:tr2bl w:val="nil"/>
                  </w:tcBorders>
                  <w:vAlign w:val="center"/>
                </w:tcPr>
                <w:p w14:paraId="6C628672">
                  <w:pPr>
                    <w:keepLines/>
                    <w:jc w:val="center"/>
                    <w:rPr>
                      <w:rFonts w:hint="default" w:ascii="Times New Roman" w:hAnsi="Times New Roman" w:cs="Times New Roman"/>
                      <w:color w:val="000000" w:themeColor="text1"/>
                      <w:szCs w:val="21"/>
                      <w14:textFill>
                        <w14:solidFill>
                          <w14:schemeClr w14:val="tx1"/>
                        </w14:solidFill>
                      </w14:textFill>
                    </w:rPr>
                  </w:pPr>
                </w:p>
              </w:tc>
              <w:tc>
                <w:tcPr>
                  <w:tcW w:w="2423" w:type="dxa"/>
                  <w:tcBorders>
                    <w:tl2br w:val="nil"/>
                    <w:tr2bl w:val="nil"/>
                  </w:tcBorders>
                  <w:shd w:val="clear" w:color="auto" w:fill="auto"/>
                  <w:vAlign w:val="center"/>
                </w:tcPr>
                <w:p w14:paraId="1ACCAB58">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严禁利用开发风电拆分集中式项目，严禁不具备消纳条件项目申请列入建设方案，禁止倒卖项目手续等投机行为</w:t>
                  </w:r>
                </w:p>
              </w:tc>
              <w:tc>
                <w:tcPr>
                  <w:tcW w:w="1949" w:type="dxa"/>
                  <w:tcBorders>
                    <w:tl2br w:val="nil"/>
                    <w:tr2bl w:val="nil"/>
                  </w:tcBorders>
                  <w:vAlign w:val="center"/>
                </w:tcPr>
                <w:p w14:paraId="38D6000C">
                  <w:pPr>
                    <w:keepLines/>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本项目不存在倒卖项目相关文件和擅自变更业主等违法行为</w:t>
                  </w:r>
                </w:p>
              </w:tc>
              <w:tc>
                <w:tcPr>
                  <w:tcW w:w="640" w:type="dxa"/>
                  <w:tcBorders>
                    <w:tl2br w:val="nil"/>
                    <w:tr2bl w:val="nil"/>
                  </w:tcBorders>
                  <w:vAlign w:val="center"/>
                </w:tcPr>
                <w:p w14:paraId="04CCA53A">
                  <w:pPr>
                    <w:keepLines/>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AB7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restart"/>
                  <w:tcBorders>
                    <w:tl2br w:val="nil"/>
                    <w:tr2bl w:val="nil"/>
                  </w:tcBorders>
                  <w:vAlign w:val="center"/>
                </w:tcPr>
                <w:p w14:paraId="16B05157">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1176" w:type="dxa"/>
                  <w:vMerge w:val="restart"/>
                  <w:tcBorders>
                    <w:tl2br w:val="nil"/>
                    <w:tr2bl w:val="nil"/>
                  </w:tcBorders>
                  <w:vAlign w:val="center"/>
                </w:tcPr>
                <w:p w14:paraId="052D3FF7">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《陕西省风力发电建设项目环境影响评价文件审批要点（试行）》</w:t>
                  </w:r>
                </w:p>
              </w:tc>
              <w:tc>
                <w:tcPr>
                  <w:tcW w:w="2423" w:type="dxa"/>
                  <w:tcBorders>
                    <w:tl2br w:val="nil"/>
                    <w:tr2bl w:val="nil"/>
                  </w:tcBorders>
                  <w:shd w:val="clear" w:color="auto" w:fill="auto"/>
                  <w:vAlign w:val="center"/>
                </w:tcPr>
                <w:p w14:paraId="33FB938A">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第二条 项目符合生态环境保护相关法律法规和政策、“三线一单”生态环境分区管控、相关规划和规划环评要求</w:t>
                  </w:r>
                </w:p>
              </w:tc>
              <w:tc>
                <w:tcPr>
                  <w:tcW w:w="1949" w:type="dxa"/>
                  <w:tcBorders>
                    <w:tl2br w:val="nil"/>
                    <w:tr2bl w:val="nil"/>
                  </w:tcBorders>
                  <w:vAlign w:val="center"/>
                </w:tcPr>
                <w:p w14:paraId="5557E06F">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本项目符合生态环境保护相关法律法规和政策、“三线一单”生态环境分区管控要求</w:t>
                  </w:r>
                </w:p>
              </w:tc>
              <w:tc>
                <w:tcPr>
                  <w:tcW w:w="640" w:type="dxa"/>
                  <w:tcBorders>
                    <w:tl2br w:val="nil"/>
                    <w:tr2bl w:val="nil"/>
                  </w:tcBorders>
                  <w:vAlign w:val="center"/>
                </w:tcPr>
                <w:p w14:paraId="2749F138">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1125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74" w:hRule="atLeast"/>
                <w:jc w:val="center"/>
              </w:trPr>
              <w:tc>
                <w:tcPr>
                  <w:tcW w:w="629" w:type="dxa"/>
                  <w:vMerge w:val="continue"/>
                  <w:tcBorders>
                    <w:tl2br w:val="nil"/>
                    <w:tr2bl w:val="nil"/>
                  </w:tcBorders>
                  <w:vAlign w:val="center"/>
                </w:tcPr>
                <w:p w14:paraId="56FDA720">
                  <w:pPr>
                    <w:keepLines/>
                    <w:jc w:val="center"/>
                    <w:rPr>
                      <w:rFonts w:hint="default" w:ascii="Times New Roman" w:hAnsi="Times New Roman" w:cs="Times New Roman"/>
                      <w:color w:val="000000" w:themeColor="text1"/>
                      <w14:textFill>
                        <w14:solidFill>
                          <w14:schemeClr w14:val="tx1"/>
                        </w14:solidFill>
                      </w14:textFill>
                    </w:rPr>
                  </w:pPr>
                </w:p>
              </w:tc>
              <w:tc>
                <w:tcPr>
                  <w:tcW w:w="1176" w:type="dxa"/>
                  <w:vMerge w:val="continue"/>
                  <w:tcBorders>
                    <w:tl2br w:val="nil"/>
                    <w:tr2bl w:val="nil"/>
                  </w:tcBorders>
                  <w:vAlign w:val="center"/>
                </w:tcPr>
                <w:p w14:paraId="5C016165">
                  <w:pPr>
                    <w:keepLines/>
                    <w:jc w:val="center"/>
                    <w:rPr>
                      <w:rFonts w:hint="default" w:ascii="Times New Roman" w:hAnsi="Times New Roman" w:cs="Times New Roman"/>
                      <w:color w:val="000000" w:themeColor="text1"/>
                      <w14:textFill>
                        <w14:solidFill>
                          <w14:schemeClr w14:val="tx1"/>
                        </w14:solidFill>
                      </w14:textFill>
                    </w:rPr>
                  </w:pPr>
                </w:p>
              </w:tc>
              <w:tc>
                <w:tcPr>
                  <w:tcW w:w="2423" w:type="dxa"/>
                  <w:tcBorders>
                    <w:tl2br w:val="nil"/>
                    <w:tr2bl w:val="nil"/>
                  </w:tcBorders>
                  <w:shd w:val="clear" w:color="auto" w:fill="auto"/>
                  <w:vAlign w:val="center"/>
                </w:tcPr>
                <w:p w14:paraId="3C0259AD">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第三条 分析项目选址可行性，国家公园、自然保护区、风景名胜区、世界文化和自然遗产地、饮用水水源保护区、自然公园（森林公园、湿地公园、地质公园）等法律法规和政策要求明令禁止建设的区域不得建设，不得占用永久基本农田</w:t>
                  </w:r>
                </w:p>
              </w:tc>
              <w:tc>
                <w:tcPr>
                  <w:tcW w:w="1949" w:type="dxa"/>
                  <w:tcBorders>
                    <w:tl2br w:val="nil"/>
                    <w:tr2bl w:val="nil"/>
                  </w:tcBorders>
                  <w:vAlign w:val="center"/>
                </w:tcPr>
                <w:p w14:paraId="41371099">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项目位于</w:t>
                  </w:r>
                  <w:r>
                    <w:rPr>
                      <w:rFonts w:hint="default" w:ascii="Times New Roman" w:hAnsi="Times New Roman" w:cs="Times New Roman"/>
                      <w:color w:val="000000" w:themeColor="text1"/>
                      <w:szCs w:val="21"/>
                      <w:lang w:val="en-US" w:eastAsia="zh-CN"/>
                      <w14:textFill>
                        <w14:solidFill>
                          <w14:schemeClr w14:val="tx1"/>
                        </w14:solidFill>
                      </w14:textFill>
                    </w:rPr>
                    <w:t>宝鸡市陈仓区拓石</w:t>
                  </w:r>
                  <w:r>
                    <w:rPr>
                      <w:rFonts w:hint="default" w:ascii="Times New Roman" w:hAnsi="Times New Roman" w:cs="Times New Roman"/>
                      <w:color w:val="000000" w:themeColor="text1"/>
                      <w:szCs w:val="21"/>
                      <w14:textFill>
                        <w14:solidFill>
                          <w14:schemeClr w14:val="tx1"/>
                        </w14:solidFill>
                      </w14:textFill>
                    </w:rPr>
                    <w:t>镇，建设不涉及</w:t>
                  </w:r>
                  <w:r>
                    <w:rPr>
                      <w:rFonts w:hint="default" w:ascii="Times New Roman" w:hAnsi="Times New Roman" w:cs="Times New Roman"/>
                      <w:color w:val="000000" w:themeColor="text1"/>
                      <w:kern w:val="0"/>
                      <w:szCs w:val="21"/>
                      <w14:textFill>
                        <w14:solidFill>
                          <w14:schemeClr w14:val="tx1"/>
                        </w14:solidFill>
                      </w14:textFill>
                    </w:rPr>
                    <w:t>国家公园、自然保护区、风景名胜区、世界文化和自然遗产地、饮用水水源保护区、自然公园（森林公园、湿地公园、地质公园）等法律法规和政策要求明令禁止建设的区域，本项目不占用永久基本农田</w:t>
                  </w:r>
                </w:p>
              </w:tc>
              <w:tc>
                <w:tcPr>
                  <w:tcW w:w="640" w:type="dxa"/>
                  <w:tcBorders>
                    <w:tl2br w:val="nil"/>
                    <w:tr2bl w:val="nil"/>
                  </w:tcBorders>
                  <w:vAlign w:val="center"/>
                </w:tcPr>
                <w:p w14:paraId="788493BF">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13F11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continue"/>
                  <w:tcBorders>
                    <w:tl2br w:val="nil"/>
                    <w:tr2bl w:val="nil"/>
                  </w:tcBorders>
                  <w:vAlign w:val="center"/>
                </w:tcPr>
                <w:p w14:paraId="53D3E81A">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037C16A6">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4A7D92AE">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第四条 分析机型选用的合理性，选用低噪声设备，优化风机布点，采取减振等措施有效控制噪声污染，给出噪声达标距离和控制要求。升压站、开关站厂界噪声满足《工业企业厂界环境噪声排放标准》（GB12348）要求，风电场噪声满足《风电场噪声限值及测量方法》（DL/T1084）要求</w:t>
                  </w:r>
                </w:p>
              </w:tc>
              <w:tc>
                <w:tcPr>
                  <w:tcW w:w="1949" w:type="dxa"/>
                  <w:tcBorders>
                    <w:tl2br w:val="nil"/>
                    <w:tr2bl w:val="nil"/>
                  </w:tcBorders>
                  <w:vAlign w:val="center"/>
                </w:tcPr>
                <w:p w14:paraId="4E70F5C7">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本项目风机选用低噪声设备，优化风机布点，采取基础减振等措施，给出了噪声达标距离和控制要求，风电场噪声满足《声环境质量标准》（GB3096-2008）中相关要求</w:t>
                  </w:r>
                </w:p>
              </w:tc>
              <w:tc>
                <w:tcPr>
                  <w:tcW w:w="640" w:type="dxa"/>
                  <w:tcBorders>
                    <w:tl2br w:val="nil"/>
                    <w:tr2bl w:val="nil"/>
                  </w:tcBorders>
                  <w:vAlign w:val="center"/>
                </w:tcPr>
                <w:p w14:paraId="5E91A197">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6BE2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 w:hRule="atLeast"/>
                <w:jc w:val="center"/>
              </w:trPr>
              <w:tc>
                <w:tcPr>
                  <w:tcW w:w="629" w:type="dxa"/>
                  <w:vMerge w:val="continue"/>
                  <w:tcBorders>
                    <w:tl2br w:val="nil"/>
                    <w:tr2bl w:val="nil"/>
                  </w:tcBorders>
                  <w:vAlign w:val="center"/>
                </w:tcPr>
                <w:p w14:paraId="2309E369">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4D65EE0A">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5A69C6A1">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第五条 分析风电场内风机的光影影响，可选取冬至日有效日照时间内不少于3小时计算光影影响控制范围，不得影响周边居民区、集镇等环境敏感区的生产、生活</w:t>
                  </w:r>
                </w:p>
              </w:tc>
              <w:tc>
                <w:tcPr>
                  <w:tcW w:w="1949" w:type="dxa"/>
                  <w:tcBorders>
                    <w:tl2br w:val="nil"/>
                    <w:tr2bl w:val="nil"/>
                  </w:tcBorders>
                  <w:vAlign w:val="center"/>
                </w:tcPr>
                <w:p w14:paraId="26F5F5E4">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根据光影章节内容的计算结果，项目风电场内所选风机的光影对周边居民的生产、生活影响较小</w:t>
                  </w:r>
                </w:p>
              </w:tc>
              <w:tc>
                <w:tcPr>
                  <w:tcW w:w="640" w:type="dxa"/>
                  <w:tcBorders>
                    <w:tl2br w:val="nil"/>
                    <w:tr2bl w:val="nil"/>
                  </w:tcBorders>
                  <w:vAlign w:val="center"/>
                </w:tcPr>
                <w:p w14:paraId="44E6F8C8">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1F88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6" w:hRule="atLeast"/>
                <w:jc w:val="center"/>
              </w:trPr>
              <w:tc>
                <w:tcPr>
                  <w:tcW w:w="629" w:type="dxa"/>
                  <w:vMerge w:val="continue"/>
                  <w:tcBorders>
                    <w:tl2br w:val="nil"/>
                    <w:tr2bl w:val="nil"/>
                  </w:tcBorders>
                  <w:vAlign w:val="center"/>
                </w:tcPr>
                <w:p w14:paraId="78AD19F0">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23C90D24">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7309E8C7">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第六条 分析项目实施可能对鸟类造成的影响，项目禁止建设在鸟类主要迁徙通道和迁徙地</w:t>
                  </w:r>
                </w:p>
              </w:tc>
              <w:tc>
                <w:tcPr>
                  <w:tcW w:w="1949" w:type="dxa"/>
                  <w:tcBorders>
                    <w:tl2br w:val="nil"/>
                    <w:tr2bl w:val="nil"/>
                  </w:tcBorders>
                  <w:vAlign w:val="center"/>
                </w:tcPr>
                <w:p w14:paraId="5E341E2A">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w:t>
                  </w:r>
                  <w:r>
                    <w:rPr>
                      <w:rFonts w:hint="default" w:ascii="Times New Roman" w:hAnsi="Times New Roman" w:cs="Times New Roman"/>
                      <w:color w:val="000000" w:themeColor="text1"/>
                      <w:kern w:val="0"/>
                      <w:szCs w:val="21"/>
                      <w:lang w:val="en-US" w:eastAsia="zh-CN"/>
                      <w14:textFill>
                        <w14:solidFill>
                          <w14:schemeClr w14:val="tx1"/>
                        </w14:solidFill>
                      </w14:textFill>
                    </w:rPr>
                    <w:t>建设地位于</w:t>
                  </w:r>
                  <w:r>
                    <w:rPr>
                      <w:rFonts w:hint="default" w:ascii="Times New Roman" w:hAnsi="Times New Roman" w:cs="Times New Roman"/>
                      <w:color w:val="000000" w:themeColor="text1"/>
                      <w:szCs w:val="21"/>
                      <w:lang w:val="en-US" w:eastAsia="zh-CN"/>
                      <w14:textFill>
                        <w14:solidFill>
                          <w14:schemeClr w14:val="tx1"/>
                        </w14:solidFill>
                      </w14:textFill>
                    </w:rPr>
                    <w:t>宝鸡市陈仓区拓石</w:t>
                  </w:r>
                  <w:r>
                    <w:rPr>
                      <w:rFonts w:hint="default" w:ascii="Times New Roman" w:hAnsi="Times New Roman" w:cs="Times New Roman"/>
                      <w:color w:val="000000" w:themeColor="text1"/>
                      <w:szCs w:val="21"/>
                      <w14:textFill>
                        <w14:solidFill>
                          <w14:schemeClr w14:val="tx1"/>
                        </w14:solidFill>
                      </w14:textFill>
                    </w:rPr>
                    <w:t>镇</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该区域</w:t>
                  </w:r>
                  <w:r>
                    <w:rPr>
                      <w:rFonts w:hint="default" w:ascii="Times New Roman" w:hAnsi="Times New Roman" w:cs="Times New Roman"/>
                      <w:color w:val="000000" w:themeColor="text1"/>
                      <w:kern w:val="0"/>
                      <w:szCs w:val="21"/>
                      <w14:textFill>
                        <w14:solidFill>
                          <w14:schemeClr w14:val="tx1"/>
                        </w14:solidFill>
                      </w14:textFill>
                    </w:rPr>
                    <w:t>不涉及鸟类主要迁徙通道和迁徙地</w:t>
                  </w:r>
                </w:p>
              </w:tc>
              <w:tc>
                <w:tcPr>
                  <w:tcW w:w="640" w:type="dxa"/>
                  <w:tcBorders>
                    <w:tl2br w:val="nil"/>
                    <w:tr2bl w:val="nil"/>
                  </w:tcBorders>
                  <w:vAlign w:val="center"/>
                </w:tcPr>
                <w:p w14:paraId="1076257A">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641F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 w:hRule="atLeast"/>
                <w:jc w:val="center"/>
              </w:trPr>
              <w:tc>
                <w:tcPr>
                  <w:tcW w:w="629" w:type="dxa"/>
                  <w:vMerge w:val="continue"/>
                  <w:tcBorders>
                    <w:tl2br w:val="nil"/>
                    <w:tr2bl w:val="nil"/>
                  </w:tcBorders>
                  <w:vAlign w:val="center"/>
                </w:tcPr>
                <w:p w14:paraId="4E2D5204">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3BB04276">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73F28EFE">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第七条 明确施工组织工艺和环保措施，严格控制风电场临时占地，明确生态恢复目标，有针对性的提出合理可行的施工期和运行期生态保护与恢复措施</w:t>
                  </w:r>
                </w:p>
              </w:tc>
              <w:tc>
                <w:tcPr>
                  <w:tcW w:w="1949" w:type="dxa"/>
                  <w:tcBorders>
                    <w:tl2br w:val="nil"/>
                    <w:tr2bl w:val="nil"/>
                  </w:tcBorders>
                  <w:vAlign w:val="center"/>
                </w:tcPr>
                <w:p w14:paraId="3B649638">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已明确施工组织和环保措施，严格控制风电场临时占地，明确生态恢复目标，有针对性的提出合理可行的施工期和运行期生态保护与恢复措施</w:t>
                  </w:r>
                </w:p>
              </w:tc>
              <w:tc>
                <w:tcPr>
                  <w:tcW w:w="640" w:type="dxa"/>
                  <w:tcBorders>
                    <w:tl2br w:val="nil"/>
                    <w:tr2bl w:val="nil"/>
                  </w:tcBorders>
                  <w:vAlign w:val="center"/>
                </w:tcPr>
                <w:p w14:paraId="1CE3A435">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4C523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 w:hRule="atLeast"/>
                <w:jc w:val="center"/>
              </w:trPr>
              <w:tc>
                <w:tcPr>
                  <w:tcW w:w="629" w:type="dxa"/>
                  <w:vMerge w:val="continue"/>
                  <w:tcBorders>
                    <w:tl2br w:val="nil"/>
                    <w:tr2bl w:val="nil"/>
                  </w:tcBorders>
                  <w:vAlign w:val="center"/>
                </w:tcPr>
                <w:p w14:paraId="209EA3C4">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00FD5FA3">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134AA3FE">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第八条 固体废物暂存设施、场所应满足《一般工业固体废物贮存和填埋污染控制标准》（GB18599）、《危险废物贮存污染控制标准》（GB18597）及其修改单要求。对变压器提出防止漏油等污染防控和风险防范措施</w:t>
                  </w:r>
                </w:p>
              </w:tc>
              <w:tc>
                <w:tcPr>
                  <w:tcW w:w="1949" w:type="dxa"/>
                  <w:tcBorders>
                    <w:tl2br w:val="nil"/>
                    <w:tr2bl w:val="nil"/>
                  </w:tcBorders>
                  <w:vAlign w:val="center"/>
                </w:tcPr>
                <w:p w14:paraId="31820E75">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项目固体废物暂存设施、场所满足相关要求</w:t>
                  </w:r>
                </w:p>
              </w:tc>
              <w:tc>
                <w:tcPr>
                  <w:tcW w:w="640" w:type="dxa"/>
                  <w:tcBorders>
                    <w:tl2br w:val="nil"/>
                    <w:tr2bl w:val="nil"/>
                  </w:tcBorders>
                  <w:vAlign w:val="center"/>
                </w:tcPr>
                <w:p w14:paraId="657172E9">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03AB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2" w:hRule="atLeast"/>
                <w:jc w:val="center"/>
              </w:trPr>
              <w:tc>
                <w:tcPr>
                  <w:tcW w:w="629" w:type="dxa"/>
                  <w:vMerge w:val="continue"/>
                  <w:tcBorders>
                    <w:tl2br w:val="nil"/>
                    <w:tr2bl w:val="nil"/>
                  </w:tcBorders>
                  <w:vAlign w:val="center"/>
                </w:tcPr>
                <w:p w14:paraId="40F9891C">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1176" w:type="dxa"/>
                  <w:vMerge w:val="continue"/>
                  <w:tcBorders>
                    <w:tl2br w:val="nil"/>
                    <w:tr2bl w:val="nil"/>
                  </w:tcBorders>
                  <w:vAlign w:val="center"/>
                </w:tcPr>
                <w:p w14:paraId="400DD2CF">
                  <w:pPr>
                    <w:keepLines/>
                    <w:jc w:val="center"/>
                    <w:rPr>
                      <w:rFonts w:hint="default" w:ascii="Times New Roman" w:hAnsi="Times New Roman"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6D5D2EA8">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第十一条环境影响评价文件编制规范，符合环境影响评价文件编制相关管理规定和环评技术标准要求</w:t>
                  </w:r>
                </w:p>
              </w:tc>
              <w:tc>
                <w:tcPr>
                  <w:tcW w:w="1949" w:type="dxa"/>
                  <w:tcBorders>
                    <w:tl2br w:val="nil"/>
                    <w:tr2bl w:val="nil"/>
                  </w:tcBorders>
                  <w:vAlign w:val="center"/>
                </w:tcPr>
                <w:p w14:paraId="2AD3CC9B">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本项目按照相关管理规定和环评技术标准要求编制了建设项目环境影响报告表</w:t>
                  </w:r>
                </w:p>
              </w:tc>
              <w:tc>
                <w:tcPr>
                  <w:tcW w:w="640" w:type="dxa"/>
                  <w:tcBorders>
                    <w:tl2br w:val="nil"/>
                    <w:tr2bl w:val="nil"/>
                  </w:tcBorders>
                  <w:vAlign w:val="center"/>
                </w:tcPr>
                <w:p w14:paraId="1A5D2D9A">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14:paraId="316C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tl2br w:val="nil"/>
                    <w:tr2bl w:val="nil"/>
                  </w:tcBorders>
                  <w:vAlign w:val="center"/>
                </w:tcPr>
                <w:p w14:paraId="5A8B586D">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c>
                <w:tcPr>
                  <w:tcW w:w="1176" w:type="dxa"/>
                  <w:tcBorders>
                    <w:tl2br w:val="nil"/>
                    <w:tr2bl w:val="nil"/>
                  </w:tcBorders>
                  <w:vAlign w:val="center"/>
                </w:tcPr>
                <w:p w14:paraId="2ECC3573">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《陕西省“十四五”生态环境保护规划》（陕政办发</w:t>
                  </w:r>
                  <w:r>
                    <w:rPr>
                      <w:rFonts w:hint="default" w:ascii="Times New Roman" w:hAnsi="Times New Roman" w:cs="Times New Roman"/>
                      <w:bCs/>
                      <w:color w:val="000000" w:themeColor="text1"/>
                      <w:szCs w:val="21"/>
                      <w14:textFill>
                        <w14:solidFill>
                          <w14:schemeClr w14:val="tx1"/>
                        </w14:solidFill>
                      </w14:textFill>
                    </w:rPr>
                    <w:t>〔2021〕</w:t>
                  </w:r>
                  <w:r>
                    <w:rPr>
                      <w:rFonts w:hint="default" w:ascii="Times New Roman" w:hAnsi="Times New Roman" w:cs="Times New Roman"/>
                      <w:color w:val="000000" w:themeColor="text1"/>
                      <w:szCs w:val="21"/>
                      <w14:textFill>
                        <w14:solidFill>
                          <w14:schemeClr w14:val="tx1"/>
                        </w14:solidFill>
                      </w14:textFill>
                    </w:rPr>
                    <w:t>25号</w:t>
                  </w:r>
                  <w:r>
                    <w:rPr>
                      <w:rFonts w:hint="default" w:ascii="Times New Roman" w:hAnsi="Times New Roman" w:cs="Times New Roman"/>
                      <w:color w:val="000000" w:themeColor="text1"/>
                      <w:kern w:val="0"/>
                      <w:szCs w:val="21"/>
                      <w14:textFill>
                        <w14:solidFill>
                          <w14:schemeClr w14:val="tx1"/>
                        </w14:solidFill>
                      </w14:textFill>
                    </w:rPr>
                    <w:t>）</w:t>
                  </w:r>
                </w:p>
              </w:tc>
              <w:tc>
                <w:tcPr>
                  <w:tcW w:w="2423" w:type="dxa"/>
                  <w:tcBorders>
                    <w:tl2br w:val="nil"/>
                    <w:tr2bl w:val="nil"/>
                  </w:tcBorders>
                  <w:shd w:val="clear" w:color="auto" w:fill="auto"/>
                  <w:vAlign w:val="center"/>
                </w:tcPr>
                <w:p w14:paraId="6B2B4D2C">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第三章 贯彻新发展理念，推动绿色低碳发展</w:t>
                  </w:r>
                </w:p>
                <w:p w14:paraId="773C8D5D">
                  <w:pP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第二节 调整结构强化领域绿色低碳发展</w:t>
                  </w:r>
                </w:p>
                <w:p w14:paraId="690816B4">
                  <w:pPr>
                    <w:pStyle w:val="30"/>
                    <w:ind w:left="0" w:leftChars="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能源结构清洁低碳水平。加速能源体系清洁低碳发展进程，壮大风电、太阳能、氢能、生物质能、地热能等可再生能源产业，继续开发陕北长城沿线风电能源，支持陕北、关中地区光伏基地建设，有序发展水电项目，建成旬阳水电站、黄金峡水电站和镇安抽水蓄能电站，推动非化石能源成为能源消费增量的主体</w:t>
                  </w:r>
                </w:p>
              </w:tc>
              <w:tc>
                <w:tcPr>
                  <w:tcW w:w="1949" w:type="dxa"/>
                  <w:tcBorders>
                    <w:tl2br w:val="nil"/>
                    <w:tr2bl w:val="nil"/>
                  </w:tcBorders>
                  <w:vAlign w:val="center"/>
                </w:tcPr>
                <w:p w14:paraId="765BE336">
                  <w:pPr>
                    <w:keepLines/>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项目为风力发电项目，属于绿色低碳发展</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14:textFill>
                        <w14:solidFill>
                          <w14:schemeClr w14:val="tx1"/>
                        </w14:solidFill>
                      </w14:textFill>
                    </w:rPr>
                    <w:t>壮大风电、太阳能、氢能、生物质能、地热能等可再生能源产业</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的要求</w:t>
                  </w:r>
                </w:p>
              </w:tc>
              <w:tc>
                <w:tcPr>
                  <w:tcW w:w="640" w:type="dxa"/>
                  <w:tcBorders>
                    <w:tl2br w:val="nil"/>
                    <w:tr2bl w:val="nil"/>
                  </w:tcBorders>
                  <w:vAlign w:val="center"/>
                </w:tcPr>
                <w:p w14:paraId="3E287711">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2C6F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91" w:hRule="atLeast"/>
                <w:jc w:val="center"/>
              </w:trPr>
              <w:tc>
                <w:tcPr>
                  <w:tcW w:w="629" w:type="dxa"/>
                  <w:tcBorders>
                    <w:tl2br w:val="nil"/>
                    <w:tr2bl w:val="nil"/>
                  </w:tcBorders>
                  <w:vAlign w:val="center"/>
                </w:tcPr>
                <w:p w14:paraId="30A05A29">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1176" w:type="dxa"/>
                  <w:tcBorders>
                    <w:tl2br w:val="nil"/>
                    <w:tr2bl w:val="nil"/>
                  </w:tcBorders>
                  <w:vAlign w:val="center"/>
                </w:tcPr>
                <w:p w14:paraId="12AF9936">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《陕西省生态环境厅关于切实加强建设项目环评中野生动物保护工作的通知》（陕环环评函</w:t>
                  </w:r>
                  <w:r>
                    <w:rPr>
                      <w:rFonts w:hint="default" w:ascii="Times New Roman" w:hAnsi="Times New Roman" w:cs="Times New Roman"/>
                      <w:bCs/>
                      <w:color w:val="000000" w:themeColor="text1"/>
                      <w:szCs w:val="21"/>
                      <w14:textFill>
                        <w14:solidFill>
                          <w14:schemeClr w14:val="tx1"/>
                        </w14:solidFill>
                      </w14:textFill>
                    </w:rPr>
                    <w:t>〔2024〕</w:t>
                  </w:r>
                  <w:r>
                    <w:rPr>
                      <w:rFonts w:hint="default" w:ascii="Times New Roman" w:hAnsi="Times New Roman" w:cs="Times New Roman"/>
                      <w:color w:val="000000" w:themeColor="text1"/>
                      <w:szCs w:val="21"/>
                      <w14:textFill>
                        <w14:solidFill>
                          <w14:schemeClr w14:val="tx1"/>
                        </w14:solidFill>
                      </w14:textFill>
                    </w:rPr>
                    <w:t>106号</w:t>
                  </w:r>
                  <w:r>
                    <w:rPr>
                      <w:rFonts w:hint="default" w:ascii="Times New Roman" w:hAnsi="Times New Roman" w:cs="Times New Roman"/>
                      <w:color w:val="000000" w:themeColor="text1"/>
                      <w:kern w:val="0"/>
                      <w:szCs w:val="21"/>
                      <w14:textFill>
                        <w14:solidFill>
                          <w14:schemeClr w14:val="tx1"/>
                        </w14:solidFill>
                      </w14:textFill>
                    </w:rPr>
                    <w:t>）</w:t>
                  </w:r>
                </w:p>
              </w:tc>
              <w:tc>
                <w:tcPr>
                  <w:tcW w:w="2423" w:type="dxa"/>
                  <w:tcBorders>
                    <w:tl2br w:val="nil"/>
                    <w:tr2bl w:val="nil"/>
                  </w:tcBorders>
                  <w:shd w:val="clear" w:color="auto" w:fill="auto"/>
                  <w:vAlign w:val="center"/>
                </w:tcPr>
                <w:p w14:paraId="75955693">
                  <w:pPr>
                    <w:pStyle w:val="30"/>
                    <w:spacing w:after="0"/>
                    <w:ind w:left="0" w:leftChars="0" w:firstLine="0"/>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一、环评审批中应关注对野生动物的影响，对可能影响自然保护地以及其他野生动物重要栖息地、迁徙洄游通道的，应征求野生动物保护主管部门意见。</w:t>
                  </w:r>
                </w:p>
                <w:p w14:paraId="7D273AD0">
                  <w:pPr>
                    <w:pStyle w:val="30"/>
                    <w:spacing w:after="0"/>
                    <w:ind w:left="0" w:leftChars="0" w:firstLin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华人民共和国野生动物保护法》第十三条第二款规定：“禁止在自然保护地建设法律法规规定不得建设的项目。机场、铁路、公路、航道、水利水电、风电、光伏发电、围堰、围填海等建设项目的选址选线，应当避让自然保护地以及其他野生动物重要栖息地、迁徙洄游通道；确实无法避让的，应当采取修建野生动物通道、过鱼设施等措施，消除或者减少对野生动物的不利影响。”同时《中华人民共和国野生动物保护法》第十三条第三款规定：“建设项目可能对自然保护地以及其他野生动物重要栖息地、迁徙洄游通道产生影响的，环境影响评价文件的审批部门在审批环境影响评价文件时，涉及国家重点保护野生动物的，应当征求国务院野生动物保护主管部门意见；涉及地方重点保护野生动物的，应当征求省、自治区、直辖市人民政府野生动物保护主管部门意见。”</w:t>
                  </w:r>
                </w:p>
              </w:tc>
              <w:tc>
                <w:tcPr>
                  <w:tcW w:w="1949" w:type="dxa"/>
                  <w:tcBorders>
                    <w:tl2br w:val="nil"/>
                    <w:tr2bl w:val="nil"/>
                  </w:tcBorders>
                  <w:vAlign w:val="center"/>
                </w:tcPr>
                <w:p w14:paraId="65082FAD">
                  <w:pPr>
                    <w:keepLines/>
                    <w:rPr>
                      <w:rFonts w:hint="default" w:ascii="Times New Roman" w:hAnsi="Times New Roman" w:cs="Times New Roman"/>
                      <w:color w:val="000000" w:themeColor="text1"/>
                      <w:kern w:val="0"/>
                      <w:szCs w:val="21"/>
                      <w:lang w:val="en-US"/>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w:t>
                  </w:r>
                  <w:r>
                    <w:rPr>
                      <w:rFonts w:hint="default" w:ascii="Times New Roman" w:hAnsi="Times New Roman" w:cs="Times New Roman"/>
                      <w:color w:val="000000" w:themeColor="text1"/>
                      <w:kern w:val="0"/>
                      <w:szCs w:val="21"/>
                      <w:lang w:val="en-US" w:eastAsia="zh-CN"/>
                      <w14:textFill>
                        <w14:solidFill>
                          <w14:schemeClr w14:val="tx1"/>
                        </w14:solidFill>
                      </w14:textFill>
                    </w:rPr>
                    <w:t>属于风电项目，位于</w:t>
                  </w:r>
                  <w:r>
                    <w:rPr>
                      <w:rFonts w:hint="default" w:ascii="Times New Roman" w:hAnsi="Times New Roman" w:cs="Times New Roman"/>
                      <w:color w:val="000000" w:themeColor="text1"/>
                      <w:szCs w:val="21"/>
                      <w:lang w:val="en-US" w:eastAsia="zh-CN"/>
                      <w14:textFill>
                        <w14:solidFill>
                          <w14:schemeClr w14:val="tx1"/>
                        </w14:solidFill>
                      </w14:textFill>
                    </w:rPr>
                    <w:t>宝鸡市陈仓区拓石</w:t>
                  </w:r>
                  <w:r>
                    <w:rPr>
                      <w:rFonts w:hint="default" w:ascii="Times New Roman" w:hAnsi="Times New Roman" w:cs="Times New Roman"/>
                      <w:color w:val="000000" w:themeColor="text1"/>
                      <w:szCs w:val="21"/>
                      <w14:textFill>
                        <w14:solidFill>
                          <w14:schemeClr w14:val="tx1"/>
                        </w14:solidFill>
                      </w14:textFill>
                    </w:rPr>
                    <w:t>镇</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根据调查项目</w:t>
                  </w:r>
                  <w:r>
                    <w:rPr>
                      <w:rFonts w:hint="default" w:ascii="Times New Roman" w:hAnsi="Times New Roman" w:cs="Times New Roman"/>
                      <w:color w:val="000000" w:themeColor="text1"/>
                      <w:kern w:val="0"/>
                      <w:szCs w:val="21"/>
                      <w14:textFill>
                        <w14:solidFill>
                          <w14:schemeClr w14:val="tx1"/>
                        </w14:solidFill>
                      </w14:textFill>
                    </w:rPr>
                    <w:t>选址区域内无国家级、省级重点保护野生动物</w:t>
                  </w:r>
                  <w:r>
                    <w:rPr>
                      <w:rFonts w:hint="default" w:ascii="Times New Roman" w:hAnsi="Times New Roman" w:cs="Times New Roman"/>
                      <w:color w:val="000000" w:themeColor="text1"/>
                      <w:kern w:val="0"/>
                      <w:szCs w:val="21"/>
                      <w:lang w:val="en-US" w:eastAsia="zh-CN"/>
                      <w14:textFill>
                        <w14:solidFill>
                          <w14:schemeClr w14:val="tx1"/>
                        </w14:solidFill>
                      </w14:textFill>
                    </w:rPr>
                    <w:t>自然保护地，不涉及其重要栖息地、迁徙洄游通道，具体内容分析见生态分析</w:t>
                  </w:r>
                </w:p>
              </w:tc>
              <w:tc>
                <w:tcPr>
                  <w:tcW w:w="640" w:type="dxa"/>
                  <w:tcBorders>
                    <w:tl2br w:val="nil"/>
                    <w:tr2bl w:val="nil"/>
                  </w:tcBorders>
                  <w:vAlign w:val="center"/>
                </w:tcPr>
                <w:p w14:paraId="0619F244">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22C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tl2br w:val="nil"/>
                    <w:tr2bl w:val="nil"/>
                  </w:tcBorders>
                  <w:vAlign w:val="center"/>
                </w:tcPr>
                <w:p w14:paraId="5A5F1433">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1176" w:type="dxa"/>
                  <w:tcBorders>
                    <w:tl2br w:val="nil"/>
                    <w:tr2bl w:val="nil"/>
                  </w:tcBorders>
                  <w:vAlign w:val="center"/>
                </w:tcPr>
                <w:p w14:paraId="0C96BE8C">
                  <w:pPr>
                    <w:keepLines/>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《陕西省秦岭生态环境保护条例》</w:t>
                  </w:r>
                </w:p>
              </w:tc>
              <w:tc>
                <w:tcPr>
                  <w:tcW w:w="2423" w:type="dxa"/>
                  <w:tcBorders>
                    <w:tl2br w:val="nil"/>
                    <w:tr2bl w:val="nil"/>
                  </w:tcBorders>
                  <w:shd w:val="clear" w:color="auto" w:fill="auto"/>
                  <w:vAlign w:val="center"/>
                </w:tcPr>
                <w:p w14:paraId="503E7D18">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一、</w:t>
                  </w:r>
                  <w:r>
                    <w:rPr>
                      <w:rFonts w:hint="default" w:ascii="Times New Roman" w:hAnsi="Times New Roman" w:cs="Times New Roman"/>
                      <w:color w:val="000000" w:themeColor="text1"/>
                      <w14:textFill>
                        <w14:solidFill>
                          <w14:schemeClr w14:val="tx1"/>
                        </w14:solidFill>
                      </w14:textFill>
                    </w:rPr>
                    <w:t>在秦岭范围内的生产、生活和建设活动应当符合秦岭生态环境保护规划，依法采取相应生态环境保护措施，保证秦岭生态功能不降低</w:t>
                  </w:r>
                </w:p>
                <w:p w14:paraId="57733031">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二、</w:t>
                  </w:r>
                  <w:r>
                    <w:rPr>
                      <w:rFonts w:hint="default" w:ascii="Times New Roman" w:hAnsi="Times New Roman" w:cs="Times New Roman"/>
                      <w:sz w:val="21"/>
                      <w:szCs w:val="21"/>
                    </w:rPr>
                    <w:t>在秦岭范围内，禁止以下危害野生动植物的行为：</w:t>
                  </w:r>
                </w:p>
                <w:p w14:paraId="7DFB63CD">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rPr>
                    <w:t>①非法猎捕、杀害、采集国家和省重点保护的野生动植物，破坏国家和省重点保护野生动植物栖息地、保护地及其环境；</w:t>
                  </w:r>
                </w:p>
                <w:p w14:paraId="0A343C2A">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rPr>
                    <w:t>②在国家和省重点保护的野生动物栖息地使用污染其生息环境的农药；</w:t>
                  </w:r>
                </w:p>
                <w:p w14:paraId="15A50BED">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rPr>
                    <w:t>③使用非法工具或者非法方法猎捕其他野生动物；</w:t>
                  </w:r>
                </w:p>
                <w:p w14:paraId="4D31F07E">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4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④</w:t>
                  </w:r>
                  <w:r>
                    <w:rPr>
                      <w:rFonts w:hint="default" w:ascii="Times New Roman" w:hAnsi="Times New Roman" w:cs="Times New Roman"/>
                      <w:sz w:val="21"/>
                      <w:szCs w:val="21"/>
                    </w:rPr>
                    <w:fldChar w:fldCharType="end"/>
                  </w:r>
                  <w:r>
                    <w:rPr>
                      <w:rFonts w:hint="default" w:ascii="Times New Roman" w:hAnsi="Times New Roman" w:cs="Times New Roman"/>
                      <w:sz w:val="21"/>
                      <w:szCs w:val="21"/>
                    </w:rPr>
                    <w:t>损坏保护设施和保护标志；</w:t>
                  </w:r>
                </w:p>
                <w:p w14:paraId="62A05725">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sz w:val="21"/>
                      <w:szCs w:val="21"/>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5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⑤</w:t>
                  </w:r>
                  <w:r>
                    <w:rPr>
                      <w:rFonts w:hint="default" w:ascii="Times New Roman" w:hAnsi="Times New Roman" w:cs="Times New Roman"/>
                      <w:sz w:val="21"/>
                      <w:szCs w:val="21"/>
                    </w:rPr>
                    <w:fldChar w:fldCharType="end"/>
                  </w:r>
                  <w:r>
                    <w:rPr>
                      <w:rFonts w:hint="default" w:ascii="Times New Roman" w:hAnsi="Times New Roman" w:cs="Times New Roman"/>
                      <w:sz w:val="21"/>
                      <w:szCs w:val="21"/>
                    </w:rPr>
                    <w:t>非法引进、放归外来物种，随意放生野生动物；</w:t>
                  </w:r>
                </w:p>
                <w:p w14:paraId="206FB963">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rP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 6 \* GB3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⑥</w:t>
                  </w:r>
                  <w:r>
                    <w:rPr>
                      <w:rFonts w:hint="default" w:ascii="Times New Roman" w:hAnsi="Times New Roman" w:cs="Times New Roman"/>
                      <w:sz w:val="21"/>
                      <w:szCs w:val="21"/>
                    </w:rPr>
                    <w:fldChar w:fldCharType="end"/>
                  </w:r>
                  <w:r>
                    <w:rPr>
                      <w:rFonts w:hint="default" w:ascii="Times New Roman" w:hAnsi="Times New Roman" w:cs="Times New Roman"/>
                      <w:sz w:val="21"/>
                      <w:szCs w:val="21"/>
                    </w:rPr>
                    <w:t>法律法规禁止的其他危害野生动植物的行为</w:t>
                  </w:r>
                </w:p>
              </w:tc>
              <w:tc>
                <w:tcPr>
                  <w:tcW w:w="1949" w:type="dxa"/>
                  <w:tcBorders>
                    <w:tl2br w:val="nil"/>
                    <w:tr2bl w:val="nil"/>
                  </w:tcBorders>
                  <w:vAlign w:val="center"/>
                </w:tcPr>
                <w:p w14:paraId="0851E7A0">
                  <w:pPr>
                    <w:keepLines/>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根据</w:t>
                  </w:r>
                  <w:r>
                    <w:rPr>
                      <w:rFonts w:hint="default" w:ascii="Times New Roman" w:hAnsi="Times New Roman" w:cs="Times New Roman"/>
                      <w:color w:val="000000" w:themeColor="text1"/>
                      <w:kern w:val="0"/>
                      <w:szCs w:val="21"/>
                      <w14:textFill>
                        <w14:solidFill>
                          <w14:schemeClr w14:val="tx1"/>
                        </w14:solidFill>
                      </w14:textFill>
                    </w:rPr>
                    <w:t>宝鸡市人民政府办公室</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14:textFill>
                        <w14:solidFill>
                          <w14:schemeClr w14:val="tx1"/>
                        </w14:solidFill>
                      </w14:textFill>
                    </w:rPr>
                    <w:t>关于印发秦岭生态环境保护规划的通知</w:t>
                  </w:r>
                  <w:r>
                    <w:rPr>
                      <w:rFonts w:hint="default" w:ascii="Times New Roman" w:hAnsi="Times New Roman" w:cs="Times New Roman"/>
                      <w:color w:val="000000" w:themeColor="text1"/>
                      <w:kern w:val="0"/>
                      <w:szCs w:val="21"/>
                      <w:lang w:eastAsia="zh-CN"/>
                      <w14:textFill>
                        <w14:solidFill>
                          <w14:schemeClr w14:val="tx1"/>
                        </w14:solidFill>
                      </w14:textFill>
                    </w:rPr>
                    <w:t>》（宝政办发〔2020〕51号）</w:t>
                  </w:r>
                  <w:r>
                    <w:rPr>
                      <w:rFonts w:hint="default" w:ascii="Times New Roman" w:hAnsi="Times New Roman" w:cs="Times New Roman"/>
                      <w:color w:val="000000" w:themeColor="text1"/>
                      <w:kern w:val="0"/>
                      <w:szCs w:val="21"/>
                      <w:lang w:val="en-US" w:eastAsia="zh-CN"/>
                      <w14:textFill>
                        <w14:solidFill>
                          <w14:schemeClr w14:val="tx1"/>
                        </w14:solidFill>
                      </w14:textFill>
                    </w:rPr>
                    <w:t>可知，《宝鸡市秦岭生态环境保护规划》规划范围涉及岐山县、眉县、凤县、太白县、渭滨区、陈仓区6个县（区）和宝鸡高新区，共31个镇（街）226 个行政村（社区），总面积约0.75万平方公里，其中陈仓区拓</w:t>
                  </w:r>
                  <w:r>
                    <w:rPr>
                      <w:rFonts w:hint="default" w:ascii="Times New Roman" w:hAnsi="Times New Roman" w:cs="Times New Roman"/>
                      <w:color w:val="auto"/>
                      <w:kern w:val="0"/>
                      <w:szCs w:val="21"/>
                      <w:lang w:val="en-US" w:eastAsia="zh-CN"/>
                    </w:rPr>
                    <w:t>石镇涉及仙龙村，本项目不在秦岭生态保护范围内（具体见附图10）。</w:t>
                  </w:r>
                </w:p>
              </w:tc>
              <w:tc>
                <w:tcPr>
                  <w:tcW w:w="640" w:type="dxa"/>
                  <w:tcBorders>
                    <w:tl2br w:val="nil"/>
                    <w:tr2bl w:val="nil"/>
                  </w:tcBorders>
                  <w:vAlign w:val="center"/>
                </w:tcPr>
                <w:p w14:paraId="492F99CD">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B42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tl2br w:val="nil"/>
                    <w:tr2bl w:val="nil"/>
                  </w:tcBorders>
                  <w:vAlign w:val="center"/>
                </w:tcPr>
                <w:p w14:paraId="2E585BD2">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1176" w:type="dxa"/>
                  <w:tcBorders>
                    <w:tl2br w:val="nil"/>
                    <w:tr2bl w:val="nil"/>
                  </w:tcBorders>
                  <w:vAlign w:val="center"/>
                </w:tcPr>
                <w:p w14:paraId="7B055A82">
                  <w:pPr>
                    <w:keepLines/>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宝鸡市大气污染防治条例</w:t>
                  </w:r>
                </w:p>
              </w:tc>
              <w:tc>
                <w:tcPr>
                  <w:tcW w:w="2423" w:type="dxa"/>
                  <w:tcBorders>
                    <w:tl2br w:val="nil"/>
                    <w:tr2bl w:val="nil"/>
                  </w:tcBorders>
                  <w:shd w:val="clear" w:color="auto" w:fill="auto"/>
                  <w:vAlign w:val="center"/>
                </w:tcPr>
                <w:p w14:paraId="237F6098">
                  <w:pPr>
                    <w:pStyle w:val="3"/>
                    <w:keepNext/>
                    <w:keepLines/>
                    <w:pageBreakBefore w:val="0"/>
                    <w:widowControl w:val="0"/>
                    <w:kinsoku/>
                    <w:wordWrap/>
                    <w:overflowPunct/>
                    <w:topLinePunct w:val="0"/>
                    <w:autoSpaceDE/>
                    <w:autoSpaceDN/>
                    <w:bidi w:val="0"/>
                    <w:adjustRightInd/>
                    <w:snapToGrid/>
                    <w:spacing w:before="0" w:beforeLines="0" w:after="0" w:afterLines="0" w:line="240" w:lineRule="atLeast"/>
                    <w:textAlignment w:val="auto"/>
                    <w:rPr>
                      <w:rFonts w:hint="default" w:ascii="Times New Roman" w:hAnsi="Times New Roman" w:cs="Times New Roman"/>
                    </w:rPr>
                  </w:pPr>
                  <w:r>
                    <w:rPr>
                      <w:rFonts w:hint="default" w:ascii="Times New Roman" w:hAnsi="Times New Roman" w:cs="Times New Roman"/>
                      <w:sz w:val="21"/>
                      <w:szCs w:val="21"/>
                    </w:rPr>
                    <w:t>运输煤炭、垃圾、渣土、砂石、土方、灰浆等散装、流体物料的车辆，应当保持车体清洁，采取密闭或者其他措施防止物料遗撒造成扬尘污染，并按照规定路线、时段行驶</w:t>
                  </w:r>
                </w:p>
              </w:tc>
              <w:tc>
                <w:tcPr>
                  <w:tcW w:w="1949" w:type="dxa"/>
                  <w:tcBorders>
                    <w:tl2br w:val="nil"/>
                    <w:tr2bl w:val="nil"/>
                  </w:tcBorders>
                  <w:vAlign w:val="center"/>
                </w:tcPr>
                <w:p w14:paraId="77B17191">
                  <w:pPr>
                    <w:keepLines/>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对施工现场集中堆放的开挖土方采取覆盖，对易引起扬尘的物料采用绿色遮阳网、密目网进行全部覆盖，严禁裸露；及时清理堆放在场地和道路上的弃土、弃渣及抛撒料，要适时洒水灭尘，对不能及时清运的，采取覆盖等措施，从而减少扬尘对周围环境的影响</w:t>
                  </w:r>
                </w:p>
              </w:tc>
              <w:tc>
                <w:tcPr>
                  <w:tcW w:w="640" w:type="dxa"/>
                  <w:tcBorders>
                    <w:tl2br w:val="nil"/>
                    <w:tr2bl w:val="nil"/>
                  </w:tcBorders>
                  <w:vAlign w:val="center"/>
                </w:tcPr>
                <w:p w14:paraId="7E3FC1F4">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符合</w:t>
                  </w:r>
                </w:p>
              </w:tc>
            </w:tr>
            <w:tr w14:paraId="32EA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91" w:hRule="atLeast"/>
                <w:jc w:val="center"/>
              </w:trPr>
              <w:tc>
                <w:tcPr>
                  <w:tcW w:w="629" w:type="dxa"/>
                  <w:tcBorders>
                    <w:tl2br w:val="nil"/>
                    <w:tr2bl w:val="nil"/>
                  </w:tcBorders>
                  <w:vAlign w:val="center"/>
                </w:tcPr>
                <w:p w14:paraId="3129AE0A">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176" w:type="dxa"/>
                  <w:tcBorders>
                    <w:tl2br w:val="nil"/>
                    <w:tr2bl w:val="nil"/>
                  </w:tcBorders>
                  <w:vAlign w:val="center"/>
                </w:tcPr>
                <w:p w14:paraId="270689DB">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宝鸡</w:t>
                  </w:r>
                  <w:r>
                    <w:rPr>
                      <w:rFonts w:hint="default" w:ascii="Times New Roman" w:hAnsi="Times New Roman" w:cs="Times New Roman"/>
                      <w:color w:val="000000" w:themeColor="text1"/>
                      <w:kern w:val="0"/>
                      <w:szCs w:val="21"/>
                      <w14:textFill>
                        <w14:solidFill>
                          <w14:schemeClr w14:val="tx1"/>
                        </w14:solidFill>
                      </w14:textFill>
                    </w:rPr>
                    <w:t>市大气污染治理专项行动方案（2023-2027年）》</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eastAsia="zh-Hans"/>
                      <w14:textFill>
                        <w14:solidFill>
                          <w14:schemeClr w14:val="tx1"/>
                        </w14:solidFill>
                      </w14:textFill>
                    </w:rPr>
                    <w:t>宝发</w:t>
                  </w:r>
                  <w:r>
                    <w:rPr>
                      <w:rFonts w:hint="default" w:ascii="Times New Roman" w:hAnsi="Times New Roman" w:eastAsia="宋体" w:cs="Times New Roman"/>
                      <w:color w:val="000000" w:themeColor="text1"/>
                      <w:kern w:val="0"/>
                      <w:szCs w:val="21"/>
                      <w14:textFill>
                        <w14:solidFill>
                          <w14:schemeClr w14:val="tx1"/>
                        </w14:solidFill>
                      </w14:textFill>
                    </w:rPr>
                    <w:t>〔2023〕</w:t>
                  </w:r>
                  <w:r>
                    <w:rPr>
                      <w:rFonts w:hint="default" w:ascii="Times New Roman" w:hAnsi="Times New Roman" w:cs="Times New Roman"/>
                      <w:color w:val="000000" w:themeColor="text1"/>
                      <w:lang w:eastAsia="zh-Hans"/>
                      <w14:textFill>
                        <w14:solidFill>
                          <w14:schemeClr w14:val="tx1"/>
                        </w14:solidFill>
                      </w14:textFill>
                    </w:rPr>
                    <w:t>8号</w:t>
                  </w:r>
                  <w:r>
                    <w:rPr>
                      <w:rFonts w:hint="default" w:ascii="Times New Roman" w:hAnsi="Times New Roman" w:cs="Times New Roman"/>
                      <w:color w:val="000000" w:themeColor="text1"/>
                      <w14:textFill>
                        <w14:solidFill>
                          <w14:schemeClr w14:val="tx1"/>
                        </w14:solidFill>
                      </w14:textFill>
                    </w:rPr>
                    <w:t>）</w:t>
                  </w:r>
                </w:p>
              </w:tc>
              <w:tc>
                <w:tcPr>
                  <w:tcW w:w="2423" w:type="dxa"/>
                  <w:tcBorders>
                    <w:tl2br w:val="nil"/>
                    <w:tr2bl w:val="nil"/>
                  </w:tcBorders>
                  <w:shd w:val="clear" w:color="auto" w:fill="auto"/>
                  <w:vAlign w:val="center"/>
                </w:tcPr>
                <w:p w14:paraId="40E35054">
                  <w:pP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kern w:val="2"/>
                      <w:sz w:val="21"/>
                      <w:szCs w:val="21"/>
                      <w:lang w:val="en-US" w:eastAsia="zh-CN" w:bidi="ar-SA"/>
                    </w:rPr>
                    <w:t>产业发展结构调整。关中地区严禁新增钢铁、焦化水泥熟料、平板玻璃、电解铝、氧化铝、煤化工产能，合理控制煤制油气产能规模，严控新增炼油产能。市辖区及开发区新、改、扩建涉气重点行业企业应达到环保绩效A级、绩效引领性水平</w:t>
                  </w:r>
                </w:p>
              </w:tc>
              <w:tc>
                <w:tcPr>
                  <w:tcW w:w="1949" w:type="dxa"/>
                  <w:tcBorders>
                    <w:tl2br w:val="nil"/>
                    <w:tr2bl w:val="nil"/>
                  </w:tcBorders>
                  <w:vAlign w:val="center"/>
                </w:tcPr>
                <w:p w14:paraId="6B8D8213">
                  <w:pPr>
                    <w:keepLines/>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本项目为风力发电项目，不属于“两高”项目</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亦不属于39个重点行业</w:t>
                  </w:r>
                </w:p>
              </w:tc>
              <w:tc>
                <w:tcPr>
                  <w:tcW w:w="640" w:type="dxa"/>
                  <w:tcBorders>
                    <w:tl2br w:val="nil"/>
                    <w:tr2bl w:val="nil"/>
                  </w:tcBorders>
                  <w:vAlign w:val="center"/>
                </w:tcPr>
                <w:p w14:paraId="2EC411C2">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4CF2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tcBorders>
                    <w:tl2br w:val="nil"/>
                    <w:tr2bl w:val="nil"/>
                  </w:tcBorders>
                  <w:vAlign w:val="center"/>
                </w:tcPr>
                <w:p w14:paraId="2B85361A">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176" w:type="dxa"/>
                  <w:tcBorders>
                    <w:tl2br w:val="nil"/>
                    <w:tr2bl w:val="nil"/>
                  </w:tcBorders>
                  <w:vAlign w:val="center"/>
                </w:tcPr>
                <w:p w14:paraId="30794C47">
                  <w:pPr>
                    <w:keepLines/>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宝鸡</w:t>
                  </w:r>
                  <w:r>
                    <w:rPr>
                      <w:rFonts w:hint="default" w:ascii="Times New Roman" w:hAnsi="Times New Roman" w:cs="Times New Roman"/>
                      <w:color w:val="000000" w:themeColor="text1"/>
                      <w:kern w:val="0"/>
                      <w:szCs w:val="21"/>
                      <w14:textFill>
                        <w14:solidFill>
                          <w14:schemeClr w14:val="tx1"/>
                        </w14:solidFill>
                      </w14:textFill>
                    </w:rPr>
                    <w:t>市“十四五”生态环境保护规划》</w:t>
                  </w:r>
                </w:p>
              </w:tc>
              <w:tc>
                <w:tcPr>
                  <w:tcW w:w="2423" w:type="dxa"/>
                  <w:tcBorders>
                    <w:tl2br w:val="nil"/>
                    <w:tr2bl w:val="nil"/>
                  </w:tcBorders>
                  <w:shd w:val="clear" w:color="auto" w:fill="auto"/>
                  <w:vAlign w:val="center"/>
                </w:tcPr>
                <w:p w14:paraId="3870088D">
                  <w:pPr>
                    <w:widowControl/>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auto"/>
                      <w:kern w:val="2"/>
                      <w:sz w:val="21"/>
                      <w:szCs w:val="21"/>
                      <w:highlight w:val="none"/>
                      <w:lang w:val="en-US" w:eastAsia="zh-CN" w:bidi="ar-SA"/>
                    </w:rPr>
                    <w:t>严格控制煤炭消费总量。持续扩大高污染燃料禁燃区范围，全面执行高污染燃料禁销、禁用政策，2025年高污染燃料禁燃区范围市区建成区占比达到100%。实施煤炭消费总量控制，耗煤新项目实施煤炭减量替代，重点削减非电力用煤。优化天然气使用方向，严格落实“以气定改”政策，新增天然气气量优先用于居民生活用气和冬季取暖散煤替代。持续推进山区县的“电代煤、气代煤”双替代取暖热源建设，减少燃煤使用</w:t>
                  </w:r>
                </w:p>
              </w:tc>
              <w:tc>
                <w:tcPr>
                  <w:tcW w:w="1949" w:type="dxa"/>
                  <w:tcBorders>
                    <w:tl2br w:val="nil"/>
                    <w:tr2bl w:val="nil"/>
                  </w:tcBorders>
                  <w:vAlign w:val="center"/>
                </w:tcPr>
                <w:p w14:paraId="3D04CB03">
                  <w:pPr>
                    <w:keepLines/>
                    <w:rPr>
                      <w:rFonts w:hint="default" w:ascii="Times New Roman" w:hAnsi="Times New Roman" w:cs="Times New Roman"/>
                      <w:color w:val="000000" w:themeColor="text1"/>
                      <w:kern w:val="0"/>
                      <w:szCs w:val="21"/>
                      <w:lang w:val="en-US"/>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本项目为风力发电项目，属于绿色能源的开发和利</w:t>
                  </w:r>
                  <w:r>
                    <w:rPr>
                      <w:rFonts w:hint="default" w:ascii="Times New Roman" w:hAnsi="Times New Roman" w:cs="Times New Roman"/>
                      <w:color w:val="000000" w:themeColor="text1"/>
                      <w:kern w:val="0"/>
                      <w:szCs w:val="21"/>
                      <w:lang w:val="en-US" w:eastAsia="zh-CN"/>
                      <w14:textFill>
                        <w14:solidFill>
                          <w14:schemeClr w14:val="tx1"/>
                        </w14:solidFill>
                      </w14:textFill>
                    </w:rPr>
                    <w:t>用项目，不属于煤炭消耗企业</w:t>
                  </w:r>
                </w:p>
              </w:tc>
              <w:tc>
                <w:tcPr>
                  <w:tcW w:w="640" w:type="dxa"/>
                  <w:tcBorders>
                    <w:tl2br w:val="nil"/>
                    <w:tr2bl w:val="nil"/>
                  </w:tcBorders>
                  <w:vAlign w:val="center"/>
                </w:tcPr>
                <w:p w14:paraId="7BECF7FF">
                  <w:pPr>
                    <w:keepLine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B88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restart"/>
                  <w:tcBorders>
                    <w:tl2br w:val="nil"/>
                    <w:tr2bl w:val="nil"/>
                  </w:tcBorders>
                  <w:vAlign w:val="center"/>
                </w:tcPr>
                <w:p w14:paraId="0C0D03D4">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1176" w:type="dxa"/>
                  <w:vMerge w:val="restart"/>
                  <w:tcBorders>
                    <w:tl2br w:val="nil"/>
                    <w:tr2bl w:val="nil"/>
                  </w:tcBorders>
                  <w:vAlign w:val="center"/>
                </w:tcPr>
                <w:p w14:paraId="65B8375F">
                  <w:pPr>
                    <w:keepLines/>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宝鸡市陈仓区大气污染治理专项行动方案(2023-2027年)</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r>
                    <w:rPr>
                      <w:rFonts w:hint="default" w:ascii="Times New Roman" w:hAnsi="Times New Roman" w:eastAsia="宋体" w:cs="Times New Roman"/>
                      <w:color w:val="000000" w:themeColor="text1"/>
                      <w:kern w:val="0"/>
                      <w:szCs w:val="21"/>
                      <w14:textFill>
                        <w14:solidFill>
                          <w14:schemeClr w14:val="tx1"/>
                        </w14:solidFill>
                      </w14:textFill>
                    </w:rPr>
                    <w:t>宝陈发〔2023〕</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6</w:t>
                  </w:r>
                  <w:r>
                    <w:rPr>
                      <w:rFonts w:hint="default" w:ascii="Times New Roman" w:hAnsi="Times New Roman" w:eastAsia="宋体" w:cs="Times New Roman"/>
                      <w:color w:val="000000" w:themeColor="text1"/>
                      <w:kern w:val="0"/>
                      <w:szCs w:val="21"/>
                      <w14:textFill>
                        <w14:solidFill>
                          <w14:schemeClr w14:val="tx1"/>
                        </w14:solidFill>
                      </w14:textFill>
                    </w:rPr>
                    <w:t>号</w:t>
                  </w:r>
                  <w:r>
                    <w:rPr>
                      <w:rFonts w:hint="default" w:ascii="Times New Roman" w:hAnsi="Times New Roman" w:eastAsia="宋体" w:cs="Times New Roman"/>
                      <w:color w:val="000000" w:themeColor="text1"/>
                      <w:kern w:val="0"/>
                      <w:szCs w:val="21"/>
                      <w:lang w:eastAsia="zh-CN"/>
                      <w14:textFill>
                        <w14:solidFill>
                          <w14:schemeClr w14:val="tx1"/>
                        </w14:solidFill>
                      </w14:textFill>
                    </w:rPr>
                    <w:t>）</w:t>
                  </w:r>
                </w:p>
              </w:tc>
              <w:tc>
                <w:tcPr>
                  <w:tcW w:w="2423" w:type="dxa"/>
                  <w:tcBorders>
                    <w:tl2br w:val="nil"/>
                    <w:tr2bl w:val="nil"/>
                  </w:tcBorders>
                  <w:shd w:val="clear" w:color="auto" w:fill="auto"/>
                  <w:vAlign w:val="center"/>
                </w:tcPr>
                <w:p w14:paraId="0FF9AFC5">
                  <w:pPr>
                    <w:widowControl/>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产业发展结构调整。严禁新增水泥熟料、电解铝、氧化铝、产能。不得新增化工园区。严格执行《产业结构调整指导目录》，坚决遏制“两高”项目盲目发展，严格落实国家产业规划、产业政策、“三线一单”、规划环评，以及产能置换、煤炭消费减量替代、区域污染物削减等要求，严禁不符合规定的项目建设。辖区新、改、扩建涉气重点行业企业应达到环保绩效A级、绩效引领性水平</w:t>
                  </w:r>
                </w:p>
              </w:tc>
              <w:tc>
                <w:tcPr>
                  <w:tcW w:w="1949" w:type="dxa"/>
                  <w:tcBorders>
                    <w:tl2br w:val="nil"/>
                    <w:tr2bl w:val="nil"/>
                  </w:tcBorders>
                  <w:vAlign w:val="center"/>
                </w:tcPr>
                <w:p w14:paraId="13EFB131">
                  <w:pPr>
                    <w:keepLines/>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本项目为风力发电项目，不属于“两高”项目</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default" w:ascii="Times New Roman" w:hAnsi="Times New Roman" w:cs="Times New Roman"/>
                      <w:color w:val="000000" w:themeColor="text1"/>
                      <w:kern w:val="0"/>
                      <w:szCs w:val="21"/>
                      <w:lang w:val="en-US" w:eastAsia="zh-CN"/>
                      <w14:textFill>
                        <w14:solidFill>
                          <w14:schemeClr w14:val="tx1"/>
                        </w14:solidFill>
                      </w14:textFill>
                    </w:rPr>
                    <w:t>亦不属于39个重点行业</w:t>
                  </w:r>
                </w:p>
              </w:tc>
              <w:tc>
                <w:tcPr>
                  <w:tcW w:w="640" w:type="dxa"/>
                  <w:tcBorders>
                    <w:tl2br w:val="nil"/>
                    <w:tr2bl w:val="nil"/>
                  </w:tcBorders>
                  <w:vAlign w:val="center"/>
                </w:tcPr>
                <w:p w14:paraId="5DAC617A">
                  <w:pPr>
                    <w:keepLines/>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符合</w:t>
                  </w:r>
                </w:p>
              </w:tc>
            </w:tr>
            <w:tr w14:paraId="3C4A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continue"/>
                  <w:tcBorders>
                    <w:tl2br w:val="nil"/>
                    <w:tr2bl w:val="nil"/>
                  </w:tcBorders>
                  <w:vAlign w:val="center"/>
                </w:tcPr>
                <w:p w14:paraId="4E669154">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176" w:type="dxa"/>
                  <w:vMerge w:val="continue"/>
                  <w:tcBorders>
                    <w:tl2br w:val="nil"/>
                    <w:tr2bl w:val="nil"/>
                  </w:tcBorders>
                  <w:vAlign w:val="center"/>
                </w:tcPr>
                <w:p w14:paraId="6F01D64D">
                  <w:pPr>
                    <w:keepLines/>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2423" w:type="dxa"/>
                  <w:tcBorders>
                    <w:tl2br w:val="nil"/>
                    <w:tr2bl w:val="nil"/>
                  </w:tcBorders>
                  <w:shd w:val="clear" w:color="auto" w:fill="auto"/>
                  <w:vAlign w:val="center"/>
                </w:tcPr>
                <w:p w14:paraId="40160BA8">
                  <w:pPr>
                    <w:ind w:right="6" w:rightChars="0"/>
                    <w:rPr>
                      <w:rFonts w:hint="default" w:ascii="Times New Roman" w:hAnsi="Times New Roman" w:eastAsia="宋体" w:cs="Times New Roman"/>
                      <w:bCs/>
                      <w:color w:val="000000"/>
                      <w:kern w:val="2"/>
                      <w:sz w:val="21"/>
                      <w:szCs w:val="21"/>
                      <w:lang w:val="en-US" w:eastAsia="zh-CN" w:bidi="ar-SA"/>
                    </w:rPr>
                  </w:pPr>
                  <w:r>
                    <w:rPr>
                      <w:rFonts w:hint="default" w:ascii="Times New Roman" w:hAnsi="Times New Roman" w:cs="Times New Roman"/>
                      <w:bCs/>
                      <w:color w:val="000000"/>
                      <w:szCs w:val="21"/>
                    </w:rPr>
                    <w:t>7.车辆优化工程。有序推进绿色货运配送示范城市建设。2025年底前淘汰国三及以下排放标准柴油货车，推进淘汰国一及以下非道路移动工程机械。2025年新能源和国六排放标准货车保有量占比达到40%左右。推进渣土车、商砼车新能源或国六排放标准车辆替代，逐步淘汰渣土清运行业国五及以下排放标准柴油车辆。强化非道路移动机械排放控制区管控，完善非道路移动机械编码登记，到2025年不符合第三阶段和在用非道路移动机械排放标准三类限值的机械禁止使用，具备条件的可更换国四及以上排放标准的发动机。</w:t>
                  </w:r>
                </w:p>
              </w:tc>
              <w:tc>
                <w:tcPr>
                  <w:tcW w:w="1949" w:type="dxa"/>
                  <w:tcBorders>
                    <w:tl2br w:val="nil"/>
                    <w:tr2bl w:val="nil"/>
                  </w:tcBorders>
                  <w:shd w:val="clear" w:color="auto" w:fill="auto"/>
                  <w:vAlign w:val="center"/>
                </w:tcPr>
                <w:p w14:paraId="55690FF8">
                  <w:pPr>
                    <w:ind w:right="6" w:rightChars="0"/>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Cs w:val="21"/>
                    </w:rPr>
                    <w:t>本项目施工场内非道路移动机械符合非道路移动柴油机械第四阶段排放标准</w:t>
                  </w:r>
                </w:p>
              </w:tc>
              <w:tc>
                <w:tcPr>
                  <w:tcW w:w="640" w:type="dxa"/>
                  <w:tcBorders>
                    <w:tl2br w:val="nil"/>
                    <w:tr2bl w:val="nil"/>
                  </w:tcBorders>
                  <w:shd w:val="clear" w:color="auto" w:fill="auto"/>
                  <w:vAlign w:val="center"/>
                </w:tcPr>
                <w:p w14:paraId="3BF71959">
                  <w:pPr>
                    <w:ind w:right="6" w:right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bCs/>
                      <w:color w:val="000000"/>
                      <w:szCs w:val="21"/>
                    </w:rPr>
                    <w:t>符合</w:t>
                  </w:r>
                </w:p>
              </w:tc>
            </w:tr>
            <w:tr w14:paraId="23FF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29" w:type="dxa"/>
                  <w:vMerge w:val="continue"/>
                </w:tcPr>
                <w:p w14:paraId="41EF4AE6">
                  <w:pPr>
                    <w:keepLines/>
                    <w:jc w:val="center"/>
                    <w:rPr>
                      <w:rFonts w:hint="default" w:ascii="Times New Roman" w:hAnsi="Times New Roman" w:cs="Times New Roman"/>
                      <w:color w:val="000000" w:themeColor="text1"/>
                      <w:szCs w:val="21"/>
                      <w:lang w:val="en-US" w:eastAsia="zh-CN"/>
                      <w14:textFill>
                        <w14:solidFill>
                          <w14:schemeClr w14:val="tx1"/>
                        </w14:solidFill>
                      </w14:textFill>
                    </w:rPr>
                  </w:pPr>
                </w:p>
              </w:tc>
              <w:tc>
                <w:tcPr>
                  <w:tcW w:w="1176" w:type="dxa"/>
                  <w:vMerge w:val="continue"/>
                </w:tcPr>
                <w:p w14:paraId="64602D55">
                  <w:pPr>
                    <w:keepLines/>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0" w:type="auto"/>
                  <w:shd w:val="clear" w:color="auto" w:fill="auto"/>
                  <w:vAlign w:val="center"/>
                </w:tcPr>
                <w:p w14:paraId="42EBAB46">
                  <w:pPr>
                    <w:ind w:right="6" w:rightChars="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8.扬尘治理工程。严格执行施工场地“六个百分百”，施工工地扬尘排放超过《施工场界扬尘排放限值（GB61/1078-2017）》的立即停工整改。除沙尘天气影响外，PM10小时浓度连续3小时超过150微克/立方米时，暂停超过环境质量监测值2.5倍以上施工工地作业。</w:t>
                  </w:r>
                </w:p>
                <w:p w14:paraId="581168F6">
                  <w:pPr>
                    <w:ind w:right="6" w:rightChars="0"/>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强化渣土车运输管理，依法从严查处无证运输、冒尖运输、不按规定路线和时间运输、带泥上路、沿街抛洒等行为。城市建成区、城乡结合部等区域易产生扬尘物料堆放及裸露地块应采取苫盖、植绿等有效抑尘措施。严禁露天装卸作业和物料干法作业。</w:t>
                  </w:r>
                </w:p>
              </w:tc>
              <w:tc>
                <w:tcPr>
                  <w:tcW w:w="0" w:type="auto"/>
                  <w:shd w:val="clear" w:color="auto" w:fill="auto"/>
                  <w:vAlign w:val="center"/>
                </w:tcPr>
                <w:p w14:paraId="159E6880">
                  <w:pPr>
                    <w:ind w:right="6" w:rightChars="0"/>
                    <w:rPr>
                      <w:rFonts w:hint="default" w:ascii="Times New Roman" w:hAnsi="Times New Roman" w:eastAsia="宋体" w:cs="Times New Roman"/>
                      <w:bCs/>
                      <w:color w:val="000000"/>
                      <w:szCs w:val="21"/>
                    </w:rPr>
                  </w:pPr>
                  <w:r>
                    <w:rPr>
                      <w:rFonts w:hint="default" w:ascii="Times New Roman" w:hAnsi="Times New Roman" w:eastAsia="宋体" w:cs="Times New Roman"/>
                      <w:bCs/>
                      <w:color w:val="000000"/>
                      <w:szCs w:val="21"/>
                    </w:rPr>
                    <w:t>本项目施工场地执行“六个百分百”要求，可满足《施工场界扬尘排放限值》（DB61/1078-2017）要求；遇特殊天气将根据要求停止相应施工作业；</w:t>
                  </w:r>
                </w:p>
                <w:p w14:paraId="1B4D914A">
                  <w:pPr>
                    <w:ind w:right="6" w:rightChars="0"/>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Cs/>
                      <w:color w:val="000000"/>
                      <w:szCs w:val="21"/>
                    </w:rPr>
                    <w:t>本项目仅为</w:t>
                  </w:r>
                  <w:r>
                    <w:rPr>
                      <w:rFonts w:hint="default" w:ascii="Times New Roman" w:hAnsi="Times New Roman" w:eastAsia="宋体" w:cs="Times New Roman"/>
                      <w:bCs/>
                      <w:color w:val="000000"/>
                      <w:szCs w:val="21"/>
                      <w:lang w:val="en-US" w:eastAsia="zh-CN"/>
                    </w:rPr>
                    <w:t>风力</w:t>
                  </w:r>
                  <w:r>
                    <w:rPr>
                      <w:rFonts w:hint="default" w:ascii="Times New Roman" w:hAnsi="Times New Roman" w:eastAsia="宋体" w:cs="Times New Roman"/>
                      <w:bCs/>
                      <w:color w:val="000000"/>
                      <w:szCs w:val="21"/>
                    </w:rPr>
                    <w:t>发电项目，无渣土外运；施工物料、裸露地块采取苫盖、植绿等有效抑尘措施</w:t>
                  </w:r>
                </w:p>
              </w:tc>
              <w:tc>
                <w:tcPr>
                  <w:tcW w:w="0" w:type="auto"/>
                  <w:shd w:val="clear" w:color="auto" w:fill="auto"/>
                  <w:vAlign w:val="center"/>
                </w:tcPr>
                <w:p w14:paraId="239FD21F">
                  <w:pPr>
                    <w:ind w:right="6" w:rightChars="0"/>
                    <w:jc w:val="center"/>
                    <w:rPr>
                      <w:rFonts w:hint="default" w:ascii="Times New Roman" w:hAnsi="Times New Roman" w:eastAsia="宋体" w:cs="Times New Roman"/>
                      <w:color w:val="000000"/>
                      <w:kern w:val="2"/>
                      <w:sz w:val="21"/>
                      <w:szCs w:val="24"/>
                      <w:lang w:val="en-US" w:eastAsia="zh-CN" w:bidi="ar-SA"/>
                    </w:rPr>
                  </w:pPr>
                  <w:r>
                    <w:rPr>
                      <w:rFonts w:hint="default" w:ascii="Times New Roman" w:hAnsi="Times New Roman" w:cs="Times New Roman"/>
                      <w:bCs/>
                      <w:color w:val="000000"/>
                      <w:szCs w:val="21"/>
                    </w:rPr>
                    <w:t>符合</w:t>
                  </w:r>
                </w:p>
              </w:tc>
            </w:tr>
          </w:tbl>
          <w:p w14:paraId="70E69CC9">
            <w:pPr>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3、“三线一单”符合性分析</w:t>
            </w:r>
          </w:p>
          <w:p w14:paraId="5A19B724">
            <w:pPr>
              <w:spacing w:line="360" w:lineRule="auto"/>
              <w:ind w:firstLine="480" w:firstLineChars="200"/>
              <w:rPr>
                <w:color w:val="000000" w:themeColor="text1"/>
                <w:sz w:val="24"/>
                <w:lang w:bidi="ar"/>
                <w14:textFill>
                  <w14:solidFill>
                    <w14:schemeClr w14:val="tx1"/>
                  </w14:solidFill>
                </w14:textFill>
              </w:rPr>
            </w:pPr>
            <w:bookmarkStart w:id="3" w:name="_Hlk121325293"/>
            <w:r>
              <w:rPr>
                <w:rFonts w:hint="eastAsia"/>
                <w:color w:val="000000" w:themeColor="text1"/>
                <w:sz w:val="24"/>
                <w:lang w:bidi="ar"/>
                <w14:textFill>
                  <w14:solidFill>
                    <w14:schemeClr w14:val="tx1"/>
                  </w14:solidFill>
                </w14:textFill>
              </w:rPr>
              <w:t>（1）与陕西省“三线一单”符合性分析</w:t>
            </w:r>
          </w:p>
          <w:p w14:paraId="2793BE1D">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项目建设与陕西省“三线一单”符合性分析见表1-2。</w:t>
            </w:r>
          </w:p>
          <w:p w14:paraId="69F136CC">
            <w:pPr>
              <w:jc w:val="center"/>
              <w:rPr>
                <w:b/>
                <w:bCs/>
                <w:color w:val="000000" w:themeColor="text1"/>
                <w:szCs w:val="21"/>
                <w:lang w:bidi="ar"/>
                <w14:textFill>
                  <w14:solidFill>
                    <w14:schemeClr w14:val="tx1"/>
                  </w14:solidFill>
                </w14:textFill>
              </w:rPr>
            </w:pPr>
            <w:r>
              <w:rPr>
                <w:rFonts w:hint="eastAsia"/>
                <w:b/>
                <w:bCs/>
                <w:color w:val="000000" w:themeColor="text1"/>
                <w:szCs w:val="21"/>
                <w:lang w:bidi="ar"/>
                <w14:textFill>
                  <w14:solidFill>
                    <w14:schemeClr w14:val="tx1"/>
                  </w14:solidFill>
                </w14:textFill>
              </w:rPr>
              <w:t>表1-2 “三线一单”符合性分析</w:t>
            </w:r>
          </w:p>
          <w:tbl>
            <w:tblPr>
              <w:tblStyle w:val="32"/>
              <w:tblW w:w="6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134"/>
              <w:gridCol w:w="4117"/>
              <w:gridCol w:w="906"/>
            </w:tblGrid>
            <w:tr w14:paraId="57F30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14:paraId="65D02F43">
                  <w:pPr>
                    <w:pStyle w:val="30"/>
                    <w:spacing w:after="0"/>
                    <w:ind w:left="0" w:leftChars="0" w:firstLine="0"/>
                    <w:jc w:val="center"/>
                    <w:rPr>
                      <w:rFonts w:eastAsia="宋体"/>
                      <w:b/>
                      <w:bCs/>
                      <w:color w:val="000000" w:themeColor="text1"/>
                      <w:sz w:val="21"/>
                      <w:szCs w:val="21"/>
                      <w14:textFill>
                        <w14:solidFill>
                          <w14:schemeClr w14:val="tx1"/>
                        </w14:solidFill>
                      </w14:textFill>
                    </w:rPr>
                  </w:pPr>
                  <w:r>
                    <w:rPr>
                      <w:rFonts w:hint="eastAsia" w:eastAsia="宋体"/>
                      <w:b/>
                      <w:bCs/>
                      <w:color w:val="000000" w:themeColor="text1"/>
                      <w:sz w:val="21"/>
                      <w:szCs w:val="21"/>
                      <w14:textFill>
                        <w14:solidFill>
                          <w14:schemeClr w14:val="tx1"/>
                        </w14:solidFill>
                      </w14:textFill>
                    </w:rPr>
                    <w:t>序号</w:t>
                  </w:r>
                </w:p>
              </w:tc>
              <w:tc>
                <w:tcPr>
                  <w:tcW w:w="1134" w:type="dxa"/>
                  <w:vAlign w:val="center"/>
                </w:tcPr>
                <w:p w14:paraId="7EB2008B">
                  <w:pPr>
                    <w:pStyle w:val="30"/>
                    <w:spacing w:after="0"/>
                    <w:ind w:left="0" w:leftChars="0" w:firstLine="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三线一单</w:t>
                  </w:r>
                </w:p>
              </w:tc>
              <w:tc>
                <w:tcPr>
                  <w:tcW w:w="4117" w:type="dxa"/>
                  <w:vAlign w:val="center"/>
                </w:tcPr>
                <w:p w14:paraId="0DCBC138">
                  <w:pPr>
                    <w:pStyle w:val="30"/>
                    <w:spacing w:after="0"/>
                    <w:ind w:left="0" w:leftChars="0" w:firstLine="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分析内容</w:t>
                  </w:r>
                </w:p>
              </w:tc>
              <w:tc>
                <w:tcPr>
                  <w:tcW w:w="906" w:type="dxa"/>
                  <w:vAlign w:val="center"/>
                </w:tcPr>
                <w:p w14:paraId="5CC04A66">
                  <w:pPr>
                    <w:pStyle w:val="30"/>
                    <w:spacing w:after="0"/>
                    <w:ind w:left="0" w:leftChars="0" w:firstLine="0"/>
                    <w:jc w:val="center"/>
                    <w:rPr>
                      <w:rFonts w:eastAsia="宋体"/>
                      <w:b/>
                      <w:bCs/>
                      <w:color w:val="000000" w:themeColor="text1"/>
                      <w:sz w:val="21"/>
                      <w:szCs w:val="21"/>
                      <w14:textFill>
                        <w14:solidFill>
                          <w14:schemeClr w14:val="tx1"/>
                        </w14:solidFill>
                      </w14:textFill>
                    </w:rPr>
                  </w:pPr>
                  <w:r>
                    <w:rPr>
                      <w:rFonts w:eastAsia="宋体"/>
                      <w:b/>
                      <w:bCs/>
                      <w:color w:val="000000" w:themeColor="text1"/>
                      <w:sz w:val="21"/>
                      <w:szCs w:val="21"/>
                      <w14:textFill>
                        <w14:solidFill>
                          <w14:schemeClr w14:val="tx1"/>
                        </w14:solidFill>
                      </w14:textFill>
                    </w:rPr>
                    <w:t>符合性</w:t>
                  </w:r>
                </w:p>
              </w:tc>
            </w:tr>
            <w:tr w14:paraId="25F4F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1" w:type="dxa"/>
                  <w:vAlign w:val="center"/>
                </w:tcPr>
                <w:p w14:paraId="21A23045">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1</w:t>
                  </w:r>
                </w:p>
              </w:tc>
              <w:tc>
                <w:tcPr>
                  <w:tcW w:w="1134" w:type="dxa"/>
                  <w:vAlign w:val="center"/>
                </w:tcPr>
                <w:p w14:paraId="66228E19">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生态保护红线</w:t>
                  </w:r>
                </w:p>
              </w:tc>
              <w:tc>
                <w:tcPr>
                  <w:tcW w:w="4117" w:type="dxa"/>
                  <w:vAlign w:val="center"/>
                </w:tcPr>
                <w:p w14:paraId="56B2366A">
                  <w:pPr>
                    <w:widowControl/>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本项目位于</w:t>
                  </w:r>
                  <w:r>
                    <w:rPr>
                      <w:rFonts w:hint="eastAsia"/>
                      <w:color w:val="000000" w:themeColor="text1"/>
                      <w:kern w:val="0"/>
                      <w:szCs w:val="21"/>
                      <w:lang w:bidi="ar"/>
                      <w14:textFill>
                        <w14:solidFill>
                          <w14:schemeClr w14:val="tx1"/>
                        </w14:solidFill>
                      </w14:textFill>
                    </w:rPr>
                    <w:t>宝鸡市陈仓区拓石镇</w:t>
                  </w:r>
                  <w:r>
                    <w:rPr>
                      <w:color w:val="000000" w:themeColor="text1"/>
                      <w:kern w:val="0"/>
                      <w:szCs w:val="21"/>
                      <w:lang w:bidi="ar"/>
                      <w14:textFill>
                        <w14:solidFill>
                          <w14:schemeClr w14:val="tx1"/>
                        </w14:solidFill>
                      </w14:textFill>
                    </w:rPr>
                    <w:t>，项目周边无自然保护区、饮用水源保护区等生态保护</w:t>
                  </w:r>
                  <w:r>
                    <w:rPr>
                      <w:rFonts w:hint="eastAsia"/>
                      <w:color w:val="000000" w:themeColor="text1"/>
                      <w:kern w:val="0"/>
                      <w:szCs w:val="21"/>
                      <w:lang w:bidi="ar"/>
                      <w14:textFill>
                        <w14:solidFill>
                          <w14:schemeClr w14:val="tx1"/>
                        </w14:solidFill>
                      </w14:textFill>
                    </w:rPr>
                    <w:t>区</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不涉及</w:t>
                  </w:r>
                  <w:r>
                    <w:rPr>
                      <w:color w:val="000000" w:themeColor="text1"/>
                      <w:kern w:val="0"/>
                      <w:szCs w:val="21"/>
                      <w:lang w:bidi="ar"/>
                      <w14:textFill>
                        <w14:solidFill>
                          <w14:schemeClr w14:val="tx1"/>
                        </w14:solidFill>
                      </w14:textFill>
                    </w:rPr>
                    <w:t>生态保护红线</w:t>
                  </w:r>
                </w:p>
              </w:tc>
              <w:tc>
                <w:tcPr>
                  <w:tcW w:w="906" w:type="dxa"/>
                  <w:vAlign w:val="center"/>
                </w:tcPr>
                <w:p w14:paraId="0DDE587A">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14:paraId="11FB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14:paraId="42A3DA7C">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2</w:t>
                  </w:r>
                </w:p>
              </w:tc>
              <w:tc>
                <w:tcPr>
                  <w:tcW w:w="1134" w:type="dxa"/>
                  <w:vAlign w:val="center"/>
                </w:tcPr>
                <w:p w14:paraId="2301B245">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环境质量底线</w:t>
                  </w:r>
                </w:p>
              </w:tc>
              <w:tc>
                <w:tcPr>
                  <w:tcW w:w="4117" w:type="dxa"/>
                  <w:vAlign w:val="center"/>
                </w:tcPr>
                <w:p w14:paraId="07286714">
                  <w:pPr>
                    <w:widowControl/>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环境空气质量满足《环境空气质量标准》(GB3095-2012)中二级标准；声环境质量满足《声环境质量标准》（GB3096-2008）</w:t>
                  </w:r>
                  <w:r>
                    <w:rPr>
                      <w:rFonts w:hint="eastAsia"/>
                      <w:color w:val="000000" w:themeColor="text1"/>
                      <w:kern w:val="0"/>
                      <w:szCs w:val="21"/>
                      <w:lang w:val="en-US" w:eastAsia="zh-CN" w:bidi="ar"/>
                      <w14:textFill>
                        <w14:solidFill>
                          <w14:schemeClr w14:val="tx1"/>
                        </w14:solidFill>
                      </w14:textFill>
                    </w:rPr>
                    <w:t>1</w:t>
                  </w:r>
                  <w:r>
                    <w:rPr>
                      <w:color w:val="000000" w:themeColor="text1"/>
                      <w:kern w:val="0"/>
                      <w:szCs w:val="21"/>
                      <w:lang w:bidi="ar"/>
                      <w14:textFill>
                        <w14:solidFill>
                          <w14:schemeClr w14:val="tx1"/>
                        </w14:solidFill>
                      </w14:textFill>
                    </w:rPr>
                    <w:t>类区标准限值的要求</w:t>
                  </w:r>
                </w:p>
              </w:tc>
              <w:tc>
                <w:tcPr>
                  <w:tcW w:w="906" w:type="dxa"/>
                  <w:vAlign w:val="center"/>
                </w:tcPr>
                <w:p w14:paraId="34072AA1">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14:paraId="16566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81" w:type="dxa"/>
                  <w:vAlign w:val="center"/>
                </w:tcPr>
                <w:p w14:paraId="6E71523F">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3</w:t>
                  </w:r>
                </w:p>
              </w:tc>
              <w:tc>
                <w:tcPr>
                  <w:tcW w:w="1134" w:type="dxa"/>
                  <w:vAlign w:val="center"/>
                </w:tcPr>
                <w:p w14:paraId="0C6D2331">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资源利用上线</w:t>
                  </w:r>
                </w:p>
              </w:tc>
              <w:tc>
                <w:tcPr>
                  <w:tcW w:w="4117" w:type="dxa"/>
                  <w:vAlign w:val="center"/>
                </w:tcPr>
                <w:p w14:paraId="51EBBC48">
                  <w:pPr>
                    <w:widowControl/>
                    <w:rPr>
                      <w:color w:val="000000" w:themeColor="text1"/>
                      <w:szCs w:val="21"/>
                      <w14:textFill>
                        <w14:solidFill>
                          <w14:schemeClr w14:val="tx1"/>
                        </w14:solidFill>
                      </w14:textFill>
                    </w:rPr>
                  </w:pPr>
                  <w:r>
                    <w:rPr>
                      <w:rFonts w:hint="eastAsia"/>
                      <w:color w:val="000000" w:themeColor="text1"/>
                      <w:kern w:val="0"/>
                      <w:szCs w:val="21"/>
                      <w:lang w:val="en-US" w:eastAsia="zh-CN" w:bidi="ar"/>
                      <w14:textFill>
                        <w14:solidFill>
                          <w14:schemeClr w14:val="tx1"/>
                        </w14:solidFill>
                      </w14:textFill>
                    </w:rPr>
                    <w:t>本项目是风电项目，不涉及水、天然气等矿产资源开发，项目占地不涉及耕地，</w:t>
                  </w:r>
                  <w:r>
                    <w:rPr>
                      <w:color w:val="000000" w:themeColor="text1"/>
                      <w:kern w:val="0"/>
                      <w:szCs w:val="21"/>
                      <w:lang w:bidi="ar"/>
                      <w14:textFill>
                        <w14:solidFill>
                          <w14:schemeClr w14:val="tx1"/>
                        </w14:solidFill>
                      </w14:textFill>
                    </w:rPr>
                    <w:t>不触及资源利用上线</w:t>
                  </w:r>
                </w:p>
              </w:tc>
              <w:tc>
                <w:tcPr>
                  <w:tcW w:w="906" w:type="dxa"/>
                  <w:vAlign w:val="center"/>
                </w:tcPr>
                <w:p w14:paraId="5BA2F9CF">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r w14:paraId="60D4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81" w:type="dxa"/>
                  <w:vAlign w:val="center"/>
                </w:tcPr>
                <w:p w14:paraId="0C3B6EC5">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4</w:t>
                  </w:r>
                </w:p>
              </w:tc>
              <w:tc>
                <w:tcPr>
                  <w:tcW w:w="1134" w:type="dxa"/>
                  <w:vAlign w:val="center"/>
                </w:tcPr>
                <w:p w14:paraId="5F152E24">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环境准入负面清单</w:t>
                  </w:r>
                </w:p>
              </w:tc>
              <w:tc>
                <w:tcPr>
                  <w:tcW w:w="4117" w:type="dxa"/>
                  <w:vAlign w:val="center"/>
                </w:tcPr>
                <w:p w14:paraId="4A980C38">
                  <w:pPr>
                    <w:widowControl/>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本项目属于《产业结构调整指导目录</w:t>
                  </w:r>
                  <w:r>
                    <w:rPr>
                      <w:color w:val="000000" w:themeColor="text1"/>
                      <w:szCs w:val="21"/>
                      <w14:textFill>
                        <w14:solidFill>
                          <w14:schemeClr w14:val="tx1"/>
                        </w14:solidFill>
                      </w14:textFill>
                    </w:rPr>
                    <w:t>（2024年本）</w:t>
                  </w:r>
                  <w:r>
                    <w:rPr>
                      <w:color w:val="000000" w:themeColor="text1"/>
                      <w:kern w:val="0"/>
                      <w:szCs w:val="21"/>
                      <w:lang w:bidi="ar"/>
                      <w14:textFill>
                        <w14:solidFill>
                          <w14:schemeClr w14:val="tx1"/>
                        </w14:solidFill>
                      </w14:textFill>
                    </w:rPr>
                    <w:t xml:space="preserve">》中允许类项目，不属于《市场准入负面清单（2022年版）》中禁止准入类和限制准入类项目，对比《陕西省国家重点生态功能区产业准入负面清单》，项目所在区域不属于陕西省国家重点生态功能区范围 </w:t>
                  </w:r>
                </w:p>
              </w:tc>
              <w:tc>
                <w:tcPr>
                  <w:tcW w:w="906" w:type="dxa"/>
                  <w:vAlign w:val="center"/>
                </w:tcPr>
                <w:p w14:paraId="4619A4D3">
                  <w:pPr>
                    <w:pStyle w:val="30"/>
                    <w:spacing w:after="0"/>
                    <w:ind w:left="0" w:leftChars="0" w:firstLine="0"/>
                    <w:jc w:val="center"/>
                    <w:rPr>
                      <w:rFonts w:eastAsia="宋体"/>
                      <w:color w:val="000000" w:themeColor="text1"/>
                      <w:sz w:val="21"/>
                      <w:szCs w:val="21"/>
                      <w14:textFill>
                        <w14:solidFill>
                          <w14:schemeClr w14:val="tx1"/>
                        </w14:solidFill>
                      </w14:textFill>
                    </w:rPr>
                  </w:pPr>
                  <w:r>
                    <w:rPr>
                      <w:rFonts w:eastAsia="宋体"/>
                      <w:color w:val="000000" w:themeColor="text1"/>
                      <w:sz w:val="21"/>
                      <w:szCs w:val="21"/>
                      <w14:textFill>
                        <w14:solidFill>
                          <w14:schemeClr w14:val="tx1"/>
                        </w14:solidFill>
                      </w14:textFill>
                    </w:rPr>
                    <w:t>符合</w:t>
                  </w:r>
                </w:p>
              </w:tc>
            </w:tr>
          </w:tbl>
          <w:p w14:paraId="65E30B40">
            <w:pPr>
              <w:spacing w:line="360" w:lineRule="auto"/>
              <w:ind w:firstLine="480" w:firstLineChars="200"/>
              <w:rPr>
                <w:color w:val="000000" w:themeColor="text1"/>
                <w:sz w:val="24"/>
                <w:lang w:bidi="ar"/>
                <w14:textFill>
                  <w14:solidFill>
                    <w14:schemeClr w14:val="tx1"/>
                  </w14:solidFill>
                </w14:textFill>
              </w:rPr>
            </w:pPr>
            <w:r>
              <w:rPr>
                <w:color w:val="000000" w:themeColor="text1"/>
                <w:sz w:val="24"/>
                <w:lang w:bidi="ar"/>
                <w14:textFill>
                  <w14:solidFill>
                    <w14:schemeClr w14:val="tx1"/>
                  </w14:solidFill>
                </w14:textFill>
              </w:rPr>
              <w:t>（2）</w:t>
            </w:r>
            <w:r>
              <w:rPr>
                <w:rFonts w:hint="eastAsia"/>
                <w:color w:val="000000" w:themeColor="text1"/>
                <w:sz w:val="24"/>
                <w:lang w:bidi="ar"/>
                <w14:textFill>
                  <w14:solidFill>
                    <w14:schemeClr w14:val="tx1"/>
                  </w14:solidFill>
                </w14:textFill>
              </w:rPr>
              <w:t>与宝鸡市“三线一单”符合性分析</w:t>
            </w:r>
          </w:p>
          <w:p w14:paraId="5233734F">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位于陕西省宝鸡市陈仓区拓石镇，根据《陕西省人民政府关于加快实施“三线一单”生态环境分区管控的意见》（陕政发〔2020〕11号）以及《陕西省“三线一单”生态环境分区管控应用技术指南：环境影响评价（试行）》（陕环办发〔2022〕76号），建设项目环评文件涉及“三线一单”生态环境分区管控符合性分析采取“一图一表一说明”的表达方式，对照分析结果，论证建设的符合性。</w:t>
            </w:r>
          </w:p>
          <w:p w14:paraId="1ADB8E78">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①一图</w:t>
            </w:r>
          </w:p>
          <w:p w14:paraId="73F5533A">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项目位于宝鸡市陈仓区拓石镇，对照《大唐陈仓5万千瓦风电项目与环境管控单元对照分析报告》，本项目所在区域为</w:t>
            </w:r>
            <w:r>
              <w:rPr>
                <w:rFonts w:hint="eastAsia"/>
                <w:color w:val="000000" w:themeColor="text1"/>
                <w:sz w:val="24"/>
                <w:lang w:val="en-US" w:eastAsia="zh-CN" w:bidi="ar"/>
                <w14:textFill>
                  <w14:solidFill>
                    <w14:schemeClr w14:val="tx1"/>
                  </w14:solidFill>
                </w14:textFill>
              </w:rPr>
              <w:t>优先</w:t>
            </w:r>
            <w:r>
              <w:rPr>
                <w:rFonts w:hint="eastAsia"/>
                <w:color w:val="000000" w:themeColor="text1"/>
                <w:sz w:val="24"/>
                <w:lang w:bidi="ar"/>
                <w14:textFill>
                  <w14:solidFill>
                    <w14:schemeClr w14:val="tx1"/>
                  </w14:solidFill>
                </w14:textFill>
              </w:rPr>
              <w:t>单元，</w:t>
            </w:r>
            <w:r>
              <w:rPr>
                <w:rFonts w:hint="eastAsia"/>
                <w:color w:val="000000" w:themeColor="text1"/>
                <w:sz w:val="24"/>
                <w:lang w:val="en-US" w:eastAsia="zh-CN" w:bidi="ar"/>
                <w14:textFill>
                  <w14:solidFill>
                    <w14:schemeClr w14:val="tx1"/>
                  </w14:solidFill>
                </w14:textFill>
              </w:rPr>
              <w:t>但</w:t>
            </w:r>
            <w:r>
              <w:rPr>
                <w:rFonts w:hint="eastAsia"/>
                <w:color w:val="000000" w:themeColor="text1"/>
                <w:sz w:val="24"/>
                <w:lang w:bidi="ar"/>
                <w14:textFill>
                  <w14:solidFill>
                    <w14:schemeClr w14:val="tx1"/>
                  </w14:solidFill>
                </w14:textFill>
              </w:rPr>
              <w:t>不涉及生态保护红线，示意图见图1-1。</w:t>
            </w:r>
          </w:p>
          <w:tbl>
            <w:tblPr>
              <w:tblStyle w:val="32"/>
              <w:tblW w:w="67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63"/>
            </w:tblGrid>
            <w:tr w14:paraId="41D03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69" w:hRule="atLeast"/>
                <w:jc w:val="center"/>
              </w:trPr>
              <w:tc>
                <w:tcPr>
                  <w:tcW w:w="6763" w:type="dxa"/>
                  <w:vAlign w:val="center"/>
                </w:tcPr>
                <w:p w14:paraId="2586DCC5">
                  <w:pPr>
                    <w:pStyle w:val="30"/>
                    <w:spacing w:after="0"/>
                    <w:ind w:left="0" w:leftChars="0" w:firstLine="0"/>
                    <w:jc w:val="center"/>
                    <w:rPr>
                      <w:color w:val="000000" w:themeColor="text1"/>
                      <w14:textFill>
                        <w14:solidFill>
                          <w14:schemeClr w14:val="tx1"/>
                        </w14:solidFill>
                      </w14:textFill>
                    </w:rPr>
                  </w:pPr>
                  <w:r>
                    <w:drawing>
                      <wp:inline distT="0" distB="0" distL="114300" distR="114300">
                        <wp:extent cx="4140200" cy="5854700"/>
                        <wp:effectExtent l="0" t="0" r="5080" b="1270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4140200" cy="5854700"/>
                                </a:xfrm>
                                <a:prstGeom prst="rect">
                                  <a:avLst/>
                                </a:prstGeom>
                                <a:noFill/>
                                <a:ln>
                                  <a:noFill/>
                                </a:ln>
                              </pic:spPr>
                            </pic:pic>
                          </a:graphicData>
                        </a:graphic>
                      </wp:inline>
                    </w:drawing>
                  </w:r>
                </w:p>
              </w:tc>
            </w:tr>
            <w:tr w14:paraId="28A15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 w:hRule="atLeast"/>
                <w:jc w:val="center"/>
              </w:trPr>
              <w:tc>
                <w:tcPr>
                  <w:tcW w:w="6763" w:type="dxa"/>
                  <w:vAlign w:val="center"/>
                </w:tcPr>
                <w:p w14:paraId="6D1DBB25">
                  <w:pPr>
                    <w:pStyle w:val="30"/>
                    <w:spacing w:after="0"/>
                    <w:ind w:left="0" w:leftChars="0" w:firstLine="0"/>
                    <w:jc w:val="center"/>
                    <w:rPr>
                      <w:color w:val="000000" w:themeColor="text1"/>
                      <w14:textFill>
                        <w14:solidFill>
                          <w14:schemeClr w14:val="tx1"/>
                        </w14:solidFill>
                      </w14:textFill>
                    </w:rPr>
                  </w:pPr>
                  <w:r>
                    <w:rPr>
                      <w:rFonts w:eastAsia="宋体"/>
                      <w:b/>
                      <w:bCs/>
                      <w:color w:val="000000" w:themeColor="text1"/>
                      <w:sz w:val="21"/>
                      <w:szCs w:val="21"/>
                      <w14:textFill>
                        <w14:solidFill>
                          <w14:schemeClr w14:val="tx1"/>
                        </w14:solidFill>
                      </w14:textFill>
                    </w:rPr>
                    <w:t>图1-1</w:t>
                  </w:r>
                  <w:r>
                    <w:rPr>
                      <w:rFonts w:hint="eastAsia" w:eastAsia="宋体"/>
                      <w:b/>
                      <w:bCs/>
                      <w:color w:val="000000" w:themeColor="text1"/>
                      <w:sz w:val="21"/>
                      <w:szCs w:val="21"/>
                      <w14:textFill>
                        <w14:solidFill>
                          <w14:schemeClr w14:val="tx1"/>
                        </w14:solidFill>
                      </w14:textFill>
                    </w:rPr>
                    <w:t xml:space="preserve"> </w:t>
                  </w:r>
                  <w:r>
                    <w:rPr>
                      <w:rFonts w:eastAsia="宋体"/>
                      <w:b/>
                      <w:bCs/>
                      <w:color w:val="000000" w:themeColor="text1"/>
                      <w:sz w:val="21"/>
                      <w:szCs w:val="21"/>
                      <w:lang w:bidi="ar"/>
                      <w14:textFill>
                        <w14:solidFill>
                          <w14:schemeClr w14:val="tx1"/>
                        </w14:solidFill>
                      </w14:textFill>
                    </w:rPr>
                    <w:t>本项目</w:t>
                  </w:r>
                  <w:r>
                    <w:rPr>
                      <w:rFonts w:hint="eastAsia" w:eastAsia="宋体"/>
                      <w:b/>
                      <w:bCs/>
                      <w:color w:val="000000" w:themeColor="text1"/>
                      <w:sz w:val="21"/>
                      <w:szCs w:val="21"/>
                      <w:lang w:bidi="ar"/>
                      <w14:textFill>
                        <w14:solidFill>
                          <w14:schemeClr w14:val="tx1"/>
                        </w14:solidFill>
                      </w14:textFill>
                    </w:rPr>
                    <w:t>与陕西省环境管控单元对照分析示意图</w:t>
                  </w:r>
                </w:p>
              </w:tc>
            </w:tr>
          </w:tbl>
          <w:p w14:paraId="0020389D">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②一表</w:t>
            </w:r>
          </w:p>
          <w:p w14:paraId="6F28942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lang w:bidi="ar"/>
                <w14:textFill>
                  <w14:solidFill>
                    <w14:schemeClr w14:val="tx1"/>
                  </w14:solidFill>
                </w14:textFill>
              </w:rPr>
              <w:t>对照《</w:t>
            </w:r>
            <w:r>
              <w:rPr>
                <w:rFonts w:hint="eastAsia"/>
                <w:color w:val="000000" w:themeColor="text1"/>
                <w:sz w:val="24"/>
                <w:lang w:val="en-US" w:eastAsia="zh-CN" w:bidi="ar"/>
                <w14:textFill>
                  <w14:solidFill>
                    <w14:schemeClr w14:val="tx1"/>
                  </w14:solidFill>
                </w14:textFill>
              </w:rPr>
              <w:t>宝鸡</w:t>
            </w:r>
            <w:r>
              <w:rPr>
                <w:rFonts w:hint="eastAsia"/>
                <w:color w:val="000000" w:themeColor="text1"/>
                <w:sz w:val="24"/>
                <w:lang w:bidi="ar"/>
                <w14:textFill>
                  <w14:solidFill>
                    <w14:schemeClr w14:val="tx1"/>
                  </w14:solidFill>
                </w14:textFill>
              </w:rPr>
              <w:t>市“三线一单”生态环境分区管控实施方案》的通知（</w:t>
            </w:r>
            <w:r>
              <w:rPr>
                <w:rFonts w:hint="eastAsia"/>
                <w:color w:val="000000" w:themeColor="text1"/>
                <w:sz w:val="24"/>
                <w:lang w:val="en-US" w:eastAsia="zh-CN" w:bidi="ar"/>
                <w14:textFill>
                  <w14:solidFill>
                    <w14:schemeClr w14:val="tx1"/>
                  </w14:solidFill>
                </w14:textFill>
              </w:rPr>
              <w:t>宝</w:t>
            </w:r>
            <w:r>
              <w:rPr>
                <w:rFonts w:hint="eastAsia"/>
                <w:color w:val="000000" w:themeColor="text1"/>
                <w:sz w:val="24"/>
                <w:lang w:bidi="ar"/>
                <w14:textFill>
                  <w14:solidFill>
                    <w14:schemeClr w14:val="tx1"/>
                  </w14:solidFill>
                </w14:textFill>
              </w:rPr>
              <w:t>政发〔2021〕1</w:t>
            </w:r>
            <w:r>
              <w:rPr>
                <w:rFonts w:hint="eastAsia"/>
                <w:color w:val="000000" w:themeColor="text1"/>
                <w:sz w:val="24"/>
                <w:lang w:val="en-US" w:eastAsia="zh-CN" w:bidi="ar"/>
                <w14:textFill>
                  <w14:solidFill>
                    <w14:schemeClr w14:val="tx1"/>
                  </w14:solidFill>
                </w14:textFill>
              </w:rPr>
              <w:t>9</w:t>
            </w:r>
            <w:r>
              <w:rPr>
                <w:rFonts w:hint="eastAsia"/>
                <w:color w:val="000000" w:themeColor="text1"/>
                <w:sz w:val="24"/>
                <w:lang w:bidi="ar"/>
                <w14:textFill>
                  <w14:solidFill>
                    <w14:schemeClr w14:val="tx1"/>
                  </w14:solidFill>
                </w14:textFill>
              </w:rPr>
              <w:t>号），项目与</w:t>
            </w:r>
            <w:r>
              <w:rPr>
                <w:rFonts w:hint="eastAsia"/>
                <w:color w:val="000000" w:themeColor="text1"/>
                <w:sz w:val="24"/>
                <w:lang w:val="en-US" w:eastAsia="zh-CN" w:bidi="ar"/>
                <w14:textFill>
                  <w14:solidFill>
                    <w14:schemeClr w14:val="tx1"/>
                  </w14:solidFill>
                </w14:textFill>
              </w:rPr>
              <w:t>宝鸡</w:t>
            </w:r>
            <w:r>
              <w:rPr>
                <w:rFonts w:hint="eastAsia"/>
                <w:color w:val="000000" w:themeColor="text1"/>
                <w:sz w:val="24"/>
                <w:lang w:bidi="ar"/>
                <w14:textFill>
                  <w14:solidFill>
                    <w14:schemeClr w14:val="tx1"/>
                  </w14:solidFill>
                </w14:textFill>
              </w:rPr>
              <w:t>市“三线一单”生态环境总体准入清单符合性分析见表1-3。</w:t>
            </w:r>
            <w:bookmarkEnd w:id="3"/>
          </w:p>
        </w:tc>
      </w:tr>
    </w:tbl>
    <w:p w14:paraId="6431A41D">
      <w:pPr>
        <w:autoSpaceDE w:val="0"/>
        <w:autoSpaceDN w:val="0"/>
        <w:adjustRightInd w:val="0"/>
        <w:snapToGrid w:val="0"/>
        <w:jc w:val="center"/>
        <w:rPr>
          <w:color w:val="000000" w:themeColor="text1"/>
          <w:kern w:val="0"/>
          <w:szCs w:val="21"/>
          <w14:textFill>
            <w14:solidFill>
              <w14:schemeClr w14:val="tx1"/>
            </w14:solidFill>
          </w14:textFill>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tbl>
      <w:tblPr>
        <w:tblStyle w:val="31"/>
        <w:tblpPr w:leftFromText="180" w:rightFromText="180" w:vertAnchor="text" w:horzAnchor="margin" w:tblpY="542"/>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3"/>
        <w:gridCol w:w="13177"/>
      </w:tblGrid>
      <w:tr w14:paraId="53BE57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9" w:hRule="atLeast"/>
        </w:trPr>
        <w:tc>
          <w:tcPr>
            <w:tcW w:w="413" w:type="dxa"/>
            <w:vAlign w:val="center"/>
          </w:tcPr>
          <w:p w14:paraId="651E3BCA">
            <w:pPr>
              <w:rPr>
                <w:color w:val="000000" w:themeColor="text1"/>
                <w14:textFill>
                  <w14:solidFill>
                    <w14:schemeClr w14:val="tx1"/>
                  </w14:solidFill>
                </w14:textFill>
              </w:rPr>
            </w:pPr>
          </w:p>
        </w:tc>
        <w:tc>
          <w:tcPr>
            <w:tcW w:w="13177" w:type="dxa"/>
            <w:vAlign w:val="center"/>
          </w:tcPr>
          <w:p w14:paraId="53E8A4C6">
            <w:pPr>
              <w:widowControl/>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表1-3 本项目与</w:t>
            </w:r>
            <w:r>
              <w:rPr>
                <w:rFonts w:hint="eastAsia"/>
                <w:b/>
                <w:bCs/>
                <w:color w:val="000000" w:themeColor="text1"/>
                <w:szCs w:val="21"/>
                <w:lang w:val="en-US" w:eastAsia="zh-CN"/>
                <w14:textFill>
                  <w14:solidFill>
                    <w14:schemeClr w14:val="tx1"/>
                  </w14:solidFill>
                </w14:textFill>
              </w:rPr>
              <w:t>宝鸡</w:t>
            </w:r>
            <w:r>
              <w:rPr>
                <w:rFonts w:hint="eastAsia"/>
                <w:b/>
                <w:bCs/>
                <w:color w:val="000000" w:themeColor="text1"/>
                <w:szCs w:val="21"/>
                <w14:textFill>
                  <w14:solidFill>
                    <w14:schemeClr w14:val="tx1"/>
                  </w14:solidFill>
                </w14:textFill>
              </w:rPr>
              <w:t>市“三线一单”生态环境总体准入清单</w:t>
            </w:r>
            <w:r>
              <w:rPr>
                <w:rFonts w:hint="eastAsia"/>
                <w:b/>
                <w:color w:val="000000" w:themeColor="text1"/>
                <w:szCs w:val="21"/>
                <w14:textFill>
                  <w14:solidFill>
                    <w14:schemeClr w14:val="tx1"/>
                  </w14:solidFill>
                </w14:textFill>
              </w:rPr>
              <w:t>符合性分析一览表</w:t>
            </w:r>
          </w:p>
          <w:tbl>
            <w:tblPr>
              <w:tblStyle w:val="31"/>
              <w:tblpPr w:leftFromText="180" w:rightFromText="180" w:vertAnchor="text" w:tblpXSpec="center" w:tblpY="1"/>
              <w:tblOverlap w:val="never"/>
              <w:tblW w:w="127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49"/>
              <w:gridCol w:w="610"/>
              <w:gridCol w:w="628"/>
              <w:gridCol w:w="999"/>
              <w:gridCol w:w="5406"/>
              <w:gridCol w:w="3008"/>
              <w:gridCol w:w="773"/>
            </w:tblGrid>
            <w:tr w14:paraId="4E3D6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431" w:type="dxa"/>
                  <w:tcMar>
                    <w:top w:w="0" w:type="dxa"/>
                    <w:left w:w="45" w:type="dxa"/>
                    <w:bottom w:w="0" w:type="dxa"/>
                    <w:right w:w="45" w:type="dxa"/>
                  </w:tcMar>
                  <w:vAlign w:val="center"/>
                </w:tcPr>
                <w:p w14:paraId="1F062B74">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序号</w:t>
                  </w:r>
                </w:p>
              </w:tc>
              <w:tc>
                <w:tcPr>
                  <w:tcW w:w="849" w:type="dxa"/>
                  <w:tcMar>
                    <w:top w:w="0" w:type="dxa"/>
                    <w:left w:w="45" w:type="dxa"/>
                    <w:bottom w:w="0" w:type="dxa"/>
                    <w:right w:w="45" w:type="dxa"/>
                  </w:tcMar>
                  <w:vAlign w:val="center"/>
                </w:tcPr>
                <w:p w14:paraId="4ABDCDB8">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涉及的环境管控单元</w:t>
                  </w:r>
                </w:p>
              </w:tc>
              <w:tc>
                <w:tcPr>
                  <w:tcW w:w="610" w:type="dxa"/>
                  <w:tcMar>
                    <w:top w:w="0" w:type="dxa"/>
                    <w:left w:w="45" w:type="dxa"/>
                    <w:bottom w:w="0" w:type="dxa"/>
                    <w:right w:w="45" w:type="dxa"/>
                  </w:tcMar>
                  <w:vAlign w:val="center"/>
                </w:tcPr>
                <w:p w14:paraId="6E89D7BE">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区域名称</w:t>
                  </w:r>
                </w:p>
              </w:tc>
              <w:tc>
                <w:tcPr>
                  <w:tcW w:w="628" w:type="dxa"/>
                  <w:tcMar>
                    <w:top w:w="0" w:type="dxa"/>
                    <w:left w:w="45" w:type="dxa"/>
                    <w:bottom w:w="0" w:type="dxa"/>
                    <w:right w:w="45" w:type="dxa"/>
                  </w:tcMar>
                  <w:vAlign w:val="center"/>
                </w:tcPr>
                <w:p w14:paraId="3926944D">
                  <w:pPr>
                    <w:autoSpaceDE w:val="0"/>
                    <w:autoSpaceDN w:val="0"/>
                    <w:adjustRightInd w:val="0"/>
                    <w:snapToGrid w:val="0"/>
                    <w:jc w:val="center"/>
                    <w:rPr>
                      <w:rFonts w:hint="eastAsia" w:eastAsia="宋体"/>
                      <w:b/>
                      <w:color w:val="000000" w:themeColor="text1"/>
                      <w:kern w:val="0"/>
                      <w:szCs w:val="21"/>
                      <w:lang w:val="en-US" w:eastAsia="zh-CN"/>
                      <w14:textFill>
                        <w14:solidFill>
                          <w14:schemeClr w14:val="tx1"/>
                        </w14:solidFill>
                      </w14:textFill>
                    </w:rPr>
                  </w:pPr>
                  <w:r>
                    <w:rPr>
                      <w:rFonts w:hint="eastAsia"/>
                      <w:b/>
                      <w:color w:val="000000" w:themeColor="text1"/>
                      <w:kern w:val="0"/>
                      <w:szCs w:val="21"/>
                      <w:lang w:val="en-US" w:eastAsia="zh-CN"/>
                      <w14:textFill>
                        <w14:solidFill>
                          <w14:schemeClr w14:val="tx1"/>
                        </w14:solidFill>
                      </w14:textFill>
                    </w:rPr>
                    <w:t>市</w:t>
                  </w:r>
                </w:p>
              </w:tc>
              <w:tc>
                <w:tcPr>
                  <w:tcW w:w="999" w:type="dxa"/>
                  <w:tcMar>
                    <w:top w:w="0" w:type="dxa"/>
                    <w:left w:w="45" w:type="dxa"/>
                    <w:bottom w:w="0" w:type="dxa"/>
                    <w:right w:w="45" w:type="dxa"/>
                  </w:tcMar>
                  <w:vAlign w:val="center"/>
                </w:tcPr>
                <w:p w14:paraId="1814269E">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管控类别</w:t>
                  </w:r>
                </w:p>
              </w:tc>
              <w:tc>
                <w:tcPr>
                  <w:tcW w:w="5406" w:type="dxa"/>
                  <w:tcMar>
                    <w:top w:w="0" w:type="dxa"/>
                    <w:left w:w="45" w:type="dxa"/>
                    <w:bottom w:w="0" w:type="dxa"/>
                    <w:right w:w="45" w:type="dxa"/>
                  </w:tcMar>
                  <w:vAlign w:val="center"/>
                </w:tcPr>
                <w:p w14:paraId="581A2A4D">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管控要求</w:t>
                  </w:r>
                </w:p>
              </w:tc>
              <w:tc>
                <w:tcPr>
                  <w:tcW w:w="3008" w:type="dxa"/>
                  <w:tcMar>
                    <w:top w:w="0" w:type="dxa"/>
                    <w:left w:w="45" w:type="dxa"/>
                    <w:bottom w:w="0" w:type="dxa"/>
                    <w:right w:w="45" w:type="dxa"/>
                  </w:tcMar>
                  <w:vAlign w:val="center"/>
                </w:tcPr>
                <w:p w14:paraId="69577F6B">
                  <w:pPr>
                    <w:autoSpaceDE w:val="0"/>
                    <w:autoSpaceDN w:val="0"/>
                    <w:adjustRightInd w:val="0"/>
                    <w:snapToGrid w:val="0"/>
                    <w:jc w:val="center"/>
                    <w:rPr>
                      <w:b/>
                      <w:color w:val="000000" w:themeColor="text1"/>
                      <w:kern w:val="0"/>
                      <w:szCs w:val="21"/>
                      <w14:textFill>
                        <w14:solidFill>
                          <w14:schemeClr w14:val="tx1"/>
                        </w14:solidFill>
                      </w14:textFill>
                    </w:rPr>
                  </w:pPr>
                  <w:r>
                    <w:rPr>
                      <w:rFonts w:hint="eastAsia"/>
                      <w:b/>
                      <w:color w:val="000000" w:themeColor="text1"/>
                      <w:kern w:val="0"/>
                      <w:szCs w:val="21"/>
                      <w14:textFill>
                        <w14:solidFill>
                          <w14:schemeClr w14:val="tx1"/>
                        </w14:solidFill>
                      </w14:textFill>
                    </w:rPr>
                    <w:t>本</w:t>
                  </w:r>
                  <w:r>
                    <w:rPr>
                      <w:b/>
                      <w:color w:val="000000" w:themeColor="text1"/>
                      <w:kern w:val="0"/>
                      <w:szCs w:val="21"/>
                      <w14:textFill>
                        <w14:solidFill>
                          <w14:schemeClr w14:val="tx1"/>
                        </w14:solidFill>
                      </w14:textFill>
                    </w:rPr>
                    <w:t>项目建设情况</w:t>
                  </w:r>
                </w:p>
              </w:tc>
              <w:tc>
                <w:tcPr>
                  <w:tcW w:w="773" w:type="dxa"/>
                  <w:tcMar>
                    <w:top w:w="0" w:type="dxa"/>
                    <w:left w:w="45" w:type="dxa"/>
                    <w:bottom w:w="0" w:type="dxa"/>
                    <w:right w:w="45" w:type="dxa"/>
                  </w:tcMar>
                  <w:vAlign w:val="center"/>
                </w:tcPr>
                <w:p w14:paraId="5CC0099B">
                  <w:pPr>
                    <w:autoSpaceDE w:val="0"/>
                    <w:autoSpaceDN w:val="0"/>
                    <w:adjustRightInd w:val="0"/>
                    <w:snapToGrid w:val="0"/>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符合性</w:t>
                  </w:r>
                </w:p>
              </w:tc>
            </w:tr>
            <w:tr w14:paraId="10B2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2" w:hRule="atLeast"/>
              </w:trPr>
              <w:tc>
                <w:tcPr>
                  <w:tcW w:w="431" w:type="dxa"/>
                  <w:tcMar>
                    <w:top w:w="0" w:type="dxa"/>
                    <w:left w:w="45" w:type="dxa"/>
                    <w:bottom w:w="0" w:type="dxa"/>
                    <w:right w:w="45" w:type="dxa"/>
                  </w:tcMar>
                  <w:vAlign w:val="center"/>
                </w:tcPr>
                <w:p w14:paraId="23E7E917">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849" w:type="dxa"/>
                  <w:tcMar>
                    <w:top w:w="0" w:type="dxa"/>
                    <w:left w:w="45" w:type="dxa"/>
                    <w:bottom w:w="0" w:type="dxa"/>
                    <w:right w:w="45" w:type="dxa"/>
                  </w:tcMar>
                  <w:vAlign w:val="center"/>
                </w:tcPr>
                <w:p w14:paraId="3D1538D3">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优</w:t>
                  </w:r>
                </w:p>
                <w:p w14:paraId="28317F91">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先保</w:t>
                  </w:r>
                </w:p>
                <w:p w14:paraId="6FE5CCD5">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护单</w:t>
                  </w:r>
                </w:p>
                <w:p w14:paraId="12E5D2B4">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元2</w:t>
                  </w:r>
                </w:p>
              </w:tc>
              <w:tc>
                <w:tcPr>
                  <w:tcW w:w="610" w:type="dxa"/>
                  <w:tcMar>
                    <w:top w:w="0" w:type="dxa"/>
                    <w:left w:w="45" w:type="dxa"/>
                    <w:bottom w:w="0" w:type="dxa"/>
                    <w:right w:w="45" w:type="dxa"/>
                  </w:tcMar>
                  <w:vAlign w:val="center"/>
                </w:tcPr>
                <w:p w14:paraId="15D0F179">
                  <w:pPr>
                    <w:autoSpaceDE w:val="0"/>
                    <w:autoSpaceDN w:val="0"/>
                    <w:adjustRightInd w:val="0"/>
                    <w:snapToGrid w:val="0"/>
                    <w:jc w:val="center"/>
                    <w:rPr>
                      <w:rFonts w:hint="default"/>
                      <w:color w:val="000000" w:themeColor="text1"/>
                      <w:kern w:val="0"/>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陈仓区</w:t>
                  </w:r>
                </w:p>
              </w:tc>
              <w:tc>
                <w:tcPr>
                  <w:tcW w:w="628" w:type="dxa"/>
                  <w:tcMar>
                    <w:top w:w="0" w:type="dxa"/>
                    <w:left w:w="45" w:type="dxa"/>
                    <w:bottom w:w="0" w:type="dxa"/>
                    <w:right w:w="45" w:type="dxa"/>
                  </w:tcMar>
                  <w:vAlign w:val="center"/>
                </w:tcPr>
                <w:p w14:paraId="0BCC7DA3">
                  <w:pPr>
                    <w:autoSpaceDE w:val="0"/>
                    <w:autoSpaceDN w:val="0"/>
                    <w:adjustRightInd w:val="0"/>
                    <w:snapToGrid w:val="0"/>
                    <w:jc w:val="center"/>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宝鸡市</w:t>
                  </w:r>
                </w:p>
              </w:tc>
              <w:tc>
                <w:tcPr>
                  <w:tcW w:w="999" w:type="dxa"/>
                  <w:tcMar>
                    <w:top w:w="0" w:type="dxa"/>
                    <w:left w:w="45" w:type="dxa"/>
                    <w:bottom w:w="0" w:type="dxa"/>
                    <w:right w:w="45" w:type="dxa"/>
                  </w:tcMar>
                  <w:vAlign w:val="center"/>
                </w:tcPr>
                <w:p w14:paraId="3EFC7F0D">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空间布局约束</w:t>
                  </w:r>
                </w:p>
              </w:tc>
              <w:tc>
                <w:tcPr>
                  <w:tcW w:w="5406" w:type="dxa"/>
                  <w:tcMar>
                    <w:top w:w="0" w:type="dxa"/>
                    <w:left w:w="45" w:type="dxa"/>
                    <w:bottom w:w="0" w:type="dxa"/>
                    <w:right w:w="45" w:type="dxa"/>
                  </w:tcMar>
                  <w:vAlign w:val="center"/>
                </w:tcPr>
                <w:p w14:paraId="4E6B3994">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一般生态空间：原则上按照限制开发区进行管理。功能属性单一、管控要求明确的一般生态空间，按照生态功能属性的既有规定实施管理；具有多重功能属性、且均有既有管理要求的一般生态空间，按照管控要求的严格程度，从严管理；尚未明确管理要求的一般生态空间，以保护为主，限制有损主导生态服务功能的开发建设活动。一般生态空间-国家二级公益林：按照《国家级公益林管理办法》相关规定进行管控。1.二级国家级公益林在不影响整体森林生态系统功能发挥的前提下，可以按规定开展抚育和更新性质的采伐。在不破坏森林植被的前提下，可以合理利用其林地资源，适度开展林下种植养殖和森林游憩等非木质资源开发与利用，科学发展林下经济。</w:t>
                  </w:r>
                </w:p>
                <w:p w14:paraId="6F20B70B">
                  <w:pPr>
                    <w:autoSpaceDE w:val="0"/>
                    <w:autoSpaceDN w:val="0"/>
                    <w:adjustRightInd w:val="0"/>
                    <w:snapToGrid w:val="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2.国家级公益林的调出，以不影响整体生态功能、保持集中连片为原则，一经调出，不得再次申请补进</w:t>
                  </w:r>
                </w:p>
              </w:tc>
              <w:tc>
                <w:tcPr>
                  <w:tcW w:w="3008" w:type="dxa"/>
                  <w:tcMar>
                    <w:top w:w="0" w:type="dxa"/>
                    <w:left w:w="45" w:type="dxa"/>
                    <w:bottom w:w="0" w:type="dxa"/>
                    <w:right w:w="45" w:type="dxa"/>
                  </w:tcMar>
                  <w:vAlign w:val="center"/>
                </w:tcPr>
                <w:p w14:paraId="08940438">
                  <w:pPr>
                    <w:autoSpaceDE w:val="0"/>
                    <w:autoSpaceDN w:val="0"/>
                    <w:adjustRightInd w:val="0"/>
                    <w:snapToGrid w:val="0"/>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根据《宝鸡市自然资源和规划局关于大唐陈仓5万千瓦风电项目建设用地预审初审意见的报告》（宝市自然资字〔2024</w:t>
                  </w:r>
                  <w:r>
                    <w:rPr>
                      <w:rFonts w:hint="eastAsia" w:ascii="宋体" w:hAnsi="宋体" w:eastAsia="宋体" w:cs="宋体"/>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34号）可知，土地面积约1.9517公顷，涉及使用灌木林地0.4491公顷、其他林地0.049公顷、其他草地0.0477公顷、非林业用地1.4059 公顷。涉及使用林地部分按森林类别分：地方级公益林0.0952 公顷、商品林0.4029公顷，不属于国家公益林</w:t>
                  </w:r>
                </w:p>
              </w:tc>
              <w:tc>
                <w:tcPr>
                  <w:tcW w:w="773" w:type="dxa"/>
                  <w:tcMar>
                    <w:top w:w="0" w:type="dxa"/>
                    <w:left w:w="45" w:type="dxa"/>
                    <w:bottom w:w="0" w:type="dxa"/>
                    <w:right w:w="45" w:type="dxa"/>
                  </w:tcMar>
                  <w:vAlign w:val="center"/>
                </w:tcPr>
                <w:p w14:paraId="3172805B">
                  <w:pPr>
                    <w:autoSpaceDE w:val="0"/>
                    <w:autoSpaceDN w:val="0"/>
                    <w:adjustRightInd w:val="0"/>
                    <w:snapToGrid w:val="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符合</w:t>
                  </w:r>
                </w:p>
              </w:tc>
            </w:tr>
            <w:tr w14:paraId="25E3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431" w:type="dxa"/>
                  <w:tcMar>
                    <w:top w:w="0" w:type="dxa"/>
                    <w:left w:w="45" w:type="dxa"/>
                    <w:bottom w:w="0" w:type="dxa"/>
                    <w:right w:w="45" w:type="dxa"/>
                  </w:tcMar>
                  <w:vAlign w:val="center"/>
                </w:tcPr>
                <w:p w14:paraId="2F34F3CD">
                  <w:pPr>
                    <w:autoSpaceDE w:val="0"/>
                    <w:autoSpaceDN w:val="0"/>
                    <w:adjustRightInd w:val="0"/>
                    <w:snapToGrid w:val="0"/>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849" w:type="dxa"/>
                  <w:tcMar>
                    <w:top w:w="0" w:type="dxa"/>
                    <w:left w:w="45" w:type="dxa"/>
                    <w:bottom w:w="0" w:type="dxa"/>
                    <w:right w:w="45" w:type="dxa"/>
                  </w:tcMar>
                  <w:vAlign w:val="center"/>
                </w:tcPr>
                <w:p w14:paraId="0A2D9F8C">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陕西省宝鸡市陈仓区一般管控</w:t>
                  </w:r>
                  <w:r>
                    <w:rPr>
                      <w:rFonts w:hint="eastAsia"/>
                      <w:color w:val="000000" w:themeColor="text1"/>
                      <w:kern w:val="0"/>
                      <w:szCs w:val="21"/>
                      <w14:textFill>
                        <w14:solidFill>
                          <w14:schemeClr w14:val="tx1"/>
                        </w14:solidFill>
                      </w14:textFill>
                    </w:rPr>
                    <w:t>单元</w:t>
                  </w:r>
                </w:p>
              </w:tc>
              <w:tc>
                <w:tcPr>
                  <w:tcW w:w="610" w:type="dxa"/>
                  <w:tcMar>
                    <w:top w:w="0" w:type="dxa"/>
                    <w:left w:w="45" w:type="dxa"/>
                    <w:bottom w:w="0" w:type="dxa"/>
                    <w:right w:w="45" w:type="dxa"/>
                  </w:tcMar>
                  <w:vAlign w:val="center"/>
                </w:tcPr>
                <w:p w14:paraId="07D6C3C6">
                  <w:pPr>
                    <w:autoSpaceDE w:val="0"/>
                    <w:autoSpaceDN w:val="0"/>
                    <w:adjustRightInd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陈仓区</w:t>
                  </w:r>
                </w:p>
              </w:tc>
              <w:tc>
                <w:tcPr>
                  <w:tcW w:w="628" w:type="dxa"/>
                  <w:tcMar>
                    <w:top w:w="0" w:type="dxa"/>
                    <w:left w:w="45" w:type="dxa"/>
                    <w:bottom w:w="0" w:type="dxa"/>
                    <w:right w:w="45" w:type="dxa"/>
                  </w:tcMar>
                  <w:vAlign w:val="center"/>
                </w:tcPr>
                <w:p w14:paraId="64FA5F9F">
                  <w:pPr>
                    <w:autoSpaceDE w:val="0"/>
                    <w:autoSpaceDN w:val="0"/>
                    <w:adjustRightInd w:val="0"/>
                    <w:snapToGrid w:val="0"/>
                    <w:jc w:val="center"/>
                    <w:rPr>
                      <w:rFonts w:hint="eastAsia"/>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宝鸡市</w:t>
                  </w:r>
                </w:p>
              </w:tc>
              <w:tc>
                <w:tcPr>
                  <w:tcW w:w="999" w:type="dxa"/>
                  <w:tcMar>
                    <w:top w:w="0" w:type="dxa"/>
                    <w:left w:w="45" w:type="dxa"/>
                    <w:bottom w:w="0" w:type="dxa"/>
                    <w:right w:w="45" w:type="dxa"/>
                  </w:tcMar>
                  <w:vAlign w:val="center"/>
                </w:tcPr>
                <w:p w14:paraId="503644A8">
                  <w:pPr>
                    <w:autoSpaceDE w:val="0"/>
                    <w:autoSpaceDN w:val="0"/>
                    <w:adjustRightInd w:val="0"/>
                    <w:snapToGrid w:val="0"/>
                    <w:jc w:val="center"/>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空间布局约束</w:t>
                  </w:r>
                </w:p>
              </w:tc>
              <w:tc>
                <w:tcPr>
                  <w:tcW w:w="5406" w:type="dxa"/>
                  <w:tcMar>
                    <w:top w:w="0" w:type="dxa"/>
                    <w:left w:w="45" w:type="dxa"/>
                    <w:bottom w:w="0" w:type="dxa"/>
                    <w:right w:w="45" w:type="dxa"/>
                  </w:tcMar>
                  <w:vAlign w:val="center"/>
                </w:tcPr>
                <w:p w14:paraId="564D24BA">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1.执行宝鸡市生态环境要素分区总体准入清单中“6.1 一般管控单元的总体要求”；</w:t>
                  </w:r>
                </w:p>
                <w:p w14:paraId="09864822">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2.秦岭一般保护区执行宝鸡市生态环境要素分区总体准入清单中“3.10秦岭一般保护区的空间布局约束”；</w:t>
                  </w:r>
                </w:p>
                <w:p w14:paraId="7F856294">
                  <w:pPr>
                    <w:autoSpaceDE w:val="0"/>
                    <w:autoSpaceDN w:val="0"/>
                    <w:adjustRightInd w:val="0"/>
                    <w:snapToGrid w:val="0"/>
                    <w:rPr>
                      <w:rFonts w:hint="eastAsia"/>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3.农用地优先保护区执行宝鸡市生态环境要素分区总体准入清单中“4.2农用地优先保护区的空间布局约束”</w:t>
                  </w:r>
                </w:p>
              </w:tc>
              <w:tc>
                <w:tcPr>
                  <w:tcW w:w="3008" w:type="dxa"/>
                  <w:tcMar>
                    <w:top w:w="0" w:type="dxa"/>
                    <w:left w:w="45" w:type="dxa"/>
                    <w:bottom w:w="0" w:type="dxa"/>
                    <w:right w:w="45" w:type="dxa"/>
                  </w:tcMar>
                  <w:vAlign w:val="center"/>
                </w:tcPr>
                <w:p w14:paraId="7762AB39">
                  <w:pPr>
                    <w:autoSpaceDE w:val="0"/>
                    <w:autoSpaceDN w:val="0"/>
                    <w:adjustRightInd w:val="0"/>
                    <w:snapToGrid w:val="0"/>
                    <w:rPr>
                      <w:rFonts w:hint="eastAsia" w:eastAsia="宋体"/>
                      <w:color w:val="000000" w:themeColor="text1"/>
                      <w:kern w:val="0"/>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14:textFill>
                        <w14:solidFill>
                          <w14:schemeClr w14:val="tx1"/>
                        </w14:solidFill>
                      </w14:textFill>
                    </w:rPr>
                    <w:t>关于印发秦岭生态环境保护规划的通知</w:t>
                  </w:r>
                  <w:r>
                    <w:rPr>
                      <w:rFonts w:hint="eastAsia"/>
                      <w:color w:val="000000" w:themeColor="text1"/>
                      <w:kern w:val="0"/>
                      <w:szCs w:val="21"/>
                      <w:lang w:eastAsia="zh-CN"/>
                      <w14:textFill>
                        <w14:solidFill>
                          <w14:schemeClr w14:val="tx1"/>
                        </w14:solidFill>
                      </w14:textFill>
                    </w:rPr>
                    <w:t>》（宝政办发〔2020〕51号）</w:t>
                  </w:r>
                  <w:r>
                    <w:rPr>
                      <w:rFonts w:hint="eastAsia"/>
                      <w:color w:val="000000" w:themeColor="text1"/>
                      <w:kern w:val="0"/>
                      <w:szCs w:val="21"/>
                      <w:lang w:val="en-US" w:eastAsia="zh-CN"/>
                      <w14:textFill>
                        <w14:solidFill>
                          <w14:schemeClr w14:val="tx1"/>
                        </w14:solidFill>
                      </w14:textFill>
                    </w:rPr>
                    <w:t>可知，</w:t>
                  </w:r>
                  <w:r>
                    <w:rPr>
                      <w:rFonts w:hint="eastAsia"/>
                      <w:color w:val="000000" w:themeColor="text1"/>
                      <w:szCs w:val="21"/>
                      <w:lang w:val="en-US" w:eastAsia="zh-CN"/>
                      <w14:textFill>
                        <w14:solidFill>
                          <w14:schemeClr w14:val="tx1"/>
                        </w14:solidFill>
                      </w14:textFill>
                    </w:rPr>
                    <w:t>项目占地不涉及</w:t>
                  </w:r>
                  <w:r>
                    <w:rPr>
                      <w:rFonts w:hint="eastAsia"/>
                      <w:color w:val="000000" w:themeColor="text1"/>
                      <w:kern w:val="0"/>
                      <w:szCs w:val="21"/>
                      <w14:textFill>
                        <w14:solidFill>
                          <w14:schemeClr w14:val="tx1"/>
                        </w14:solidFill>
                      </w14:textFill>
                    </w:rPr>
                    <w:t>秦岭一般保护区</w:t>
                  </w:r>
                  <w:r>
                    <w:rPr>
                      <w:rFonts w:hint="eastAsia"/>
                      <w:color w:val="000000" w:themeColor="text1"/>
                      <w:kern w:val="0"/>
                      <w:szCs w:val="21"/>
                      <w:lang w:eastAsia="zh-CN"/>
                      <w14:textFill>
                        <w14:solidFill>
                          <w14:schemeClr w14:val="tx1"/>
                        </w14:solidFill>
                      </w14:textFill>
                    </w:rPr>
                    <w:t>。</w:t>
                  </w:r>
                </w:p>
                <w:p w14:paraId="1E5C0C13">
                  <w:pPr>
                    <w:autoSpaceDE w:val="0"/>
                    <w:autoSpaceDN w:val="0"/>
                    <w:adjustRightInd w:val="0"/>
                    <w:snapToGrid w:val="0"/>
                    <w:rPr>
                      <w:rFonts w:hint="eastAsia"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套取陈仓区“三区三线”项目占地不涉及</w:t>
                  </w:r>
                  <w:r>
                    <w:rPr>
                      <w:rFonts w:hint="eastAsia"/>
                      <w:color w:val="000000" w:themeColor="text1"/>
                      <w:kern w:val="0"/>
                      <w:szCs w:val="21"/>
                      <w14:textFill>
                        <w14:solidFill>
                          <w14:schemeClr w14:val="tx1"/>
                        </w14:solidFill>
                      </w14:textFill>
                    </w:rPr>
                    <w:t>农用地优先保护区</w:t>
                  </w:r>
                </w:p>
              </w:tc>
              <w:tc>
                <w:tcPr>
                  <w:tcW w:w="773" w:type="dxa"/>
                  <w:tcMar>
                    <w:top w:w="0" w:type="dxa"/>
                    <w:left w:w="45" w:type="dxa"/>
                    <w:bottom w:w="0" w:type="dxa"/>
                    <w:right w:w="45" w:type="dxa"/>
                  </w:tcMar>
                  <w:vAlign w:val="center"/>
                </w:tcPr>
                <w:p w14:paraId="4420F586">
                  <w:pPr>
                    <w:autoSpaceDE w:val="0"/>
                    <w:autoSpaceDN w:val="0"/>
                    <w:adjustRightInd w:val="0"/>
                    <w:snapToGrid w:val="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bl>
          <w:p w14:paraId="5381F2F2">
            <w:pPr>
              <w:spacing w:line="360" w:lineRule="auto"/>
              <w:ind w:firstLine="480" w:firstLineChars="200"/>
              <w:rPr>
                <w:color w:val="000000" w:themeColor="text1"/>
                <w:sz w:val="24"/>
                <w:lang w:bidi="ar"/>
                <w14:textFill>
                  <w14:solidFill>
                    <w14:schemeClr w14:val="tx1"/>
                  </w14:solidFill>
                </w14:textFill>
              </w:rPr>
            </w:pPr>
            <w:r>
              <w:rPr>
                <w:rFonts w:hint="eastAsia"/>
                <w:color w:val="000000" w:themeColor="text1"/>
                <w:sz w:val="24"/>
                <w:lang w:bidi="ar"/>
                <w14:textFill>
                  <w14:solidFill>
                    <w14:schemeClr w14:val="tx1"/>
                  </w14:solidFill>
                </w14:textFill>
              </w:rPr>
              <w:t>③一说明</w:t>
            </w:r>
          </w:p>
          <w:p w14:paraId="3B51FF5D">
            <w:pPr>
              <w:spacing w:line="360" w:lineRule="auto"/>
              <w:ind w:firstLine="480" w:firstLineChars="200"/>
              <w:rPr>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w:t>
            </w:r>
            <w:r>
              <w:rPr>
                <w:rFonts w:hint="eastAsia"/>
                <w:color w:val="000000" w:themeColor="text1"/>
                <w:sz w:val="24"/>
                <w:lang w:bidi="ar"/>
                <w14:textFill>
                  <w14:solidFill>
                    <w14:schemeClr w14:val="tx1"/>
                  </w14:solidFill>
                </w14:textFill>
              </w:rPr>
              <w:t>所在区域为</w:t>
            </w:r>
            <w:r>
              <w:rPr>
                <w:rFonts w:hint="eastAsia"/>
                <w:color w:val="000000" w:themeColor="text1"/>
                <w:sz w:val="24"/>
                <w:lang w:val="en-US" w:eastAsia="zh-CN" w:bidi="ar"/>
                <w14:textFill>
                  <w14:solidFill>
                    <w14:schemeClr w14:val="tx1"/>
                  </w14:solidFill>
                </w14:textFill>
              </w:rPr>
              <w:t>优先管控单元、</w:t>
            </w:r>
            <w:r>
              <w:rPr>
                <w:rFonts w:hint="eastAsia"/>
                <w:color w:val="000000" w:themeColor="text1"/>
                <w:sz w:val="24"/>
                <w:lang w:bidi="ar"/>
                <w14:textFill>
                  <w14:solidFill>
                    <w14:schemeClr w14:val="tx1"/>
                  </w14:solidFill>
                </w14:textFill>
              </w:rPr>
              <w:t>一般管控单元，</w:t>
            </w:r>
            <w:r>
              <w:rPr>
                <w:rFonts w:hint="eastAsia" w:ascii="宋体" w:hAnsi="宋体" w:cs="宋体"/>
                <w:color w:val="000000" w:themeColor="text1"/>
                <w:sz w:val="24"/>
                <w14:textFill>
                  <w14:solidFill>
                    <w14:schemeClr w14:val="tx1"/>
                  </w14:solidFill>
                </w14:textFill>
              </w:rPr>
              <w:t>对照</w:t>
            </w:r>
            <w:r>
              <w:rPr>
                <w:rFonts w:hint="eastAsia" w:ascii="宋体" w:hAnsi="宋体" w:cs="宋体"/>
                <w:color w:val="000000" w:themeColor="text1"/>
                <w:sz w:val="24"/>
                <w:lang w:val="en-US" w:eastAsia="zh-CN"/>
                <w14:textFill>
                  <w14:solidFill>
                    <w14:schemeClr w14:val="tx1"/>
                  </w14:solidFill>
                </w14:textFill>
              </w:rPr>
              <w:t>宝鸡</w:t>
            </w:r>
            <w:r>
              <w:rPr>
                <w:rFonts w:hint="eastAsia"/>
                <w:color w:val="000000" w:themeColor="text1"/>
                <w:sz w:val="24"/>
                <w:lang w:bidi="ar"/>
                <w14:textFill>
                  <w14:solidFill>
                    <w14:schemeClr w14:val="tx1"/>
                  </w14:solidFill>
                </w14:textFill>
              </w:rPr>
              <w:t>市“三线一单”生态环境分区管控准入清单中的</w:t>
            </w:r>
            <w:r>
              <w:rPr>
                <w:rFonts w:hint="eastAsia"/>
                <w:color w:val="000000" w:themeColor="text1"/>
                <w:sz w:val="24"/>
                <w:lang w:val="en-US" w:eastAsia="zh-CN" w:bidi="ar"/>
                <w14:textFill>
                  <w14:solidFill>
                    <w14:schemeClr w14:val="tx1"/>
                  </w14:solidFill>
                </w14:textFill>
              </w:rPr>
              <w:t>优先管控单元</w:t>
            </w:r>
            <w:r>
              <w:rPr>
                <w:rFonts w:hint="eastAsia"/>
                <w:color w:val="000000" w:themeColor="text1"/>
                <w:sz w:val="24"/>
                <w:lang w:bidi="ar"/>
                <w14:textFill>
                  <w14:solidFill>
                    <w14:schemeClr w14:val="tx1"/>
                  </w14:solidFill>
                </w14:textFill>
              </w:rPr>
              <w:t>一般管控单元要求，项目</w:t>
            </w:r>
            <w:r>
              <w:rPr>
                <w:rFonts w:hint="eastAsia" w:ascii="宋体" w:hAnsi="宋体" w:cs="宋体"/>
                <w:color w:val="000000" w:themeColor="text1"/>
                <w:sz w:val="24"/>
                <w14:textFill>
                  <w14:solidFill>
                    <w14:schemeClr w14:val="tx1"/>
                  </w14:solidFill>
                </w14:textFill>
              </w:rPr>
              <w:t>满足各单元在空间布局约束要求，因此项目的建设符合</w:t>
            </w:r>
            <w:r>
              <w:rPr>
                <w:rFonts w:hint="eastAsia" w:ascii="宋体" w:hAnsi="宋体" w:cs="宋体"/>
                <w:color w:val="000000" w:themeColor="text1"/>
                <w:sz w:val="24"/>
                <w:lang w:val="en-US" w:eastAsia="zh-CN"/>
                <w14:textFill>
                  <w14:solidFill>
                    <w14:schemeClr w14:val="tx1"/>
                  </w14:solidFill>
                </w14:textFill>
              </w:rPr>
              <w:t>宝鸡</w:t>
            </w:r>
            <w:r>
              <w:rPr>
                <w:rFonts w:hint="eastAsia"/>
                <w:color w:val="000000" w:themeColor="text1"/>
                <w:sz w:val="24"/>
                <w:lang w:bidi="ar"/>
                <w14:textFill>
                  <w14:solidFill>
                    <w14:schemeClr w14:val="tx1"/>
                  </w14:solidFill>
                </w14:textFill>
              </w:rPr>
              <w:t>市“三线一单”生态环境分区管控</w:t>
            </w:r>
            <w:r>
              <w:rPr>
                <w:rFonts w:hint="eastAsia" w:ascii="宋体" w:hAnsi="宋体" w:cs="宋体"/>
                <w:color w:val="000000" w:themeColor="text1"/>
                <w:sz w:val="24"/>
                <w14:textFill>
                  <w14:solidFill>
                    <w14:schemeClr w14:val="tx1"/>
                  </w14:solidFill>
                </w14:textFill>
              </w:rPr>
              <w:t>要求。</w:t>
            </w:r>
          </w:p>
        </w:tc>
      </w:tr>
    </w:tbl>
    <w:p w14:paraId="55D3D910">
      <w:pPr>
        <w:rPr>
          <w:color w:val="000000" w:themeColor="text1"/>
          <w14:textFill>
            <w14:solidFill>
              <w14:schemeClr w14:val="tx1"/>
            </w14:solidFill>
          </w14:textFill>
        </w:rPr>
        <w:sectPr>
          <w:footerReference r:id="rId8" w:type="default"/>
          <w:pgSz w:w="16838" w:h="11906" w:orient="landscape"/>
          <w:pgMar w:top="1531" w:right="1701" w:bottom="1531" w:left="1701" w:header="851" w:footer="1077" w:gutter="0"/>
          <w:cols w:space="720" w:num="1"/>
          <w:docGrid w:linePitch="312" w:charSpace="0"/>
        </w:sectPr>
      </w:pPr>
      <w:r>
        <w:rPr>
          <w:rFonts w:hint="eastAsia"/>
          <w:color w:val="000000" w:themeColor="text1"/>
          <w14:textFill>
            <w14:solidFill>
              <w14:schemeClr w14:val="tx1"/>
            </w14:solidFill>
          </w14:textFill>
        </w:rPr>
        <w:t xml:space="preserve"> </w:t>
      </w:r>
    </w:p>
    <w:p w14:paraId="138613AA">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w:t>
      </w:r>
      <w:r>
        <w:rPr>
          <w:rFonts w:hint="eastAsia" w:ascii="Times New Roman" w:hAnsi="Times New Roman" w:eastAsia="黑体"/>
          <w:snapToGrid w:val="0"/>
          <w:color w:val="000000" w:themeColor="text1"/>
          <w:sz w:val="30"/>
          <w:szCs w:val="30"/>
          <w14:textFill>
            <w14:solidFill>
              <w14:schemeClr w14:val="tx1"/>
            </w14:solidFill>
          </w14:textFill>
        </w:rPr>
        <w:t>内容</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75"/>
      </w:tblGrid>
      <w:tr w14:paraId="17538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24" w:hRule="atLeast"/>
          <w:jc w:val="center"/>
        </w:trPr>
        <w:tc>
          <w:tcPr>
            <w:tcW w:w="823" w:type="dxa"/>
            <w:vAlign w:val="center"/>
          </w:tcPr>
          <w:p w14:paraId="19AD10F0">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地理位置</w:t>
            </w:r>
          </w:p>
        </w:tc>
        <w:tc>
          <w:tcPr>
            <w:tcW w:w="8075" w:type="dxa"/>
          </w:tcPr>
          <w:p w14:paraId="4A3682ED">
            <w:pPr>
              <w:pStyle w:val="30"/>
              <w:spacing w:after="0" w:line="360" w:lineRule="auto"/>
              <w:ind w:left="0" w:leftChars="0" w:firstLine="480" w:firstLineChars="200"/>
              <w:rPr>
                <w:rFonts w:hint="eastAsia"/>
              </w:rPr>
            </w:pP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本项目风电场位于</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宝鸡市陈仓区拓石镇</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，风电场范围为：</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东经</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10</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6</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33</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20</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580</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″～10</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6</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36</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27.108</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″之间，</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北纬</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34°</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33</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27.437</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″～34°</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34</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26.307</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″之间。项目地距离</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宝鸡市市区</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直线距离约</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70</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km</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场址区</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地形地貌</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属</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黄土丘陵沟壑区</w:t>
            </w:r>
            <w:r>
              <w:rPr>
                <w:rFonts w:hint="eastAsia" w:cs="Times New Roman" w:eastAsiaTheme="minorEastAsia"/>
                <w:color w:val="000000" w:themeColor="text1"/>
                <w:kern w:val="0"/>
                <w:sz w:val="24"/>
                <w:szCs w:val="24"/>
                <w:lang w:val="en-US" w:eastAsia="zh-CN" w:bidi="ar-SA"/>
                <w14:textFill>
                  <w14:solidFill>
                    <w14:schemeClr w14:val="tx1"/>
                  </w14:solidFill>
                </w14:textFill>
              </w:rPr>
              <w:t>，</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海拔高度介于1</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8</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00～</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200</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0m之间。场址</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南侧</w:t>
            </w:r>
            <w:r>
              <w:rPr>
                <w:rFonts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有</w:t>
            </w:r>
            <w:r>
              <w:rPr>
                <w:rFonts w:hint="eastAsia" w:ascii="Times New Roman" w:hAnsi="Times New Roman" w:cs="Times New Roman" w:eastAsiaTheme="minorEastAsia"/>
                <w:color w:val="000000" w:themeColor="text1"/>
                <w:kern w:val="0"/>
                <w:sz w:val="24"/>
                <w:szCs w:val="24"/>
                <w:lang w:val="en-US" w:eastAsia="zh-CN" w:bidi="ar-SA"/>
                <w14:textFill>
                  <w14:solidFill>
                    <w14:schemeClr w14:val="tx1"/>
                  </w14:solidFill>
                </w14:textFill>
              </w:rPr>
              <w:t>G310国道经过，另有乡村道路可通入场内，对外交通条件便利。项目地理位置见附图一。</w:t>
            </w:r>
          </w:p>
        </w:tc>
      </w:tr>
      <w:tr w14:paraId="59F93C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7AB3B7D9">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项目组成及规模</w:t>
            </w:r>
          </w:p>
        </w:tc>
        <w:tc>
          <w:tcPr>
            <w:tcW w:w="8075" w:type="dxa"/>
          </w:tcPr>
          <w:p w14:paraId="5BA0F372">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firstLineChars="200"/>
              <w:textAlignment w:val="auto"/>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1、项目由来</w:t>
            </w:r>
          </w:p>
          <w:p w14:paraId="0ECA9357">
            <w:pPr>
              <w:pStyle w:val="30"/>
              <w:spacing w:after="0" w:line="360" w:lineRule="auto"/>
              <w:ind w:left="0" w:leftChars="0" w:firstLine="480" w:firstLineChars="20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我国《</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十四五</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现代能源体系规划》《</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十四五</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可再生能源发展规划》等均指出科学有序的加快发展风力发电，风能作为一种清洁、可再生能源</w:t>
            </w:r>
            <w:r>
              <w:rPr>
                <w:rFonts w:hint="eastAsia" w:eastAsiaTheme="minorEastAsia"/>
                <w:color w:val="000000" w:themeColor="text1"/>
                <w:szCs w:val="24"/>
                <w:lang w:val="en-US" w:eastAsia="zh-CN"/>
                <w14:textFill>
                  <w14:solidFill>
                    <w14:schemeClr w14:val="tx1"/>
                  </w14:solidFill>
                </w14:textFill>
              </w:rPr>
              <w:t>利用</w:t>
            </w:r>
            <w:r>
              <w:rPr>
                <w:rFonts w:eastAsiaTheme="minorEastAsia"/>
                <w:color w:val="000000" w:themeColor="text1"/>
                <w:szCs w:val="24"/>
                <w14:textFill>
                  <w14:solidFill>
                    <w14:schemeClr w14:val="tx1"/>
                  </w14:solidFill>
                </w14:textFill>
              </w:rPr>
              <w:t>能够为科学有序推进实现碳达峰、碳中和目标助力，不断提升绿色发展能力。</w:t>
            </w:r>
          </w:p>
          <w:p w14:paraId="6BAF8D9C">
            <w:pPr>
              <w:pStyle w:val="30"/>
              <w:spacing w:after="0" w:line="360" w:lineRule="auto"/>
              <w:ind w:left="0" w:leftChars="0" w:firstLine="480" w:firstLineChars="200"/>
              <w:rPr>
                <w:rFonts w:hint="default" w:ascii="Times New Roman" w:hAnsi="Times New Roman" w:cs="Times New Roman"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根据项目所在地区社会经济发展和电力系统发展规划，以及项目建设条件、风能</w:t>
            </w:r>
            <w:r>
              <w:rPr>
                <w:rFonts w:hint="default" w:ascii="Times New Roman" w:hAnsi="Times New Roman" w:cs="Times New Roman" w:eastAsiaTheme="minorEastAsia"/>
                <w:color w:val="000000" w:themeColor="text1"/>
                <w:szCs w:val="24"/>
                <w14:textFill>
                  <w14:solidFill>
                    <w14:schemeClr w14:val="tx1"/>
                  </w14:solidFill>
                </w14:textFill>
              </w:rPr>
              <w:t>资源开发利用的要求，大唐宝鸡热电厂拟在鸡市陈仓区拓石镇</w:t>
            </w:r>
            <w:r>
              <w:rPr>
                <w:rFonts w:hint="default" w:ascii="Times New Roman" w:hAnsi="Times New Roman" w:cs="Times New Roman" w:eastAsiaTheme="minorEastAsia"/>
                <w:color w:val="000000" w:themeColor="text1"/>
                <w:szCs w:val="24"/>
                <w:lang w:val="en-US" w:eastAsia="zh-CN"/>
                <w14:textFill>
                  <w14:solidFill>
                    <w14:schemeClr w14:val="tx1"/>
                  </w14:solidFill>
                </w14:textFill>
              </w:rPr>
              <w:t>建设</w:t>
            </w:r>
            <w:r>
              <w:rPr>
                <w:rFonts w:hint="default" w:ascii="Times New Roman" w:hAnsi="Times New Roman" w:cs="Times New Roman" w:eastAsiaTheme="minorEastAsia"/>
                <w:color w:val="000000" w:themeColor="text1"/>
                <w:szCs w:val="24"/>
                <w14:textFill>
                  <w14:solidFill>
                    <w14:schemeClr w14:val="tx1"/>
                  </w14:solidFill>
                </w14:textFill>
              </w:rPr>
              <w:t>大唐陈仓5万千瓦风电项目，风电场主要任务是发电。</w:t>
            </w:r>
          </w:p>
          <w:p w14:paraId="4FB7CD06">
            <w:pPr>
              <w:pStyle w:val="30"/>
              <w:spacing w:after="0" w:line="360" w:lineRule="auto"/>
              <w:ind w:left="0" w:leftChars="0" w:firstLine="480" w:firstLineChars="200"/>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eastAsiaTheme="minorEastAsia"/>
                <w:color w:val="000000" w:themeColor="text1"/>
                <w:szCs w:val="24"/>
                <w14:textFill>
                  <w14:solidFill>
                    <w14:schemeClr w14:val="tx1"/>
                  </w14:solidFill>
                </w14:textFill>
              </w:rPr>
              <w:t>大唐陈仓5万千瓦风电项目</w:t>
            </w:r>
            <w:r>
              <w:rPr>
                <w:rFonts w:hint="default" w:ascii="Times New Roman" w:hAnsi="Times New Roman" w:eastAsia="宋体" w:cs="Times New Roman"/>
                <w:color w:val="000000"/>
                <w:kern w:val="0"/>
                <w:sz w:val="24"/>
                <w:szCs w:val="24"/>
                <w:lang w:val="en-US" w:eastAsia="zh-CN" w:bidi="ar"/>
              </w:rPr>
              <w:t>风电场204003#测风塔166m高度代表年各月平均风速平均值为5.15m/s，平均值为139.1W/m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 New Roman" w:cs="Times New Roman"/>
                <w:spacing w:val="-8"/>
                <w:sz w:val="24"/>
                <w:szCs w:val="24"/>
              </w:rPr>
              <w:t>204005#</w:t>
            </w:r>
            <w:r>
              <w:rPr>
                <w:rFonts w:hint="default" w:ascii="Times New Roman" w:hAnsi="Times New Roman" w:eastAsia="宋体" w:cs="Times New Roman"/>
                <w:spacing w:val="-8"/>
                <w:sz w:val="24"/>
                <w:szCs w:val="24"/>
              </w:rPr>
              <w:t>测风塔</w:t>
            </w:r>
            <w:r>
              <w:rPr>
                <w:rFonts w:hint="eastAsia" w:ascii="Times New Roman" w:hAnsi="Times New Roman" w:eastAsia="宋体" w:cs="Times New Roman"/>
                <w:spacing w:val="0"/>
                <w:sz w:val="24"/>
                <w:szCs w:val="24"/>
                <w:lang w:val="en-US" w:eastAsia="zh-CN"/>
              </w:rPr>
              <w:t>1</w:t>
            </w:r>
            <w:r>
              <w:rPr>
                <w:rFonts w:hint="default" w:ascii="Times New Roman" w:hAnsi="Times New Roman" w:eastAsia="Times New Roman" w:cs="Times New Roman"/>
                <w:spacing w:val="0"/>
                <w:sz w:val="24"/>
                <w:szCs w:val="24"/>
              </w:rPr>
              <w:t>66m</w:t>
            </w:r>
            <w:r>
              <w:rPr>
                <w:rFonts w:hint="default" w:ascii="Times New Roman" w:hAnsi="Times New Roman" w:eastAsia="宋体" w:cs="Times New Roman"/>
                <w:spacing w:val="-9"/>
                <w:sz w:val="24"/>
                <w:szCs w:val="24"/>
              </w:rPr>
              <w:t>高度代表年平均风速为</w:t>
            </w:r>
            <w:r>
              <w:rPr>
                <w:rFonts w:hint="default" w:ascii="Times New Roman" w:hAnsi="Times New Roman" w:eastAsia="Times New Roman" w:cs="Times New Roman"/>
                <w:spacing w:val="-9"/>
                <w:sz w:val="24"/>
                <w:szCs w:val="24"/>
              </w:rPr>
              <w:t>5.14m/s</w:t>
            </w:r>
            <w:r>
              <w:rPr>
                <w:rFonts w:hint="default" w:ascii="Times New Roman" w:hAnsi="Times New Roman" w:eastAsia="宋体" w:cs="Times New Roman"/>
                <w:spacing w:val="-9"/>
                <w:sz w:val="24"/>
                <w:szCs w:val="24"/>
              </w:rPr>
              <w:t>，平均风</w:t>
            </w:r>
            <w:r>
              <w:rPr>
                <w:rFonts w:hint="default" w:ascii="Times New Roman" w:hAnsi="Times New Roman" w:eastAsia="宋体" w:cs="Times New Roman"/>
                <w:spacing w:val="-11"/>
                <w:sz w:val="24"/>
                <w:szCs w:val="24"/>
              </w:rPr>
              <w:t>功率密度为</w:t>
            </w:r>
            <w:r>
              <w:rPr>
                <w:rFonts w:hint="default" w:ascii="Times New Roman" w:hAnsi="Times New Roman" w:eastAsia="Times New Roman" w:cs="Times New Roman"/>
                <w:spacing w:val="-11"/>
                <w:sz w:val="24"/>
                <w:szCs w:val="24"/>
              </w:rPr>
              <w:t>118W/</w:t>
            </w:r>
            <w:r>
              <w:rPr>
                <w:rFonts w:hint="default" w:ascii="Times New Roman" w:hAnsi="Times New Roman" w:eastAsia="宋体"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spacing w:val="-11"/>
                <w:sz w:val="24"/>
                <w:szCs w:val="24"/>
                <w:lang w:eastAsia="zh-CN"/>
              </w:rPr>
              <w:t>。</w:t>
            </w:r>
            <w:r>
              <w:rPr>
                <w:rFonts w:hint="default" w:ascii="Times New Roman" w:hAnsi="Times New Roman" w:eastAsia="宋体" w:cs="Times New Roman"/>
                <w:color w:val="000000"/>
                <w:kern w:val="0"/>
                <w:sz w:val="24"/>
                <w:szCs w:val="24"/>
                <w:lang w:val="en-US" w:eastAsia="zh-CN" w:bidi="ar"/>
              </w:rPr>
              <w:t>根据《风电场工程风能资源测量与评估技术规范》（NB/T31147-2018）提供的标准可判断本风电场风功率密度等级为D-1级，具备一定的开发价值。同时该地区交通条件较好，具有开发风力发电的有利条件，且社会效益、环保效益显著。</w:t>
            </w:r>
          </w:p>
          <w:p w14:paraId="43B1387D">
            <w:pPr>
              <w:pStyle w:val="30"/>
              <w:spacing w:after="0" w:line="360" w:lineRule="auto"/>
              <w:ind w:left="0" w:leftChars="0" w:firstLine="480" w:firstLineChars="200"/>
              <w:rPr>
                <w:rFonts w:eastAsiaTheme="minorEastAsia"/>
                <w:color w:val="auto"/>
                <w:szCs w:val="24"/>
              </w:rPr>
            </w:pPr>
            <w:r>
              <w:rPr>
                <w:rFonts w:hint="eastAsia" w:eastAsiaTheme="minorEastAsia"/>
                <w:color w:val="000000" w:themeColor="text1"/>
                <w:szCs w:val="24"/>
                <w14:textFill>
                  <w14:solidFill>
                    <w14:schemeClr w14:val="tx1"/>
                  </w14:solidFill>
                </w14:textFill>
              </w:rPr>
              <w:t>本</w:t>
            </w:r>
            <w:r>
              <w:rPr>
                <w:rFonts w:eastAsiaTheme="minorEastAsia"/>
                <w:color w:val="000000" w:themeColor="text1"/>
                <w:szCs w:val="24"/>
                <w14:textFill>
                  <w14:solidFill>
                    <w14:schemeClr w14:val="tx1"/>
                  </w14:solidFill>
                </w14:textFill>
              </w:rPr>
              <w:t>项目</w:t>
            </w:r>
            <w:r>
              <w:rPr>
                <w:rFonts w:hint="eastAsia" w:eastAsiaTheme="minorEastAsia"/>
                <w:color w:val="000000" w:themeColor="text1"/>
                <w:szCs w:val="24"/>
                <w14:textFill>
                  <w14:solidFill>
                    <w14:schemeClr w14:val="tx1"/>
                  </w14:solidFill>
                </w14:textFill>
              </w:rPr>
              <w:t>风电场</w:t>
            </w:r>
            <w:r>
              <w:rPr>
                <w:rFonts w:eastAsiaTheme="minorEastAsia"/>
                <w:color w:val="000000" w:themeColor="text1"/>
                <w:szCs w:val="24"/>
                <w14:textFill>
                  <w14:solidFill>
                    <w14:schemeClr w14:val="tx1"/>
                  </w14:solidFill>
                </w14:textFill>
              </w:rPr>
              <w:t>装机容量</w:t>
            </w:r>
            <w:r>
              <w:rPr>
                <w:rFonts w:hint="eastAsia" w:eastAsiaTheme="minorEastAsia"/>
                <w:color w:val="000000" w:themeColor="text1"/>
                <w:szCs w:val="24"/>
                <w14:textFill>
                  <w14:solidFill>
                    <w14:schemeClr w14:val="tx1"/>
                  </w14:solidFill>
                </w14:textFill>
              </w:rPr>
              <w:t>5</w:t>
            </w:r>
            <w:r>
              <w:rPr>
                <w:rFonts w:eastAsiaTheme="minorEastAsia"/>
                <w:color w:val="000000" w:themeColor="text1"/>
                <w:szCs w:val="24"/>
                <w14:textFill>
                  <w14:solidFill>
                    <w14:schemeClr w14:val="tx1"/>
                  </w14:solidFill>
                </w14:textFill>
              </w:rPr>
              <w:t>0MW，</w:t>
            </w:r>
            <w:r>
              <w:rPr>
                <w:rFonts w:hint="eastAsia" w:eastAsiaTheme="minorEastAsia"/>
                <w:color w:val="000000" w:themeColor="text1"/>
                <w:szCs w:val="24"/>
                <w14:textFill>
                  <w14:solidFill>
                    <w14:schemeClr w14:val="tx1"/>
                  </w14:solidFill>
                </w14:textFill>
              </w:rPr>
              <w:t>拟</w:t>
            </w:r>
            <w:r>
              <w:rPr>
                <w:rFonts w:eastAsiaTheme="minorEastAsia"/>
                <w:color w:val="000000" w:themeColor="text1"/>
                <w:szCs w:val="24"/>
                <w14:textFill>
                  <w14:solidFill>
                    <w14:schemeClr w14:val="tx1"/>
                  </w14:solidFill>
                </w14:textFill>
              </w:rPr>
              <w:t>安装</w:t>
            </w:r>
            <w:r>
              <w:rPr>
                <w:rFonts w:hint="eastAsia" w:eastAsiaTheme="minorEastAsia"/>
                <w:color w:val="000000" w:themeColor="text1"/>
                <w:szCs w:val="24"/>
                <w:lang w:val="en-US" w:eastAsia="zh-CN"/>
                <w14:textFill>
                  <w14:solidFill>
                    <w14:schemeClr w14:val="tx1"/>
                  </w14:solidFill>
                </w14:textFill>
              </w:rPr>
              <w:t>10</w:t>
            </w:r>
            <w:r>
              <w:rPr>
                <w:rFonts w:eastAsiaTheme="minorEastAsia"/>
                <w:color w:val="000000" w:themeColor="text1"/>
                <w:szCs w:val="24"/>
                <w14:textFill>
                  <w14:solidFill>
                    <w14:schemeClr w14:val="tx1"/>
                  </w14:solidFill>
                </w14:textFill>
              </w:rPr>
              <w:t>台</w:t>
            </w:r>
            <w:r>
              <w:rPr>
                <w:rFonts w:hint="eastAsia" w:eastAsiaTheme="minorEastAsia"/>
                <w:color w:val="000000" w:themeColor="text1"/>
                <w:szCs w:val="24"/>
                <w:lang w:val="en-US" w:eastAsia="zh-CN"/>
                <w14:textFill>
                  <w14:solidFill>
                    <w14:schemeClr w14:val="tx1"/>
                  </w14:solidFill>
                </w14:textFill>
              </w:rPr>
              <w:t>5</w:t>
            </w:r>
            <w:r>
              <w:rPr>
                <w:rFonts w:eastAsiaTheme="minorEastAsia"/>
                <w:color w:val="000000" w:themeColor="text1"/>
                <w:szCs w:val="24"/>
                <w14:textFill>
                  <w14:solidFill>
                    <w14:schemeClr w14:val="tx1"/>
                  </w14:solidFill>
                </w14:textFill>
              </w:rPr>
              <w:t>MW的风力发电机组。本项目于2024年8月28日取得</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陕西省发展和改革委员会关于</w:t>
            </w:r>
            <w:r>
              <w:rPr>
                <w:rFonts w:hint="eastAsia" w:eastAsiaTheme="minorEastAsia"/>
                <w:color w:val="000000" w:themeColor="text1"/>
                <w:szCs w:val="24"/>
                <w14:textFill>
                  <w14:solidFill>
                    <w14:schemeClr w14:val="tx1"/>
                  </w14:solidFill>
                </w14:textFill>
              </w:rPr>
              <w:t>大唐陈仓5万千瓦风电项</w:t>
            </w:r>
            <w:r>
              <w:rPr>
                <w:rFonts w:eastAsiaTheme="minorEastAsia"/>
                <w:color w:val="000000" w:themeColor="text1"/>
                <w:szCs w:val="24"/>
                <w14:textFill>
                  <w14:solidFill>
                    <w14:schemeClr w14:val="tx1"/>
                  </w14:solidFill>
                </w14:textFill>
              </w:rPr>
              <w:t>目核准的批复</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（陕发改能新能源〔2024〕14</w:t>
            </w:r>
            <w:r>
              <w:rPr>
                <w:rFonts w:hint="eastAsia" w:eastAsiaTheme="minorEastAsia"/>
                <w:color w:val="000000" w:themeColor="text1"/>
                <w:szCs w:val="24"/>
                <w:lang w:val="en-US" w:eastAsia="zh-CN"/>
                <w14:textFill>
                  <w14:solidFill>
                    <w14:schemeClr w14:val="tx1"/>
                  </w14:solidFill>
                </w14:textFill>
              </w:rPr>
              <w:t>79</w:t>
            </w:r>
            <w:r>
              <w:rPr>
                <w:rFonts w:eastAsiaTheme="minorEastAsia"/>
                <w:color w:val="000000" w:themeColor="text1"/>
                <w:szCs w:val="24"/>
                <w14:textFill>
                  <w14:solidFill>
                    <w14:schemeClr w14:val="tx1"/>
                  </w14:solidFill>
                </w14:textFill>
              </w:rPr>
              <w:t>号</w:t>
            </w:r>
            <w:r>
              <w:rPr>
                <w:rFonts w:eastAsiaTheme="minorEastAsia"/>
                <w:color w:val="auto"/>
                <w:szCs w:val="24"/>
              </w:rPr>
              <w:t>）（见附件2）。</w:t>
            </w:r>
          </w:p>
          <w:p w14:paraId="6E03355D">
            <w:pPr>
              <w:pStyle w:val="30"/>
              <w:spacing w:after="0" w:line="360" w:lineRule="auto"/>
              <w:ind w:left="0" w:leftChars="0" w:firstLine="480" w:firstLineChars="200"/>
              <w:rPr>
                <w:rFonts w:hint="eastAsia"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本项目属于“四十一电力、热力生产和供应业-陆上风力发电4415”</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根据</w:t>
            </w:r>
            <w:r>
              <w:rPr>
                <w:rFonts w:eastAsiaTheme="minorEastAsia"/>
                <w:color w:val="000000" w:themeColor="text1"/>
                <w:szCs w:val="24"/>
                <w14:textFill>
                  <w14:solidFill>
                    <w14:schemeClr w14:val="tx1"/>
                  </w14:solidFill>
                </w14:textFill>
              </w:rPr>
              <w:t>《中华人民共和国环境影响评价法》、《建设项目环境保护管理条例》</w:t>
            </w:r>
            <w:r>
              <w:rPr>
                <w:rFonts w:hint="eastAsia" w:eastAsiaTheme="minorEastAsia"/>
                <w:color w:val="000000" w:themeColor="text1"/>
                <w:szCs w:val="24"/>
                <w:lang w:val="en-US" w:eastAsia="zh-CN"/>
                <w14:textFill>
                  <w14:solidFill>
                    <w14:schemeClr w14:val="tx1"/>
                  </w14:solidFill>
                </w14:textFill>
              </w:rPr>
              <w:t>要求，项目需要编制环境影响评价文件。查阅</w:t>
            </w:r>
            <w:r>
              <w:rPr>
                <w:rFonts w:eastAsiaTheme="minorEastAsia"/>
                <w:color w:val="000000" w:themeColor="text1"/>
                <w:szCs w:val="24"/>
                <w14:textFill>
                  <w14:solidFill>
                    <w14:schemeClr w14:val="tx1"/>
                  </w14:solidFill>
                </w14:textFill>
              </w:rPr>
              <w:t>《建设项目环境影响评价分类管理名录（2021年版）》要求，本项目</w:t>
            </w:r>
            <w:r>
              <w:rPr>
                <w:rFonts w:hint="eastAsia" w:eastAsiaTheme="minorEastAsia"/>
                <w:color w:val="000000" w:themeColor="text1"/>
                <w:szCs w:val="24"/>
                <w:lang w:eastAsia="zh-CN"/>
                <w14:textFill>
                  <w14:solidFill>
                    <w14:schemeClr w14:val="tx1"/>
                  </w14:solidFill>
                </w14:textFill>
              </w:rPr>
              <w:t>装机</w:t>
            </w:r>
            <w:r>
              <w:rPr>
                <w:rFonts w:eastAsiaTheme="minorEastAsia"/>
                <w:color w:val="000000" w:themeColor="text1"/>
                <w:szCs w:val="24"/>
                <w14:textFill>
                  <w14:solidFill>
                    <w14:schemeClr w14:val="tx1"/>
                  </w14:solidFill>
                </w14:textFill>
              </w:rPr>
              <w:t>容量为</w:t>
            </w:r>
            <w:r>
              <w:rPr>
                <w:rFonts w:hint="eastAsia" w:eastAsiaTheme="minorEastAsia"/>
                <w:color w:val="000000" w:themeColor="text1"/>
                <w:szCs w:val="24"/>
                <w14:textFill>
                  <w14:solidFill>
                    <w14:schemeClr w14:val="tx1"/>
                  </w14:solidFill>
                </w14:textFill>
              </w:rPr>
              <w:t>5</w:t>
            </w:r>
            <w:r>
              <w:rPr>
                <w:rFonts w:eastAsiaTheme="minorEastAsia"/>
                <w:color w:val="000000" w:themeColor="text1"/>
                <w:szCs w:val="24"/>
                <w14:textFill>
                  <w14:solidFill>
                    <w14:schemeClr w14:val="tx1"/>
                  </w14:solidFill>
                </w14:textFill>
              </w:rPr>
              <w:t>万千瓦</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不涉及环境敏感区，属于</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其他风力发电</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，应编制环境影响报告表。</w:t>
            </w:r>
            <w:r>
              <w:rPr>
                <w:rFonts w:hint="eastAsia" w:eastAsiaTheme="minorEastAsia"/>
                <w:b/>
                <w:bCs/>
                <w:color w:val="000000" w:themeColor="text1"/>
                <w:szCs w:val="24"/>
                <w14:textFill>
                  <w14:solidFill>
                    <w14:schemeClr w14:val="tx1"/>
                  </w14:solidFill>
                </w14:textFill>
              </w:rPr>
              <w:t>110kV升压站不在本次评价范围内。</w:t>
            </w:r>
          </w:p>
          <w:p w14:paraId="3D27EF55">
            <w:pPr>
              <w:pStyle w:val="30"/>
              <w:spacing w:after="0" w:line="360" w:lineRule="auto"/>
              <w:ind w:left="0" w:leftChars="0" w:firstLine="480" w:firstLineChars="200"/>
              <w:rPr>
                <w:b/>
                <w:bCs/>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大唐宝鸡热电厂于</w:t>
            </w:r>
            <w:r>
              <w:rPr>
                <w:rFonts w:eastAsiaTheme="minorEastAsia"/>
                <w:color w:val="000000" w:themeColor="text1"/>
                <w:szCs w:val="24"/>
                <w14:textFill>
                  <w14:solidFill>
                    <w14:schemeClr w14:val="tx1"/>
                  </w14:solidFill>
                </w14:textFill>
              </w:rPr>
              <w:t>2024</w:t>
            </w:r>
            <w:r>
              <w:rPr>
                <w:rFonts w:hint="eastAsia" w:eastAsiaTheme="minorEastAsia"/>
                <w:color w:val="000000" w:themeColor="text1"/>
                <w:szCs w:val="24"/>
                <w14:textFill>
                  <w14:solidFill>
                    <w14:schemeClr w14:val="tx1"/>
                  </w14:solidFill>
                </w14:textFill>
              </w:rPr>
              <w:t>年</w:t>
            </w:r>
            <w:r>
              <w:rPr>
                <w:rFonts w:hint="eastAsia" w:eastAsiaTheme="minorEastAsia"/>
                <w:color w:val="000000" w:themeColor="text1"/>
                <w:szCs w:val="24"/>
                <w:lang w:val="en-US" w:eastAsia="zh-CN"/>
                <w14:textFill>
                  <w14:solidFill>
                    <w14:schemeClr w14:val="tx1"/>
                  </w14:solidFill>
                </w14:textFill>
              </w:rPr>
              <w:t>11</w:t>
            </w:r>
            <w:r>
              <w:rPr>
                <w:rFonts w:hint="eastAsia" w:eastAsiaTheme="minorEastAsia"/>
                <w:color w:val="000000" w:themeColor="text1"/>
                <w:szCs w:val="24"/>
                <w14:textFill>
                  <w14:solidFill>
                    <w14:schemeClr w14:val="tx1"/>
                  </w14:solidFill>
                </w14:textFill>
              </w:rPr>
              <w:t>月</w:t>
            </w:r>
            <w:r>
              <w:rPr>
                <w:rFonts w:hint="eastAsia" w:eastAsiaTheme="minorEastAsia"/>
                <w:color w:val="000000" w:themeColor="text1"/>
                <w:szCs w:val="24"/>
                <w:lang w:val="en-US" w:eastAsia="zh-CN"/>
                <w14:textFill>
                  <w14:solidFill>
                    <w14:schemeClr w14:val="tx1"/>
                  </w14:solidFill>
                </w14:textFill>
              </w:rPr>
              <w:t>30</w:t>
            </w:r>
            <w:r>
              <w:rPr>
                <w:rFonts w:hint="eastAsia" w:eastAsiaTheme="minorEastAsia"/>
                <w:color w:val="000000" w:themeColor="text1"/>
                <w:szCs w:val="24"/>
                <w14:textFill>
                  <w14:solidFill>
                    <w14:schemeClr w14:val="tx1"/>
                  </w14:solidFill>
                </w14:textFill>
              </w:rPr>
              <w:t>日委托我单位对其大唐陈仓5万千瓦风电</w:t>
            </w:r>
            <w:r>
              <w:rPr>
                <w:rFonts w:hint="eastAsia" w:eastAsiaTheme="minorEastAsia"/>
                <w:color w:val="000000" w:themeColor="text1"/>
                <w:szCs w:val="24"/>
                <w:lang w:val="en-US" w:eastAsia="zh-CN"/>
                <w14:textFill>
                  <w14:solidFill>
                    <w14:schemeClr w14:val="tx1"/>
                  </w14:solidFill>
                </w14:textFill>
              </w:rPr>
              <w:t>项目</w:t>
            </w:r>
            <w:r>
              <w:rPr>
                <w:rFonts w:hint="eastAsia" w:eastAsiaTheme="minorEastAsia"/>
                <w:color w:val="000000" w:themeColor="text1"/>
                <w:szCs w:val="24"/>
                <w14:textFill>
                  <w14:solidFill>
                    <w14:schemeClr w14:val="tx1"/>
                  </w14:solidFill>
                </w14:textFill>
              </w:rPr>
              <w:t>进行环境影响评价工作。我单位在接受委托后，立即组织</w:t>
            </w:r>
            <w:r>
              <w:rPr>
                <w:rFonts w:hint="eastAsia" w:eastAsiaTheme="minorEastAsia"/>
                <w:color w:val="000000" w:themeColor="text1"/>
                <w:szCs w:val="24"/>
                <w:lang w:val="en-US" w:eastAsia="zh-CN"/>
                <w14:textFill>
                  <w14:solidFill>
                    <w14:schemeClr w14:val="tx1"/>
                  </w14:solidFill>
                </w14:textFill>
              </w:rPr>
              <w:t>技术</w:t>
            </w:r>
            <w:r>
              <w:rPr>
                <w:rFonts w:hint="eastAsia" w:eastAsiaTheme="minorEastAsia"/>
                <w:color w:val="000000" w:themeColor="text1"/>
                <w:szCs w:val="24"/>
                <w14:textFill>
                  <w14:solidFill>
                    <w14:schemeClr w14:val="tx1"/>
                  </w14:solidFill>
                </w14:textFill>
              </w:rPr>
              <w:t>人员赴现场进行实地踏勘，收集了该项目有关技术资料，在进行了工程分析、现状调查及影响评价的基础上，依照国家及</w:t>
            </w:r>
            <w:r>
              <w:rPr>
                <w:rFonts w:hint="eastAsia" w:eastAsiaTheme="minorEastAsia"/>
                <w:color w:val="000000" w:themeColor="text1"/>
                <w:szCs w:val="24"/>
                <w:lang w:val="en-US" w:eastAsia="zh-CN"/>
                <w14:textFill>
                  <w14:solidFill>
                    <w14:schemeClr w14:val="tx1"/>
                  </w14:solidFill>
                </w14:textFill>
              </w:rPr>
              <w:t>属地</w:t>
            </w:r>
            <w:r>
              <w:rPr>
                <w:rFonts w:hint="eastAsia" w:eastAsiaTheme="minorEastAsia"/>
                <w:color w:val="000000" w:themeColor="text1"/>
                <w:szCs w:val="24"/>
                <w14:textFill>
                  <w14:solidFill>
                    <w14:schemeClr w14:val="tx1"/>
                  </w14:solidFill>
                </w14:textFill>
              </w:rPr>
              <w:t>相关环保法律法规和技术规范，编制完成了《大唐陈仓5万千瓦风电项目环境影响报告表》，供建设单位报环境保护行政主管部门审批和作为污染防治建设的依据。</w:t>
            </w:r>
          </w:p>
          <w:p w14:paraId="4015684B">
            <w:pPr>
              <w:pStyle w:val="30"/>
              <w:spacing w:after="0" w:line="360" w:lineRule="auto"/>
              <w:ind w:left="0" w:leftChars="0" w:firstLine="482" w:firstLineChars="200"/>
              <w:rPr>
                <w:rFonts w:eastAsiaTheme="minorEastAsia"/>
                <w:b/>
                <w:bCs/>
                <w:color w:val="000000" w:themeColor="text1"/>
                <w:szCs w:val="24"/>
                <w14:textFill>
                  <w14:solidFill>
                    <w14:schemeClr w14:val="tx1"/>
                  </w14:solidFill>
                </w14:textFill>
              </w:rPr>
            </w:pPr>
            <w:r>
              <w:rPr>
                <w:rFonts w:hint="eastAsia" w:eastAsiaTheme="minorEastAsia"/>
                <w:b/>
                <w:bCs/>
                <w:color w:val="000000" w:themeColor="text1"/>
                <w:szCs w:val="24"/>
                <w14:textFill>
                  <w14:solidFill>
                    <w14:schemeClr w14:val="tx1"/>
                  </w14:solidFill>
                </w14:textFill>
              </w:rPr>
              <w:t>2、工程组成及规模</w:t>
            </w:r>
          </w:p>
          <w:p w14:paraId="104EEBFA">
            <w:pPr>
              <w:pStyle w:val="30"/>
              <w:spacing w:after="0" w:line="360" w:lineRule="auto"/>
              <w:ind w:left="0" w:leftChars="0" w:firstLine="480" w:firstLineChars="200"/>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（1）建设规模</w:t>
            </w:r>
          </w:p>
          <w:p w14:paraId="5C2DF616">
            <w:pPr>
              <w:pStyle w:val="30"/>
              <w:spacing w:after="0" w:line="360" w:lineRule="auto"/>
              <w:ind w:left="0" w:leftChars="0" w:firstLine="480" w:firstLineChars="200"/>
              <w:rPr>
                <w:rFonts w:eastAsiaTheme="minorEastAsia"/>
                <w:color w:val="000000" w:themeColor="text1"/>
                <w:szCs w:val="24"/>
                <w14:textFill>
                  <w14:solidFill>
                    <w14:schemeClr w14:val="tx1"/>
                  </w14:solidFill>
                </w14:textFill>
              </w:rPr>
            </w:pPr>
            <w:r>
              <w:rPr>
                <w:rFonts w:eastAsiaTheme="minorEastAsia"/>
                <w:color w:val="000000" w:themeColor="text1"/>
                <w:szCs w:val="24"/>
                <w14:textFill>
                  <w14:solidFill>
                    <w14:schemeClr w14:val="tx1"/>
                  </w14:solidFill>
                </w14:textFill>
              </w:rPr>
              <w:t>本项目风机选址</w:t>
            </w:r>
            <w:r>
              <w:rPr>
                <w:rFonts w:hint="eastAsia" w:eastAsiaTheme="minorEastAsia"/>
                <w:color w:val="000000" w:themeColor="text1"/>
                <w:szCs w:val="24"/>
                <w14:textFill>
                  <w14:solidFill>
                    <w14:schemeClr w14:val="tx1"/>
                  </w14:solidFill>
                </w14:textFill>
              </w:rPr>
              <w:t>1</w:t>
            </w:r>
            <w:r>
              <w:rPr>
                <w:rFonts w:hint="eastAsia" w:eastAsiaTheme="minorEastAsia"/>
                <w:color w:val="000000" w:themeColor="text1"/>
                <w:szCs w:val="24"/>
                <w:lang w:val="en-US" w:eastAsia="zh-CN"/>
                <w14:textFill>
                  <w14:solidFill>
                    <w14:schemeClr w14:val="tx1"/>
                  </w14:solidFill>
                </w14:textFill>
              </w:rPr>
              <w:t>0</w:t>
            </w:r>
            <w:r>
              <w:rPr>
                <w:rFonts w:eastAsiaTheme="minorEastAsia"/>
                <w:color w:val="000000" w:themeColor="text1"/>
                <w:szCs w:val="24"/>
                <w14:textFill>
                  <w14:solidFill>
                    <w14:schemeClr w14:val="tx1"/>
                  </w14:solidFill>
                </w14:textFill>
              </w:rPr>
              <w:t>处，</w:t>
            </w:r>
            <w:r>
              <w:rPr>
                <w:rFonts w:hint="eastAsia" w:eastAsiaTheme="minorEastAsia"/>
                <w:color w:val="000000" w:themeColor="text1"/>
                <w:szCs w:val="24"/>
                <w14:textFill>
                  <w14:solidFill>
                    <w14:schemeClr w14:val="tx1"/>
                  </w14:solidFill>
                </w14:textFill>
              </w:rPr>
              <w:t>拟安装</w:t>
            </w:r>
            <w:r>
              <w:rPr>
                <w:rFonts w:hint="eastAsia" w:eastAsiaTheme="minorEastAsia"/>
                <w:color w:val="000000" w:themeColor="text1"/>
                <w:szCs w:val="24"/>
                <w:lang w:val="en-US" w:eastAsia="zh-CN"/>
                <w14:textFill>
                  <w14:solidFill>
                    <w14:schemeClr w14:val="tx1"/>
                  </w14:solidFill>
                </w14:textFill>
              </w:rPr>
              <w:t>10</w:t>
            </w:r>
            <w:r>
              <w:rPr>
                <w:rFonts w:hint="eastAsia" w:eastAsiaTheme="minorEastAsia"/>
                <w:color w:val="000000" w:themeColor="text1"/>
                <w:szCs w:val="24"/>
                <w14:textFill>
                  <w14:solidFill>
                    <w14:schemeClr w14:val="tx1"/>
                  </w14:solidFill>
                </w14:textFill>
              </w:rPr>
              <w:t>台单机容量为5</w:t>
            </w:r>
            <w:r>
              <w:rPr>
                <w:rFonts w:hint="eastAsia" w:eastAsiaTheme="minorEastAsia"/>
                <w:color w:val="000000" w:themeColor="text1"/>
                <w:szCs w:val="24"/>
                <w:lang w:val="en-US" w:eastAsia="zh-CN"/>
                <w14:textFill>
                  <w14:solidFill>
                    <w14:schemeClr w14:val="tx1"/>
                  </w14:solidFill>
                </w14:textFill>
              </w:rPr>
              <w:t>M</w:t>
            </w:r>
            <w:r>
              <w:rPr>
                <w:rFonts w:eastAsiaTheme="minorEastAsia"/>
                <w:color w:val="000000" w:themeColor="text1"/>
                <w:szCs w:val="24"/>
                <w14:textFill>
                  <w14:solidFill>
                    <w14:schemeClr w14:val="tx1"/>
                  </w14:solidFill>
                </w14:textFill>
              </w:rPr>
              <w:t>W的风力发电机组，</w:t>
            </w:r>
            <w:r>
              <w:rPr>
                <w:rFonts w:hint="eastAsia" w:eastAsiaTheme="minorEastAsia"/>
                <w:color w:val="000000" w:themeColor="text1"/>
                <w:szCs w:val="24"/>
                <w14:textFill>
                  <w14:solidFill>
                    <w14:schemeClr w14:val="tx1"/>
                  </w14:solidFill>
                </w14:textFill>
              </w:rPr>
              <w:t>叶轮直径2</w:t>
            </w:r>
            <w:r>
              <w:rPr>
                <w:rFonts w:hint="default" w:eastAsiaTheme="minorEastAsia"/>
                <w:color w:val="000000" w:themeColor="text1"/>
                <w:szCs w:val="24"/>
                <w:lang w:val="en-US"/>
                <w14:textFill>
                  <w14:solidFill>
                    <w14:schemeClr w14:val="tx1"/>
                  </w14:solidFill>
                </w14:textFill>
              </w:rPr>
              <w:t>2</w:t>
            </w:r>
            <w:r>
              <w:rPr>
                <w:rFonts w:hint="eastAsia" w:eastAsiaTheme="minorEastAsia"/>
                <w:color w:val="000000" w:themeColor="text1"/>
                <w:szCs w:val="24"/>
                <w14:textFill>
                  <w14:solidFill>
                    <w14:schemeClr w14:val="tx1"/>
                  </w14:solidFill>
                </w14:textFill>
              </w:rPr>
              <w:t>0m</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WTG2/-5000</w:t>
            </w:r>
            <w:r>
              <w:rPr>
                <w:rFonts w:hint="default" w:eastAsiaTheme="minorEastAsia"/>
                <w:color w:val="000000" w:themeColor="text1"/>
                <w:szCs w:val="24"/>
                <w:lang w:val="en-US"/>
                <w14:textFill>
                  <w14:solidFill>
                    <w14:schemeClr w14:val="tx1"/>
                  </w14:solidFill>
                </w14:textFill>
              </w:rPr>
              <w:t>k</w:t>
            </w:r>
            <w:r>
              <w:rPr>
                <w:rFonts w:eastAsiaTheme="minorEastAsia"/>
                <w:color w:val="000000" w:themeColor="text1"/>
                <w:szCs w:val="24"/>
                <w14:textFill>
                  <w14:solidFill>
                    <w14:schemeClr w14:val="tx1"/>
                  </w14:solidFill>
                </w14:textFill>
              </w:rPr>
              <w:t>W</w:t>
            </w:r>
            <w:r>
              <w:rPr>
                <w:rFonts w:hint="eastAsia" w:eastAsiaTheme="minorEastAsia"/>
                <w:color w:val="000000" w:themeColor="text1"/>
                <w:szCs w:val="24"/>
                <w14:textFill>
                  <w14:solidFill>
                    <w14:schemeClr w14:val="tx1"/>
                  </w14:solidFill>
                </w14:textFill>
              </w:rPr>
              <w:t>机型</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w:t>
            </w:r>
            <w:r>
              <w:rPr>
                <w:rFonts w:eastAsiaTheme="minorEastAsia"/>
                <w:color w:val="000000" w:themeColor="text1"/>
                <w:szCs w:val="24"/>
                <w14:textFill>
                  <w14:solidFill>
                    <w14:schemeClr w14:val="tx1"/>
                  </w14:solidFill>
                </w14:textFill>
              </w:rPr>
              <w:t>轮毂高度1</w:t>
            </w:r>
            <w:r>
              <w:rPr>
                <w:rFonts w:hint="default" w:eastAsiaTheme="minorEastAsia"/>
                <w:color w:val="000000" w:themeColor="text1"/>
                <w:szCs w:val="24"/>
                <w:lang w:val="en-US"/>
                <w14:textFill>
                  <w14:solidFill>
                    <w14:schemeClr w14:val="tx1"/>
                  </w14:solidFill>
                </w14:textFill>
              </w:rPr>
              <w:t>66</w:t>
            </w:r>
            <w:r>
              <w:rPr>
                <w:rFonts w:eastAsiaTheme="minorEastAsia"/>
                <w:color w:val="000000" w:themeColor="text1"/>
                <w:szCs w:val="24"/>
                <w14:textFill>
                  <w14:solidFill>
                    <w14:schemeClr w14:val="tx1"/>
                  </w14:solidFill>
                </w14:textFill>
              </w:rPr>
              <w:t>m，风电场总装机规模为50MW。项目建成后，预计本风电场工程年上网电量为</w:t>
            </w:r>
            <w:r>
              <w:rPr>
                <w:rFonts w:hint="eastAsia" w:eastAsiaTheme="minorEastAsia"/>
                <w:color w:val="000000" w:themeColor="text1"/>
                <w:szCs w:val="24"/>
                <w14:textFill>
                  <w14:solidFill>
                    <w14:schemeClr w14:val="tx1"/>
                  </w14:solidFill>
                </w14:textFill>
              </w:rPr>
              <w:t>85493.2</w:t>
            </w:r>
            <w:r>
              <w:rPr>
                <w:rFonts w:eastAsiaTheme="minorEastAsia"/>
                <w:color w:val="000000" w:themeColor="text1"/>
                <w:szCs w:val="24"/>
                <w14:textFill>
                  <w14:solidFill>
                    <w14:schemeClr w14:val="tx1"/>
                  </w14:solidFill>
                </w14:textFill>
              </w:rPr>
              <w:t>MW•h，年可利用小时数为</w:t>
            </w:r>
            <w:r>
              <w:rPr>
                <w:rFonts w:ascii="Times New Roman" w:hAnsi="Times New Roman" w:eastAsia="Times New Roman" w:cs="Times New Roman"/>
                <w:color w:val="000000" w:themeColor="text1"/>
                <w:spacing w:val="-5"/>
                <w:sz w:val="24"/>
                <w:szCs w:val="24"/>
                <w14:textFill>
                  <w14:solidFill>
                    <w14:schemeClr w14:val="tx1"/>
                  </w14:solidFill>
                </w14:textFill>
              </w:rPr>
              <w:t>1710</w:t>
            </w:r>
            <w:r>
              <w:rPr>
                <w:rFonts w:hint="eastAsia" w:eastAsiaTheme="minorEastAsia"/>
                <w:color w:val="000000" w:themeColor="text1"/>
                <w:szCs w:val="24"/>
                <w14:textFill>
                  <w14:solidFill>
                    <w14:schemeClr w14:val="tx1"/>
                  </w14:solidFill>
                </w14:textFill>
              </w:rPr>
              <w:t>h</w:t>
            </w:r>
            <w:r>
              <w:rPr>
                <w:rFonts w:eastAsiaTheme="minorEastAsia"/>
                <w:color w:val="000000" w:themeColor="text1"/>
                <w:szCs w:val="24"/>
                <w14:textFill>
                  <w14:solidFill>
                    <w14:schemeClr w14:val="tx1"/>
                  </w14:solidFill>
                </w14:textFill>
              </w:rPr>
              <w:t>，平均容量系数为0.</w:t>
            </w:r>
            <w:r>
              <w:rPr>
                <w:rFonts w:hint="eastAsia" w:eastAsiaTheme="minorEastAsia"/>
                <w:color w:val="000000" w:themeColor="text1"/>
                <w:szCs w:val="24"/>
                <w:lang w:val="en-US" w:eastAsia="zh-CN"/>
                <w14:textFill>
                  <w14:solidFill>
                    <w14:schemeClr w14:val="tx1"/>
                  </w14:solidFill>
                </w14:textFill>
              </w:rPr>
              <w:t>195</w:t>
            </w:r>
            <w:r>
              <w:rPr>
                <w:rFonts w:eastAsiaTheme="minorEastAsia"/>
                <w:color w:val="000000" w:themeColor="text1"/>
                <w:szCs w:val="24"/>
                <w14:textFill>
                  <w14:solidFill>
                    <w14:schemeClr w14:val="tx1"/>
                  </w14:solidFill>
                </w14:textFill>
              </w:rPr>
              <w:t>。</w:t>
            </w:r>
          </w:p>
          <w:p w14:paraId="6468A9E7">
            <w:pPr>
              <w:pStyle w:val="30"/>
              <w:spacing w:after="0" w:line="360" w:lineRule="auto"/>
              <w:ind w:left="0" w:leftChars="0" w:firstLine="480" w:firstLineChars="200"/>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本项目风电机组采用一机一变单元接线方式，每台风电机组接一台</w:t>
            </w:r>
            <w:r>
              <w:rPr>
                <w:rFonts w:hint="eastAsia" w:eastAsiaTheme="minorEastAsia"/>
                <w:color w:val="000000" w:themeColor="text1"/>
                <w:szCs w:val="24"/>
                <w:lang w:val="en-US" w:eastAsia="zh-CN"/>
                <w14:textFill>
                  <w14:solidFill>
                    <w14:schemeClr w14:val="tx1"/>
                  </w14:solidFill>
                </w14:textFill>
              </w:rPr>
              <w:t>5500</w:t>
            </w:r>
            <w:r>
              <w:rPr>
                <w:rFonts w:eastAsiaTheme="minorEastAsia"/>
                <w:color w:val="000000" w:themeColor="text1"/>
                <w:szCs w:val="24"/>
                <w14:textFill>
                  <w14:solidFill>
                    <w14:schemeClr w14:val="tx1"/>
                  </w14:solidFill>
                </w14:textFill>
              </w:rPr>
              <w:t>kVA</w:t>
            </w:r>
            <w:r>
              <w:rPr>
                <w:rFonts w:hint="eastAsia" w:eastAsiaTheme="minorEastAsia"/>
                <w:color w:val="000000" w:themeColor="text1"/>
                <w:szCs w:val="24"/>
                <w14:textFill>
                  <w14:solidFill>
                    <w14:schemeClr w14:val="tx1"/>
                  </w14:solidFill>
                </w14:textFill>
              </w:rPr>
              <w:t>升压变压器，将风机端</w:t>
            </w:r>
            <w:r>
              <w:rPr>
                <w:rFonts w:eastAsiaTheme="minorEastAsia"/>
                <w:color w:val="000000" w:themeColor="text1"/>
                <w:szCs w:val="24"/>
                <w14:textFill>
                  <w14:solidFill>
                    <w14:schemeClr w14:val="tx1"/>
                  </w14:solidFill>
                </w14:textFill>
              </w:rPr>
              <w:t>1.14kV</w:t>
            </w:r>
            <w:r>
              <w:rPr>
                <w:rFonts w:hint="eastAsia" w:eastAsiaTheme="minorEastAsia"/>
                <w:color w:val="000000" w:themeColor="text1"/>
                <w:szCs w:val="24"/>
                <w14:textFill>
                  <w14:solidFill>
                    <w14:schemeClr w14:val="tx1"/>
                  </w14:solidFill>
                </w14:textFill>
              </w:rPr>
              <w:t>电压升至</w:t>
            </w:r>
            <w:r>
              <w:rPr>
                <w:rFonts w:eastAsiaTheme="minorEastAsia"/>
                <w:color w:val="000000" w:themeColor="text1"/>
                <w:szCs w:val="24"/>
                <w14:textFill>
                  <w14:solidFill>
                    <w14:schemeClr w14:val="tx1"/>
                  </w14:solidFill>
                </w14:textFill>
              </w:rPr>
              <w:t>35kV</w:t>
            </w:r>
            <w:r>
              <w:rPr>
                <w:rFonts w:hint="eastAsia" w:eastAsiaTheme="minorEastAsia"/>
                <w:color w:val="000000" w:themeColor="text1"/>
                <w:szCs w:val="24"/>
                <w14:textFill>
                  <w14:solidFill>
                    <w14:schemeClr w14:val="tx1"/>
                  </w14:solidFill>
                </w14:textFill>
              </w:rPr>
              <w:t>。然后通过架空线以 35kV 的电压等级接入风电场升压站</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根据电站布置情况，本项目共</w:t>
            </w:r>
            <w:r>
              <w:rPr>
                <w:rFonts w:hint="eastAsia" w:eastAsiaTheme="minorEastAsia"/>
                <w:color w:val="000000" w:themeColor="text1"/>
                <w:szCs w:val="24"/>
                <w:lang w:val="en-US" w:eastAsia="zh-CN"/>
                <w14:textFill>
                  <w14:solidFill>
                    <w14:schemeClr w14:val="tx1"/>
                  </w14:solidFill>
                </w14:textFill>
              </w:rPr>
              <w:t>2</w:t>
            </w:r>
            <w:r>
              <w:rPr>
                <w:rFonts w:hint="eastAsia" w:eastAsiaTheme="minorEastAsia"/>
                <w:color w:val="000000" w:themeColor="text1"/>
                <w:szCs w:val="24"/>
                <w14:textFill>
                  <w14:solidFill>
                    <w14:schemeClr w14:val="tx1"/>
                  </w14:solidFill>
                </w14:textFill>
              </w:rPr>
              <w:t>条集电线路，以</w:t>
            </w:r>
            <w:r>
              <w:rPr>
                <w:rFonts w:hint="eastAsia" w:eastAsiaTheme="minorEastAsia"/>
                <w:color w:val="000000" w:themeColor="text1"/>
                <w:szCs w:val="24"/>
                <w:lang w:val="en-US" w:eastAsia="zh-CN"/>
                <w14:textFill>
                  <w14:solidFill>
                    <w14:schemeClr w14:val="tx1"/>
                  </w14:solidFill>
                </w14:textFill>
              </w:rPr>
              <w:t>2</w:t>
            </w:r>
            <w:r>
              <w:rPr>
                <w:rFonts w:hint="eastAsia" w:eastAsiaTheme="minorEastAsia"/>
                <w:color w:val="000000" w:themeColor="text1"/>
                <w:szCs w:val="24"/>
                <w14:textFill>
                  <w14:solidFill>
                    <w14:schemeClr w14:val="tx1"/>
                  </w14:solidFill>
                </w14:textFill>
              </w:rPr>
              <w:t>回</w:t>
            </w:r>
            <w:r>
              <w:rPr>
                <w:rFonts w:eastAsiaTheme="minorEastAsia"/>
                <w:color w:val="000000" w:themeColor="text1"/>
                <w:szCs w:val="24"/>
                <w14:textFill>
                  <w14:solidFill>
                    <w14:schemeClr w14:val="tx1"/>
                  </w14:solidFill>
                </w14:textFill>
              </w:rPr>
              <w:t>35kV</w:t>
            </w:r>
            <w:r>
              <w:rPr>
                <w:rFonts w:hint="eastAsia" w:eastAsiaTheme="minorEastAsia"/>
                <w:color w:val="000000" w:themeColor="text1"/>
                <w:szCs w:val="24"/>
                <w14:textFill>
                  <w14:solidFill>
                    <w14:schemeClr w14:val="tx1"/>
                  </w14:solidFill>
                </w14:textFill>
              </w:rPr>
              <w:t>集电线路接入配套新建的</w:t>
            </w:r>
            <w:r>
              <w:rPr>
                <w:rFonts w:eastAsiaTheme="minorEastAsia"/>
                <w:color w:val="000000" w:themeColor="text1"/>
                <w:szCs w:val="24"/>
                <w14:textFill>
                  <w14:solidFill>
                    <w14:schemeClr w14:val="tx1"/>
                  </w14:solidFill>
                </w14:textFill>
              </w:rPr>
              <w:t>110kV</w:t>
            </w:r>
            <w:r>
              <w:rPr>
                <w:rFonts w:hint="eastAsia" w:eastAsiaTheme="minorEastAsia"/>
                <w:color w:val="000000" w:themeColor="text1"/>
                <w:szCs w:val="24"/>
                <w14:textFill>
                  <w14:solidFill>
                    <w14:schemeClr w14:val="tx1"/>
                  </w14:solidFill>
                </w14:textFill>
              </w:rPr>
              <w:t>升压站</w:t>
            </w:r>
            <w:r>
              <w:rPr>
                <w:rFonts w:hint="eastAsia" w:eastAsiaTheme="minorEastAsia"/>
                <w:color w:val="000000" w:themeColor="text1"/>
                <w:szCs w:val="24"/>
                <w:lang w:eastAsia="zh-CN"/>
                <w14:textFill>
                  <w14:solidFill>
                    <w14:schemeClr w14:val="tx1"/>
                  </w14:solidFill>
                </w14:textFill>
              </w:rPr>
              <w:t>（</w:t>
            </w:r>
            <w:r>
              <w:rPr>
                <w:rFonts w:hint="eastAsia" w:eastAsiaTheme="minorEastAsia"/>
                <w:b/>
                <w:bCs/>
                <w:color w:val="000000" w:themeColor="text1"/>
                <w:szCs w:val="24"/>
                <w14:textFill>
                  <w14:solidFill>
                    <w14:schemeClr w14:val="tx1"/>
                  </w14:solidFill>
                </w14:textFill>
              </w:rPr>
              <w:t>110kV升压站不在本次评价范围内</w:t>
            </w:r>
            <w:r>
              <w:rPr>
                <w:rFonts w:hint="eastAsia" w:eastAsiaTheme="minorEastAsia"/>
                <w:color w:val="000000" w:themeColor="text1"/>
                <w:szCs w:val="24"/>
                <w:lang w:eastAsia="zh-CN"/>
                <w14:textFill>
                  <w14:solidFill>
                    <w14:schemeClr w14:val="tx1"/>
                  </w14:solidFill>
                </w14:textFill>
              </w:rPr>
              <w:t>）</w:t>
            </w:r>
            <w:r>
              <w:rPr>
                <w:rFonts w:hint="eastAsia" w:eastAsiaTheme="minorEastAsia"/>
                <w:color w:val="000000" w:themeColor="text1"/>
                <w:szCs w:val="24"/>
                <w14:textFill>
                  <w14:solidFill>
                    <w14:schemeClr w14:val="tx1"/>
                  </w14:solidFill>
                </w14:textFill>
              </w:rPr>
              <w:t>。</w:t>
            </w:r>
          </w:p>
          <w:p w14:paraId="1E4AFD21">
            <w:pPr>
              <w:pStyle w:val="30"/>
              <w:spacing w:after="0" w:line="360" w:lineRule="auto"/>
              <w:ind w:left="0" w:leftChars="0" w:firstLine="480" w:firstLineChars="200"/>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（2）建设内容</w:t>
            </w:r>
          </w:p>
          <w:p w14:paraId="3DDD9848">
            <w:pPr>
              <w:spacing w:line="360" w:lineRule="auto"/>
              <w:ind w:firstLine="480" w:firstLineChars="200"/>
              <w:rPr>
                <w:rFonts w:eastAsiaTheme="minorEastAsia"/>
                <w:color w:val="000000" w:themeColor="text1"/>
                <w:sz w:val="24"/>
                <w14:textFill>
                  <w14:solidFill>
                    <w14:schemeClr w14:val="tx1"/>
                  </w14:solidFill>
                </w14:textFill>
              </w:rPr>
            </w:pPr>
            <w:r>
              <w:rPr>
                <w:rFonts w:hint="eastAsia" w:eastAsiaTheme="minorEastAsia"/>
                <w:color w:val="000000" w:themeColor="text1"/>
                <w:sz w:val="24"/>
                <w14:textFill>
                  <w14:solidFill>
                    <w14:schemeClr w14:val="tx1"/>
                  </w14:solidFill>
                </w14:textFill>
              </w:rPr>
              <w:t>主要建设内容</w:t>
            </w:r>
            <w:r>
              <w:rPr>
                <w:rFonts w:eastAsiaTheme="minorEastAsia"/>
                <w:color w:val="000000" w:themeColor="text1"/>
                <w:sz w:val="24"/>
                <w14:textFill>
                  <w14:solidFill>
                    <w14:schemeClr w14:val="tx1"/>
                  </w14:solidFill>
                </w14:textFill>
              </w:rPr>
              <w:t>包括：风电机组、箱式变、35kV</w:t>
            </w:r>
            <w:r>
              <w:rPr>
                <w:rFonts w:hint="eastAsia" w:eastAsiaTheme="minorEastAsia"/>
                <w:color w:val="000000" w:themeColor="text1"/>
                <w:sz w:val="24"/>
                <w14:textFill>
                  <w14:solidFill>
                    <w14:schemeClr w14:val="tx1"/>
                  </w14:solidFill>
                </w14:textFill>
              </w:rPr>
              <w:t>集电</w:t>
            </w:r>
            <w:r>
              <w:rPr>
                <w:rFonts w:eastAsiaTheme="minorEastAsia"/>
                <w:color w:val="000000" w:themeColor="text1"/>
                <w:sz w:val="24"/>
                <w14:textFill>
                  <w14:solidFill>
                    <w14:schemeClr w14:val="tx1"/>
                  </w14:solidFill>
                </w14:textFill>
              </w:rPr>
              <w:t>线路</w:t>
            </w:r>
            <w:r>
              <w:rPr>
                <w:rFonts w:hint="eastAsia" w:eastAsiaTheme="minorEastAsia"/>
                <w:color w:val="000000" w:themeColor="text1"/>
                <w:sz w:val="24"/>
                <w:lang w:eastAsia="zh-CN"/>
                <w14:textFill>
                  <w14:solidFill>
                    <w14:schemeClr w14:val="tx1"/>
                  </w14:solidFill>
                </w14:textFill>
              </w:rPr>
              <w:t>、</w:t>
            </w:r>
            <w:r>
              <w:rPr>
                <w:rFonts w:hint="eastAsia" w:eastAsiaTheme="minorEastAsia"/>
                <w:color w:val="000000" w:themeColor="text1"/>
                <w:sz w:val="24"/>
                <w14:textFill>
                  <w14:solidFill>
                    <w14:schemeClr w14:val="tx1"/>
                  </w14:solidFill>
                </w14:textFill>
              </w:rPr>
              <w:t>风电场</w:t>
            </w:r>
            <w:r>
              <w:rPr>
                <w:rFonts w:eastAsiaTheme="minorEastAsia"/>
                <w:color w:val="000000" w:themeColor="text1"/>
                <w:sz w:val="24"/>
                <w14:textFill>
                  <w14:solidFill>
                    <w14:schemeClr w14:val="tx1"/>
                  </w14:solidFill>
                </w14:textFill>
              </w:rPr>
              <w:t>道路工程等</w:t>
            </w:r>
            <w:r>
              <w:rPr>
                <w:rFonts w:hint="eastAsia" w:eastAsiaTheme="minorEastAsia"/>
                <w:color w:val="000000" w:themeColor="text1"/>
                <w:sz w:val="24"/>
                <w14:textFill>
                  <w14:solidFill>
                    <w14:schemeClr w14:val="tx1"/>
                  </w14:solidFill>
                </w14:textFill>
              </w:rPr>
              <w:t>。项目建设内容见表2-1。</w:t>
            </w:r>
          </w:p>
          <w:p w14:paraId="7927CBF5">
            <w:pPr>
              <w:adjustRightInd w:val="0"/>
              <w:snapToGrid w:val="0"/>
              <w:jc w:val="center"/>
              <w:rPr>
                <w:b w:val="0"/>
                <w:bCs/>
                <w:color w:val="000000" w:themeColor="text1"/>
                <w:szCs w:val="21"/>
                <w14:textFill>
                  <w14:solidFill>
                    <w14:schemeClr w14:val="tx1"/>
                  </w14:solidFill>
                </w14:textFill>
              </w:rPr>
            </w:pPr>
            <w:r>
              <w:rPr>
                <w:b w:val="0"/>
                <w:bCs/>
                <w:color w:val="000000" w:themeColor="text1"/>
                <w:szCs w:val="21"/>
                <w14:textFill>
                  <w14:solidFill>
                    <w14:schemeClr w14:val="tx1"/>
                  </w14:solidFill>
                </w14:textFill>
              </w:rPr>
              <w:t>表2-</w:t>
            </w:r>
            <w:r>
              <w:rPr>
                <w:rFonts w:hint="eastAsia"/>
                <w:b w:val="0"/>
                <w:bCs/>
                <w:color w:val="000000" w:themeColor="text1"/>
                <w:szCs w:val="21"/>
                <w14:textFill>
                  <w14:solidFill>
                    <w14:schemeClr w14:val="tx1"/>
                  </w14:solidFill>
                </w14:textFill>
              </w:rPr>
              <w:t xml:space="preserve">1 </w:t>
            </w:r>
            <w:r>
              <w:rPr>
                <w:b w:val="0"/>
                <w:bCs/>
                <w:color w:val="000000" w:themeColor="text1"/>
                <w:szCs w:val="21"/>
                <w14:textFill>
                  <w14:solidFill>
                    <w14:schemeClr w14:val="tx1"/>
                  </w14:solidFill>
                </w14:textFill>
              </w:rPr>
              <w:t>项目建设内容</w:t>
            </w:r>
            <w:r>
              <w:rPr>
                <w:rFonts w:hint="eastAsia"/>
                <w:b w:val="0"/>
                <w:bCs/>
                <w:color w:val="000000" w:themeColor="text1"/>
                <w:szCs w:val="21"/>
                <w14:textFill>
                  <w14:solidFill>
                    <w14:schemeClr w14:val="tx1"/>
                  </w14:solidFill>
                </w14:textFill>
              </w:rPr>
              <w:t>一</w:t>
            </w:r>
            <w:r>
              <w:rPr>
                <w:b w:val="0"/>
                <w:bCs/>
                <w:color w:val="000000" w:themeColor="text1"/>
                <w:szCs w:val="21"/>
                <w14:textFill>
                  <w14:solidFill>
                    <w14:schemeClr w14:val="tx1"/>
                  </w14:solidFill>
                </w14:textFill>
              </w:rPr>
              <w:t>览表</w:t>
            </w:r>
          </w:p>
          <w:tbl>
            <w:tblPr>
              <w:tblStyle w:val="32"/>
              <w:tblW w:w="7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552"/>
              <w:gridCol w:w="857"/>
              <w:gridCol w:w="5845"/>
            </w:tblGrid>
            <w:tr w14:paraId="5D35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44" w:type="dxa"/>
                  <w:shd w:val="clear" w:color="auto" w:fill="auto"/>
                  <w:vAlign w:val="center"/>
                </w:tcPr>
                <w:p w14:paraId="06C872FD">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工程类别</w:t>
                  </w:r>
                </w:p>
              </w:tc>
              <w:tc>
                <w:tcPr>
                  <w:tcW w:w="7254" w:type="dxa"/>
                  <w:gridSpan w:val="3"/>
                  <w:shd w:val="clear" w:color="auto" w:fill="auto"/>
                  <w:vAlign w:val="center"/>
                </w:tcPr>
                <w:p w14:paraId="52F0067C">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建设内容</w:t>
                  </w:r>
                </w:p>
              </w:tc>
            </w:tr>
            <w:tr w14:paraId="40BA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44" w:type="dxa"/>
                  <w:shd w:val="clear" w:color="auto" w:fill="auto"/>
                  <w:vAlign w:val="center"/>
                </w:tcPr>
                <w:p w14:paraId="704E79EA">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主体</w:t>
                  </w:r>
                </w:p>
                <w:p w14:paraId="0DA7F61B">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工程</w:t>
                  </w:r>
                </w:p>
              </w:tc>
              <w:tc>
                <w:tcPr>
                  <w:tcW w:w="1409" w:type="dxa"/>
                  <w:gridSpan w:val="2"/>
                  <w:shd w:val="clear" w:color="auto" w:fill="auto"/>
                  <w:vAlign w:val="center"/>
                </w:tcPr>
                <w:p w14:paraId="7F991317">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风电机组</w:t>
                  </w:r>
                </w:p>
              </w:tc>
              <w:tc>
                <w:tcPr>
                  <w:tcW w:w="5845" w:type="dxa"/>
                  <w:shd w:val="clear" w:color="auto" w:fill="auto"/>
                  <w:vAlign w:val="center"/>
                </w:tcPr>
                <w:p w14:paraId="2E7E5CC8">
                  <w:pPr>
                    <w:widowControl/>
                    <w:rPr>
                      <w:b w:val="0"/>
                      <w:bCs w:val="0"/>
                      <w:color w:val="000000" w:themeColor="text1"/>
                      <w:kern w:val="0"/>
                      <w:szCs w:val="21"/>
                      <w14:textFill>
                        <w14:solidFill>
                          <w14:schemeClr w14:val="tx1"/>
                        </w14:solidFill>
                      </w14:textFill>
                    </w:rPr>
                  </w:pPr>
                  <w:r>
                    <w:rPr>
                      <w:rFonts w:hint="eastAsia" w:ascii="Times New Roman" w:hAnsi="Times New Roman" w:cs="Times New Roman"/>
                      <w:b w:val="0"/>
                      <w:bCs w:val="0"/>
                      <w:color w:val="000000" w:themeColor="text1"/>
                      <w:sz w:val="21"/>
                      <w:szCs w:val="21"/>
                      <w14:textFill>
                        <w14:solidFill>
                          <w14:schemeClr w14:val="tx1"/>
                        </w14:solidFill>
                      </w14:textFill>
                    </w:rPr>
                    <w:t>风</w:t>
                  </w:r>
                  <w:r>
                    <w:rPr>
                      <w:rFonts w:ascii="Times New Roman" w:hAnsi="Times New Roman" w:cs="Times New Roman"/>
                      <w:b w:val="0"/>
                      <w:bCs w:val="0"/>
                      <w:color w:val="000000" w:themeColor="text1"/>
                      <w:sz w:val="21"/>
                      <w:szCs w:val="21"/>
                      <w14:textFill>
                        <w14:solidFill>
                          <w14:schemeClr w14:val="tx1"/>
                        </w14:solidFill>
                      </w14:textFill>
                    </w:rPr>
                    <w:t>机</w:t>
                  </w:r>
                  <w:r>
                    <w:rPr>
                      <w:rFonts w:hint="eastAsia" w:ascii="Times New Roman" w:hAnsi="Times New Roman" w:cs="Times New Roman"/>
                      <w:b w:val="0"/>
                      <w:bCs w:val="0"/>
                      <w:color w:val="000000" w:themeColor="text1"/>
                      <w:sz w:val="21"/>
                      <w:szCs w:val="21"/>
                      <w14:textFill>
                        <w14:solidFill>
                          <w14:schemeClr w14:val="tx1"/>
                        </w14:solidFill>
                      </w14:textFill>
                    </w:rPr>
                    <w:t>拟</w:t>
                  </w:r>
                  <w:r>
                    <w:rPr>
                      <w:rFonts w:ascii="Times New Roman" w:hAnsi="Times New Roman" w:cs="Times New Roman"/>
                      <w:b w:val="0"/>
                      <w:bCs w:val="0"/>
                      <w:color w:val="000000" w:themeColor="text1"/>
                      <w:sz w:val="21"/>
                      <w:szCs w:val="21"/>
                      <w:lang w:val="en-US" w:eastAsia="zh-CN"/>
                      <w14:textFill>
                        <w14:solidFill>
                          <w14:schemeClr w14:val="tx1"/>
                        </w14:solidFill>
                      </w14:textFill>
                    </w:rPr>
                    <w:t>选址</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w:t>
                  </w:r>
                  <w:r>
                    <w:rPr>
                      <w:rFonts w:ascii="Times New Roman" w:hAnsi="Times New Roman" w:cs="Times New Roman"/>
                      <w:b w:val="0"/>
                      <w:bCs w:val="0"/>
                      <w:color w:val="000000" w:themeColor="text1"/>
                      <w:sz w:val="21"/>
                      <w:szCs w:val="21"/>
                      <w:lang w:val="en-US" w:eastAsia="zh-CN"/>
                      <w14:textFill>
                        <w14:solidFill>
                          <w14:schemeClr w14:val="tx1"/>
                        </w14:solidFill>
                      </w14:textFill>
                    </w:rPr>
                    <w:t>处，</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拟安装10台单机容量为5000kW的风力发电机组，风电场总装机规模为50MW</w:t>
                  </w:r>
                </w:p>
              </w:tc>
            </w:tr>
            <w:tr w14:paraId="16BA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44" w:type="dxa"/>
                  <w:vMerge w:val="restart"/>
                  <w:vAlign w:val="center"/>
                </w:tcPr>
                <w:p w14:paraId="41B1FA31">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辅助工程</w:t>
                  </w:r>
                </w:p>
              </w:tc>
              <w:tc>
                <w:tcPr>
                  <w:tcW w:w="1409" w:type="dxa"/>
                  <w:gridSpan w:val="2"/>
                  <w:vAlign w:val="center"/>
                </w:tcPr>
                <w:p w14:paraId="63D7FFE4">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箱式变</w:t>
                  </w:r>
                </w:p>
              </w:tc>
              <w:tc>
                <w:tcPr>
                  <w:tcW w:w="5845" w:type="dxa"/>
                  <w:shd w:val="clear" w:color="auto" w:fill="auto"/>
                  <w:vAlign w:val="center"/>
                </w:tcPr>
                <w:p w14:paraId="7080C2B7">
                  <w:pPr>
                    <w:widowControl/>
                    <w:rPr>
                      <w:b w:val="0"/>
                      <w:bCs w:val="0"/>
                      <w:color w:val="000000" w:themeColor="text1"/>
                      <w:kern w:val="0"/>
                      <w:szCs w:val="2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10组风机距离20米处</w:t>
                  </w:r>
                  <w:r>
                    <w:rPr>
                      <w:rFonts w:ascii="Times New Roman" w:hAnsi="Times New Roman" w:cs="Times New Roman"/>
                      <w:b w:val="0"/>
                      <w:bCs w:val="0"/>
                      <w:color w:val="000000" w:themeColor="text1"/>
                      <w:sz w:val="21"/>
                      <w:szCs w:val="21"/>
                      <w14:textFill>
                        <w14:solidFill>
                          <w14:schemeClr w14:val="tx1"/>
                        </w14:solidFill>
                      </w14:textFill>
                    </w:rPr>
                    <w:t>配套选用</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10</w:t>
                  </w:r>
                  <w:r>
                    <w:rPr>
                      <w:rFonts w:ascii="Times New Roman" w:hAnsi="Times New Roman" w:cs="Times New Roman"/>
                      <w:b w:val="0"/>
                      <w:bCs w:val="0"/>
                      <w:color w:val="000000" w:themeColor="text1"/>
                      <w:sz w:val="21"/>
                      <w:szCs w:val="21"/>
                      <w14:textFill>
                        <w14:solidFill>
                          <w14:schemeClr w14:val="tx1"/>
                        </w14:solidFill>
                      </w14:textFill>
                    </w:rPr>
                    <w:t>台箱式变进行升压，风电机组与箱式变的接线方式采用一机一变的单元接线方式。箱式变</w:t>
                  </w:r>
                  <w:r>
                    <w:rPr>
                      <w:rFonts w:hint="eastAsia" w:ascii="Times New Roman" w:hAnsi="Times New Roman" w:cs="Times New Roman"/>
                      <w:b w:val="0"/>
                      <w:bCs w:val="0"/>
                      <w:color w:val="000000" w:themeColor="text1"/>
                      <w:sz w:val="21"/>
                      <w:szCs w:val="21"/>
                      <w14:textFill>
                        <w14:solidFill>
                          <w14:schemeClr w14:val="tx1"/>
                        </w14:solidFill>
                      </w14:textFill>
                    </w:rPr>
                    <w:t>选用油浸式三相双卷自冷式升压变压器</w:t>
                  </w:r>
                </w:p>
              </w:tc>
            </w:tr>
            <w:tr w14:paraId="7C53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644" w:type="dxa"/>
                  <w:vMerge w:val="continue"/>
                  <w:vAlign w:val="center"/>
                </w:tcPr>
                <w:p w14:paraId="1781C3BE">
                  <w:pPr>
                    <w:pStyle w:val="10"/>
                    <w:spacing w:after="0"/>
                    <w:ind w:left="0" w:leftChars="0"/>
                    <w:jc w:val="center"/>
                    <w:rPr>
                      <w:b w:val="0"/>
                      <w:bCs w:val="0"/>
                      <w:color w:val="000000" w:themeColor="text1"/>
                      <w:sz w:val="21"/>
                      <w:szCs w:val="21"/>
                      <w14:textFill>
                        <w14:solidFill>
                          <w14:schemeClr w14:val="tx1"/>
                        </w14:solidFill>
                      </w14:textFill>
                    </w:rPr>
                  </w:pPr>
                </w:p>
              </w:tc>
              <w:tc>
                <w:tcPr>
                  <w:tcW w:w="1409" w:type="dxa"/>
                  <w:gridSpan w:val="2"/>
                  <w:vAlign w:val="center"/>
                </w:tcPr>
                <w:p w14:paraId="683F1302">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集电线路</w:t>
                  </w:r>
                </w:p>
              </w:tc>
              <w:tc>
                <w:tcPr>
                  <w:tcW w:w="5845" w:type="dxa"/>
                  <w:shd w:val="clear" w:color="auto" w:fill="auto"/>
                  <w:vAlign w:val="center"/>
                </w:tcPr>
                <w:p w14:paraId="56C91C66">
                  <w:pPr>
                    <w:widowControl/>
                    <w:rPr>
                      <w:b w:val="0"/>
                      <w:bCs w:val="0"/>
                      <w:color w:val="000000" w:themeColor="text1"/>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采用架空和直埋电缆混合方案，共2回集电线路，每回连接5台风机，线路总长度11.8km，单回架设。其中架空线路路径总长度约为11km。电缆段路径长度约为0.8km，直埋敷设。架空段导线采用JL/G1A-120/25、JL/G1A-240/30。架空段地线采用单根OPGW-24芯光缆，全线铁塔共计43基，其中单回路直线塔21基，单回路耐张塔22基</w:t>
                  </w:r>
                </w:p>
              </w:tc>
            </w:tr>
            <w:tr w14:paraId="5260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644" w:type="dxa"/>
                  <w:vMerge w:val="restart"/>
                  <w:vAlign w:val="center"/>
                </w:tcPr>
                <w:p w14:paraId="27592713">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临时工程</w:t>
                  </w:r>
                </w:p>
              </w:tc>
              <w:tc>
                <w:tcPr>
                  <w:tcW w:w="1409" w:type="dxa"/>
                  <w:gridSpan w:val="2"/>
                  <w:shd w:val="clear" w:color="auto" w:fill="auto"/>
                  <w:vAlign w:val="center"/>
                </w:tcPr>
                <w:p w14:paraId="223CCFA8">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吊装场</w:t>
                  </w:r>
                </w:p>
              </w:tc>
              <w:tc>
                <w:tcPr>
                  <w:tcW w:w="5845" w:type="dxa"/>
                  <w:shd w:val="clear" w:color="auto" w:fill="auto"/>
                  <w:vAlign w:val="center"/>
                </w:tcPr>
                <w:p w14:paraId="542A2BBC">
                  <w:pPr>
                    <w:keepNext w:val="0"/>
                    <w:keepLines w:val="0"/>
                    <w:widowControl/>
                    <w:suppressLineNumbers w:val="0"/>
                    <w:jc w:val="left"/>
                    <w:rPr>
                      <w:rFonts w:ascii="Times New Roman"/>
                      <w:b w:val="0"/>
                      <w:bCs w:val="0"/>
                      <w:color w:val="000000" w:themeColor="text1"/>
                      <w:szCs w:val="21"/>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在每个风机基础旁设一施工吊装场地，并与场内施工道路相连。吊装场地与道路统一设计，节省场地面积，尺寸为</w:t>
                  </w:r>
                  <w:r>
                    <w:rPr>
                      <w:rFonts w:hint="default" w:ascii="Times New Roman" w:hAnsi="Times New Roman" w:eastAsia="宋体" w:cs="Times New Roman"/>
                      <w:b w:val="0"/>
                      <w:bCs w:val="0"/>
                      <w:color w:val="000000"/>
                      <w:kern w:val="0"/>
                      <w:sz w:val="21"/>
                      <w:szCs w:val="21"/>
                      <w:lang w:val="en-US" w:eastAsia="zh-CN" w:bidi="ar"/>
                    </w:rPr>
                    <w:t>50m×60m</w:t>
                  </w:r>
                  <w:r>
                    <w:rPr>
                      <w:rFonts w:hint="eastAsia" w:ascii="宋体" w:hAnsi="宋体" w:eastAsia="宋体" w:cs="宋体"/>
                      <w:b w:val="0"/>
                      <w:bCs w:val="0"/>
                      <w:color w:val="000000"/>
                      <w:kern w:val="0"/>
                      <w:sz w:val="21"/>
                      <w:szCs w:val="21"/>
                      <w:lang w:val="en-US" w:eastAsia="zh-CN" w:bidi="ar"/>
                    </w:rPr>
                    <w:t>，供风机使用，施工吊装场总占地面积</w:t>
                  </w:r>
                  <w:r>
                    <w:rPr>
                      <w:rFonts w:hint="default" w:ascii="Times New Roman" w:hAnsi="Times New Roman" w:eastAsia="宋体" w:cs="Times New Roman"/>
                      <w:b w:val="0"/>
                      <w:bCs w:val="0"/>
                      <w:color w:val="000000"/>
                      <w:kern w:val="0"/>
                      <w:sz w:val="21"/>
                      <w:szCs w:val="21"/>
                      <w:lang w:val="en-US" w:eastAsia="zh-CN" w:bidi="ar"/>
                    </w:rPr>
                    <w:t>30000m</w:t>
                  </w:r>
                  <w:r>
                    <w:rPr>
                      <w:rFonts w:hint="default" w:ascii="Times New Roman" w:hAnsi="Times New Roman" w:eastAsia="宋体" w:cs="Times New Roman"/>
                      <w:b w:val="0"/>
                      <w:bCs w:val="0"/>
                      <w:color w:val="000000"/>
                      <w:kern w:val="0"/>
                      <w:sz w:val="21"/>
                      <w:szCs w:val="21"/>
                      <w:vertAlign w:val="superscript"/>
                      <w:lang w:val="en-US" w:eastAsia="zh-CN" w:bidi="ar"/>
                    </w:rPr>
                    <w:t>2</w:t>
                  </w:r>
                  <w:r>
                    <w:rPr>
                      <w:rFonts w:hint="eastAsia" w:ascii="宋体" w:hAnsi="宋体" w:eastAsia="宋体" w:cs="宋体"/>
                      <w:b w:val="0"/>
                      <w:bCs w:val="0"/>
                      <w:color w:val="000000"/>
                      <w:kern w:val="0"/>
                      <w:sz w:val="21"/>
                      <w:szCs w:val="21"/>
                      <w:lang w:val="en-US" w:eastAsia="zh-CN" w:bidi="ar"/>
                    </w:rPr>
                    <w:t>。施工结束后恢复为原始地貌</w:t>
                  </w:r>
                </w:p>
              </w:tc>
            </w:tr>
            <w:tr w14:paraId="3067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44" w:type="dxa"/>
                  <w:vMerge w:val="continue"/>
                  <w:shd w:val="clear" w:color="auto" w:fill="auto"/>
                  <w:vAlign w:val="center"/>
                </w:tcPr>
                <w:p w14:paraId="4E291A31">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1409" w:type="dxa"/>
                  <w:gridSpan w:val="2"/>
                  <w:shd w:val="clear" w:color="auto" w:fill="auto"/>
                  <w:vAlign w:val="center"/>
                </w:tcPr>
                <w:p w14:paraId="0ECE73F0">
                  <w:pPr>
                    <w:pStyle w:val="60"/>
                    <w:spacing w:beforeLines="0" w:afterLines="0" w:line="240" w:lineRule="auto"/>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场内施工</w:t>
                  </w:r>
                </w:p>
                <w:p w14:paraId="19DE9F72">
                  <w:pPr>
                    <w:pStyle w:val="60"/>
                    <w:spacing w:beforeLines="0" w:afterLines="0" w:line="240" w:lineRule="auto"/>
                    <w:rPr>
                      <w:rFonts w:hint="default" w:ascii="Times New Roman" w:hAnsi="Times New Roman" w:cs="Times New Roman"/>
                      <w:b w:val="0"/>
                      <w:bCs w:val="0"/>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道路</w:t>
                  </w:r>
                </w:p>
              </w:tc>
              <w:tc>
                <w:tcPr>
                  <w:tcW w:w="5845" w:type="dxa"/>
                  <w:shd w:val="clear" w:color="auto" w:fill="auto"/>
                  <w:vAlign w:val="center"/>
                </w:tcPr>
                <w:p w14:paraId="0C97A37F">
                  <w:pPr>
                    <w:widowControl/>
                    <w:jc w:val="left"/>
                    <w:rPr>
                      <w:rFonts w:hint="default" w:ascii="Times New Roman" w:hAnsi="Times New Roman" w:cs="Times New Roman"/>
                      <w:b w:val="0"/>
                      <w:bCs w:val="0"/>
                      <w:color w:val="000000" w:themeColor="text1"/>
                      <w:kern w:val="0"/>
                      <w:szCs w:val="21"/>
                      <w14:textFill>
                        <w14:solidFill>
                          <w14:schemeClr w14:val="tx1"/>
                        </w14:solidFill>
                      </w14:textFill>
                    </w:rPr>
                  </w:pPr>
                  <w:r>
                    <w:rPr>
                      <w:rFonts w:hint="default" w:ascii="Times New Roman" w:hAnsi="Times New Roman" w:eastAsia="宋体" w:cs="Times New Roman"/>
                      <w:b w:val="0"/>
                      <w:bCs w:val="0"/>
                      <w:color w:val="000000"/>
                      <w:kern w:val="0"/>
                      <w:sz w:val="21"/>
                      <w:szCs w:val="21"/>
                      <w:lang w:val="en-US" w:eastAsia="zh-CN" w:bidi="ar"/>
                    </w:rPr>
                    <w:t>沿风机位修建场内施工道路，场内新建支路长8.5km，需拓宽支路长1km，需拓宽主路20.1km，可直接利用水泥路或沥青路长约8km，总长度为37.6km，作为大型设备和材料进场之用</w:t>
                  </w:r>
                </w:p>
              </w:tc>
            </w:tr>
            <w:tr w14:paraId="5F30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644" w:type="dxa"/>
                  <w:vMerge w:val="continue"/>
                  <w:shd w:val="clear" w:color="auto" w:fill="auto"/>
                  <w:vAlign w:val="center"/>
                </w:tcPr>
                <w:p w14:paraId="7385FA58">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1409" w:type="dxa"/>
                  <w:gridSpan w:val="2"/>
                  <w:shd w:val="clear" w:color="auto" w:fill="auto"/>
                  <w:vAlign w:val="center"/>
                </w:tcPr>
                <w:p w14:paraId="16B11532">
                  <w:pPr>
                    <w:pStyle w:val="60"/>
                    <w:spacing w:beforeLines="0" w:afterLines="0" w:line="240" w:lineRule="auto"/>
                    <w:rPr>
                      <w:rFonts w:hint="eastAsia"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施工临</w:t>
                  </w:r>
                </w:p>
                <w:p w14:paraId="063FC6EE">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建场地</w:t>
                  </w:r>
                </w:p>
              </w:tc>
              <w:tc>
                <w:tcPr>
                  <w:tcW w:w="5845" w:type="dxa"/>
                  <w:shd w:val="clear" w:color="auto" w:fill="auto"/>
                  <w:vAlign w:val="center"/>
                </w:tcPr>
                <w:p w14:paraId="57BF4112">
                  <w:pPr>
                    <w:widowControl/>
                    <w:rPr>
                      <w:b w:val="0"/>
                      <w:bCs w:val="0"/>
                      <w:color w:val="000000" w:themeColor="text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施工材料、机械设备的</w:t>
                  </w:r>
                  <w:r>
                    <w:rPr>
                      <w:rFonts w:hint="eastAsia" w:ascii="宋体" w:hAnsi="宋体" w:eastAsia="宋体" w:cs="宋体"/>
                      <w:b w:val="0"/>
                      <w:bCs w:val="0"/>
                      <w:color w:val="000000"/>
                      <w:kern w:val="0"/>
                      <w:sz w:val="21"/>
                      <w:szCs w:val="21"/>
                      <w:lang w:val="en-US" w:eastAsia="zh-CN" w:bidi="ar"/>
                    </w:rPr>
                    <w:t>机械修配厂及综合加工系统</w:t>
                  </w:r>
                  <w:r>
                    <w:rPr>
                      <w:rFonts w:hint="eastAsia"/>
                      <w:b w:val="0"/>
                      <w:bCs w:val="0"/>
                      <w:color w:val="000000" w:themeColor="text1"/>
                      <w:sz w:val="21"/>
                      <w:szCs w:val="21"/>
                      <w14:textFill>
                        <w14:solidFill>
                          <w14:schemeClr w14:val="tx1"/>
                        </w14:solidFill>
                      </w14:textFill>
                    </w:rPr>
                    <w:t>和仓库，总占地面积</w:t>
                  </w:r>
                  <w:r>
                    <w:rPr>
                      <w:rFonts w:hint="eastAsia"/>
                      <w:b w:val="0"/>
                      <w:bCs w:val="0"/>
                      <w:color w:val="000000" w:themeColor="text1"/>
                      <w:sz w:val="21"/>
                      <w:szCs w:val="21"/>
                      <w:lang w:val="en-US" w:eastAsia="zh-CN"/>
                      <w14:textFill>
                        <w14:solidFill>
                          <w14:schemeClr w14:val="tx1"/>
                        </w14:solidFill>
                      </w14:textFill>
                    </w:rPr>
                    <w:t>200</w:t>
                  </w:r>
                  <w:r>
                    <w:rPr>
                      <w:rFonts w:hint="eastAsia"/>
                      <w:b w:val="0"/>
                      <w:bCs w:val="0"/>
                      <w:color w:val="000000" w:themeColor="text1"/>
                      <w:sz w:val="21"/>
                      <w:szCs w:val="21"/>
                      <w14:textFill>
                        <w14:solidFill>
                          <w14:schemeClr w14:val="tx1"/>
                        </w14:solidFill>
                      </w14:textFill>
                    </w:rPr>
                    <w:t>0m</w:t>
                  </w:r>
                  <w:r>
                    <w:rPr>
                      <w:rFonts w:hint="eastAsia"/>
                      <w:b w:val="0"/>
                      <w:bCs w:val="0"/>
                      <w:color w:val="000000" w:themeColor="text1"/>
                      <w:sz w:val="21"/>
                      <w:szCs w:val="21"/>
                      <w:vertAlign w:val="superscript"/>
                      <w14:textFill>
                        <w14:solidFill>
                          <w14:schemeClr w14:val="tx1"/>
                        </w14:solidFill>
                      </w14:textFill>
                    </w:rPr>
                    <w:t>2</w:t>
                  </w:r>
                  <w:r>
                    <w:rPr>
                      <w:rFonts w:hint="eastAsia"/>
                      <w:b w:val="0"/>
                      <w:bCs w:val="0"/>
                      <w:color w:val="000000" w:themeColor="text1"/>
                      <w:sz w:val="21"/>
                      <w:szCs w:val="21"/>
                      <w14:textFill>
                        <w14:solidFill>
                          <w14:schemeClr w14:val="tx1"/>
                        </w14:solidFill>
                      </w14:textFill>
                    </w:rPr>
                    <w:t>，其中</w:t>
                  </w:r>
                  <w:r>
                    <w:rPr>
                      <w:rFonts w:hint="eastAsia" w:ascii="宋体" w:hAnsi="宋体" w:eastAsia="宋体" w:cs="宋体"/>
                      <w:b w:val="0"/>
                      <w:bCs w:val="0"/>
                      <w:color w:val="000000"/>
                      <w:kern w:val="0"/>
                      <w:sz w:val="21"/>
                      <w:szCs w:val="21"/>
                      <w:lang w:val="en-US" w:eastAsia="zh-CN" w:bidi="ar"/>
                    </w:rPr>
                    <w:t>机械修配厂及综合加工系统（包括钢筋加工厂、木材加工厂）</w:t>
                  </w:r>
                  <w:r>
                    <w:rPr>
                      <w:rFonts w:hint="eastAsia"/>
                      <w:b w:val="0"/>
                      <w:bCs w:val="0"/>
                      <w:color w:val="000000" w:themeColor="text1"/>
                      <w:sz w:val="21"/>
                      <w:szCs w:val="21"/>
                      <w14:textFill>
                        <w14:solidFill>
                          <w14:schemeClr w14:val="tx1"/>
                        </w14:solidFill>
                      </w14:textFill>
                    </w:rPr>
                    <w:t>占地面积约</w:t>
                  </w:r>
                  <w:r>
                    <w:rPr>
                      <w:rFonts w:hint="eastAsia"/>
                      <w:b w:val="0"/>
                      <w:bCs w:val="0"/>
                      <w:color w:val="000000" w:themeColor="text1"/>
                      <w:sz w:val="21"/>
                      <w:szCs w:val="21"/>
                      <w:lang w:val="en-US" w:eastAsia="zh-CN"/>
                      <w14:textFill>
                        <w14:solidFill>
                          <w14:schemeClr w14:val="tx1"/>
                        </w14:solidFill>
                      </w14:textFill>
                    </w:rPr>
                    <w:t>1</w:t>
                  </w:r>
                  <w:r>
                    <w:rPr>
                      <w:rFonts w:hint="eastAsia"/>
                      <w:b w:val="0"/>
                      <w:bCs w:val="0"/>
                      <w:color w:val="000000" w:themeColor="text1"/>
                      <w:sz w:val="21"/>
                      <w:szCs w:val="21"/>
                      <w14:textFill>
                        <w14:solidFill>
                          <w14:schemeClr w14:val="tx1"/>
                        </w14:solidFill>
                      </w14:textFill>
                    </w:rPr>
                    <w:t>000m</w:t>
                  </w:r>
                  <w:r>
                    <w:rPr>
                      <w:rFonts w:hint="eastAsia"/>
                      <w:b w:val="0"/>
                      <w:bCs w:val="0"/>
                      <w:color w:val="000000" w:themeColor="text1"/>
                      <w:sz w:val="21"/>
                      <w:szCs w:val="21"/>
                      <w:vertAlign w:val="superscript"/>
                      <w14:textFill>
                        <w14:solidFill>
                          <w14:schemeClr w14:val="tx1"/>
                        </w14:solidFill>
                      </w14:textFill>
                    </w:rPr>
                    <w:t>2</w:t>
                  </w:r>
                  <w:r>
                    <w:rPr>
                      <w:rFonts w:hint="eastAsia"/>
                      <w:b w:val="0"/>
                      <w:bCs w:val="0"/>
                      <w:color w:val="000000" w:themeColor="text1"/>
                      <w:sz w:val="21"/>
                      <w:szCs w:val="21"/>
                      <w14:textFill>
                        <w14:solidFill>
                          <w14:schemeClr w14:val="tx1"/>
                        </w14:solidFill>
                      </w14:textFill>
                    </w:rPr>
                    <w:t>，仓库占地面积</w:t>
                  </w:r>
                  <w:r>
                    <w:rPr>
                      <w:rFonts w:hint="eastAsia"/>
                      <w:b w:val="0"/>
                      <w:bCs w:val="0"/>
                      <w:color w:val="000000" w:themeColor="text1"/>
                      <w:sz w:val="21"/>
                      <w:szCs w:val="21"/>
                      <w:lang w:val="en-US" w:eastAsia="zh-CN"/>
                      <w14:textFill>
                        <w14:solidFill>
                          <w14:schemeClr w14:val="tx1"/>
                        </w14:solidFill>
                      </w14:textFill>
                    </w:rPr>
                    <w:t>1</w:t>
                  </w:r>
                  <w:r>
                    <w:rPr>
                      <w:rFonts w:hint="eastAsia"/>
                      <w:b w:val="0"/>
                      <w:bCs w:val="0"/>
                      <w:color w:val="000000" w:themeColor="text1"/>
                      <w:sz w:val="21"/>
                      <w:szCs w:val="21"/>
                      <w14:textFill>
                        <w14:solidFill>
                          <w14:schemeClr w14:val="tx1"/>
                        </w14:solidFill>
                      </w14:textFill>
                    </w:rPr>
                    <w:t>000m</w:t>
                  </w:r>
                  <w:r>
                    <w:rPr>
                      <w:rFonts w:hint="eastAsia"/>
                      <w:b w:val="0"/>
                      <w:bCs w:val="0"/>
                      <w:color w:val="000000" w:themeColor="text1"/>
                      <w:sz w:val="21"/>
                      <w:szCs w:val="21"/>
                      <w:vertAlign w:val="superscript"/>
                      <w14:textFill>
                        <w14:solidFill>
                          <w14:schemeClr w14:val="tx1"/>
                        </w14:solidFill>
                      </w14:textFill>
                    </w:rPr>
                    <w:t>2</w:t>
                  </w:r>
                </w:p>
              </w:tc>
            </w:tr>
            <w:tr w14:paraId="206D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44" w:type="dxa"/>
                  <w:vMerge w:val="restart"/>
                  <w:vAlign w:val="center"/>
                </w:tcPr>
                <w:p w14:paraId="5845622A">
                  <w:pPr>
                    <w:pStyle w:val="9"/>
                    <w:spacing w:before="0" w:after="0" w:line="240" w:lineRule="auto"/>
                    <w:ind w:right="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公用工程</w:t>
                  </w:r>
                </w:p>
              </w:tc>
              <w:tc>
                <w:tcPr>
                  <w:tcW w:w="1409" w:type="dxa"/>
                  <w:gridSpan w:val="2"/>
                  <w:shd w:val="clear" w:color="auto" w:fill="auto"/>
                  <w:vAlign w:val="center"/>
                </w:tcPr>
                <w:p w14:paraId="78D3C9E2">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供水</w:t>
                  </w:r>
                </w:p>
              </w:tc>
              <w:tc>
                <w:tcPr>
                  <w:tcW w:w="5845" w:type="dxa"/>
                  <w:shd w:val="clear" w:color="auto" w:fill="auto"/>
                  <w:vAlign w:val="center"/>
                </w:tcPr>
                <w:p w14:paraId="6FF4E121">
                  <w:pPr>
                    <w:pStyle w:val="60"/>
                    <w:spacing w:beforeLines="0" w:afterLines="0" w:line="240" w:lineRule="auto"/>
                    <w:jc w:val="both"/>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现场施工供水利用水罐车由附近村庄拉水，距离在5km以内</w:t>
                  </w:r>
                </w:p>
              </w:tc>
            </w:tr>
            <w:tr w14:paraId="03FC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644" w:type="dxa"/>
                  <w:vMerge w:val="continue"/>
                  <w:vAlign w:val="center"/>
                </w:tcPr>
                <w:p w14:paraId="28295C1B">
                  <w:pPr>
                    <w:pStyle w:val="9"/>
                    <w:spacing w:before="0" w:after="0" w:line="240" w:lineRule="auto"/>
                    <w:ind w:right="0"/>
                    <w:jc w:val="center"/>
                    <w:rPr>
                      <w:b w:val="0"/>
                      <w:bCs w:val="0"/>
                      <w:color w:val="000000" w:themeColor="text1"/>
                      <w:sz w:val="21"/>
                      <w:szCs w:val="21"/>
                      <w14:textFill>
                        <w14:solidFill>
                          <w14:schemeClr w14:val="tx1"/>
                        </w14:solidFill>
                      </w14:textFill>
                    </w:rPr>
                  </w:pPr>
                </w:p>
              </w:tc>
              <w:tc>
                <w:tcPr>
                  <w:tcW w:w="1409" w:type="dxa"/>
                  <w:gridSpan w:val="2"/>
                  <w:shd w:val="clear" w:color="auto" w:fill="auto"/>
                  <w:vAlign w:val="center"/>
                </w:tcPr>
                <w:p w14:paraId="55BF39E5">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排水</w:t>
                  </w:r>
                </w:p>
              </w:tc>
              <w:tc>
                <w:tcPr>
                  <w:tcW w:w="5845" w:type="dxa"/>
                  <w:shd w:val="clear" w:color="auto" w:fill="auto"/>
                  <w:vAlign w:val="center"/>
                </w:tcPr>
                <w:p w14:paraId="241CE7FA">
                  <w:pPr>
                    <w:pStyle w:val="60"/>
                    <w:spacing w:beforeLines="0" w:afterLines="0" w:line="240" w:lineRule="auto"/>
                    <w:jc w:val="both"/>
                    <w:rPr>
                      <w:rFonts w:hint="eastAsia" w:ascii="Times New Roman" w:eastAsia="宋体"/>
                      <w:b w:val="0"/>
                      <w:bCs w:val="0"/>
                      <w:color w:val="000000" w:themeColor="text1"/>
                      <w:szCs w:val="21"/>
                      <w:lang w:eastAsia="zh-CN"/>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施工废水设置临时简易沉淀池，经沉淀池沉淀后全部回用，无废水排放，施工人员食宿依托附近村庄，无生活污水产生</w:t>
                  </w:r>
                  <w:r>
                    <w:rPr>
                      <w:rFonts w:hint="eastAsia" w:ascii="Times New Roman"/>
                      <w:b w:val="0"/>
                      <w:bCs w:val="0"/>
                      <w:color w:val="000000" w:themeColor="text1"/>
                      <w:szCs w:val="21"/>
                      <w:lang w:eastAsia="zh-CN"/>
                      <w14:textFill>
                        <w14:solidFill>
                          <w14:schemeClr w14:val="tx1"/>
                        </w14:solidFill>
                      </w14:textFill>
                    </w:rPr>
                    <w:t>；</w:t>
                  </w:r>
                  <w:r>
                    <w:rPr>
                      <w:rFonts w:hint="eastAsia" w:ascii="Times New Roman"/>
                      <w:color w:val="000000" w:themeColor="text1"/>
                      <w:szCs w:val="21"/>
                      <w14:textFill>
                        <w14:solidFill>
                          <w14:schemeClr w14:val="tx1"/>
                        </w14:solidFill>
                      </w14:textFill>
                    </w:rPr>
                    <w:t>运营期风电场内无废水产生与排放，工作人员生活污水纳入升压站管理，不在本次评价范围内。</w:t>
                  </w:r>
                </w:p>
              </w:tc>
            </w:tr>
            <w:tr w14:paraId="486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44" w:type="dxa"/>
                  <w:vMerge w:val="continue"/>
                  <w:vAlign w:val="center"/>
                </w:tcPr>
                <w:p w14:paraId="79063390">
                  <w:pPr>
                    <w:pStyle w:val="10"/>
                    <w:spacing w:after="0"/>
                    <w:ind w:left="0" w:leftChars="0"/>
                    <w:jc w:val="center"/>
                    <w:rPr>
                      <w:b w:val="0"/>
                      <w:bCs w:val="0"/>
                      <w:color w:val="000000" w:themeColor="text1"/>
                      <w:sz w:val="21"/>
                      <w:szCs w:val="21"/>
                      <w14:textFill>
                        <w14:solidFill>
                          <w14:schemeClr w14:val="tx1"/>
                        </w14:solidFill>
                      </w14:textFill>
                    </w:rPr>
                  </w:pPr>
                </w:p>
              </w:tc>
              <w:tc>
                <w:tcPr>
                  <w:tcW w:w="1409" w:type="dxa"/>
                  <w:gridSpan w:val="2"/>
                  <w:shd w:val="clear" w:color="auto" w:fill="auto"/>
                  <w:vAlign w:val="center"/>
                </w:tcPr>
                <w:p w14:paraId="7DF5113F">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ascii="Times New Roman"/>
                      <w:b w:val="0"/>
                      <w:bCs w:val="0"/>
                      <w:color w:val="000000" w:themeColor="text1"/>
                      <w:szCs w:val="21"/>
                      <w14:textFill>
                        <w14:solidFill>
                          <w14:schemeClr w14:val="tx1"/>
                        </w14:solidFill>
                      </w14:textFill>
                    </w:rPr>
                    <w:t>供电</w:t>
                  </w:r>
                </w:p>
              </w:tc>
              <w:tc>
                <w:tcPr>
                  <w:tcW w:w="5845" w:type="dxa"/>
                  <w:shd w:val="clear" w:color="auto" w:fill="auto"/>
                  <w:vAlign w:val="center"/>
                </w:tcPr>
                <w:p w14:paraId="3DA39A7E">
                  <w:pPr>
                    <w:pStyle w:val="60"/>
                    <w:spacing w:beforeLines="0" w:afterLines="0" w:line="240" w:lineRule="auto"/>
                    <w:jc w:val="both"/>
                    <w:rPr>
                      <w:rFonts w:ascii="Times New Roman"/>
                      <w:b w:val="0"/>
                      <w:bCs w:val="0"/>
                      <w:color w:val="000000" w:themeColor="text1"/>
                      <w:szCs w:val="21"/>
                      <w14:textFill>
                        <w14:solidFill>
                          <w14:schemeClr w14:val="tx1"/>
                        </w14:solidFill>
                      </w14:textFill>
                    </w:rPr>
                  </w:pPr>
                  <w:r>
                    <w:rPr>
                      <w:rFonts w:hint="eastAsia" w:ascii="宋体" w:hAnsi="宋体" w:eastAsia="宋体" w:cs="宋体"/>
                      <w:b w:val="0"/>
                      <w:bCs w:val="0"/>
                      <w:color w:val="000000"/>
                      <w:kern w:val="0"/>
                      <w:sz w:val="21"/>
                      <w:szCs w:val="21"/>
                      <w:lang w:val="en-US" w:eastAsia="zh-CN" w:bidi="ar"/>
                    </w:rPr>
                    <w:t>施工用电拟从附近村庄引接一条</w:t>
                  </w:r>
                  <w:r>
                    <w:rPr>
                      <w:rFonts w:hint="default" w:ascii="Times New Roman" w:hAnsi="Times New Roman" w:eastAsia="宋体" w:cs="Times New Roman"/>
                      <w:b w:val="0"/>
                      <w:bCs w:val="0"/>
                      <w:color w:val="000000"/>
                      <w:kern w:val="0"/>
                      <w:sz w:val="21"/>
                      <w:szCs w:val="21"/>
                      <w:lang w:val="en-US" w:eastAsia="zh-CN" w:bidi="ar"/>
                    </w:rPr>
                    <w:t>10kV</w:t>
                  </w:r>
                  <w:r>
                    <w:rPr>
                      <w:rFonts w:hint="eastAsia" w:ascii="宋体" w:hAnsi="宋体" w:eastAsia="宋体" w:cs="宋体"/>
                      <w:b w:val="0"/>
                      <w:bCs w:val="0"/>
                      <w:color w:val="000000"/>
                      <w:kern w:val="0"/>
                      <w:sz w:val="21"/>
                      <w:szCs w:val="21"/>
                      <w:lang w:val="en-US" w:eastAsia="zh-CN" w:bidi="ar"/>
                    </w:rPr>
                    <w:t>线路至风电场，距离约为</w:t>
                  </w:r>
                  <w:r>
                    <w:rPr>
                      <w:rFonts w:hint="default" w:ascii="Times New Roman" w:hAnsi="Times New Roman" w:eastAsia="宋体" w:cs="Times New Roman"/>
                      <w:b w:val="0"/>
                      <w:bCs w:val="0"/>
                      <w:color w:val="000000"/>
                      <w:kern w:val="0"/>
                      <w:sz w:val="21"/>
                      <w:szCs w:val="21"/>
                      <w:lang w:val="en-US" w:eastAsia="zh-CN" w:bidi="ar"/>
                    </w:rPr>
                    <w:t>2km</w:t>
                  </w:r>
                  <w:r>
                    <w:rPr>
                      <w:rFonts w:hint="eastAsia" w:ascii="宋体" w:hAnsi="宋体" w:eastAsia="宋体" w:cs="宋体"/>
                      <w:b w:val="0"/>
                      <w:bCs w:val="0"/>
                      <w:color w:val="000000"/>
                      <w:kern w:val="0"/>
                      <w:sz w:val="21"/>
                      <w:szCs w:val="21"/>
                      <w:lang w:val="en-US" w:eastAsia="zh-CN" w:bidi="ar"/>
                    </w:rPr>
                    <w:t>。在风电场设单台容量</w:t>
                  </w:r>
                  <w:r>
                    <w:rPr>
                      <w:rFonts w:hint="default" w:ascii="Times New Roman" w:hAnsi="Times New Roman" w:eastAsia="宋体" w:cs="Times New Roman"/>
                      <w:b w:val="0"/>
                      <w:bCs w:val="0"/>
                      <w:color w:val="000000"/>
                      <w:kern w:val="0"/>
                      <w:sz w:val="21"/>
                      <w:szCs w:val="21"/>
                      <w:lang w:val="en-US" w:eastAsia="zh-CN" w:bidi="ar"/>
                    </w:rPr>
                    <w:t>35kVA</w:t>
                  </w:r>
                  <w:r>
                    <w:rPr>
                      <w:rFonts w:hint="eastAsia" w:ascii="宋体" w:hAnsi="宋体" w:eastAsia="宋体" w:cs="宋体"/>
                      <w:b w:val="0"/>
                      <w:bCs w:val="0"/>
                      <w:color w:val="000000"/>
                      <w:kern w:val="0"/>
                      <w:sz w:val="21"/>
                      <w:szCs w:val="21"/>
                      <w:lang w:val="en-US" w:eastAsia="zh-CN" w:bidi="ar"/>
                    </w:rPr>
                    <w:t>变压器</w:t>
                  </w:r>
                  <w:r>
                    <w:rPr>
                      <w:rFonts w:hint="default" w:ascii="Times New Roman" w:hAnsi="Times New Roman" w:eastAsia="宋体" w:cs="Times New Roman"/>
                      <w:b w:val="0"/>
                      <w:bCs w:val="0"/>
                      <w:color w:val="000000"/>
                      <w:kern w:val="0"/>
                      <w:sz w:val="21"/>
                      <w:szCs w:val="21"/>
                      <w:lang w:val="en-US" w:eastAsia="zh-CN" w:bidi="ar"/>
                    </w:rPr>
                    <w:t>1</w:t>
                  </w:r>
                  <w:r>
                    <w:rPr>
                      <w:rFonts w:hint="eastAsia" w:ascii="宋体" w:hAnsi="宋体" w:eastAsia="宋体" w:cs="宋体"/>
                      <w:b w:val="0"/>
                      <w:bCs w:val="0"/>
                      <w:color w:val="000000"/>
                      <w:kern w:val="0"/>
                      <w:sz w:val="21"/>
                      <w:szCs w:val="21"/>
                      <w:lang w:val="en-US" w:eastAsia="zh-CN" w:bidi="ar"/>
                    </w:rPr>
                    <w:t>台，电压等级</w:t>
                  </w:r>
                  <w:r>
                    <w:rPr>
                      <w:rFonts w:hint="default" w:ascii="Times New Roman" w:hAnsi="Times New Roman" w:eastAsia="宋体" w:cs="Times New Roman"/>
                      <w:b w:val="0"/>
                      <w:bCs w:val="0"/>
                      <w:color w:val="000000"/>
                      <w:kern w:val="0"/>
                      <w:sz w:val="21"/>
                      <w:szCs w:val="21"/>
                      <w:lang w:val="en-US" w:eastAsia="zh-CN" w:bidi="ar"/>
                    </w:rPr>
                    <w:t>10kV/0.38kV</w:t>
                  </w:r>
                  <w:r>
                    <w:rPr>
                      <w:rFonts w:hint="eastAsia" w:ascii="宋体" w:hAnsi="宋体" w:eastAsia="宋体" w:cs="宋体"/>
                      <w:b w:val="0"/>
                      <w:bCs w:val="0"/>
                      <w:color w:val="000000"/>
                      <w:kern w:val="0"/>
                      <w:sz w:val="21"/>
                      <w:szCs w:val="21"/>
                      <w:lang w:val="en-US" w:eastAsia="zh-CN" w:bidi="ar"/>
                    </w:rPr>
                    <w:t>，为施工场地供电，待施工结束后改作备用站用电源。由于风机布置分散，风机基础施工临时电源采用</w:t>
                  </w:r>
                  <w:r>
                    <w:rPr>
                      <w:rFonts w:hint="default" w:ascii="Times New Roman" w:hAnsi="Times New Roman" w:eastAsia="宋体" w:cs="Times New Roman"/>
                      <w:b w:val="0"/>
                      <w:bCs w:val="0"/>
                      <w:color w:val="000000"/>
                      <w:kern w:val="0"/>
                      <w:sz w:val="21"/>
                      <w:szCs w:val="21"/>
                      <w:lang w:val="en-US" w:eastAsia="zh-CN" w:bidi="ar"/>
                    </w:rPr>
                    <w:t>50kW</w:t>
                  </w:r>
                  <w:r>
                    <w:rPr>
                      <w:rFonts w:hint="eastAsia" w:ascii="宋体" w:hAnsi="宋体" w:eastAsia="宋体" w:cs="宋体"/>
                      <w:b w:val="0"/>
                      <w:bCs w:val="0"/>
                      <w:color w:val="000000"/>
                      <w:kern w:val="0"/>
                      <w:sz w:val="21"/>
                      <w:szCs w:val="21"/>
                      <w:lang w:val="en-US" w:eastAsia="zh-CN" w:bidi="ar"/>
                    </w:rPr>
                    <w:t>柴油发电机发电</w:t>
                  </w:r>
                </w:p>
              </w:tc>
            </w:tr>
            <w:tr w14:paraId="5404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44" w:type="dxa"/>
                  <w:vMerge w:val="continue"/>
                  <w:vAlign w:val="center"/>
                </w:tcPr>
                <w:p w14:paraId="3FFAAD0D">
                  <w:pPr>
                    <w:pStyle w:val="10"/>
                    <w:spacing w:after="0"/>
                    <w:ind w:left="0" w:leftChars="0"/>
                    <w:jc w:val="center"/>
                    <w:rPr>
                      <w:b w:val="0"/>
                      <w:bCs w:val="0"/>
                      <w:color w:val="000000" w:themeColor="text1"/>
                      <w:sz w:val="21"/>
                      <w:szCs w:val="21"/>
                      <w14:textFill>
                        <w14:solidFill>
                          <w14:schemeClr w14:val="tx1"/>
                        </w14:solidFill>
                      </w14:textFill>
                    </w:rPr>
                  </w:pPr>
                </w:p>
              </w:tc>
              <w:tc>
                <w:tcPr>
                  <w:tcW w:w="1409" w:type="dxa"/>
                  <w:gridSpan w:val="2"/>
                  <w:shd w:val="clear" w:color="auto" w:fill="auto"/>
                  <w:vAlign w:val="center"/>
                </w:tcPr>
                <w:p w14:paraId="0ECDAA36">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检修道路</w:t>
                  </w:r>
                </w:p>
              </w:tc>
              <w:tc>
                <w:tcPr>
                  <w:tcW w:w="5845" w:type="dxa"/>
                  <w:shd w:val="clear" w:color="auto" w:fill="auto"/>
                  <w:vAlign w:val="center"/>
                </w:tcPr>
                <w:p w14:paraId="03078EF8">
                  <w:pPr>
                    <w:widowControl/>
                    <w:jc w:val="left"/>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风电场施工完成后，在简易施工道路的基础上修建宽度为路基宽度为</w:t>
                  </w:r>
                  <w:r>
                    <w:rPr>
                      <w:b w:val="0"/>
                      <w:bCs w:val="0"/>
                      <w:color w:val="000000" w:themeColor="text1"/>
                      <w:kern w:val="0"/>
                      <w:szCs w:val="21"/>
                      <w14:textFill>
                        <w14:solidFill>
                          <w14:schemeClr w14:val="tx1"/>
                        </w14:solidFill>
                      </w14:textFill>
                    </w:rPr>
                    <w:t>4.5m</w:t>
                  </w:r>
                  <w:r>
                    <w:rPr>
                      <w:rFonts w:hint="eastAsia"/>
                      <w:b w:val="0"/>
                      <w:bCs w:val="0"/>
                      <w:color w:val="000000" w:themeColor="text1"/>
                      <w:kern w:val="0"/>
                      <w:szCs w:val="21"/>
                      <w14:textFill>
                        <w14:solidFill>
                          <w14:schemeClr w14:val="tx1"/>
                        </w14:solidFill>
                      </w14:textFill>
                    </w:rPr>
                    <w:t>的场内永久检修道路</w:t>
                  </w:r>
                </w:p>
              </w:tc>
            </w:tr>
            <w:tr w14:paraId="01364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trPr>
              <w:tc>
                <w:tcPr>
                  <w:tcW w:w="644" w:type="dxa"/>
                  <w:vMerge w:val="restart"/>
                  <w:vAlign w:val="center"/>
                </w:tcPr>
                <w:p w14:paraId="4BB563FC">
                  <w:pPr>
                    <w:pStyle w:val="10"/>
                    <w:spacing w:after="0"/>
                    <w:ind w:left="0" w:leftChars="0"/>
                    <w:jc w:val="center"/>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环保工程</w:t>
                  </w:r>
                </w:p>
              </w:tc>
              <w:tc>
                <w:tcPr>
                  <w:tcW w:w="552" w:type="dxa"/>
                  <w:vMerge w:val="restart"/>
                  <w:shd w:val="clear" w:color="auto" w:fill="auto"/>
                  <w:vAlign w:val="center"/>
                </w:tcPr>
                <w:p w14:paraId="08C9A925">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废气</w:t>
                  </w:r>
                </w:p>
              </w:tc>
              <w:tc>
                <w:tcPr>
                  <w:tcW w:w="857" w:type="dxa"/>
                  <w:shd w:val="clear" w:color="auto" w:fill="auto"/>
                  <w:vAlign w:val="center"/>
                </w:tcPr>
                <w:p w14:paraId="3B6AA7D0">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施工期</w:t>
                  </w:r>
                </w:p>
              </w:tc>
              <w:tc>
                <w:tcPr>
                  <w:tcW w:w="5845" w:type="dxa"/>
                  <w:shd w:val="clear" w:color="auto" w:fill="auto"/>
                  <w:vAlign w:val="center"/>
                </w:tcPr>
                <w:p w14:paraId="05B4B952">
                  <w:pPr>
                    <w:pStyle w:val="60"/>
                    <w:spacing w:beforeLines="0" w:afterLines="0" w:line="240" w:lineRule="auto"/>
                    <w:jc w:val="both"/>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施工扬尘采取洒水降尘、土方及时覆盖</w:t>
                  </w:r>
                  <w:r>
                    <w:rPr>
                      <w:rFonts w:hint="eastAsia"/>
                      <w:b w:val="0"/>
                      <w:bCs w:val="0"/>
                      <w:color w:val="000000" w:themeColor="text1"/>
                      <w14:textFill>
                        <w14:solidFill>
                          <w14:schemeClr w14:val="tx1"/>
                        </w14:solidFill>
                      </w14:textFill>
                    </w:rPr>
                    <w:t>、运输车辆冲洗等</w:t>
                  </w:r>
                  <w:r>
                    <w:rPr>
                      <w:b w:val="0"/>
                      <w:bCs w:val="0"/>
                      <w:color w:val="000000" w:themeColor="text1"/>
                      <w14:textFill>
                        <w14:solidFill>
                          <w14:schemeClr w14:val="tx1"/>
                        </w14:solidFill>
                      </w14:textFill>
                    </w:rPr>
                    <w:t>措施</w:t>
                  </w:r>
                </w:p>
              </w:tc>
            </w:tr>
            <w:tr w14:paraId="192B5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644" w:type="dxa"/>
                  <w:vMerge w:val="continue"/>
                  <w:vAlign w:val="center"/>
                </w:tcPr>
                <w:p w14:paraId="198351BD">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5DE36DBE">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shd w:val="clear" w:color="auto" w:fill="auto"/>
                  <w:vAlign w:val="center"/>
                </w:tcPr>
                <w:p w14:paraId="78F5EC32">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运营期</w:t>
                  </w:r>
                </w:p>
              </w:tc>
              <w:tc>
                <w:tcPr>
                  <w:tcW w:w="5845" w:type="dxa"/>
                  <w:shd w:val="clear" w:color="auto" w:fill="auto"/>
                  <w:vAlign w:val="center"/>
                </w:tcPr>
                <w:p w14:paraId="0D733E57">
                  <w:pPr>
                    <w:pStyle w:val="60"/>
                    <w:spacing w:beforeLines="0" w:afterLines="0" w:line="240" w:lineRule="auto"/>
                    <w:jc w:val="both"/>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运营期风机正常运转，无废气产生</w:t>
                  </w:r>
                </w:p>
              </w:tc>
            </w:tr>
            <w:tr w14:paraId="51A1E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644" w:type="dxa"/>
                  <w:vMerge w:val="continue"/>
                  <w:vAlign w:val="center"/>
                </w:tcPr>
                <w:p w14:paraId="2E1AB2E3">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restart"/>
                  <w:shd w:val="clear" w:color="auto" w:fill="auto"/>
                  <w:vAlign w:val="center"/>
                </w:tcPr>
                <w:p w14:paraId="514D6A2F">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废水</w:t>
                  </w:r>
                </w:p>
              </w:tc>
              <w:tc>
                <w:tcPr>
                  <w:tcW w:w="857" w:type="dxa"/>
                  <w:shd w:val="clear" w:color="auto" w:fill="auto"/>
                  <w:vAlign w:val="center"/>
                </w:tcPr>
                <w:p w14:paraId="21EF5E00">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施工期</w:t>
                  </w:r>
                </w:p>
              </w:tc>
              <w:tc>
                <w:tcPr>
                  <w:tcW w:w="5845" w:type="dxa"/>
                  <w:shd w:val="clear" w:color="auto" w:fill="auto"/>
                  <w:vAlign w:val="center"/>
                </w:tcPr>
                <w:p w14:paraId="76F5E011">
                  <w:pPr>
                    <w:pStyle w:val="60"/>
                    <w:spacing w:before="24" w:after="24"/>
                    <w:jc w:val="both"/>
                    <w:rPr>
                      <w:b w:val="0"/>
                      <w:bCs w:val="0"/>
                      <w:color w:val="000000" w:themeColor="text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施工废水设置临时简易沉淀池，经沉淀池沉淀后全部回用，无废水排放，施工人员食宿依托附近村庄，无生活污水产生</w:t>
                  </w:r>
                </w:p>
              </w:tc>
            </w:tr>
            <w:tr w14:paraId="1B4E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44" w:type="dxa"/>
                  <w:vMerge w:val="continue"/>
                  <w:vAlign w:val="center"/>
                </w:tcPr>
                <w:p w14:paraId="4AA5C631">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54B11C91">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shd w:val="clear" w:color="auto" w:fill="auto"/>
                  <w:vAlign w:val="center"/>
                </w:tcPr>
                <w:p w14:paraId="29A1CD8E">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运营期</w:t>
                  </w:r>
                </w:p>
              </w:tc>
              <w:tc>
                <w:tcPr>
                  <w:tcW w:w="5845" w:type="dxa"/>
                  <w:shd w:val="clear" w:color="auto" w:fill="auto"/>
                  <w:vAlign w:val="center"/>
                </w:tcPr>
                <w:p w14:paraId="3F57831F">
                  <w:pPr>
                    <w:keepNext w:val="0"/>
                    <w:keepLines w:val="0"/>
                    <w:widowControl/>
                    <w:suppressLineNumbers w:val="0"/>
                    <w:jc w:val="left"/>
                    <w:rPr>
                      <w:rFonts w:hint="default" w:eastAsia="宋体"/>
                      <w:b w:val="0"/>
                      <w:bCs w:val="0"/>
                      <w:color w:val="000000" w:themeColor="text1"/>
                      <w:lang w:val="en-US" w:eastAsia="zh-CN"/>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运营期风电场内无废水产生与排放</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，工作人员生活</w:t>
                  </w:r>
                  <w:r>
                    <w:rPr>
                      <w:rFonts w:hint="eastAsia" w:cs="Times New Roman"/>
                      <w:b w:val="0"/>
                      <w:bCs w:val="0"/>
                      <w:color w:val="000000" w:themeColor="text1"/>
                      <w:kern w:val="0"/>
                      <w:sz w:val="21"/>
                      <w:szCs w:val="21"/>
                      <w:lang w:val="en-US" w:eastAsia="zh-CN" w:bidi="ar-SA"/>
                      <w14:textFill>
                        <w14:solidFill>
                          <w14:schemeClr w14:val="tx1"/>
                        </w14:solidFill>
                      </w14:textFill>
                    </w:rPr>
                    <w:t>污水</w:t>
                  </w:r>
                  <w: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经一体化地埋式生活污水处理装置处理后用于周边农田施肥。</w:t>
                  </w:r>
                </w:p>
              </w:tc>
            </w:tr>
            <w:tr w14:paraId="1945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continue"/>
                  <w:vAlign w:val="center"/>
                </w:tcPr>
                <w:p w14:paraId="1F67A176">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restart"/>
                  <w:shd w:val="clear" w:color="auto" w:fill="auto"/>
                  <w:vAlign w:val="center"/>
                </w:tcPr>
                <w:p w14:paraId="65A9F8AB">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噪声</w:t>
                  </w:r>
                </w:p>
              </w:tc>
              <w:tc>
                <w:tcPr>
                  <w:tcW w:w="857" w:type="dxa"/>
                  <w:shd w:val="clear" w:color="auto" w:fill="auto"/>
                  <w:vAlign w:val="center"/>
                </w:tcPr>
                <w:p w14:paraId="44B598EE">
                  <w:pPr>
                    <w:pStyle w:val="60"/>
                    <w:spacing w:before="24" w:after="24"/>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施工期</w:t>
                  </w:r>
                </w:p>
              </w:tc>
              <w:tc>
                <w:tcPr>
                  <w:tcW w:w="5845" w:type="dxa"/>
                  <w:shd w:val="clear" w:color="auto" w:fill="auto"/>
                  <w:vAlign w:val="center"/>
                </w:tcPr>
                <w:p w14:paraId="05B8B004">
                  <w:pPr>
                    <w:pStyle w:val="60"/>
                    <w:spacing w:before="24" w:after="24"/>
                    <w:jc w:val="both"/>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合理布置场地、安排施工工序，禁止夜间施工等措施</w:t>
                  </w:r>
                </w:p>
              </w:tc>
            </w:tr>
            <w:tr w14:paraId="2A94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44" w:type="dxa"/>
                  <w:vMerge w:val="continue"/>
                  <w:vAlign w:val="center"/>
                </w:tcPr>
                <w:p w14:paraId="103C6844">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7878AFD9">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shd w:val="clear" w:color="auto" w:fill="auto"/>
                  <w:vAlign w:val="center"/>
                </w:tcPr>
                <w:p w14:paraId="48FF0C0C">
                  <w:pPr>
                    <w:pStyle w:val="60"/>
                    <w:spacing w:before="24" w:after="24"/>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运营期</w:t>
                  </w:r>
                </w:p>
              </w:tc>
              <w:tc>
                <w:tcPr>
                  <w:tcW w:w="5845" w:type="dxa"/>
                  <w:shd w:val="clear" w:color="auto" w:fill="auto"/>
                  <w:vAlign w:val="center"/>
                </w:tcPr>
                <w:p w14:paraId="7B7DF7B5">
                  <w:pPr>
                    <w:pStyle w:val="60"/>
                    <w:spacing w:before="24" w:after="24"/>
                    <w:jc w:val="both"/>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选用低</w:t>
                  </w:r>
                  <w:r>
                    <w:rPr>
                      <w:rFonts w:hint="eastAsia"/>
                      <w:b w:val="0"/>
                      <w:bCs w:val="0"/>
                      <w:color w:val="000000" w:themeColor="text1"/>
                      <w14:textFill>
                        <w14:solidFill>
                          <w14:schemeClr w14:val="tx1"/>
                        </w14:solidFill>
                      </w14:textFill>
                    </w:rPr>
                    <w:t>噪声</w:t>
                  </w:r>
                  <w:r>
                    <w:rPr>
                      <w:b w:val="0"/>
                      <w:bCs w:val="0"/>
                      <w:color w:val="000000" w:themeColor="text1"/>
                      <w14:textFill>
                        <w14:solidFill>
                          <w14:schemeClr w14:val="tx1"/>
                        </w14:solidFill>
                      </w14:textFill>
                    </w:rPr>
                    <w:t>设备，风电机选用隔音</w:t>
                  </w:r>
                  <w:r>
                    <w:rPr>
                      <w:rFonts w:hint="eastAsia"/>
                      <w:b w:val="0"/>
                      <w:bCs w:val="0"/>
                      <w:color w:val="000000" w:themeColor="text1"/>
                      <w14:textFill>
                        <w14:solidFill>
                          <w14:schemeClr w14:val="tx1"/>
                        </w14:solidFill>
                      </w14:textFill>
                    </w:rPr>
                    <w:t>防震</w:t>
                  </w:r>
                  <w:r>
                    <w:rPr>
                      <w:b w:val="0"/>
                      <w:bCs w:val="0"/>
                      <w:color w:val="000000" w:themeColor="text1"/>
                      <w14:textFill>
                        <w14:solidFill>
                          <w14:schemeClr w14:val="tx1"/>
                        </w14:solidFill>
                      </w14:textFill>
                    </w:rPr>
                    <w:t>型，变速齿轮箱为减噪型，叶片用减速叶片等</w:t>
                  </w:r>
                </w:p>
              </w:tc>
            </w:tr>
            <w:tr w14:paraId="2352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44" w:type="dxa"/>
                  <w:vMerge w:val="continue"/>
                  <w:vAlign w:val="center"/>
                </w:tcPr>
                <w:p w14:paraId="27EF0560">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restart"/>
                  <w:shd w:val="clear" w:color="auto" w:fill="auto"/>
                  <w:vAlign w:val="center"/>
                </w:tcPr>
                <w:p w14:paraId="17AE01F4">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固体废物</w:t>
                  </w:r>
                </w:p>
              </w:tc>
              <w:tc>
                <w:tcPr>
                  <w:tcW w:w="857" w:type="dxa"/>
                  <w:shd w:val="clear" w:color="auto" w:fill="auto"/>
                  <w:vAlign w:val="center"/>
                </w:tcPr>
                <w:p w14:paraId="098DAB76">
                  <w:pPr>
                    <w:pStyle w:val="60"/>
                    <w:spacing w:before="24" w:after="24"/>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施工期</w:t>
                  </w:r>
                </w:p>
              </w:tc>
              <w:tc>
                <w:tcPr>
                  <w:tcW w:w="5845" w:type="dxa"/>
                  <w:shd w:val="clear" w:color="auto" w:fill="auto"/>
                  <w:vAlign w:val="center"/>
                </w:tcPr>
                <w:p w14:paraId="1AF77BBA">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施工</w:t>
                  </w:r>
                  <w:r>
                    <w:rPr>
                      <w:rFonts w:hint="eastAsia"/>
                      <w:b w:val="0"/>
                      <w:bCs w:val="0"/>
                      <w:color w:val="000000" w:themeColor="text1"/>
                      <w14:textFill>
                        <w14:solidFill>
                          <w14:schemeClr w14:val="tx1"/>
                        </w14:solidFill>
                      </w14:textFill>
                    </w:rPr>
                    <w:t>挖方</w:t>
                  </w:r>
                  <w:r>
                    <w:rPr>
                      <w:b w:val="0"/>
                      <w:bCs w:val="0"/>
                      <w:color w:val="000000" w:themeColor="text1"/>
                      <w14:textFill>
                        <w14:solidFill>
                          <w14:schemeClr w14:val="tx1"/>
                        </w14:solidFill>
                      </w14:textFill>
                    </w:rPr>
                    <w:t>就地场平，无弃方产生；建筑垃圾回收利用，不能利用部分及时</w:t>
                  </w:r>
                  <w:r>
                    <w:rPr>
                      <w:rFonts w:hint="eastAsia"/>
                      <w:b w:val="0"/>
                      <w:bCs w:val="0"/>
                      <w:color w:val="000000" w:themeColor="text1"/>
                      <w14:textFill>
                        <w14:solidFill>
                          <w14:schemeClr w14:val="tx1"/>
                        </w14:solidFill>
                      </w14:textFill>
                    </w:rPr>
                    <w:t>送至建筑垃圾综合利用企业进行</w:t>
                  </w:r>
                  <w:r>
                    <w:rPr>
                      <w:b w:val="0"/>
                      <w:bCs w:val="0"/>
                      <w:color w:val="000000" w:themeColor="text1"/>
                      <w14:textFill>
                        <w14:solidFill>
                          <w14:schemeClr w14:val="tx1"/>
                        </w14:solidFill>
                      </w14:textFill>
                    </w:rPr>
                    <w:t>处置；生活垃圾</w:t>
                  </w:r>
                  <w:r>
                    <w:rPr>
                      <w:rFonts w:hint="eastAsia"/>
                      <w:b w:val="0"/>
                      <w:bCs w:val="0"/>
                      <w:color w:val="000000" w:themeColor="text1"/>
                      <w14:textFill>
                        <w14:solidFill>
                          <w14:schemeClr w14:val="tx1"/>
                        </w14:solidFill>
                      </w14:textFill>
                    </w:rPr>
                    <w:t>采用垃圾桶分类收集，交由当地</w:t>
                  </w:r>
                  <w:r>
                    <w:rPr>
                      <w:b w:val="0"/>
                      <w:bCs w:val="0"/>
                      <w:color w:val="000000" w:themeColor="text1"/>
                      <w14:textFill>
                        <w14:solidFill>
                          <w14:schemeClr w14:val="tx1"/>
                        </w14:solidFill>
                      </w14:textFill>
                    </w:rPr>
                    <w:t>环卫部门</w:t>
                  </w:r>
                  <w:r>
                    <w:rPr>
                      <w:rFonts w:hint="eastAsia"/>
                      <w:b w:val="0"/>
                      <w:bCs w:val="0"/>
                      <w:color w:val="000000" w:themeColor="text1"/>
                      <w14:textFill>
                        <w14:solidFill>
                          <w14:schemeClr w14:val="tx1"/>
                        </w14:solidFill>
                      </w14:textFill>
                    </w:rPr>
                    <w:t>统一处置</w:t>
                  </w:r>
                </w:p>
              </w:tc>
            </w:tr>
            <w:tr w14:paraId="2AB9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644" w:type="dxa"/>
                  <w:vMerge w:val="continue"/>
                  <w:vAlign w:val="center"/>
                </w:tcPr>
                <w:p w14:paraId="26AE0D2B">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7E3C031C">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vMerge w:val="restart"/>
                  <w:shd w:val="clear" w:color="auto" w:fill="auto"/>
                  <w:vAlign w:val="center"/>
                </w:tcPr>
                <w:p w14:paraId="5F5036DE">
                  <w:pPr>
                    <w:pStyle w:val="60"/>
                    <w:spacing w:beforeLines="0" w:afterLines="0" w:line="240" w:lineRule="auto"/>
                    <w:rPr>
                      <w:rFonts w:ascii="Times New Roman"/>
                      <w:b w:val="0"/>
                      <w:bCs w:val="0"/>
                      <w:color w:val="000000" w:themeColor="text1"/>
                      <w:szCs w:val="21"/>
                      <w14:textFill>
                        <w14:solidFill>
                          <w14:schemeClr w14:val="tx1"/>
                        </w14:solidFill>
                      </w14:textFill>
                    </w:rPr>
                  </w:pPr>
                  <w:r>
                    <w:rPr>
                      <w:b w:val="0"/>
                      <w:bCs w:val="0"/>
                      <w:color w:val="000000" w:themeColor="text1"/>
                      <w14:textFill>
                        <w14:solidFill>
                          <w14:schemeClr w14:val="tx1"/>
                        </w14:solidFill>
                      </w14:textFill>
                    </w:rPr>
                    <w:t>运营期</w:t>
                  </w:r>
                </w:p>
              </w:tc>
              <w:tc>
                <w:tcPr>
                  <w:tcW w:w="5845" w:type="dxa"/>
                  <w:shd w:val="clear" w:color="auto" w:fill="auto"/>
                  <w:vAlign w:val="center"/>
                </w:tcPr>
                <w:p w14:paraId="2355B97E">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废箱变：变压器更换委托设备生产厂家进行更换，废变压器为危险废物，暂存于升压站危险废物暂存间内，</w:t>
                  </w:r>
                  <w:r>
                    <w:rPr>
                      <w:rFonts w:hint="eastAsia"/>
                      <w:b w:val="0"/>
                      <w:bCs w:val="0"/>
                      <w:color w:val="000000" w:themeColor="text1"/>
                      <w14:textFill>
                        <w14:solidFill>
                          <w14:schemeClr w14:val="tx1"/>
                        </w14:solidFill>
                      </w14:textFill>
                    </w:rPr>
                    <w:t>定期</w:t>
                  </w:r>
                  <w:r>
                    <w:rPr>
                      <w:b w:val="0"/>
                      <w:bCs w:val="0"/>
                      <w:color w:val="000000" w:themeColor="text1"/>
                      <w14:textFill>
                        <w14:solidFill>
                          <w14:schemeClr w14:val="tx1"/>
                        </w14:solidFill>
                      </w14:textFill>
                    </w:rPr>
                    <w:t>交</w:t>
                  </w:r>
                  <w:r>
                    <w:rPr>
                      <w:rFonts w:hint="eastAsia"/>
                      <w:b w:val="0"/>
                      <w:bCs w:val="0"/>
                      <w:color w:val="000000" w:themeColor="text1"/>
                      <w14:textFill>
                        <w14:solidFill>
                          <w14:schemeClr w14:val="tx1"/>
                        </w14:solidFill>
                      </w14:textFill>
                    </w:rPr>
                    <w:t>由</w:t>
                  </w:r>
                  <w:r>
                    <w:rPr>
                      <w:b w:val="0"/>
                      <w:bCs w:val="0"/>
                      <w:color w:val="000000" w:themeColor="text1"/>
                      <w14:textFill>
                        <w14:solidFill>
                          <w14:schemeClr w14:val="tx1"/>
                        </w14:solidFill>
                      </w14:textFill>
                    </w:rPr>
                    <w:t>有资质单位</w:t>
                  </w:r>
                  <w:r>
                    <w:rPr>
                      <w:rFonts w:hint="eastAsia"/>
                      <w:b w:val="0"/>
                      <w:bCs w:val="0"/>
                      <w:color w:val="000000" w:themeColor="text1"/>
                      <w14:textFill>
                        <w14:solidFill>
                          <w14:schemeClr w14:val="tx1"/>
                        </w14:solidFill>
                      </w14:textFill>
                    </w:rPr>
                    <w:t>回收</w:t>
                  </w:r>
                  <w:r>
                    <w:rPr>
                      <w:b w:val="0"/>
                      <w:bCs w:val="0"/>
                      <w:color w:val="000000" w:themeColor="text1"/>
                      <w14:textFill>
                        <w14:solidFill>
                          <w14:schemeClr w14:val="tx1"/>
                        </w14:solidFill>
                      </w14:textFill>
                    </w:rPr>
                    <w:t>处置</w:t>
                  </w:r>
                </w:p>
              </w:tc>
            </w:tr>
            <w:tr w14:paraId="160AF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4" w:type="dxa"/>
                  <w:vMerge w:val="continue"/>
                  <w:vAlign w:val="center"/>
                </w:tcPr>
                <w:p w14:paraId="37904865">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353609EF">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vMerge w:val="continue"/>
                  <w:shd w:val="clear" w:color="auto" w:fill="auto"/>
                  <w:vAlign w:val="center"/>
                </w:tcPr>
                <w:p w14:paraId="7527D4FC">
                  <w:pPr>
                    <w:pStyle w:val="60"/>
                    <w:spacing w:beforeLines="0" w:afterLines="0" w:line="240" w:lineRule="auto"/>
                    <w:rPr>
                      <w:b w:val="0"/>
                      <w:bCs w:val="0"/>
                      <w:color w:val="000000" w:themeColor="text1"/>
                      <w14:textFill>
                        <w14:solidFill>
                          <w14:schemeClr w14:val="tx1"/>
                        </w14:solidFill>
                      </w14:textFill>
                    </w:rPr>
                  </w:pPr>
                </w:p>
              </w:tc>
              <w:tc>
                <w:tcPr>
                  <w:tcW w:w="5845" w:type="dxa"/>
                  <w:shd w:val="clear" w:color="auto" w:fill="auto"/>
                  <w:vAlign w:val="center"/>
                </w:tcPr>
                <w:p w14:paraId="1422CC79">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风机废油：</w:t>
                  </w:r>
                  <w:r>
                    <w:rPr>
                      <w:rFonts w:hint="eastAsia"/>
                      <w:b w:val="0"/>
                      <w:bCs w:val="0"/>
                      <w:color w:val="000000" w:themeColor="text1"/>
                      <w14:textFill>
                        <w14:solidFill>
                          <w14:schemeClr w14:val="tx1"/>
                        </w14:solidFill>
                      </w14:textFill>
                    </w:rPr>
                    <w:t>采用</w:t>
                  </w:r>
                  <w:r>
                    <w:rPr>
                      <w:b w:val="0"/>
                      <w:bCs w:val="0"/>
                      <w:color w:val="000000" w:themeColor="text1"/>
                      <w14:textFill>
                        <w14:solidFill>
                          <w14:schemeClr w14:val="tx1"/>
                        </w14:solidFill>
                      </w14:textFill>
                    </w:rPr>
                    <w:t>专用容器收集后，暂存于升压站内的危险废物暂存间，</w:t>
                  </w:r>
                  <w:r>
                    <w:rPr>
                      <w:rFonts w:hint="eastAsia"/>
                      <w:b w:val="0"/>
                      <w:bCs w:val="0"/>
                      <w:color w:val="000000" w:themeColor="text1"/>
                      <w14:textFill>
                        <w14:solidFill>
                          <w14:schemeClr w14:val="tx1"/>
                        </w14:solidFill>
                      </w14:textFill>
                    </w:rPr>
                    <w:t>定期</w:t>
                  </w:r>
                  <w:r>
                    <w:rPr>
                      <w:b w:val="0"/>
                      <w:bCs w:val="0"/>
                      <w:color w:val="000000" w:themeColor="text1"/>
                      <w14:textFill>
                        <w14:solidFill>
                          <w14:schemeClr w14:val="tx1"/>
                        </w14:solidFill>
                      </w14:textFill>
                    </w:rPr>
                    <w:t>交由有资质单位</w:t>
                  </w:r>
                  <w:r>
                    <w:rPr>
                      <w:rFonts w:hint="eastAsia"/>
                      <w:b w:val="0"/>
                      <w:bCs w:val="0"/>
                      <w:color w:val="000000" w:themeColor="text1"/>
                      <w14:textFill>
                        <w14:solidFill>
                          <w14:schemeClr w14:val="tx1"/>
                        </w14:solidFill>
                      </w14:textFill>
                    </w:rPr>
                    <w:t>回收处置</w:t>
                  </w:r>
                </w:p>
              </w:tc>
            </w:tr>
            <w:tr w14:paraId="072C5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44" w:type="dxa"/>
                  <w:vMerge w:val="continue"/>
                  <w:vAlign w:val="center"/>
                </w:tcPr>
                <w:p w14:paraId="3E35F17A">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367DB2E8">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vMerge w:val="continue"/>
                  <w:shd w:val="clear" w:color="auto" w:fill="auto"/>
                  <w:vAlign w:val="center"/>
                </w:tcPr>
                <w:p w14:paraId="0F45431A">
                  <w:pPr>
                    <w:pStyle w:val="60"/>
                    <w:spacing w:beforeLines="0" w:afterLines="0" w:line="240" w:lineRule="auto"/>
                    <w:rPr>
                      <w:b w:val="0"/>
                      <w:bCs w:val="0"/>
                      <w:color w:val="000000" w:themeColor="text1"/>
                      <w14:textFill>
                        <w14:solidFill>
                          <w14:schemeClr w14:val="tx1"/>
                        </w14:solidFill>
                      </w14:textFill>
                    </w:rPr>
                  </w:pPr>
                </w:p>
              </w:tc>
              <w:tc>
                <w:tcPr>
                  <w:tcW w:w="5845" w:type="dxa"/>
                  <w:shd w:val="clear" w:color="auto" w:fill="auto"/>
                  <w:vAlign w:val="center"/>
                </w:tcPr>
                <w:p w14:paraId="6F2C0799">
                  <w:pPr>
                    <w:pStyle w:val="60"/>
                    <w:spacing w:before="24" w:after="24"/>
                    <w:jc w:val="both"/>
                    <w:rPr>
                      <w:b w:val="0"/>
                      <w:bCs w:val="0"/>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废</w:t>
                  </w:r>
                  <w:r>
                    <w:rPr>
                      <w:b w:val="0"/>
                      <w:bCs w:val="0"/>
                      <w:color w:val="000000" w:themeColor="text1"/>
                      <w14:textFill>
                        <w14:solidFill>
                          <w14:schemeClr w14:val="tx1"/>
                        </w14:solidFill>
                      </w14:textFill>
                    </w:rPr>
                    <w:t>润滑油桶：润滑油桶为危险废物，暂存于升压站危险废物暂存间内，</w:t>
                  </w:r>
                  <w:r>
                    <w:rPr>
                      <w:rFonts w:hint="eastAsia"/>
                      <w:b w:val="0"/>
                      <w:bCs w:val="0"/>
                      <w:color w:val="000000" w:themeColor="text1"/>
                      <w14:textFill>
                        <w14:solidFill>
                          <w14:schemeClr w14:val="tx1"/>
                        </w14:solidFill>
                      </w14:textFill>
                    </w:rPr>
                    <w:t>定期</w:t>
                  </w:r>
                  <w:r>
                    <w:rPr>
                      <w:b w:val="0"/>
                      <w:bCs w:val="0"/>
                      <w:color w:val="000000" w:themeColor="text1"/>
                      <w14:textFill>
                        <w14:solidFill>
                          <w14:schemeClr w14:val="tx1"/>
                        </w14:solidFill>
                      </w14:textFill>
                    </w:rPr>
                    <w:t>交由有资质单位</w:t>
                  </w:r>
                  <w:r>
                    <w:rPr>
                      <w:rFonts w:hint="eastAsia"/>
                      <w:b w:val="0"/>
                      <w:bCs w:val="0"/>
                      <w:color w:val="000000" w:themeColor="text1"/>
                      <w14:textFill>
                        <w14:solidFill>
                          <w14:schemeClr w14:val="tx1"/>
                        </w14:solidFill>
                      </w14:textFill>
                    </w:rPr>
                    <w:t>回收</w:t>
                  </w:r>
                  <w:r>
                    <w:rPr>
                      <w:b w:val="0"/>
                      <w:bCs w:val="0"/>
                      <w:color w:val="000000" w:themeColor="text1"/>
                      <w14:textFill>
                        <w14:solidFill>
                          <w14:schemeClr w14:val="tx1"/>
                        </w14:solidFill>
                      </w14:textFill>
                    </w:rPr>
                    <w:t>处置</w:t>
                  </w:r>
                </w:p>
              </w:tc>
            </w:tr>
            <w:tr w14:paraId="6A88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44" w:type="dxa"/>
                  <w:vMerge w:val="continue"/>
                  <w:vAlign w:val="center"/>
                </w:tcPr>
                <w:p w14:paraId="4B73DEC5">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37360B07">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vMerge w:val="continue"/>
                  <w:shd w:val="clear" w:color="auto" w:fill="auto"/>
                  <w:vAlign w:val="center"/>
                </w:tcPr>
                <w:p w14:paraId="2F51CEC1">
                  <w:pPr>
                    <w:pStyle w:val="60"/>
                    <w:spacing w:beforeLines="0" w:afterLines="0" w:line="240" w:lineRule="auto"/>
                    <w:rPr>
                      <w:b w:val="0"/>
                      <w:bCs w:val="0"/>
                      <w:color w:val="000000" w:themeColor="text1"/>
                      <w14:textFill>
                        <w14:solidFill>
                          <w14:schemeClr w14:val="tx1"/>
                        </w14:solidFill>
                      </w14:textFill>
                    </w:rPr>
                  </w:pPr>
                </w:p>
              </w:tc>
              <w:tc>
                <w:tcPr>
                  <w:tcW w:w="5845" w:type="dxa"/>
                  <w:shd w:val="clear" w:color="auto" w:fill="auto"/>
                  <w:vAlign w:val="center"/>
                </w:tcPr>
                <w:p w14:paraId="70759954">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箱式变废油：</w:t>
                  </w:r>
                  <w:r>
                    <w:rPr>
                      <w:rFonts w:hint="eastAsia"/>
                      <w:b w:val="0"/>
                      <w:bCs w:val="0"/>
                      <w:color w:val="000000" w:themeColor="text1"/>
                      <w14:textFill>
                        <w14:solidFill>
                          <w14:schemeClr w14:val="tx1"/>
                        </w14:solidFill>
                      </w14:textFill>
                    </w:rPr>
                    <w:t>采用移动式机油桶收集后，</w:t>
                  </w:r>
                  <w:r>
                    <w:rPr>
                      <w:b w:val="0"/>
                      <w:bCs w:val="0"/>
                      <w:color w:val="000000" w:themeColor="text1"/>
                      <w14:textFill>
                        <w14:solidFill>
                          <w14:schemeClr w14:val="tx1"/>
                        </w14:solidFill>
                      </w14:textFill>
                    </w:rPr>
                    <w:t>暂存于升压站内的危险废物暂存间，</w:t>
                  </w:r>
                  <w:r>
                    <w:rPr>
                      <w:rFonts w:hint="eastAsia"/>
                      <w:b w:val="0"/>
                      <w:bCs w:val="0"/>
                      <w:color w:val="000000" w:themeColor="text1"/>
                      <w14:textFill>
                        <w14:solidFill>
                          <w14:schemeClr w14:val="tx1"/>
                        </w14:solidFill>
                      </w14:textFill>
                    </w:rPr>
                    <w:t>定期</w:t>
                  </w:r>
                  <w:r>
                    <w:rPr>
                      <w:b w:val="0"/>
                      <w:bCs w:val="0"/>
                      <w:color w:val="000000" w:themeColor="text1"/>
                      <w14:textFill>
                        <w14:solidFill>
                          <w14:schemeClr w14:val="tx1"/>
                        </w14:solidFill>
                      </w14:textFill>
                    </w:rPr>
                    <w:t>交由有资质单位</w:t>
                  </w:r>
                  <w:r>
                    <w:rPr>
                      <w:rFonts w:hint="eastAsia"/>
                      <w:b w:val="0"/>
                      <w:bCs w:val="0"/>
                      <w:color w:val="000000" w:themeColor="text1"/>
                      <w14:textFill>
                        <w14:solidFill>
                          <w14:schemeClr w14:val="tx1"/>
                        </w14:solidFill>
                      </w14:textFill>
                    </w:rPr>
                    <w:t>回收处置</w:t>
                  </w:r>
                </w:p>
              </w:tc>
            </w:tr>
            <w:tr w14:paraId="62068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644" w:type="dxa"/>
                  <w:vMerge w:val="continue"/>
                  <w:vAlign w:val="center"/>
                </w:tcPr>
                <w:p w14:paraId="01BAA95C">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restart"/>
                  <w:shd w:val="clear" w:color="auto" w:fill="auto"/>
                  <w:vAlign w:val="center"/>
                </w:tcPr>
                <w:p w14:paraId="70FFD023">
                  <w:pPr>
                    <w:pStyle w:val="60"/>
                    <w:spacing w:beforeLines="0" w:afterLines="0" w:line="240" w:lineRule="auto"/>
                    <w:rPr>
                      <w:rFonts w:ascii="Times New Roman"/>
                      <w:b w:val="0"/>
                      <w:bCs w:val="0"/>
                      <w:color w:val="000000" w:themeColor="text1"/>
                      <w:szCs w:val="21"/>
                      <w14:textFill>
                        <w14:solidFill>
                          <w14:schemeClr w14:val="tx1"/>
                        </w14:solidFill>
                      </w14:textFill>
                    </w:rPr>
                  </w:pPr>
                  <w:r>
                    <w:rPr>
                      <w:rFonts w:hint="eastAsia" w:ascii="Times New Roman"/>
                      <w:b w:val="0"/>
                      <w:bCs w:val="0"/>
                      <w:color w:val="000000" w:themeColor="text1"/>
                      <w:szCs w:val="21"/>
                      <w14:textFill>
                        <w14:solidFill>
                          <w14:schemeClr w14:val="tx1"/>
                        </w14:solidFill>
                      </w14:textFill>
                    </w:rPr>
                    <w:t>生态保护</w:t>
                  </w:r>
                </w:p>
              </w:tc>
              <w:tc>
                <w:tcPr>
                  <w:tcW w:w="857" w:type="dxa"/>
                  <w:shd w:val="clear" w:color="auto" w:fill="auto"/>
                  <w:vAlign w:val="center"/>
                </w:tcPr>
                <w:p w14:paraId="20E0C4E2">
                  <w:pPr>
                    <w:pStyle w:val="60"/>
                    <w:spacing w:before="24" w:after="24"/>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施工期</w:t>
                  </w:r>
                </w:p>
              </w:tc>
              <w:tc>
                <w:tcPr>
                  <w:tcW w:w="5845" w:type="dxa"/>
                  <w:shd w:val="clear" w:color="auto" w:fill="auto"/>
                  <w:vAlign w:val="center"/>
                </w:tcPr>
                <w:p w14:paraId="69EDC760">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优化风电机组位置，减少对植物的破坏，合理布置施工场地，减少施工期临时占地，减少对农作物、植物的破坏，施工期临时用地及时复垦，合理绿化，对永久性占地采取生态补偿</w:t>
                  </w:r>
                </w:p>
              </w:tc>
            </w:tr>
            <w:tr w14:paraId="5469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44" w:type="dxa"/>
                  <w:vMerge w:val="continue"/>
                  <w:vAlign w:val="center"/>
                </w:tcPr>
                <w:p w14:paraId="3068DF74">
                  <w:pPr>
                    <w:pStyle w:val="10"/>
                    <w:spacing w:after="0"/>
                    <w:ind w:left="0" w:leftChars="0"/>
                    <w:jc w:val="center"/>
                    <w:rPr>
                      <w:b w:val="0"/>
                      <w:bCs w:val="0"/>
                      <w:color w:val="000000" w:themeColor="text1"/>
                      <w:sz w:val="21"/>
                      <w:szCs w:val="21"/>
                      <w14:textFill>
                        <w14:solidFill>
                          <w14:schemeClr w14:val="tx1"/>
                        </w14:solidFill>
                      </w14:textFill>
                    </w:rPr>
                  </w:pPr>
                </w:p>
              </w:tc>
              <w:tc>
                <w:tcPr>
                  <w:tcW w:w="552" w:type="dxa"/>
                  <w:vMerge w:val="continue"/>
                  <w:shd w:val="clear" w:color="auto" w:fill="auto"/>
                  <w:vAlign w:val="center"/>
                </w:tcPr>
                <w:p w14:paraId="42513C5B">
                  <w:pPr>
                    <w:pStyle w:val="60"/>
                    <w:spacing w:beforeLines="0" w:afterLines="0" w:line="240" w:lineRule="auto"/>
                    <w:rPr>
                      <w:rFonts w:ascii="Times New Roman"/>
                      <w:b w:val="0"/>
                      <w:bCs w:val="0"/>
                      <w:color w:val="000000" w:themeColor="text1"/>
                      <w:szCs w:val="21"/>
                      <w14:textFill>
                        <w14:solidFill>
                          <w14:schemeClr w14:val="tx1"/>
                        </w14:solidFill>
                      </w14:textFill>
                    </w:rPr>
                  </w:pPr>
                </w:p>
              </w:tc>
              <w:tc>
                <w:tcPr>
                  <w:tcW w:w="857" w:type="dxa"/>
                  <w:shd w:val="clear" w:color="auto" w:fill="auto"/>
                  <w:vAlign w:val="center"/>
                </w:tcPr>
                <w:p w14:paraId="41855962">
                  <w:pPr>
                    <w:pStyle w:val="60"/>
                    <w:spacing w:before="24" w:after="24"/>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运营期</w:t>
                  </w:r>
                </w:p>
              </w:tc>
              <w:tc>
                <w:tcPr>
                  <w:tcW w:w="5845" w:type="dxa"/>
                  <w:shd w:val="clear" w:color="auto" w:fill="auto"/>
                  <w:vAlign w:val="center"/>
                </w:tcPr>
                <w:p w14:paraId="33C2D4C7">
                  <w:pPr>
                    <w:pStyle w:val="60"/>
                    <w:spacing w:before="24" w:after="24"/>
                    <w:jc w:val="both"/>
                    <w:rPr>
                      <w:b w:val="0"/>
                      <w:bCs w:val="0"/>
                      <w:color w:val="000000" w:themeColor="text1"/>
                      <w14:textFill>
                        <w14:solidFill>
                          <w14:schemeClr w14:val="tx1"/>
                        </w14:solidFill>
                      </w14:textFill>
                    </w:rPr>
                  </w:pPr>
                  <w:r>
                    <w:rPr>
                      <w:b w:val="0"/>
                      <w:bCs w:val="0"/>
                      <w:color w:val="000000" w:themeColor="text1"/>
                      <w14:textFill>
                        <w14:solidFill>
                          <w14:schemeClr w14:val="tx1"/>
                        </w14:solidFill>
                      </w14:textFill>
                    </w:rPr>
                    <w:t>施工结束后恢复临时占地原有地貌，及时复垦，合理绿化，施工</w:t>
                  </w:r>
                  <w:r>
                    <w:rPr>
                      <w:rFonts w:hint="eastAsia"/>
                      <w:b w:val="0"/>
                      <w:bCs w:val="0"/>
                      <w:color w:val="000000" w:themeColor="text1"/>
                      <w14:textFill>
                        <w14:solidFill>
                          <w14:schemeClr w14:val="tx1"/>
                        </w14:solidFill>
                      </w14:textFill>
                    </w:rPr>
                    <w:t>营地</w:t>
                  </w:r>
                  <w:r>
                    <w:rPr>
                      <w:b w:val="0"/>
                      <w:bCs w:val="0"/>
                      <w:color w:val="000000" w:themeColor="text1"/>
                      <w14:textFill>
                        <w14:solidFill>
                          <w14:schemeClr w14:val="tx1"/>
                        </w14:solidFill>
                      </w14:textFill>
                    </w:rPr>
                    <w:t>进行生态修复</w:t>
                  </w:r>
                </w:p>
              </w:tc>
            </w:tr>
            <w:tr w14:paraId="2917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644" w:type="dxa"/>
                  <w:vMerge w:val="continue"/>
                  <w:vAlign w:val="center"/>
                </w:tcPr>
                <w:p w14:paraId="1028C713">
                  <w:pPr>
                    <w:pStyle w:val="10"/>
                    <w:spacing w:after="0"/>
                    <w:ind w:left="0" w:leftChars="0"/>
                    <w:jc w:val="center"/>
                    <w:rPr>
                      <w:b w:val="0"/>
                      <w:bCs w:val="0"/>
                      <w:color w:val="000000" w:themeColor="text1"/>
                      <w:sz w:val="21"/>
                      <w:szCs w:val="21"/>
                      <w14:textFill>
                        <w14:solidFill>
                          <w14:schemeClr w14:val="tx1"/>
                        </w14:solidFill>
                      </w14:textFill>
                    </w:rPr>
                  </w:pPr>
                </w:p>
              </w:tc>
              <w:tc>
                <w:tcPr>
                  <w:tcW w:w="1409" w:type="dxa"/>
                  <w:gridSpan w:val="2"/>
                  <w:shd w:val="clear" w:color="auto" w:fill="auto"/>
                  <w:vAlign w:val="center"/>
                </w:tcPr>
                <w:p w14:paraId="08AE8BF0">
                  <w:pPr>
                    <w:jc w:val="center"/>
                    <w:rPr>
                      <w:b w:val="0"/>
                      <w:bCs w:val="0"/>
                      <w:color w:val="000000" w:themeColor="text1"/>
                      <w14:textFill>
                        <w14:solidFill>
                          <w14:schemeClr w14:val="tx1"/>
                        </w14:solidFill>
                      </w14:textFill>
                    </w:rPr>
                  </w:pPr>
                  <w:r>
                    <w:rPr>
                      <w:b w:val="0"/>
                      <w:bCs w:val="0"/>
                      <w:color w:val="auto"/>
                      <w:szCs w:val="21"/>
                    </w:rPr>
                    <w:t>风险防范</w:t>
                  </w:r>
                </w:p>
              </w:tc>
              <w:tc>
                <w:tcPr>
                  <w:tcW w:w="5845" w:type="dxa"/>
                  <w:shd w:val="clear" w:color="auto" w:fill="auto"/>
                  <w:vAlign w:val="center"/>
                </w:tcPr>
                <w:p w14:paraId="1DC3D48C">
                  <w:pPr>
                    <w:rPr>
                      <w:b w:val="0"/>
                      <w:bCs w:val="0"/>
                      <w:color w:val="000000" w:themeColor="text1"/>
                      <w14:textFill>
                        <w14:solidFill>
                          <w14:schemeClr w14:val="tx1"/>
                        </w14:solidFill>
                      </w14:textFill>
                    </w:rPr>
                  </w:pPr>
                  <w:r>
                    <w:rPr>
                      <w:b w:val="0"/>
                      <w:bCs w:val="0"/>
                      <w:color w:val="auto"/>
                      <w:kern w:val="0"/>
                      <w:szCs w:val="21"/>
                    </w:rPr>
                    <w:t>每台</w:t>
                  </w:r>
                  <w:r>
                    <w:rPr>
                      <w:rFonts w:hint="eastAsia"/>
                      <w:b w:val="0"/>
                      <w:bCs w:val="0"/>
                      <w:color w:val="auto"/>
                      <w:kern w:val="0"/>
                      <w:szCs w:val="21"/>
                    </w:rPr>
                    <w:t>箱式变压器单独</w:t>
                  </w:r>
                  <w:r>
                    <w:rPr>
                      <w:b w:val="0"/>
                      <w:bCs w:val="0"/>
                      <w:color w:val="auto"/>
                      <w:kern w:val="0"/>
                      <w:szCs w:val="21"/>
                    </w:rPr>
                    <w:t>设置2.5m</w:t>
                  </w:r>
                  <w:r>
                    <w:rPr>
                      <w:b w:val="0"/>
                      <w:bCs w:val="0"/>
                      <w:color w:val="auto"/>
                      <w:kern w:val="0"/>
                      <w:szCs w:val="21"/>
                      <w:vertAlign w:val="superscript"/>
                    </w:rPr>
                    <w:t>3</w:t>
                  </w:r>
                  <w:r>
                    <w:rPr>
                      <w:rFonts w:hint="eastAsia"/>
                      <w:b w:val="0"/>
                      <w:bCs w:val="0"/>
                      <w:color w:val="auto"/>
                      <w:kern w:val="0"/>
                      <w:szCs w:val="21"/>
                    </w:rPr>
                    <w:t>贮油池1座，共设置2</w:t>
                  </w:r>
                  <w:r>
                    <w:rPr>
                      <w:b w:val="0"/>
                      <w:bCs w:val="0"/>
                      <w:color w:val="auto"/>
                      <w:kern w:val="0"/>
                      <w:szCs w:val="21"/>
                    </w:rPr>
                    <w:t>.5m</w:t>
                  </w:r>
                  <w:r>
                    <w:rPr>
                      <w:b w:val="0"/>
                      <w:bCs w:val="0"/>
                      <w:color w:val="auto"/>
                      <w:kern w:val="0"/>
                      <w:szCs w:val="21"/>
                      <w:vertAlign w:val="superscript"/>
                    </w:rPr>
                    <w:t>3</w:t>
                  </w:r>
                  <w:r>
                    <w:rPr>
                      <w:rFonts w:hint="eastAsia"/>
                      <w:b w:val="0"/>
                      <w:bCs w:val="0"/>
                      <w:color w:val="auto"/>
                      <w:kern w:val="0"/>
                      <w:szCs w:val="21"/>
                    </w:rPr>
                    <w:t>贮油池</w:t>
                  </w:r>
                  <w:r>
                    <w:rPr>
                      <w:rFonts w:hint="eastAsia"/>
                      <w:b w:val="0"/>
                      <w:bCs w:val="0"/>
                      <w:color w:val="auto"/>
                      <w:kern w:val="0"/>
                      <w:szCs w:val="21"/>
                      <w:lang w:val="en-US" w:eastAsia="zh-CN"/>
                    </w:rPr>
                    <w:t>10</w:t>
                  </w:r>
                  <w:r>
                    <w:rPr>
                      <w:rFonts w:hint="eastAsia"/>
                      <w:b w:val="0"/>
                      <w:bCs w:val="0"/>
                      <w:color w:val="auto"/>
                      <w:kern w:val="0"/>
                      <w:szCs w:val="21"/>
                    </w:rPr>
                    <w:t>座</w:t>
                  </w:r>
                </w:p>
              </w:tc>
            </w:tr>
          </w:tbl>
          <w:p w14:paraId="71E244B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color w:val="000000" w:themeColor="text1"/>
                <w14:textFill>
                  <w14:solidFill>
                    <w14:schemeClr w14:val="tx1"/>
                  </w14:solidFill>
                </w14:textFill>
              </w:rPr>
            </w:pPr>
            <w:r>
              <w:rPr>
                <w:rFonts w:hint="eastAsia"/>
                <w:b/>
                <w:bCs/>
                <w:color w:val="000000" w:themeColor="text1"/>
                <w:sz w:val="24"/>
                <w14:textFill>
                  <w14:solidFill>
                    <w14:schemeClr w14:val="tx1"/>
                  </w14:solidFill>
                </w14:textFill>
              </w:rPr>
              <w:t>3、主体工程</w:t>
            </w:r>
          </w:p>
          <w:p w14:paraId="107271A7">
            <w:pPr>
              <w:pStyle w:val="10"/>
              <w:keepNext w:val="0"/>
              <w:keepLines w:val="0"/>
              <w:pageBreakBefore w:val="0"/>
              <w:widowControl w:val="0"/>
              <w:kinsoku/>
              <w:wordWrap/>
              <w:overflowPunct/>
              <w:topLinePunct w:val="0"/>
              <w:autoSpaceDE/>
              <w:autoSpaceDN/>
              <w:bidi w:val="0"/>
              <w:spacing w:after="0" w:line="360" w:lineRule="auto"/>
              <w:textAlignment w:val="auto"/>
              <w:rPr>
                <w:color w:val="000000" w:themeColor="text1"/>
                <w14:textFill>
                  <w14:solidFill>
                    <w14:schemeClr w14:val="tx1"/>
                  </w14:solidFill>
                </w14:textFill>
              </w:rPr>
            </w:pPr>
            <w:r>
              <w:rPr>
                <w:rFonts w:hint="eastAsia"/>
                <w:color w:val="000000" w:themeColor="text1"/>
                <w:szCs w:val="24"/>
                <w14:textFill>
                  <w14:solidFill>
                    <w14:schemeClr w14:val="tx1"/>
                  </w14:solidFill>
                </w14:textFill>
              </w:rPr>
              <w:fldChar w:fldCharType="begin"/>
            </w:r>
            <w:r>
              <w:rPr>
                <w:rFonts w:hint="eastAsia"/>
                <w:color w:val="000000" w:themeColor="text1"/>
                <w:szCs w:val="24"/>
                <w14:textFill>
                  <w14:solidFill>
                    <w14:schemeClr w14:val="tx1"/>
                  </w14:solidFill>
                </w14:textFill>
              </w:rPr>
              <w:instrText xml:space="preserve"> = 1 \* GB2 \* MERGEFORMAT </w:instrText>
            </w:r>
            <w:r>
              <w:rPr>
                <w:rFonts w:hint="eastAsia"/>
                <w:color w:val="000000" w:themeColor="text1"/>
                <w:szCs w:val="24"/>
                <w14:textFill>
                  <w14:solidFill>
                    <w14:schemeClr w14:val="tx1"/>
                  </w14:solidFill>
                </w14:textFill>
              </w:rPr>
              <w:fldChar w:fldCharType="separate"/>
            </w:r>
            <w:r>
              <w:t>⑴</w:t>
            </w:r>
            <w:r>
              <w:rPr>
                <w:rFonts w:hint="eastAsia"/>
                <w:color w:val="000000" w:themeColor="text1"/>
                <w:szCs w:val="24"/>
                <w14:textFill>
                  <w14:solidFill>
                    <w14:schemeClr w14:val="tx1"/>
                  </w14:solidFill>
                </w14:textFill>
              </w:rPr>
              <w:fldChar w:fldCharType="end"/>
            </w:r>
            <w:r>
              <w:rPr>
                <w:rFonts w:hint="eastAsia"/>
                <w:color w:val="000000" w:themeColor="text1"/>
                <w:szCs w:val="24"/>
                <w14:textFill>
                  <w14:solidFill>
                    <w14:schemeClr w14:val="tx1"/>
                  </w14:solidFill>
                </w14:textFill>
              </w:rPr>
              <w:t>风力发电机组</w:t>
            </w:r>
          </w:p>
          <w:p w14:paraId="117ED9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①风机特性</w:t>
            </w:r>
          </w:p>
          <w:p w14:paraId="4A6808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本工程</w:t>
            </w:r>
            <w:r>
              <w:rPr>
                <w:rFonts w:eastAsiaTheme="minorEastAsia"/>
                <w:color w:val="000000" w:themeColor="text1"/>
                <w:sz w:val="24"/>
                <w14:textFill>
                  <w14:solidFill>
                    <w14:schemeClr w14:val="tx1"/>
                  </w14:solidFill>
                </w14:textFill>
              </w:rPr>
              <w:t>风机选址</w:t>
            </w:r>
            <w:r>
              <w:rPr>
                <w:rFonts w:hint="eastAsia" w:eastAsiaTheme="minorEastAsia"/>
                <w:color w:val="000000" w:themeColor="text1"/>
                <w:sz w:val="24"/>
                <w:lang w:val="en-US" w:eastAsia="zh-CN"/>
                <w14:textFill>
                  <w14:solidFill>
                    <w14:schemeClr w14:val="tx1"/>
                  </w14:solidFill>
                </w14:textFill>
              </w:rPr>
              <w:t>10</w:t>
            </w:r>
            <w:r>
              <w:rPr>
                <w:rFonts w:eastAsiaTheme="minorEastAsia"/>
                <w:color w:val="000000" w:themeColor="text1"/>
                <w:sz w:val="24"/>
                <w14:textFill>
                  <w14:solidFill>
                    <w14:schemeClr w14:val="tx1"/>
                  </w14:solidFill>
                </w14:textFill>
              </w:rPr>
              <w:t>处，拟安装</w:t>
            </w:r>
            <w:r>
              <w:rPr>
                <w:rFonts w:hint="eastAsia" w:eastAsiaTheme="minorEastAsia"/>
                <w:color w:val="000000" w:themeColor="text1"/>
                <w:sz w:val="24"/>
                <w:lang w:val="en-US" w:eastAsia="zh-CN"/>
                <w14:textFill>
                  <w14:solidFill>
                    <w14:schemeClr w14:val="tx1"/>
                  </w14:solidFill>
                </w14:textFill>
              </w:rPr>
              <w:t>10</w:t>
            </w:r>
            <w:r>
              <w:rPr>
                <w:rFonts w:eastAsiaTheme="minorEastAsia"/>
                <w:color w:val="000000" w:themeColor="text1"/>
                <w:sz w:val="24"/>
                <w14:textFill>
                  <w14:solidFill>
                    <w14:schemeClr w14:val="tx1"/>
                  </w14:solidFill>
                </w14:textFill>
              </w:rPr>
              <w:t>台单机容量为</w:t>
            </w:r>
            <w:r>
              <w:rPr>
                <w:rFonts w:hint="eastAsia" w:eastAsiaTheme="minorEastAsia"/>
                <w:color w:val="000000" w:themeColor="text1"/>
                <w:sz w:val="24"/>
                <w:lang w:val="en-US" w:eastAsia="zh-CN"/>
                <w14:textFill>
                  <w14:solidFill>
                    <w14:schemeClr w14:val="tx1"/>
                  </w14:solidFill>
                </w14:textFill>
              </w:rPr>
              <w:t>500</w:t>
            </w:r>
            <w:r>
              <w:rPr>
                <w:rFonts w:eastAsiaTheme="minorEastAsia"/>
                <w:color w:val="000000" w:themeColor="text1"/>
                <w:sz w:val="24"/>
                <w14:textFill>
                  <w14:solidFill>
                    <w14:schemeClr w14:val="tx1"/>
                  </w14:solidFill>
                </w14:textFill>
              </w:rPr>
              <w:t>0kW的风力发电机组</w:t>
            </w:r>
            <w:r>
              <w:rPr>
                <w:color w:val="000000" w:themeColor="text1"/>
                <w:sz w:val="24"/>
                <w14:textFill>
                  <w14:solidFill>
                    <w14:schemeClr w14:val="tx1"/>
                  </w14:solidFill>
                </w14:textFill>
              </w:rPr>
              <w:t>，叶轮直径2</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0m</w:t>
            </w:r>
            <w:r>
              <w:rPr>
                <w:rFonts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轮毂高度1</w:t>
            </w:r>
            <w:r>
              <w:rPr>
                <w:rFonts w:hint="eastAsia"/>
                <w:color w:val="000000" w:themeColor="text1"/>
                <w:sz w:val="24"/>
                <w:lang w:val="en-US" w:eastAsia="zh-CN"/>
                <w14:textFill>
                  <w14:solidFill>
                    <w14:schemeClr w14:val="tx1"/>
                  </w14:solidFill>
                </w14:textFill>
              </w:rPr>
              <w:t>66</w:t>
            </w:r>
            <w:r>
              <w:rPr>
                <w:color w:val="000000" w:themeColor="text1"/>
                <w:sz w:val="24"/>
                <w14:textFill>
                  <w14:solidFill>
                    <w14:schemeClr w14:val="tx1"/>
                  </w14:solidFill>
                </w14:textFill>
              </w:rPr>
              <w:t>m</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风电场总装机规模为50MW。</w:t>
            </w:r>
            <w:r>
              <w:rPr>
                <w:rFonts w:hint="eastAsia"/>
                <w:color w:val="000000" w:themeColor="text1"/>
                <w:sz w:val="24"/>
                <w14:textFill>
                  <w14:solidFill>
                    <w14:schemeClr w14:val="tx1"/>
                  </w14:solidFill>
                </w14:textFill>
              </w:rPr>
              <w:t>本工程风力发电机组主要技术参数见表2-2。</w:t>
            </w:r>
          </w:p>
          <w:p w14:paraId="141D2740">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表2-2 推荐机型主要技术参数一览表</w:t>
            </w:r>
          </w:p>
          <w:tbl>
            <w:tblPr>
              <w:tblStyle w:val="32"/>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63"/>
              <w:gridCol w:w="2811"/>
              <w:gridCol w:w="2968"/>
            </w:tblGrid>
            <w:tr w14:paraId="2502B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shd w:val="clear" w:color="auto" w:fill="auto"/>
                  <w:vAlign w:val="center"/>
                </w:tcPr>
                <w:p w14:paraId="3D7778CC">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4074" w:type="dxa"/>
                  <w:gridSpan w:val="2"/>
                  <w:shd w:val="clear" w:color="auto" w:fill="auto"/>
                  <w:vAlign w:val="center"/>
                </w:tcPr>
                <w:p w14:paraId="2B620CF1">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项目</w:t>
                  </w:r>
                </w:p>
              </w:tc>
              <w:tc>
                <w:tcPr>
                  <w:tcW w:w="2968" w:type="dxa"/>
                  <w:shd w:val="clear" w:color="auto" w:fill="auto"/>
                  <w:vAlign w:val="center"/>
                </w:tcPr>
                <w:p w14:paraId="6B97436E">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主要技术参数</w:t>
                  </w:r>
                </w:p>
              </w:tc>
            </w:tr>
            <w:tr w14:paraId="71E0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shd w:val="clear" w:color="auto" w:fill="auto"/>
                  <w:vAlign w:val="center"/>
                </w:tcPr>
                <w:p w14:paraId="733BBFC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4074" w:type="dxa"/>
                  <w:gridSpan w:val="2"/>
                  <w:shd w:val="clear" w:color="auto" w:fill="auto"/>
                  <w:vAlign w:val="center"/>
                </w:tcPr>
                <w:p w14:paraId="5638213C">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机型</w:t>
                  </w:r>
                </w:p>
              </w:tc>
              <w:tc>
                <w:tcPr>
                  <w:tcW w:w="2968" w:type="dxa"/>
                  <w:shd w:val="clear" w:color="auto" w:fill="auto"/>
                  <w:vAlign w:val="center"/>
                </w:tcPr>
                <w:p w14:paraId="425FD7A2">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WTG</w:t>
                  </w:r>
                  <w:r>
                    <w:rPr>
                      <w:rFonts w:hint="eastAsia"/>
                      <w:b w:val="0"/>
                      <w:bCs w:val="0"/>
                      <w:color w:val="000000" w:themeColor="text1"/>
                      <w:sz w:val="21"/>
                      <w:szCs w:val="21"/>
                      <w:lang w:val="en-US" w:eastAsia="zh-CN"/>
                      <w14:textFill>
                        <w14:solidFill>
                          <w14:schemeClr w14:val="tx1"/>
                        </w14:solidFill>
                      </w14:textFill>
                    </w:rPr>
                    <w:t>2</w:t>
                  </w:r>
                  <w:r>
                    <w:rPr>
                      <w:rFonts w:hint="eastAsia"/>
                      <w:b w:val="0"/>
                      <w:bCs w:val="0"/>
                      <w:color w:val="000000" w:themeColor="text1"/>
                      <w:sz w:val="21"/>
                      <w:szCs w:val="21"/>
                      <w14:textFill>
                        <w14:solidFill>
                          <w14:schemeClr w14:val="tx1"/>
                        </w14:solidFill>
                      </w14:textFill>
                    </w:rPr>
                    <w:t>/50</w:t>
                  </w:r>
                  <w:r>
                    <w:rPr>
                      <w:rFonts w:hint="eastAsia"/>
                      <w:b w:val="0"/>
                      <w:bCs w:val="0"/>
                      <w:color w:val="000000" w:themeColor="text1"/>
                      <w:sz w:val="21"/>
                      <w:szCs w:val="21"/>
                      <w:lang w:val="en-US" w:eastAsia="zh-CN"/>
                      <w14:textFill>
                        <w14:solidFill>
                          <w14:schemeClr w14:val="tx1"/>
                        </w14:solidFill>
                      </w14:textFill>
                    </w:rPr>
                    <w:t>00</w:t>
                  </w:r>
                  <w:r>
                    <w:rPr>
                      <w:rFonts w:hint="eastAsia"/>
                      <w:b w:val="0"/>
                      <w:bCs w:val="0"/>
                      <w:color w:val="000000" w:themeColor="text1"/>
                      <w:sz w:val="21"/>
                      <w:szCs w:val="21"/>
                      <w14:textFill>
                        <w14:solidFill>
                          <w14:schemeClr w14:val="tx1"/>
                        </w14:solidFill>
                      </w14:textFill>
                    </w:rPr>
                    <w:t>kW</w:t>
                  </w:r>
                </w:p>
              </w:tc>
            </w:tr>
            <w:tr w14:paraId="1F2C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restart"/>
                  <w:vAlign w:val="center"/>
                </w:tcPr>
                <w:p w14:paraId="42AC637B">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w:t>
                  </w:r>
                </w:p>
              </w:tc>
              <w:tc>
                <w:tcPr>
                  <w:tcW w:w="1263" w:type="dxa"/>
                  <w:vMerge w:val="restart"/>
                  <w:shd w:val="clear" w:color="auto" w:fill="auto"/>
                  <w:vAlign w:val="center"/>
                </w:tcPr>
                <w:p w14:paraId="6A7142F8">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机组数据</w:t>
                  </w:r>
                </w:p>
              </w:tc>
              <w:tc>
                <w:tcPr>
                  <w:tcW w:w="2811" w:type="dxa"/>
                  <w:shd w:val="clear" w:color="auto" w:fill="auto"/>
                  <w:vAlign w:val="center"/>
                </w:tcPr>
                <w:p w14:paraId="16230368">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额定功率（kW）</w:t>
                  </w:r>
                </w:p>
              </w:tc>
              <w:tc>
                <w:tcPr>
                  <w:tcW w:w="2968" w:type="dxa"/>
                  <w:shd w:val="clear" w:color="auto" w:fill="auto"/>
                  <w:vAlign w:val="center"/>
                </w:tcPr>
                <w:p w14:paraId="5846620E">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5000</w:t>
                  </w:r>
                </w:p>
              </w:tc>
            </w:tr>
            <w:tr w14:paraId="1D24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0BFEC813">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484E31C1">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7AD7A36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功率调节方式</w:t>
                  </w:r>
                </w:p>
              </w:tc>
              <w:tc>
                <w:tcPr>
                  <w:tcW w:w="2968" w:type="dxa"/>
                  <w:shd w:val="clear" w:color="auto" w:fill="auto"/>
                  <w:vAlign w:val="center"/>
                </w:tcPr>
                <w:p w14:paraId="3DA5CFDC">
                  <w:pPr>
                    <w:pStyle w:val="10"/>
                    <w:spacing w:after="0"/>
                    <w:ind w:left="0" w:leftChars="0"/>
                    <w:jc w:val="center"/>
                    <w:rPr>
                      <w:rFonts w:hint="default"/>
                      <w:b w:val="0"/>
                      <w:bCs w:val="0"/>
                      <w:color w:val="000000" w:themeColor="text1"/>
                      <w:sz w:val="21"/>
                      <w:szCs w:val="21"/>
                      <w:lang w:val="en-US"/>
                      <w14:textFill>
                        <w14:solidFill>
                          <w14:schemeClr w14:val="tx1"/>
                        </w14:solidFill>
                      </w14:textFill>
                    </w:rPr>
                  </w:pPr>
                  <w:r>
                    <w:rPr>
                      <w:rFonts w:hint="eastAsia"/>
                      <w:b w:val="0"/>
                      <w:bCs w:val="0"/>
                      <w:color w:val="000000" w:themeColor="text1"/>
                      <w:sz w:val="21"/>
                      <w:szCs w:val="21"/>
                      <w14:textFill>
                        <w14:solidFill>
                          <w14:schemeClr w14:val="tx1"/>
                        </w14:solidFill>
                      </w14:textFill>
                    </w:rPr>
                    <w:t>变桨变速</w:t>
                  </w:r>
                </w:p>
              </w:tc>
            </w:tr>
            <w:tr w14:paraId="143D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0BE866B8">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6DB95CDC">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7B2C50B7">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叶轮直径（</w:t>
                  </w:r>
                  <w:r>
                    <w:rPr>
                      <w:b w:val="0"/>
                      <w:bCs w:val="0"/>
                      <w:color w:val="000000" w:themeColor="text1"/>
                      <w:kern w:val="0"/>
                      <w:szCs w:val="21"/>
                      <w:lang w:bidi="ar"/>
                      <w14:textFill>
                        <w14:solidFill>
                          <w14:schemeClr w14:val="tx1"/>
                        </w14:solidFill>
                      </w14:textFill>
                    </w:rPr>
                    <w:t>m</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6E2172CA">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r>
                    <w:rPr>
                      <w:rFonts w:hint="eastAsia"/>
                      <w:b w:val="0"/>
                      <w:bCs w:val="0"/>
                      <w:color w:val="000000" w:themeColor="text1"/>
                      <w:sz w:val="21"/>
                      <w:szCs w:val="21"/>
                      <w:lang w:val="en-US" w:eastAsia="zh-CN"/>
                      <w14:textFill>
                        <w14:solidFill>
                          <w14:schemeClr w14:val="tx1"/>
                        </w14:solidFill>
                      </w14:textFill>
                    </w:rPr>
                    <w:t>2</w:t>
                  </w:r>
                  <w:r>
                    <w:rPr>
                      <w:rFonts w:hint="eastAsia"/>
                      <w:b w:val="0"/>
                      <w:bCs w:val="0"/>
                      <w:color w:val="000000" w:themeColor="text1"/>
                      <w:sz w:val="21"/>
                      <w:szCs w:val="21"/>
                      <w14:textFill>
                        <w14:solidFill>
                          <w14:schemeClr w14:val="tx1"/>
                        </w14:solidFill>
                      </w14:textFill>
                    </w:rPr>
                    <w:t>0</w:t>
                  </w:r>
                </w:p>
              </w:tc>
            </w:tr>
            <w:tr w14:paraId="35A5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1C71EBA8">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596A5203">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5ED92FF4">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切入风速（</w:t>
                  </w:r>
                  <w:r>
                    <w:rPr>
                      <w:b w:val="0"/>
                      <w:bCs w:val="0"/>
                      <w:color w:val="000000" w:themeColor="text1"/>
                      <w:kern w:val="0"/>
                      <w:szCs w:val="21"/>
                      <w:lang w:bidi="ar"/>
                      <w14:textFill>
                        <w14:solidFill>
                          <w14:schemeClr w14:val="tx1"/>
                        </w14:solidFill>
                      </w14:textFill>
                    </w:rPr>
                    <w:t>m/s</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4D118EF0">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3.0</w:t>
                  </w:r>
                </w:p>
              </w:tc>
            </w:tr>
            <w:tr w14:paraId="2346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260F41F9">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3262C640">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125C4218">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额定风速（</w:t>
                  </w:r>
                  <w:r>
                    <w:rPr>
                      <w:b w:val="0"/>
                      <w:bCs w:val="0"/>
                      <w:color w:val="000000" w:themeColor="text1"/>
                      <w:sz w:val="21"/>
                      <w:szCs w:val="21"/>
                      <w14:textFill>
                        <w14:solidFill>
                          <w14:schemeClr w14:val="tx1"/>
                        </w14:solidFill>
                      </w14:textFill>
                    </w:rPr>
                    <w:t>m/s</w:t>
                  </w:r>
                  <w:r>
                    <w:rPr>
                      <w:rFonts w:hint="eastAsia"/>
                      <w:b w:val="0"/>
                      <w:bCs w:val="0"/>
                      <w:color w:val="000000" w:themeColor="text1"/>
                      <w:sz w:val="21"/>
                      <w:szCs w:val="21"/>
                      <w14:textFill>
                        <w14:solidFill>
                          <w14:schemeClr w14:val="tx1"/>
                        </w14:solidFill>
                      </w14:textFill>
                    </w:rPr>
                    <w:t>）</w:t>
                  </w:r>
                </w:p>
              </w:tc>
              <w:tc>
                <w:tcPr>
                  <w:tcW w:w="2968" w:type="dxa"/>
                  <w:shd w:val="clear" w:color="auto" w:fill="auto"/>
                  <w:vAlign w:val="center"/>
                </w:tcPr>
                <w:p w14:paraId="78605913">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8.6</w:t>
                  </w:r>
                </w:p>
              </w:tc>
            </w:tr>
            <w:tr w14:paraId="2BEB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53DCD0BA">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59405D6A">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154C904A">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切出风速（</w:t>
                  </w:r>
                  <w:r>
                    <w:rPr>
                      <w:b w:val="0"/>
                      <w:bCs w:val="0"/>
                      <w:color w:val="000000" w:themeColor="text1"/>
                      <w:kern w:val="0"/>
                      <w:szCs w:val="21"/>
                      <w:lang w:bidi="ar"/>
                      <w14:textFill>
                        <w14:solidFill>
                          <w14:schemeClr w14:val="tx1"/>
                        </w14:solidFill>
                      </w14:textFill>
                    </w:rPr>
                    <w:t>m/s</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35482620">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25</w:t>
                  </w:r>
                </w:p>
              </w:tc>
            </w:tr>
            <w:tr w14:paraId="6114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7EBA1BF0">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44CECF3B">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4CF0ECD0">
                  <w:pPr>
                    <w:widowControl/>
                    <w:jc w:val="center"/>
                    <w:rPr>
                      <w:rFonts w:hint="eastAsia" w:ascii="宋体" w:hAnsi="宋体" w:cs="宋体"/>
                      <w:b w:val="0"/>
                      <w:bCs w:val="0"/>
                      <w:color w:val="000000" w:themeColor="text1"/>
                      <w:kern w:val="0"/>
                      <w:szCs w:val="21"/>
                      <w:lang w:bidi="ar"/>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极限风速（</w:t>
                  </w:r>
                  <w:r>
                    <w:rPr>
                      <w:b w:val="0"/>
                      <w:bCs w:val="0"/>
                      <w:color w:val="000000" w:themeColor="text1"/>
                      <w:kern w:val="0"/>
                      <w:szCs w:val="21"/>
                      <w:lang w:bidi="ar"/>
                      <w14:textFill>
                        <w14:solidFill>
                          <w14:schemeClr w14:val="tx1"/>
                        </w14:solidFill>
                      </w14:textFill>
                    </w:rPr>
                    <w:t>m/s</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51B9D45C">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42.5</w:t>
                  </w:r>
                </w:p>
              </w:tc>
            </w:tr>
            <w:tr w14:paraId="3465E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6EE61815">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0C36BDEA">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2B207D38">
                  <w:pPr>
                    <w:widowControl/>
                    <w:jc w:val="center"/>
                    <w:rPr>
                      <w:rFonts w:hint="eastAsia" w:ascii="宋体" w:hAnsi="宋体" w:cs="宋体"/>
                      <w:b w:val="0"/>
                      <w:bCs w:val="0"/>
                      <w:color w:val="000000" w:themeColor="text1"/>
                      <w:kern w:val="0"/>
                      <w:szCs w:val="21"/>
                      <w:lang w:bidi="ar"/>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运行温度（</w:t>
                  </w:r>
                  <w:r>
                    <w:rPr>
                      <w:b w:val="0"/>
                      <w:bCs w:val="0"/>
                      <w:color w:val="000000" w:themeColor="text1"/>
                      <w:kern w:val="0"/>
                      <w:szCs w:val="21"/>
                      <w:lang w:bidi="ar"/>
                      <w14:textFill>
                        <w14:solidFill>
                          <w14:schemeClr w14:val="tx1"/>
                        </w14:solidFill>
                      </w14:textFill>
                    </w:rPr>
                    <w:t>ºC</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1870A49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3</w:t>
                  </w:r>
                  <w:r>
                    <w:rPr>
                      <w:rFonts w:hint="eastAsia"/>
                      <w:b w:val="0"/>
                      <w:bCs w:val="0"/>
                      <w:color w:val="000000" w:themeColor="text1"/>
                      <w:sz w:val="21"/>
                      <w:szCs w:val="21"/>
                      <w14:textFill>
                        <w14:solidFill>
                          <w14:schemeClr w14:val="tx1"/>
                        </w14:solidFill>
                      </w14:textFill>
                    </w:rPr>
                    <w:t>0</w:t>
                  </w:r>
                  <w:r>
                    <w:rPr>
                      <w:b w:val="0"/>
                      <w:bCs w:val="0"/>
                      <w:color w:val="000000" w:themeColor="text1"/>
                      <w:sz w:val="21"/>
                      <w:szCs w:val="21"/>
                      <w:lang w:bidi="ar"/>
                      <w14:textFill>
                        <w14:solidFill>
                          <w14:schemeClr w14:val="tx1"/>
                        </w14:solidFill>
                      </w14:textFill>
                    </w:rPr>
                    <w:t>ºC~</w:t>
                  </w:r>
                  <w:r>
                    <w:rPr>
                      <w:rFonts w:hint="eastAsia"/>
                      <w:b w:val="0"/>
                      <w:bCs w:val="0"/>
                      <w:color w:val="000000" w:themeColor="text1"/>
                      <w:sz w:val="21"/>
                      <w:szCs w:val="21"/>
                      <w:lang w:bidi="ar"/>
                      <w14:textFill>
                        <w14:solidFill>
                          <w14:schemeClr w14:val="tx1"/>
                        </w14:solidFill>
                      </w14:textFill>
                    </w:rPr>
                    <w:t>40</w:t>
                  </w:r>
                  <w:r>
                    <w:rPr>
                      <w:b w:val="0"/>
                      <w:bCs w:val="0"/>
                      <w:color w:val="000000" w:themeColor="text1"/>
                      <w:sz w:val="21"/>
                      <w:szCs w:val="21"/>
                      <w:lang w:bidi="ar"/>
                      <w14:textFill>
                        <w14:solidFill>
                          <w14:schemeClr w14:val="tx1"/>
                        </w14:solidFill>
                      </w14:textFill>
                    </w:rPr>
                    <w:t>ºC</w:t>
                  </w:r>
                </w:p>
              </w:tc>
            </w:tr>
            <w:tr w14:paraId="123E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4526099A">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5F4B406B">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64F34327">
                  <w:pPr>
                    <w:widowControl/>
                    <w:jc w:val="center"/>
                    <w:rPr>
                      <w:rFonts w:hint="eastAsia" w:ascii="宋体" w:hAnsi="宋体" w:cs="宋体"/>
                      <w:b w:val="0"/>
                      <w:bCs w:val="0"/>
                      <w:color w:val="000000" w:themeColor="text1"/>
                      <w:kern w:val="0"/>
                      <w:szCs w:val="21"/>
                      <w:lang w:bidi="ar"/>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生存温度（</w:t>
                  </w:r>
                  <w:r>
                    <w:rPr>
                      <w:b w:val="0"/>
                      <w:bCs w:val="0"/>
                      <w:color w:val="000000" w:themeColor="text1"/>
                      <w:kern w:val="0"/>
                      <w:szCs w:val="21"/>
                      <w:lang w:bidi="ar"/>
                      <w14:textFill>
                        <w14:solidFill>
                          <w14:schemeClr w14:val="tx1"/>
                        </w14:solidFill>
                      </w14:textFill>
                    </w:rPr>
                    <w:t>ºC</w:t>
                  </w:r>
                  <w:r>
                    <w:rPr>
                      <w:rFonts w:hint="eastAsia" w:ascii="宋体" w:hAnsi="宋体" w:cs="宋体"/>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636419CA">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r>
                    <w:rPr>
                      <w:rFonts w:hint="eastAsia"/>
                      <w:b w:val="0"/>
                      <w:bCs w:val="0"/>
                      <w:color w:val="000000" w:themeColor="text1"/>
                      <w:sz w:val="21"/>
                      <w:szCs w:val="21"/>
                      <w:lang w:val="en-US" w:eastAsia="zh-CN"/>
                      <w14:textFill>
                        <w14:solidFill>
                          <w14:schemeClr w14:val="tx1"/>
                        </w14:solidFill>
                      </w14:textFill>
                    </w:rPr>
                    <w:t>4</w:t>
                  </w:r>
                  <w:r>
                    <w:rPr>
                      <w:rFonts w:hint="eastAsia"/>
                      <w:b w:val="0"/>
                      <w:bCs w:val="0"/>
                      <w:color w:val="000000" w:themeColor="text1"/>
                      <w:sz w:val="21"/>
                      <w:szCs w:val="21"/>
                      <w14:textFill>
                        <w14:solidFill>
                          <w14:schemeClr w14:val="tx1"/>
                        </w14:solidFill>
                      </w14:textFill>
                    </w:rPr>
                    <w:t>0</w:t>
                  </w:r>
                  <w:r>
                    <w:rPr>
                      <w:b w:val="0"/>
                      <w:bCs w:val="0"/>
                      <w:color w:val="000000" w:themeColor="text1"/>
                      <w:sz w:val="21"/>
                      <w:szCs w:val="21"/>
                      <w:lang w:bidi="ar"/>
                      <w14:textFill>
                        <w14:solidFill>
                          <w14:schemeClr w14:val="tx1"/>
                        </w14:solidFill>
                      </w14:textFill>
                    </w:rPr>
                    <w:t>ºC~</w:t>
                  </w:r>
                  <w:r>
                    <w:rPr>
                      <w:rFonts w:hint="eastAsia"/>
                      <w:b w:val="0"/>
                      <w:bCs w:val="0"/>
                      <w:color w:val="000000" w:themeColor="text1"/>
                      <w:sz w:val="21"/>
                      <w:szCs w:val="21"/>
                      <w:lang w:bidi="ar"/>
                      <w14:textFill>
                        <w14:solidFill>
                          <w14:schemeClr w14:val="tx1"/>
                        </w14:solidFill>
                      </w14:textFill>
                    </w:rPr>
                    <w:t>50</w:t>
                  </w:r>
                  <w:r>
                    <w:rPr>
                      <w:b w:val="0"/>
                      <w:bCs w:val="0"/>
                      <w:color w:val="000000" w:themeColor="text1"/>
                      <w:sz w:val="21"/>
                      <w:szCs w:val="21"/>
                      <w:lang w:bidi="ar"/>
                      <w14:textFill>
                        <w14:solidFill>
                          <w14:schemeClr w14:val="tx1"/>
                        </w14:solidFill>
                      </w14:textFill>
                    </w:rPr>
                    <w:t>ºC</w:t>
                  </w:r>
                </w:p>
              </w:tc>
            </w:tr>
            <w:tr w14:paraId="201B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restart"/>
                  <w:vAlign w:val="center"/>
                </w:tcPr>
                <w:p w14:paraId="7A20C0F3">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w:t>
                  </w:r>
                </w:p>
              </w:tc>
              <w:tc>
                <w:tcPr>
                  <w:tcW w:w="1263" w:type="dxa"/>
                  <w:vMerge w:val="restart"/>
                  <w:shd w:val="clear" w:color="auto" w:fill="auto"/>
                  <w:vAlign w:val="center"/>
                </w:tcPr>
                <w:p w14:paraId="5597260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叶片</w:t>
                  </w:r>
                </w:p>
              </w:tc>
              <w:tc>
                <w:tcPr>
                  <w:tcW w:w="2811" w:type="dxa"/>
                  <w:shd w:val="clear" w:color="auto" w:fill="auto"/>
                  <w:vAlign w:val="center"/>
                </w:tcPr>
                <w:p w14:paraId="229BE9FD">
                  <w:pPr>
                    <w:widowControl/>
                    <w:jc w:val="center"/>
                    <w:rPr>
                      <w:b w:val="0"/>
                      <w:bCs w:val="0"/>
                      <w:color w:val="000000" w:themeColor="text1"/>
                      <w:kern w:val="0"/>
                      <w:szCs w:val="21"/>
                      <w:lang w:bidi="ar"/>
                      <w14:textFill>
                        <w14:solidFill>
                          <w14:schemeClr w14:val="tx1"/>
                        </w14:solidFill>
                      </w14:textFill>
                    </w:rPr>
                  </w:pPr>
                  <w:r>
                    <w:rPr>
                      <w:b w:val="0"/>
                      <w:bCs w:val="0"/>
                      <w:color w:val="000000" w:themeColor="text1"/>
                      <w:kern w:val="0"/>
                      <w:szCs w:val="21"/>
                      <w:lang w:bidi="ar"/>
                      <w14:textFill>
                        <w14:solidFill>
                          <w14:schemeClr w14:val="tx1"/>
                        </w14:solidFill>
                      </w14:textFill>
                    </w:rPr>
                    <w:t>叶片数</w:t>
                  </w:r>
                </w:p>
              </w:tc>
              <w:tc>
                <w:tcPr>
                  <w:tcW w:w="2968" w:type="dxa"/>
                  <w:shd w:val="clear" w:color="auto" w:fill="auto"/>
                  <w:vAlign w:val="center"/>
                </w:tcPr>
                <w:p w14:paraId="526C4EE6">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3</w:t>
                  </w:r>
                </w:p>
              </w:tc>
            </w:tr>
            <w:tr w14:paraId="5A4E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60A3D758">
                  <w:pPr>
                    <w:adjustRightInd w:val="0"/>
                    <w:snapToGrid w:val="0"/>
                    <w:jc w:val="center"/>
                    <w:rPr>
                      <w:b w:val="0"/>
                      <w:bCs w:val="0"/>
                      <w:color w:val="000000" w:themeColor="text1"/>
                      <w:szCs w:val="21"/>
                      <w14:textFill>
                        <w14:solidFill>
                          <w14:schemeClr w14:val="tx1"/>
                        </w14:solidFill>
                      </w14:textFill>
                    </w:rPr>
                  </w:pPr>
                </w:p>
              </w:tc>
              <w:tc>
                <w:tcPr>
                  <w:tcW w:w="1263" w:type="dxa"/>
                  <w:vMerge w:val="continue"/>
                  <w:shd w:val="clear" w:color="auto" w:fill="auto"/>
                  <w:vAlign w:val="center"/>
                </w:tcPr>
                <w:p w14:paraId="08893166">
                  <w:pPr>
                    <w:pStyle w:val="10"/>
                    <w:spacing w:after="0"/>
                    <w:ind w:left="0" w:leftChars="0"/>
                    <w:jc w:val="center"/>
                    <w:rPr>
                      <w:b w:val="0"/>
                      <w:bCs w:val="0"/>
                      <w:color w:val="000000" w:themeColor="text1"/>
                      <w:sz w:val="21"/>
                      <w:szCs w:val="21"/>
                      <w14:textFill>
                        <w14:solidFill>
                          <w14:schemeClr w14:val="tx1"/>
                        </w14:solidFill>
                      </w14:textFill>
                    </w:rPr>
                  </w:pPr>
                </w:p>
              </w:tc>
              <w:tc>
                <w:tcPr>
                  <w:tcW w:w="2811" w:type="dxa"/>
                  <w:shd w:val="clear" w:color="auto" w:fill="auto"/>
                  <w:vAlign w:val="center"/>
                </w:tcPr>
                <w:p w14:paraId="1238D526">
                  <w:pPr>
                    <w:widowControl/>
                    <w:jc w:val="center"/>
                    <w:rPr>
                      <w:b w:val="0"/>
                      <w:bCs w:val="0"/>
                      <w:color w:val="000000" w:themeColor="text1"/>
                      <w:kern w:val="0"/>
                      <w:szCs w:val="21"/>
                      <w:lang w:bidi="ar"/>
                      <w14:textFill>
                        <w14:solidFill>
                          <w14:schemeClr w14:val="tx1"/>
                        </w14:solidFill>
                      </w14:textFill>
                    </w:rPr>
                  </w:pPr>
                  <w:r>
                    <w:rPr>
                      <w:b w:val="0"/>
                      <w:bCs w:val="0"/>
                      <w:color w:val="000000" w:themeColor="text1"/>
                      <w:kern w:val="0"/>
                      <w:szCs w:val="21"/>
                      <w:lang w:bidi="ar"/>
                      <w14:textFill>
                        <w14:solidFill>
                          <w14:schemeClr w14:val="tx1"/>
                        </w14:solidFill>
                      </w14:textFill>
                    </w:rPr>
                    <w:t>扫风面积（m</w:t>
                  </w:r>
                  <w:r>
                    <w:rPr>
                      <w:b w:val="0"/>
                      <w:bCs w:val="0"/>
                      <w:color w:val="000000" w:themeColor="text1"/>
                      <w:kern w:val="0"/>
                      <w:szCs w:val="21"/>
                      <w:vertAlign w:val="superscript"/>
                      <w:lang w:bidi="ar"/>
                      <w14:textFill>
                        <w14:solidFill>
                          <w14:schemeClr w14:val="tx1"/>
                        </w14:solidFill>
                      </w14:textFill>
                    </w:rPr>
                    <w:t>2</w:t>
                  </w:r>
                  <w:r>
                    <w:rPr>
                      <w:b w:val="0"/>
                      <w:bCs w:val="0"/>
                      <w:color w:val="000000" w:themeColor="text1"/>
                      <w:kern w:val="0"/>
                      <w:szCs w:val="21"/>
                      <w:lang w:bidi="ar"/>
                      <w14:textFill>
                        <w14:solidFill>
                          <w14:schemeClr w14:val="tx1"/>
                        </w14:solidFill>
                      </w14:textFill>
                    </w:rPr>
                    <w:t>）</w:t>
                  </w:r>
                </w:p>
              </w:tc>
              <w:tc>
                <w:tcPr>
                  <w:tcW w:w="2968" w:type="dxa"/>
                  <w:shd w:val="clear" w:color="auto" w:fill="auto"/>
                  <w:vAlign w:val="center"/>
                </w:tcPr>
                <w:p w14:paraId="2955C409">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38013</w:t>
                  </w:r>
                </w:p>
              </w:tc>
            </w:tr>
            <w:tr w14:paraId="5637A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746A3CCC">
                  <w:pPr>
                    <w:adjustRightInd w:val="0"/>
                    <w:snapToGrid w:val="0"/>
                    <w:jc w:val="center"/>
                    <w:rPr>
                      <w:b w:val="0"/>
                      <w:bCs w:val="0"/>
                      <w:color w:val="000000" w:themeColor="text1"/>
                      <w:szCs w:val="21"/>
                      <w14:textFill>
                        <w14:solidFill>
                          <w14:schemeClr w14:val="tx1"/>
                        </w14:solidFill>
                      </w14:textFill>
                    </w:rPr>
                  </w:pPr>
                </w:p>
              </w:tc>
              <w:tc>
                <w:tcPr>
                  <w:tcW w:w="1263" w:type="dxa"/>
                  <w:vMerge w:val="continue"/>
                  <w:shd w:val="clear" w:color="auto" w:fill="auto"/>
                  <w:vAlign w:val="center"/>
                </w:tcPr>
                <w:p w14:paraId="0230C658">
                  <w:pPr>
                    <w:pStyle w:val="10"/>
                    <w:spacing w:after="0"/>
                    <w:ind w:left="0" w:leftChars="0"/>
                    <w:jc w:val="center"/>
                    <w:rPr>
                      <w:b w:val="0"/>
                      <w:bCs w:val="0"/>
                      <w:color w:val="000000" w:themeColor="text1"/>
                      <w:sz w:val="21"/>
                      <w:szCs w:val="21"/>
                      <w14:textFill>
                        <w14:solidFill>
                          <w14:schemeClr w14:val="tx1"/>
                        </w14:solidFill>
                      </w14:textFill>
                    </w:rPr>
                  </w:pPr>
                </w:p>
              </w:tc>
              <w:tc>
                <w:tcPr>
                  <w:tcW w:w="2811" w:type="dxa"/>
                  <w:shd w:val="clear" w:color="auto" w:fill="auto"/>
                  <w:vAlign w:val="center"/>
                </w:tcPr>
                <w:p w14:paraId="5608374B">
                  <w:pPr>
                    <w:widowControl/>
                    <w:jc w:val="center"/>
                    <w:rPr>
                      <w:rFonts w:ascii="Times New Roman" w:hAnsi="Times New Roman" w:eastAsia="宋体" w:cs="Times New Roman"/>
                      <w:b w:val="0"/>
                      <w:bCs w:val="0"/>
                      <w:color w:val="000000" w:themeColor="text1"/>
                      <w:kern w:val="0"/>
                      <w:sz w:val="21"/>
                      <w:szCs w:val="21"/>
                      <w:lang w:val="en-US" w:eastAsia="zh-CN" w:bidi="ar"/>
                      <w14:textFill>
                        <w14:solidFill>
                          <w14:schemeClr w14:val="tx1"/>
                        </w14:solidFill>
                      </w14:textFill>
                    </w:rPr>
                  </w:pPr>
                  <w:r>
                    <w:rPr>
                      <w:b w:val="0"/>
                      <w:bCs w:val="0"/>
                      <w:color w:val="000000" w:themeColor="text1"/>
                      <w:kern w:val="0"/>
                      <w:szCs w:val="21"/>
                      <w:lang w:bidi="ar"/>
                      <w14:textFill>
                        <w14:solidFill>
                          <w14:schemeClr w14:val="tx1"/>
                        </w14:solidFill>
                      </w14:textFill>
                    </w:rPr>
                    <w:t>叶片长度（m）</w:t>
                  </w:r>
                </w:p>
              </w:tc>
              <w:tc>
                <w:tcPr>
                  <w:tcW w:w="2968" w:type="dxa"/>
                  <w:shd w:val="clear" w:color="auto" w:fill="auto"/>
                  <w:vAlign w:val="center"/>
                </w:tcPr>
                <w:p w14:paraId="2046BC54">
                  <w:pPr>
                    <w:pStyle w:val="10"/>
                    <w:spacing w:after="0"/>
                    <w:ind w:left="0" w:left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110</w:t>
                  </w:r>
                </w:p>
              </w:tc>
            </w:tr>
            <w:tr w14:paraId="5D476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6F6D1AEB">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1228F4ED">
                  <w:pPr>
                    <w:adjustRightInd w:val="0"/>
                    <w:snapToGrid w:val="0"/>
                    <w:jc w:val="center"/>
                    <w:rPr>
                      <w:b w:val="0"/>
                      <w:bCs w:val="0"/>
                      <w:color w:val="000000" w:themeColor="text1"/>
                      <w:szCs w:val="21"/>
                      <w14:textFill>
                        <w14:solidFill>
                          <w14:schemeClr w14:val="tx1"/>
                        </w14:solidFill>
                      </w14:textFill>
                    </w:rPr>
                  </w:pPr>
                </w:p>
              </w:tc>
              <w:tc>
                <w:tcPr>
                  <w:tcW w:w="2811" w:type="dxa"/>
                  <w:shd w:val="clear" w:color="auto" w:fill="auto"/>
                  <w:vAlign w:val="center"/>
                </w:tcPr>
                <w:p w14:paraId="4848EA69">
                  <w:pPr>
                    <w:widowControl/>
                    <w:jc w:val="center"/>
                    <w:rPr>
                      <w:rFonts w:hint="default" w:eastAsia="宋体"/>
                      <w:b w:val="0"/>
                      <w:bCs w:val="0"/>
                      <w:color w:val="000000" w:themeColor="text1"/>
                      <w:kern w:val="0"/>
                      <w:szCs w:val="21"/>
                      <w:lang w:val="en-US" w:eastAsia="zh-CN" w:bidi="ar"/>
                      <w14:textFill>
                        <w14:solidFill>
                          <w14:schemeClr w14:val="tx1"/>
                        </w14:solidFill>
                      </w14:textFill>
                    </w:rPr>
                  </w:pPr>
                  <w:r>
                    <w:rPr>
                      <w:rFonts w:hint="eastAsia"/>
                      <w:b w:val="0"/>
                      <w:bCs w:val="0"/>
                      <w:color w:val="000000" w:themeColor="text1"/>
                      <w:kern w:val="0"/>
                      <w:szCs w:val="21"/>
                      <w:lang w:val="en-US" w:eastAsia="zh-CN" w:bidi="ar"/>
                      <w14:textFill>
                        <w14:solidFill>
                          <w14:schemeClr w14:val="tx1"/>
                        </w14:solidFill>
                      </w14:textFill>
                    </w:rPr>
                    <w:t>风轮转速（</w:t>
                  </w:r>
                  <w:r>
                    <w:rPr>
                      <w:rFonts w:hint="default"/>
                      <w:b w:val="0"/>
                      <w:bCs w:val="0"/>
                      <w:color w:val="000000" w:themeColor="text1"/>
                      <w:kern w:val="0"/>
                      <w:szCs w:val="21"/>
                      <w:lang w:val="en-US" w:eastAsia="zh-CN" w:bidi="ar"/>
                      <w14:textFill>
                        <w14:solidFill>
                          <w14:schemeClr w14:val="tx1"/>
                        </w14:solidFill>
                      </w14:textFill>
                    </w:rPr>
                    <w:t>rpm</w:t>
                  </w:r>
                  <w:r>
                    <w:rPr>
                      <w:rFonts w:hint="eastAsia"/>
                      <w:b w:val="0"/>
                      <w:bCs w:val="0"/>
                      <w:color w:val="000000" w:themeColor="text1"/>
                      <w:kern w:val="0"/>
                      <w:szCs w:val="21"/>
                      <w:lang w:val="en-US" w:eastAsia="zh-CN" w:bidi="ar"/>
                      <w14:textFill>
                        <w14:solidFill>
                          <w14:schemeClr w14:val="tx1"/>
                        </w14:solidFill>
                      </w14:textFill>
                    </w:rPr>
                    <w:t>）</w:t>
                  </w:r>
                </w:p>
              </w:tc>
              <w:tc>
                <w:tcPr>
                  <w:tcW w:w="2968" w:type="dxa"/>
                  <w:shd w:val="clear" w:color="auto" w:fill="auto"/>
                  <w:vAlign w:val="center"/>
                </w:tcPr>
                <w:p w14:paraId="30558E78">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default"/>
                      <w:b w:val="0"/>
                      <w:bCs w:val="0"/>
                      <w:color w:val="000000" w:themeColor="text1"/>
                      <w:sz w:val="21"/>
                      <w:szCs w:val="21"/>
                      <w:lang w:val="en-US" w:eastAsia="zh-CN"/>
                      <w14:textFill>
                        <w14:solidFill>
                          <w14:schemeClr w14:val="tx1"/>
                        </w14:solidFill>
                      </w14:textFill>
                    </w:rPr>
                    <w:t>6.5-10</w:t>
                  </w:r>
                </w:p>
              </w:tc>
            </w:tr>
            <w:tr w14:paraId="264C4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restart"/>
                  <w:vAlign w:val="center"/>
                </w:tcPr>
                <w:p w14:paraId="1653659F">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4</w:t>
                  </w:r>
                </w:p>
              </w:tc>
              <w:tc>
                <w:tcPr>
                  <w:tcW w:w="1263" w:type="dxa"/>
                  <w:vMerge w:val="restart"/>
                  <w:vAlign w:val="center"/>
                </w:tcPr>
                <w:p w14:paraId="186E49C6">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发电机</w:t>
                  </w:r>
                </w:p>
              </w:tc>
              <w:tc>
                <w:tcPr>
                  <w:tcW w:w="2811" w:type="dxa"/>
                  <w:vAlign w:val="center"/>
                </w:tcPr>
                <w:p w14:paraId="5A10EF92">
                  <w:pPr>
                    <w:adjustRightInd w:val="0"/>
                    <w:snapToGrid w:val="0"/>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制造类型</w:t>
                  </w:r>
                </w:p>
              </w:tc>
              <w:tc>
                <w:tcPr>
                  <w:tcW w:w="2968" w:type="dxa"/>
                  <w:vAlign w:val="center"/>
                </w:tcPr>
                <w:p w14:paraId="56C3882F">
                  <w:pPr>
                    <w:widowControl/>
                    <w:jc w:val="center"/>
                    <w:rPr>
                      <w:b w:val="0"/>
                      <w:bCs w:val="0"/>
                      <w:color w:val="000000" w:themeColor="text1"/>
                      <w:kern w:val="0"/>
                      <w:szCs w:val="21"/>
                      <w14:textFill>
                        <w14:solidFill>
                          <w14:schemeClr w14:val="tx1"/>
                        </w14:solidFill>
                      </w14:textFill>
                    </w:rPr>
                  </w:pPr>
                  <w:r>
                    <w:rPr>
                      <w:rFonts w:hint="eastAsia"/>
                      <w:b w:val="0"/>
                      <w:bCs w:val="0"/>
                      <w:color w:val="000000" w:themeColor="text1"/>
                      <w:kern w:val="0"/>
                      <w:szCs w:val="21"/>
                      <w14:textFill>
                        <w14:solidFill>
                          <w14:schemeClr w14:val="tx1"/>
                        </w14:solidFill>
                      </w14:textFill>
                    </w:rPr>
                    <w:t>双馈</w:t>
                  </w:r>
                </w:p>
              </w:tc>
            </w:tr>
            <w:tr w14:paraId="7FEE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58159FD8">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50A1F995">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70F0BA58">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额定功率（kW）</w:t>
                  </w:r>
                </w:p>
              </w:tc>
              <w:tc>
                <w:tcPr>
                  <w:tcW w:w="2968" w:type="dxa"/>
                  <w:vAlign w:val="center"/>
                </w:tcPr>
                <w:p w14:paraId="5E29AD6A">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5</w:t>
                  </w:r>
                  <w:r>
                    <w:rPr>
                      <w:rFonts w:hint="default"/>
                      <w:b w:val="0"/>
                      <w:bCs w:val="0"/>
                      <w:color w:val="000000" w:themeColor="text1"/>
                      <w:szCs w:val="21"/>
                      <w:lang w:val="en-US" w:eastAsia="zh-CN"/>
                      <w14:textFill>
                        <w14:solidFill>
                          <w14:schemeClr w14:val="tx1"/>
                        </w14:solidFill>
                      </w14:textFill>
                    </w:rPr>
                    <w:t>0</w:t>
                  </w:r>
                  <w:r>
                    <w:rPr>
                      <w:rFonts w:hint="eastAsia"/>
                      <w:b w:val="0"/>
                      <w:bCs w:val="0"/>
                      <w:color w:val="000000" w:themeColor="text1"/>
                      <w:szCs w:val="21"/>
                      <w:lang w:val="en-US" w:eastAsia="zh-CN"/>
                      <w14:textFill>
                        <w14:solidFill>
                          <w14:schemeClr w14:val="tx1"/>
                        </w14:solidFill>
                      </w14:textFill>
                    </w:rPr>
                    <w:t>0</w:t>
                  </w:r>
                  <w:r>
                    <w:rPr>
                      <w:rFonts w:hint="eastAsia"/>
                      <w:b w:val="0"/>
                      <w:bCs w:val="0"/>
                      <w:color w:val="000000" w:themeColor="text1"/>
                      <w:szCs w:val="21"/>
                      <w14:textFill>
                        <w14:solidFill>
                          <w14:schemeClr w14:val="tx1"/>
                        </w14:solidFill>
                      </w14:textFill>
                    </w:rPr>
                    <w:t>0</w:t>
                  </w:r>
                </w:p>
              </w:tc>
            </w:tr>
            <w:tr w14:paraId="2831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01A1A974">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31EE723A">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23A0DF8F">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额定电压（V）</w:t>
                  </w:r>
                </w:p>
              </w:tc>
              <w:tc>
                <w:tcPr>
                  <w:tcW w:w="2968" w:type="dxa"/>
                  <w:vAlign w:val="center"/>
                </w:tcPr>
                <w:p w14:paraId="6DAD30AC">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1140</w:t>
                  </w:r>
                </w:p>
              </w:tc>
            </w:tr>
            <w:tr w14:paraId="7A78C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02F6409F">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3C19C2D1">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4353A877">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防护等级</w:t>
                  </w:r>
                </w:p>
              </w:tc>
              <w:tc>
                <w:tcPr>
                  <w:tcW w:w="2968" w:type="dxa"/>
                  <w:vAlign w:val="center"/>
                </w:tcPr>
                <w:p w14:paraId="7B72B438">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IP54</w:t>
                  </w:r>
                </w:p>
              </w:tc>
            </w:tr>
            <w:tr w14:paraId="2157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restart"/>
                  <w:vAlign w:val="center"/>
                </w:tcPr>
                <w:p w14:paraId="0608DC2A">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5</w:t>
                  </w:r>
                </w:p>
              </w:tc>
              <w:tc>
                <w:tcPr>
                  <w:tcW w:w="1263" w:type="dxa"/>
                  <w:vMerge w:val="restart"/>
                  <w:vAlign w:val="center"/>
                </w:tcPr>
                <w:p w14:paraId="1CF2F753">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机舱和塔架</w:t>
                  </w:r>
                </w:p>
              </w:tc>
              <w:tc>
                <w:tcPr>
                  <w:tcW w:w="2811" w:type="dxa"/>
                  <w:vAlign w:val="center"/>
                </w:tcPr>
                <w:p w14:paraId="3006EA3E">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机舱（t）</w:t>
                  </w:r>
                </w:p>
              </w:tc>
              <w:tc>
                <w:tcPr>
                  <w:tcW w:w="2968" w:type="dxa"/>
                  <w:vAlign w:val="center"/>
                </w:tcPr>
                <w:p w14:paraId="1455241E">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14:textFill>
                        <w14:solidFill>
                          <w14:schemeClr w14:val="tx1"/>
                        </w14:solidFill>
                      </w14:textFill>
                    </w:rPr>
                    <w:t>1</w:t>
                  </w:r>
                  <w:r>
                    <w:rPr>
                      <w:rFonts w:hint="eastAsia"/>
                      <w:b w:val="0"/>
                      <w:bCs w:val="0"/>
                      <w:color w:val="000000" w:themeColor="text1"/>
                      <w:szCs w:val="21"/>
                      <w:lang w:val="en-US" w:eastAsia="zh-CN"/>
                      <w14:textFill>
                        <w14:solidFill>
                          <w14:schemeClr w14:val="tx1"/>
                        </w14:solidFill>
                      </w14:textFill>
                    </w:rPr>
                    <w:t>28</w:t>
                  </w:r>
                </w:p>
              </w:tc>
            </w:tr>
            <w:tr w14:paraId="7531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dxa"/>
                  <w:vMerge w:val="continue"/>
                  <w:vAlign w:val="center"/>
                </w:tcPr>
                <w:p w14:paraId="2E24EC2D">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59853D55">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678ECE8D">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叶片重量（t）</w:t>
                  </w:r>
                </w:p>
              </w:tc>
              <w:tc>
                <w:tcPr>
                  <w:tcW w:w="2968" w:type="dxa"/>
                  <w:vAlign w:val="center"/>
                </w:tcPr>
                <w:p w14:paraId="6C96EDE8">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108</w:t>
                  </w:r>
                </w:p>
              </w:tc>
            </w:tr>
            <w:tr w14:paraId="51DC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136CC26B">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4E6B4EEC">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05BF9B97">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轮毂重量（t）</w:t>
                  </w:r>
                </w:p>
              </w:tc>
              <w:tc>
                <w:tcPr>
                  <w:tcW w:w="2968" w:type="dxa"/>
                  <w:vAlign w:val="center"/>
                </w:tcPr>
                <w:p w14:paraId="22C099E4">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54</w:t>
                  </w:r>
                </w:p>
              </w:tc>
            </w:tr>
            <w:tr w14:paraId="184D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757" w:type="dxa"/>
                  <w:vMerge w:val="continue"/>
                  <w:vAlign w:val="center"/>
                </w:tcPr>
                <w:p w14:paraId="166D6D64">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7F0A5AB5">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4B46D999">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塔架高度（m）</w:t>
                  </w:r>
                </w:p>
              </w:tc>
              <w:tc>
                <w:tcPr>
                  <w:tcW w:w="2968" w:type="dxa"/>
                  <w:vAlign w:val="center"/>
                </w:tcPr>
                <w:p w14:paraId="7816A88E">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166</w:t>
                  </w:r>
                </w:p>
              </w:tc>
            </w:tr>
            <w:tr w14:paraId="7C60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757" w:type="dxa"/>
                  <w:vMerge w:val="continue"/>
                  <w:vAlign w:val="center"/>
                </w:tcPr>
                <w:p w14:paraId="6A341BF5">
                  <w:pPr>
                    <w:adjustRightInd w:val="0"/>
                    <w:snapToGrid w:val="0"/>
                    <w:jc w:val="center"/>
                    <w:rPr>
                      <w:b w:val="0"/>
                      <w:bCs w:val="0"/>
                      <w:color w:val="000000" w:themeColor="text1"/>
                      <w:szCs w:val="21"/>
                      <w14:textFill>
                        <w14:solidFill>
                          <w14:schemeClr w14:val="tx1"/>
                        </w14:solidFill>
                      </w14:textFill>
                    </w:rPr>
                  </w:pPr>
                </w:p>
              </w:tc>
              <w:tc>
                <w:tcPr>
                  <w:tcW w:w="1263" w:type="dxa"/>
                  <w:vMerge w:val="continue"/>
                  <w:vAlign w:val="center"/>
                </w:tcPr>
                <w:p w14:paraId="6C216A8E">
                  <w:pPr>
                    <w:adjustRightInd w:val="0"/>
                    <w:snapToGrid w:val="0"/>
                    <w:jc w:val="center"/>
                    <w:rPr>
                      <w:b w:val="0"/>
                      <w:bCs w:val="0"/>
                      <w:color w:val="000000" w:themeColor="text1"/>
                      <w:szCs w:val="21"/>
                      <w14:textFill>
                        <w14:solidFill>
                          <w14:schemeClr w14:val="tx1"/>
                        </w14:solidFill>
                      </w14:textFill>
                    </w:rPr>
                  </w:pPr>
                </w:p>
              </w:tc>
              <w:tc>
                <w:tcPr>
                  <w:tcW w:w="2811" w:type="dxa"/>
                  <w:vAlign w:val="center"/>
                </w:tcPr>
                <w:p w14:paraId="5901C0A5">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塔架型式</w:t>
                  </w:r>
                </w:p>
              </w:tc>
              <w:tc>
                <w:tcPr>
                  <w:tcW w:w="2968" w:type="dxa"/>
                  <w:vAlign w:val="center"/>
                </w:tcPr>
                <w:p w14:paraId="33486BE9">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钢混</w:t>
                  </w:r>
                </w:p>
              </w:tc>
            </w:tr>
          </w:tbl>
          <w:p w14:paraId="1E422DB3">
            <w:pPr>
              <w:pStyle w:val="10"/>
              <w:spacing w:after="0" w:line="360" w:lineRule="auto"/>
              <w:ind w:left="0" w:leftChars="0"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②风电场上网电量估算</w:t>
            </w:r>
          </w:p>
          <w:p w14:paraId="6BDFFFD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本项目风电场</w:t>
            </w:r>
            <w:r>
              <w:rPr>
                <w:rFonts w:hint="eastAsia"/>
                <w:color w:val="000000" w:themeColor="text1"/>
                <w:sz w:val="24"/>
                <w:lang w:val="en-US" w:eastAsia="zh-CN"/>
                <w14:textFill>
                  <w14:solidFill>
                    <w14:schemeClr w14:val="tx1"/>
                  </w14:solidFill>
                </w14:textFill>
              </w:rPr>
              <w:t>理论</w:t>
            </w:r>
            <w:r>
              <w:rPr>
                <w:rFonts w:hint="eastAsia"/>
                <w:color w:val="000000" w:themeColor="text1"/>
                <w:sz w:val="24"/>
                <w14:textFill>
                  <w14:solidFill>
                    <w14:schemeClr w14:val="tx1"/>
                  </w14:solidFill>
                </w14:textFill>
              </w:rPr>
              <w:t>发电量为124938.8MW·h，尾流影响为</w:t>
            </w:r>
            <w:r>
              <w:rPr>
                <w:rFonts w:hint="eastAsia"/>
                <w:color w:val="000000" w:themeColor="text1"/>
                <w:sz w:val="24"/>
                <w:lang w:val="en-US" w:eastAsia="zh-CN"/>
                <w14:textFill>
                  <w14:solidFill>
                    <w14:schemeClr w14:val="tx1"/>
                  </w14:solidFill>
                </w14:textFill>
              </w:rPr>
              <w:t>6.86</w:t>
            </w:r>
            <w:r>
              <w:rPr>
                <w:rFonts w:hint="eastAsia"/>
                <w:color w:val="000000" w:themeColor="text1"/>
                <w:sz w:val="24"/>
                <w14:textFill>
                  <w14:solidFill>
                    <w14:schemeClr w14:val="tx1"/>
                  </w14:solidFill>
                </w14:textFill>
              </w:rPr>
              <w:t>%。经过7</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%的综合折减系数修正，预计本风电场工程年上网电量为85493.2MW·h，年等效满负荷利用小时数1710h，容量系数为0.195。</w:t>
            </w:r>
          </w:p>
          <w:p w14:paraId="0B67F1A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③风机基础</w:t>
            </w:r>
          </w:p>
          <w:p w14:paraId="2DAEF71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a.桩基</w:t>
            </w:r>
          </w:p>
          <w:p w14:paraId="2C49787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风机基础拟采用直径Ф800mm灌注桩，有效桩长约为</w:t>
            </w:r>
            <w:r>
              <w:rPr>
                <w:rFonts w:hint="eastAsia"/>
                <w:color w:val="000000" w:themeColor="text1"/>
                <w:sz w:val="24"/>
                <w:lang w:val="en-US" w:eastAsia="zh-CN"/>
                <w14:textFill>
                  <w14:solidFill>
                    <w14:schemeClr w14:val="tx1"/>
                  </w14:solidFill>
                </w14:textFill>
              </w:rPr>
              <w:t>24</w:t>
            </w:r>
            <w:r>
              <w:rPr>
                <w:color w:val="000000" w:themeColor="text1"/>
                <w:sz w:val="24"/>
                <w14:textFill>
                  <w14:solidFill>
                    <w14:schemeClr w14:val="tx1"/>
                  </w14:solidFill>
                </w14:textFill>
              </w:rPr>
              <w:t>m（自基底标高起算），混凝土强度等级C30。</w:t>
            </w:r>
          </w:p>
          <w:p w14:paraId="199EF134">
            <w:pPr>
              <w:adjustRightInd w:val="0"/>
              <w:snapToGrid w:val="0"/>
              <w:spacing w:line="360" w:lineRule="auto"/>
              <w:ind w:firstLine="480" w:firstLineChars="200"/>
              <w:rPr>
                <w:rFonts w:hint="eastAsia"/>
                <w:color w:val="4F81BD" w:themeColor="accent1"/>
                <w:sz w:val="24"/>
                <w14:textFill>
                  <w14:solidFill>
                    <w14:schemeClr w14:val="accent1"/>
                  </w14:solidFill>
                </w14:textFill>
              </w:rPr>
            </w:pPr>
            <w:r>
              <w:rPr>
                <w:rFonts w:hint="eastAsia"/>
                <w:color w:val="000000" w:themeColor="text1"/>
                <w:sz w:val="24"/>
                <w14:textFill>
                  <w14:solidFill>
                    <w14:schemeClr w14:val="tx1"/>
                  </w14:solidFill>
                </w14:textFill>
              </w:rPr>
              <w:t>每个承台共布置预制管桩</w:t>
            </w:r>
            <w:r>
              <w:rPr>
                <w:rFonts w:hint="eastAsia"/>
                <w:color w:val="000000" w:themeColor="text1"/>
                <w:sz w:val="24"/>
                <w:lang w:val="en-US" w:eastAsia="zh-CN"/>
                <w14:textFill>
                  <w14:solidFill>
                    <w14:schemeClr w14:val="tx1"/>
                  </w14:solidFill>
                </w14:textFill>
              </w:rPr>
              <w:t>29</w:t>
            </w:r>
            <w:r>
              <w:rPr>
                <w:rFonts w:hint="eastAsia"/>
                <w:color w:val="000000" w:themeColor="text1"/>
                <w:sz w:val="24"/>
                <w14:textFill>
                  <w14:solidFill>
                    <w14:schemeClr w14:val="tx1"/>
                  </w14:solidFill>
                </w14:textFill>
              </w:rPr>
              <w:t>根，分2圈，外圈24根分布半径10.5m，内圈布置1</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根，分布半径7.3m。风机基础体型尺寸参数见表2-3，风机基础（桩基础）布置图见图2-1。</w:t>
            </w:r>
          </w:p>
          <w:p w14:paraId="5A7D8C14">
            <w:pPr>
              <w:adjustRightInd w:val="0"/>
              <w:snapToGrid w:val="0"/>
              <w:spacing w:line="360" w:lineRule="auto"/>
              <w:jc w:val="center"/>
            </w:pPr>
            <w:r>
              <w:drawing>
                <wp:inline distT="0" distB="0" distL="114300" distR="114300">
                  <wp:extent cx="4097655" cy="3042920"/>
                  <wp:effectExtent l="0" t="0" r="17145" b="508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a:stretch>
                            <a:fillRect/>
                          </a:stretch>
                        </pic:blipFill>
                        <pic:spPr>
                          <a:xfrm>
                            <a:off x="0" y="0"/>
                            <a:ext cx="4097655" cy="3042920"/>
                          </a:xfrm>
                          <a:prstGeom prst="rect">
                            <a:avLst/>
                          </a:prstGeom>
                          <a:noFill/>
                          <a:ln>
                            <a:noFill/>
                          </a:ln>
                        </pic:spPr>
                      </pic:pic>
                    </a:graphicData>
                  </a:graphic>
                </wp:inline>
              </w:drawing>
            </w:r>
          </w:p>
          <w:p w14:paraId="7F7AF32B">
            <w:pPr>
              <w:adjustRightInd w:val="0"/>
              <w:snapToGrid w:val="0"/>
              <w:spacing w:line="360" w:lineRule="auto"/>
              <w:jc w:val="center"/>
              <w:rPr>
                <w:rFonts w:hint="eastAsia"/>
                <w:color w:val="000000" w:themeColor="text1"/>
                <w14:textFill>
                  <w14:solidFill>
                    <w14:schemeClr w14:val="tx1"/>
                  </w14:solidFill>
                </w14:textFill>
              </w:rPr>
            </w:pPr>
            <w:r>
              <w:rPr>
                <w:rFonts w:hint="eastAsia"/>
                <w:b/>
                <w:bCs/>
                <w:color w:val="000000" w:themeColor="text1"/>
                <w:szCs w:val="21"/>
                <w14:textFill>
                  <w14:solidFill>
                    <w14:schemeClr w14:val="tx1"/>
                  </w14:solidFill>
                </w14:textFill>
              </w:rPr>
              <w:t>图2-1 风机基础桩基平面图</w:t>
            </w:r>
          </w:p>
          <w:p w14:paraId="0198236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b.单桩承载力特征值</w:t>
            </w:r>
          </w:p>
          <w:p w14:paraId="44939D4F">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拟估单桩竖向承载力特征值2400kN，单桩的抗拔承载力特征值500kN，水平承载力特征值300kN。</w:t>
            </w:r>
          </w:p>
          <w:p w14:paraId="6E06A694">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c.承台</w:t>
            </w:r>
          </w:p>
          <w:p w14:paraId="462F0A87">
            <w:pPr>
              <w:adjustRightInd w:val="0"/>
              <w:snapToGrid w:val="0"/>
              <w:spacing w:line="360" w:lineRule="auto"/>
              <w:ind w:firstLine="480" w:firstLineChars="200"/>
              <w:rPr>
                <w:rFonts w:hint="eastAsia"/>
                <w:b/>
                <w:bCs/>
                <w:color w:val="000000" w:themeColor="text1"/>
                <w:szCs w:val="21"/>
                <w14:textFill>
                  <w14:solidFill>
                    <w14:schemeClr w14:val="tx1"/>
                  </w14:solidFill>
                </w14:textFill>
              </w:rPr>
            </w:pPr>
            <w:r>
              <w:rPr>
                <w:rFonts w:hint="eastAsia"/>
                <w:color w:val="000000" w:themeColor="text1"/>
                <w:sz w:val="24"/>
                <w14:textFill>
                  <w14:solidFill>
                    <w14:schemeClr w14:val="tx1"/>
                  </w14:solidFill>
                </w14:textFill>
              </w:rPr>
              <w:t>拟定承台底部直径2</w:t>
            </w:r>
            <w:r>
              <w:rPr>
                <w:rFonts w:hint="eastAsia"/>
                <w:color w:val="000000" w:themeColor="text1"/>
                <w:sz w:val="24"/>
                <w:lang w:val="en-US" w:eastAsia="zh-CN"/>
                <w14:textFill>
                  <w14:solidFill>
                    <w14:schemeClr w14:val="tx1"/>
                  </w14:solidFill>
                </w14:textFill>
              </w:rPr>
              <w:t>2</w:t>
            </w:r>
            <w:r>
              <w:rPr>
                <w:rFonts w:hint="eastAsia"/>
                <w:color w:val="000000" w:themeColor="text1"/>
                <w:sz w:val="24"/>
                <w14:textFill>
                  <w14:solidFill>
                    <w14:schemeClr w14:val="tx1"/>
                  </w14:solidFill>
                </w14:textFill>
              </w:rPr>
              <w:t>.0m，总高5.2m；埋深2.</w:t>
            </w:r>
            <w:r>
              <w:rPr>
                <w:rFonts w:hint="eastAsia"/>
                <w:color w:val="000000" w:themeColor="text1"/>
                <w:sz w:val="24"/>
                <w:lang w:val="en-US" w:eastAsia="zh-CN"/>
                <w14:textFill>
                  <w14:solidFill>
                    <w14:schemeClr w14:val="tx1"/>
                  </w14:solidFill>
                </w14:textFill>
              </w:rPr>
              <w:t>8</w:t>
            </w:r>
            <w:r>
              <w:rPr>
                <w:rFonts w:hint="eastAsia"/>
                <w:color w:val="000000" w:themeColor="text1"/>
                <w:sz w:val="24"/>
                <w14:textFill>
                  <w14:solidFill>
                    <w14:schemeClr w14:val="tx1"/>
                  </w14:solidFill>
                </w14:textFill>
              </w:rPr>
              <w:t>m，地下室部分埋深4.8m，台柱直径12.8m，基础顶面露出地面场坪0.4m</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台柱直径12.8m，基础顶面露出地面场坪0.5m，采用C40混凝土。</w:t>
            </w:r>
          </w:p>
          <w:p w14:paraId="47B07102">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表2-3 风机</w:t>
            </w:r>
            <w:r>
              <w:rPr>
                <w:rFonts w:hint="eastAsia"/>
                <w:b w:val="0"/>
                <w:bCs w:val="0"/>
                <w:color w:val="000000" w:themeColor="text1"/>
                <w:szCs w:val="21"/>
                <w14:textFill>
                  <w14:solidFill>
                    <w14:schemeClr w14:val="tx1"/>
                  </w14:solidFill>
                </w14:textFill>
              </w:rPr>
              <w:t>基础体型尺寸表</w:t>
            </w:r>
          </w:p>
          <w:tbl>
            <w:tblPr>
              <w:tblStyle w:val="32"/>
              <w:tblW w:w="76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694"/>
              <w:gridCol w:w="1228"/>
              <w:gridCol w:w="2862"/>
            </w:tblGrid>
            <w:tr w14:paraId="4284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vAlign w:val="center"/>
                </w:tcPr>
                <w:p w14:paraId="56EC38C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2694" w:type="dxa"/>
                  <w:vAlign w:val="center"/>
                </w:tcPr>
                <w:p w14:paraId="3F4C4A4C">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项目</w:t>
                  </w:r>
                </w:p>
              </w:tc>
              <w:tc>
                <w:tcPr>
                  <w:tcW w:w="1228" w:type="dxa"/>
                  <w:vAlign w:val="center"/>
                </w:tcPr>
                <w:p w14:paraId="6CCB0B11">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单位</w:t>
                  </w:r>
                </w:p>
              </w:tc>
              <w:tc>
                <w:tcPr>
                  <w:tcW w:w="2862" w:type="dxa"/>
                  <w:vAlign w:val="center"/>
                </w:tcPr>
                <w:p w14:paraId="447473A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参数</w:t>
                  </w:r>
                </w:p>
              </w:tc>
            </w:tr>
            <w:tr w14:paraId="583C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7570396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2694" w:type="dxa"/>
                  <w:vAlign w:val="center"/>
                </w:tcPr>
                <w:p w14:paraId="6D583FFF">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圆形基础底面直径</w:t>
                  </w:r>
                  <w:r>
                    <w:rPr>
                      <w:b w:val="0"/>
                      <w:bCs w:val="0"/>
                      <w:color w:val="000000" w:themeColor="text1"/>
                      <w:kern w:val="0"/>
                      <w:szCs w:val="21"/>
                      <w:lang w:bidi="ar"/>
                      <w14:textFill>
                        <w14:solidFill>
                          <w14:schemeClr w14:val="tx1"/>
                        </w14:solidFill>
                      </w14:textFill>
                    </w:rPr>
                    <w:t>D</w:t>
                  </w:r>
                </w:p>
              </w:tc>
              <w:tc>
                <w:tcPr>
                  <w:tcW w:w="1228" w:type="dxa"/>
                  <w:vAlign w:val="center"/>
                </w:tcPr>
                <w:p w14:paraId="6D9C1065">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m</w:t>
                  </w:r>
                </w:p>
              </w:tc>
              <w:tc>
                <w:tcPr>
                  <w:tcW w:w="2862" w:type="dxa"/>
                  <w:vAlign w:val="center"/>
                </w:tcPr>
                <w:p w14:paraId="172DEF26">
                  <w:pPr>
                    <w:pStyle w:val="10"/>
                    <w:spacing w:after="0"/>
                    <w:ind w:left="0" w:leftChars="0"/>
                    <w:jc w:val="center"/>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r>
                    <w:rPr>
                      <w:rFonts w:hint="eastAsia"/>
                      <w:b w:val="0"/>
                      <w:bCs w:val="0"/>
                      <w:color w:val="000000" w:themeColor="text1"/>
                      <w:sz w:val="21"/>
                      <w:szCs w:val="21"/>
                      <w:lang w:val="en-US" w:eastAsia="zh-CN"/>
                      <w14:textFill>
                        <w14:solidFill>
                          <w14:schemeClr w14:val="tx1"/>
                        </w14:solidFill>
                      </w14:textFill>
                    </w:rPr>
                    <w:t>2</w:t>
                  </w:r>
                </w:p>
              </w:tc>
            </w:tr>
            <w:tr w14:paraId="2FFB8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1D588504">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p>
              </w:tc>
              <w:tc>
                <w:tcPr>
                  <w:tcW w:w="2694" w:type="dxa"/>
                  <w:vAlign w:val="center"/>
                </w:tcPr>
                <w:p w14:paraId="67F3A1D3">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基础圆台顶面半径为</w:t>
                  </w:r>
                  <w:r>
                    <w:rPr>
                      <w:b w:val="0"/>
                      <w:bCs w:val="0"/>
                      <w:color w:val="000000" w:themeColor="text1"/>
                      <w:kern w:val="0"/>
                      <w:szCs w:val="21"/>
                      <w:lang w:bidi="ar"/>
                      <w14:textFill>
                        <w14:solidFill>
                          <w14:schemeClr w14:val="tx1"/>
                        </w14:solidFill>
                      </w14:textFill>
                    </w:rPr>
                    <w:t>R1</w:t>
                  </w:r>
                </w:p>
              </w:tc>
              <w:tc>
                <w:tcPr>
                  <w:tcW w:w="1228" w:type="dxa"/>
                  <w:vAlign w:val="center"/>
                </w:tcPr>
                <w:p w14:paraId="0893FE69">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3093C50F">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6.4</w:t>
                  </w:r>
                </w:p>
              </w:tc>
            </w:tr>
            <w:tr w14:paraId="08217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602EBF3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3</w:t>
                  </w:r>
                </w:p>
              </w:tc>
              <w:tc>
                <w:tcPr>
                  <w:tcW w:w="2694" w:type="dxa"/>
                  <w:vAlign w:val="center"/>
                </w:tcPr>
                <w:p w14:paraId="7C698979">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基础上台柱半径为</w:t>
                  </w:r>
                  <w:r>
                    <w:rPr>
                      <w:b w:val="0"/>
                      <w:bCs w:val="0"/>
                      <w:color w:val="000000" w:themeColor="text1"/>
                      <w:kern w:val="0"/>
                      <w:szCs w:val="21"/>
                      <w:lang w:bidi="ar"/>
                      <w14:textFill>
                        <w14:solidFill>
                          <w14:schemeClr w14:val="tx1"/>
                        </w14:solidFill>
                      </w14:textFill>
                    </w:rPr>
                    <w:t>R</w:t>
                  </w:r>
                  <w:r>
                    <w:rPr>
                      <w:rFonts w:hint="eastAsia"/>
                      <w:b w:val="0"/>
                      <w:bCs w:val="0"/>
                      <w:color w:val="000000" w:themeColor="text1"/>
                      <w:kern w:val="0"/>
                      <w:szCs w:val="21"/>
                      <w:lang w:bidi="ar"/>
                      <w14:textFill>
                        <w14:solidFill>
                          <w14:schemeClr w14:val="tx1"/>
                        </w14:solidFill>
                      </w14:textFill>
                    </w:rPr>
                    <w:t>2</w:t>
                  </w:r>
                </w:p>
              </w:tc>
              <w:tc>
                <w:tcPr>
                  <w:tcW w:w="1228" w:type="dxa"/>
                  <w:vAlign w:val="center"/>
                </w:tcPr>
                <w:p w14:paraId="77CBDC84">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62D7B401">
                  <w:pPr>
                    <w:pStyle w:val="10"/>
                    <w:spacing w:after="0"/>
                    <w:ind w:left="0" w:leftChars="0"/>
                    <w:jc w:val="center"/>
                    <w:rPr>
                      <w:rFonts w:hint="default"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6.4</w:t>
                  </w:r>
                </w:p>
              </w:tc>
            </w:tr>
            <w:tr w14:paraId="6048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0680946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4</w:t>
                  </w:r>
                </w:p>
              </w:tc>
              <w:tc>
                <w:tcPr>
                  <w:tcW w:w="2694" w:type="dxa"/>
                  <w:vAlign w:val="center"/>
                </w:tcPr>
                <w:p w14:paraId="0DC8C9DF">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基础底板外缘高度</w:t>
                  </w:r>
                  <w:r>
                    <w:rPr>
                      <w:b w:val="0"/>
                      <w:bCs w:val="0"/>
                      <w:color w:val="000000" w:themeColor="text1"/>
                      <w:kern w:val="0"/>
                      <w:szCs w:val="21"/>
                      <w:lang w:bidi="ar"/>
                      <w14:textFill>
                        <w14:solidFill>
                          <w14:schemeClr w14:val="tx1"/>
                        </w14:solidFill>
                      </w14:textFill>
                    </w:rPr>
                    <w:t>H1</w:t>
                  </w:r>
                </w:p>
              </w:tc>
              <w:tc>
                <w:tcPr>
                  <w:tcW w:w="1228" w:type="dxa"/>
                  <w:vAlign w:val="center"/>
                </w:tcPr>
                <w:p w14:paraId="6AF51CD1">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585F6F97">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1.1</w:t>
                  </w:r>
                </w:p>
              </w:tc>
            </w:tr>
            <w:tr w14:paraId="3972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673292DD">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5</w:t>
                  </w:r>
                </w:p>
              </w:tc>
              <w:tc>
                <w:tcPr>
                  <w:tcW w:w="2694" w:type="dxa"/>
                  <w:vAlign w:val="center"/>
                </w:tcPr>
                <w:p w14:paraId="1A391CCD">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基础底板圆台高度</w:t>
                  </w:r>
                  <w:r>
                    <w:rPr>
                      <w:b w:val="0"/>
                      <w:bCs w:val="0"/>
                      <w:color w:val="000000" w:themeColor="text1"/>
                      <w:kern w:val="0"/>
                      <w:szCs w:val="21"/>
                      <w:lang w:bidi="ar"/>
                      <w14:textFill>
                        <w14:solidFill>
                          <w14:schemeClr w14:val="tx1"/>
                        </w14:solidFill>
                      </w14:textFill>
                    </w:rPr>
                    <w:t>H2</w:t>
                  </w:r>
                </w:p>
              </w:tc>
              <w:tc>
                <w:tcPr>
                  <w:tcW w:w="1228" w:type="dxa"/>
                  <w:vAlign w:val="center"/>
                </w:tcPr>
                <w:p w14:paraId="1C12A942">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12F41914">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1.2</w:t>
                  </w:r>
                </w:p>
              </w:tc>
            </w:tr>
            <w:tr w14:paraId="03FFA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vAlign w:val="center"/>
                </w:tcPr>
                <w:p w14:paraId="04656A3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6</w:t>
                  </w:r>
                </w:p>
              </w:tc>
              <w:tc>
                <w:tcPr>
                  <w:tcW w:w="2694" w:type="dxa"/>
                  <w:vAlign w:val="center"/>
                </w:tcPr>
                <w:p w14:paraId="41A77753">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台柱高度</w:t>
                  </w:r>
                  <w:r>
                    <w:rPr>
                      <w:b w:val="0"/>
                      <w:bCs w:val="0"/>
                      <w:color w:val="000000" w:themeColor="text1"/>
                      <w:kern w:val="0"/>
                      <w:szCs w:val="21"/>
                      <w:lang w:bidi="ar"/>
                      <w14:textFill>
                        <w14:solidFill>
                          <w14:schemeClr w14:val="tx1"/>
                        </w14:solidFill>
                      </w14:textFill>
                    </w:rPr>
                    <w:t>H3</w:t>
                  </w:r>
                </w:p>
              </w:tc>
              <w:tc>
                <w:tcPr>
                  <w:tcW w:w="1228" w:type="dxa"/>
                  <w:vAlign w:val="center"/>
                </w:tcPr>
                <w:p w14:paraId="5099745B">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2A11B2A8">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0.9</w:t>
                  </w:r>
                </w:p>
              </w:tc>
            </w:tr>
            <w:tr w14:paraId="6F6CF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vAlign w:val="center"/>
                </w:tcPr>
                <w:p w14:paraId="023FB78D">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7</w:t>
                  </w:r>
                </w:p>
              </w:tc>
              <w:tc>
                <w:tcPr>
                  <w:tcW w:w="2694" w:type="dxa"/>
                  <w:vAlign w:val="center"/>
                </w:tcPr>
                <w:p w14:paraId="61715025">
                  <w:pPr>
                    <w:widowControl/>
                    <w:jc w:val="center"/>
                    <w:rPr>
                      <w:rFonts w:hint="eastAsia" w:ascii="宋体" w:hAnsi="宋体" w:cs="宋体"/>
                      <w:b w:val="0"/>
                      <w:bCs w:val="0"/>
                      <w:color w:val="000000" w:themeColor="text1"/>
                      <w:kern w:val="0"/>
                      <w:szCs w:val="21"/>
                      <w:lang w:bidi="ar"/>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基础顶部空心半径</w:t>
                  </w:r>
                </w:p>
              </w:tc>
              <w:tc>
                <w:tcPr>
                  <w:tcW w:w="1228" w:type="dxa"/>
                  <w:vAlign w:val="center"/>
                </w:tcPr>
                <w:p w14:paraId="531C96ED">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0AD6D9C4">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4.1</w:t>
                  </w:r>
                </w:p>
              </w:tc>
            </w:tr>
            <w:tr w14:paraId="5FD7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vAlign w:val="center"/>
                </w:tcPr>
                <w:p w14:paraId="42FD6D7B">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8</w:t>
                  </w:r>
                </w:p>
              </w:tc>
              <w:tc>
                <w:tcPr>
                  <w:tcW w:w="2694" w:type="dxa"/>
                  <w:vAlign w:val="center"/>
                </w:tcPr>
                <w:p w14:paraId="0F5DF169">
                  <w:pPr>
                    <w:widowControl/>
                    <w:jc w:val="center"/>
                    <w:rPr>
                      <w:b w:val="0"/>
                      <w:bCs w:val="0"/>
                      <w:color w:val="000000" w:themeColor="text1"/>
                      <w:szCs w:val="21"/>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基础埋深</w:t>
                  </w:r>
                </w:p>
              </w:tc>
              <w:tc>
                <w:tcPr>
                  <w:tcW w:w="1228" w:type="dxa"/>
                  <w:vAlign w:val="center"/>
                </w:tcPr>
                <w:p w14:paraId="220307F0">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69543DE7">
                  <w:pPr>
                    <w:pStyle w:val="10"/>
                    <w:spacing w:after="0"/>
                    <w:ind w:left="0" w:leftChars="0"/>
                    <w:jc w:val="center"/>
                    <w:rPr>
                      <w:rFonts w:hint="eastAsia" w:eastAsia="宋体"/>
                      <w:b w:val="0"/>
                      <w:bCs w:val="0"/>
                      <w:color w:val="000000" w:themeColor="text1"/>
                      <w:sz w:val="21"/>
                      <w:szCs w:val="21"/>
                      <w:lang w:eastAsia="zh-CN"/>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r>
                    <w:rPr>
                      <w:rFonts w:hint="eastAsia"/>
                      <w:b w:val="0"/>
                      <w:bCs w:val="0"/>
                      <w:color w:val="000000" w:themeColor="text1"/>
                      <w:sz w:val="21"/>
                      <w:szCs w:val="21"/>
                      <w:lang w:val="en-US" w:eastAsia="zh-CN"/>
                      <w14:textFill>
                        <w14:solidFill>
                          <w14:schemeClr w14:val="tx1"/>
                        </w14:solidFill>
                      </w14:textFill>
                    </w:rPr>
                    <w:t>8</w:t>
                  </w:r>
                </w:p>
              </w:tc>
            </w:tr>
            <w:tr w14:paraId="796F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vAlign w:val="center"/>
                </w:tcPr>
                <w:p w14:paraId="72A8B152">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9</w:t>
                  </w:r>
                </w:p>
              </w:tc>
              <w:tc>
                <w:tcPr>
                  <w:tcW w:w="2694" w:type="dxa"/>
                  <w:vAlign w:val="center"/>
                </w:tcPr>
                <w:p w14:paraId="4CA78E39">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桩数</w:t>
                  </w:r>
                </w:p>
              </w:tc>
              <w:tc>
                <w:tcPr>
                  <w:tcW w:w="1228" w:type="dxa"/>
                  <w:vAlign w:val="center"/>
                </w:tcPr>
                <w:p w14:paraId="53080F3A">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个</w:t>
                  </w:r>
                </w:p>
              </w:tc>
              <w:tc>
                <w:tcPr>
                  <w:tcW w:w="2862" w:type="dxa"/>
                  <w:vAlign w:val="center"/>
                </w:tcPr>
                <w:p w14:paraId="773CFAD6">
                  <w:pPr>
                    <w:pStyle w:val="10"/>
                    <w:spacing w:after="0"/>
                    <w:ind w:left="0" w:leftChars="0"/>
                    <w:jc w:val="center"/>
                    <w:rPr>
                      <w:rFonts w:hint="eastAsia" w:eastAsia="宋体"/>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14:textFill>
                        <w14:solidFill>
                          <w14:schemeClr w14:val="tx1"/>
                        </w14:solidFill>
                      </w14:textFill>
                    </w:rPr>
                    <w:t>3</w:t>
                  </w:r>
                  <w:r>
                    <w:rPr>
                      <w:rFonts w:hint="eastAsia"/>
                      <w:b w:val="0"/>
                      <w:bCs w:val="0"/>
                      <w:color w:val="000000" w:themeColor="text1"/>
                      <w:sz w:val="21"/>
                      <w:szCs w:val="21"/>
                      <w:lang w:val="en-US" w:eastAsia="zh-CN"/>
                      <w14:textFill>
                        <w14:solidFill>
                          <w14:schemeClr w14:val="tx1"/>
                        </w14:solidFill>
                      </w14:textFill>
                    </w:rPr>
                    <w:t>9（内圈14、外圈25）</w:t>
                  </w:r>
                </w:p>
              </w:tc>
            </w:tr>
            <w:tr w14:paraId="48BC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dxa"/>
                  <w:shd w:val="clear" w:color="auto" w:fill="auto"/>
                  <w:vAlign w:val="center"/>
                </w:tcPr>
                <w:p w14:paraId="50BCF85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10</w:t>
                  </w:r>
                </w:p>
              </w:tc>
              <w:tc>
                <w:tcPr>
                  <w:tcW w:w="2694" w:type="dxa"/>
                  <w:vAlign w:val="center"/>
                </w:tcPr>
                <w:p w14:paraId="7C9140C8">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桩型号</w:t>
                  </w:r>
                </w:p>
              </w:tc>
              <w:tc>
                <w:tcPr>
                  <w:tcW w:w="1228" w:type="dxa"/>
                  <w:vAlign w:val="center"/>
                </w:tcPr>
                <w:p w14:paraId="6B6F248D">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21DA24A5">
                  <w:pPr>
                    <w:widowControl/>
                    <w:jc w:val="center"/>
                    <w:rPr>
                      <w:b w:val="0"/>
                      <w:bCs w:val="0"/>
                      <w:color w:val="000000" w:themeColor="text1"/>
                      <w:sz w:val="18"/>
                      <w:szCs w:val="18"/>
                      <w14:textFill>
                        <w14:solidFill>
                          <w14:schemeClr w14:val="tx1"/>
                        </w14:solidFill>
                      </w14:textFill>
                    </w:rPr>
                  </w:pPr>
                  <w:r>
                    <w:rPr>
                      <w:rFonts w:hint="eastAsia" w:ascii="宋体" w:hAnsi="宋体" w:cs="宋体"/>
                      <w:b w:val="0"/>
                      <w:bCs w:val="0"/>
                      <w:color w:val="000000" w:themeColor="text1"/>
                      <w:kern w:val="0"/>
                      <w:szCs w:val="21"/>
                      <w:lang w:bidi="ar"/>
                      <w14:textFill>
                        <w14:solidFill>
                          <w14:schemeClr w14:val="tx1"/>
                        </w14:solidFill>
                      </w14:textFill>
                    </w:rPr>
                    <w:t>直径</w:t>
                  </w:r>
                  <w:r>
                    <w:rPr>
                      <w:b w:val="0"/>
                      <w:bCs w:val="0"/>
                      <w:color w:val="000000" w:themeColor="text1"/>
                      <w:kern w:val="0"/>
                      <w:szCs w:val="21"/>
                      <w:lang w:bidi="ar"/>
                      <w14:textFill>
                        <w14:solidFill>
                          <w14:schemeClr w14:val="tx1"/>
                        </w14:solidFill>
                      </w14:textFill>
                    </w:rPr>
                    <w:t>0.8m</w:t>
                  </w:r>
                  <w:r>
                    <w:rPr>
                      <w:rFonts w:hint="eastAsia" w:ascii="宋体" w:hAnsi="宋体" w:cs="宋体"/>
                      <w:b w:val="0"/>
                      <w:bCs w:val="0"/>
                      <w:color w:val="000000" w:themeColor="text1"/>
                      <w:kern w:val="0"/>
                      <w:szCs w:val="21"/>
                      <w:lang w:bidi="ar"/>
                      <w14:textFill>
                        <w14:solidFill>
                          <w14:schemeClr w14:val="tx1"/>
                        </w14:solidFill>
                      </w14:textFill>
                    </w:rPr>
                    <w:t>扩底灌注桩</w:t>
                  </w:r>
                </w:p>
              </w:tc>
            </w:tr>
            <w:tr w14:paraId="7CDC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9" w:type="dxa"/>
                  <w:vAlign w:val="center"/>
                </w:tcPr>
                <w:p w14:paraId="035330D2">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11</w:t>
                  </w:r>
                </w:p>
              </w:tc>
              <w:tc>
                <w:tcPr>
                  <w:tcW w:w="2694" w:type="dxa"/>
                  <w:vAlign w:val="center"/>
                </w:tcPr>
                <w:p w14:paraId="2984AB34">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桩长</w:t>
                  </w:r>
                </w:p>
              </w:tc>
              <w:tc>
                <w:tcPr>
                  <w:tcW w:w="1228" w:type="dxa"/>
                  <w:vAlign w:val="center"/>
                </w:tcPr>
                <w:p w14:paraId="61A8A53C">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m</w:t>
                  </w:r>
                </w:p>
              </w:tc>
              <w:tc>
                <w:tcPr>
                  <w:tcW w:w="2862" w:type="dxa"/>
                  <w:vAlign w:val="center"/>
                </w:tcPr>
                <w:p w14:paraId="1DD7DA3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24</w:t>
                  </w:r>
                </w:p>
              </w:tc>
            </w:tr>
          </w:tbl>
          <w:p w14:paraId="2EA1A029">
            <w:pPr>
              <w:pStyle w:val="10"/>
              <w:spacing w:before="120" w:beforeLines="50" w:after="0"/>
              <w:ind w:left="0" w:leftChars="0"/>
              <w:jc w:val="center"/>
              <w:rPr>
                <w:color w:val="000000" w:themeColor="text1"/>
                <w:szCs w:val="24"/>
                <w14:textFill>
                  <w14:solidFill>
                    <w14:schemeClr w14:val="tx1"/>
                  </w14:solidFill>
                </w14:textFill>
              </w:rPr>
            </w:pPr>
            <w:r>
              <w:drawing>
                <wp:inline distT="0" distB="0" distL="114300" distR="114300">
                  <wp:extent cx="4960620" cy="2487930"/>
                  <wp:effectExtent l="0" t="0" r="17780" b="127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3"/>
                          <a:stretch>
                            <a:fillRect/>
                          </a:stretch>
                        </pic:blipFill>
                        <pic:spPr>
                          <a:xfrm>
                            <a:off x="0" y="0"/>
                            <a:ext cx="4960620" cy="2487930"/>
                          </a:xfrm>
                          <a:prstGeom prst="rect">
                            <a:avLst/>
                          </a:prstGeom>
                          <a:noFill/>
                          <a:ln>
                            <a:noFill/>
                          </a:ln>
                        </pic:spPr>
                      </pic:pic>
                    </a:graphicData>
                  </a:graphic>
                </wp:inline>
              </w:drawing>
            </w:r>
          </w:p>
          <w:p w14:paraId="098A1E70">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图2-</w:t>
            </w:r>
            <w:r>
              <w:rPr>
                <w:rFonts w:hint="eastAsia"/>
                <w:b/>
                <w:bCs/>
                <w:color w:val="000000" w:themeColor="text1"/>
                <w:szCs w:val="21"/>
                <w:lang w:val="en-US" w:eastAsia="zh-CN"/>
                <w14:textFill>
                  <w14:solidFill>
                    <w14:schemeClr w14:val="tx1"/>
                  </w14:solidFill>
                </w14:textFill>
              </w:rPr>
              <w:t>2</w:t>
            </w:r>
            <w:r>
              <w:rPr>
                <w:rFonts w:hint="eastAsia"/>
                <w:b/>
                <w:bCs/>
                <w:color w:val="000000" w:themeColor="text1"/>
                <w:szCs w:val="21"/>
                <w14:textFill>
                  <w14:solidFill>
                    <w14:schemeClr w14:val="tx1"/>
                  </w14:solidFill>
                </w14:textFill>
              </w:rPr>
              <w:t xml:space="preserve"> 风机</w:t>
            </w:r>
            <w:r>
              <w:rPr>
                <w:rFonts w:hint="eastAsia"/>
                <w:b/>
                <w:bCs/>
                <w:color w:val="000000" w:themeColor="text1"/>
                <w:szCs w:val="21"/>
                <w:lang w:val="en-US" w:eastAsia="zh-CN"/>
                <w14:textFill>
                  <w14:solidFill>
                    <w14:schemeClr w14:val="tx1"/>
                  </w14:solidFill>
                </w14:textFill>
              </w:rPr>
              <w:t>承台</w:t>
            </w:r>
            <w:r>
              <w:rPr>
                <w:rFonts w:hint="eastAsia"/>
                <w:b/>
                <w:bCs/>
                <w:color w:val="000000" w:themeColor="text1"/>
                <w:szCs w:val="21"/>
                <w14:textFill>
                  <w14:solidFill>
                    <w14:schemeClr w14:val="tx1"/>
                  </w14:solidFill>
                </w14:textFill>
              </w:rPr>
              <w:t>基平面图</w:t>
            </w:r>
          </w:p>
          <w:p w14:paraId="12BE647D">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4、辅助工程</w:t>
            </w:r>
          </w:p>
          <w:p w14:paraId="2D21D2EC">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1 \* GB2 \* MERGEFORMAT </w:instrText>
            </w:r>
            <w:r>
              <w:rPr>
                <w:rFonts w:hint="eastAsia"/>
                <w:color w:val="000000" w:themeColor="text1"/>
                <w:sz w:val="24"/>
                <w14:textFill>
                  <w14:solidFill>
                    <w14:schemeClr w14:val="tx1"/>
                  </w14:solidFill>
                </w14:textFill>
              </w:rPr>
              <w:fldChar w:fldCharType="separate"/>
            </w:r>
            <w:r>
              <w:t>⑴</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箱式变</w:t>
            </w:r>
          </w:p>
          <w:p w14:paraId="05A57477">
            <w:pPr>
              <w:pStyle w:val="10"/>
              <w:spacing w:after="0" w:line="360" w:lineRule="auto"/>
              <w:ind w:left="0" w:leftChars="0"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本风电场每台风电机组配置一台配套的油浸式箱式变电站，箱式变电站总计</w:t>
            </w:r>
            <w:r>
              <w:rPr>
                <w:rFonts w:hint="eastAsia"/>
                <w:color w:val="000000" w:themeColor="text1"/>
                <w:szCs w:val="24"/>
                <w:lang w:val="en-US" w:eastAsia="zh-CN"/>
                <w14:textFill>
                  <w14:solidFill>
                    <w14:schemeClr w14:val="tx1"/>
                  </w14:solidFill>
                </w14:textFill>
              </w:rPr>
              <w:t>10</w:t>
            </w:r>
            <w:r>
              <w:rPr>
                <w:color w:val="000000" w:themeColor="text1"/>
                <w:szCs w:val="24"/>
                <w14:textFill>
                  <w14:solidFill>
                    <w14:schemeClr w14:val="tx1"/>
                  </w14:solidFill>
                </w14:textFill>
              </w:rPr>
              <w:t>台</w:t>
            </w:r>
            <w:r>
              <w:rPr>
                <w:rFonts w:hint="eastAsia"/>
                <w:color w:val="000000" w:themeColor="text1"/>
                <w:szCs w:val="24"/>
                <w14:textFill>
                  <w14:solidFill>
                    <w14:schemeClr w14:val="tx1"/>
                  </w14:solidFill>
                </w14:textFill>
              </w:rPr>
              <w:t>，</w:t>
            </w:r>
            <w:r>
              <w:rPr>
                <w:color w:val="000000" w:themeColor="text1"/>
                <w:szCs w:val="24"/>
                <w14:textFill>
                  <w14:solidFill>
                    <w14:schemeClr w14:val="tx1"/>
                  </w14:solidFill>
                </w14:textFill>
              </w:rPr>
              <w:t>箱式变内主变压器选用油浸式三相双卷自冷式升压变压器</w:t>
            </w:r>
            <w:r>
              <w:rPr>
                <w:rFonts w:hint="eastAsia"/>
                <w:color w:val="000000" w:themeColor="text1"/>
                <w:szCs w:val="24"/>
                <w14:textFill>
                  <w14:solidFill>
                    <w14:schemeClr w14:val="tx1"/>
                  </w14:solidFill>
                </w14:textFill>
              </w:rPr>
              <w:t>，</w:t>
            </w:r>
          </w:p>
          <w:p w14:paraId="3771ACB5">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箱变基础放置在风机承台基础边缘以外大约</w:t>
            </w:r>
            <w:r>
              <w:rPr>
                <w:rFonts w:hint="eastAsia"/>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m范围内，指向上塔方向。箱变和塔筒之间不设置防火墙，箱变独立布置。</w:t>
            </w:r>
          </w:p>
          <w:p w14:paraId="7AC5D2E7">
            <w:pPr>
              <w:pStyle w:val="10"/>
              <w:spacing w:after="0" w:line="360" w:lineRule="auto"/>
              <w:ind w:left="0" w:leftChars="0"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箱变基础采用箱型基础，底板直接为承台悬挑翼板，四面为封闭钢筋混凝土板墙，墙体竖向钢筋锚入风机基础承台翼板内35d。箱变</w:t>
            </w:r>
            <w:r>
              <w:rPr>
                <w:rFonts w:ascii="宋体" w:hAnsi="宋体" w:eastAsia="宋体" w:cs="宋体"/>
                <w:color w:val="auto"/>
                <w:spacing w:val="-3"/>
                <w:sz w:val="24"/>
                <w:szCs w:val="24"/>
              </w:rPr>
              <w:t>基础埋深约</w:t>
            </w:r>
            <w:r>
              <w:rPr>
                <w:rFonts w:ascii="Times New Roman" w:hAnsi="Times New Roman" w:eastAsia="Times New Roman" w:cs="Times New Roman"/>
                <w:color w:val="auto"/>
                <w:spacing w:val="-3"/>
                <w:sz w:val="24"/>
                <w:szCs w:val="24"/>
              </w:rPr>
              <w:t>1.8</w:t>
            </w:r>
            <w:r>
              <w:rPr>
                <w:rFonts w:ascii="宋体" w:hAnsi="宋体" w:eastAsia="宋体" w:cs="宋体"/>
                <w:color w:val="auto"/>
                <w:spacing w:val="-4"/>
                <w:sz w:val="24"/>
                <w:szCs w:val="24"/>
              </w:rPr>
              <w:t>米，</w:t>
            </w:r>
            <w:r>
              <w:rPr>
                <w:color w:val="auto"/>
                <w:sz w:val="24"/>
              </w:rPr>
              <w:t>露出地面不小于0.6m</w:t>
            </w:r>
            <w:r>
              <w:rPr>
                <w:rFonts w:hint="eastAsia"/>
                <w:color w:val="auto"/>
                <w:sz w:val="24"/>
              </w:rPr>
              <w:t>，</w:t>
            </w:r>
            <w:r>
              <w:rPr>
                <w:color w:val="auto"/>
                <w:sz w:val="24"/>
              </w:rPr>
              <w:t>设置通风百叶窗。箱变周围沿着散热器片和</w:t>
            </w:r>
            <w:r>
              <w:rPr>
                <w:color w:val="000000" w:themeColor="text1"/>
                <w:sz w:val="24"/>
                <w14:textFill>
                  <w14:solidFill>
                    <w14:schemeClr w14:val="tx1"/>
                  </w14:solidFill>
                </w14:textFill>
              </w:rPr>
              <w:t>放油阀门设置储油池，池顶部设置卵石层，底部净空间满足不超过3</w:t>
            </w:r>
            <w:r>
              <w:rPr>
                <w:rFonts w:hint="default"/>
                <w:color w:val="000000" w:themeColor="text1"/>
                <w:sz w:val="24"/>
                <w:lang w:val="en-US"/>
                <w14:textFill>
                  <w14:solidFill>
                    <w14:schemeClr w14:val="tx1"/>
                  </w14:solidFill>
                </w14:textFill>
              </w:rPr>
              <w:t>m</w:t>
            </w:r>
            <w:r>
              <w:rPr>
                <w:rFonts w:hint="default"/>
                <w:color w:val="000000" w:themeColor="text1"/>
                <w:sz w:val="24"/>
                <w:vertAlign w:val="superscript"/>
                <w:lang w:val="en-US"/>
                <w14:textFill>
                  <w14:solidFill>
                    <w14:schemeClr w14:val="tx1"/>
                  </w14:solidFill>
                </w14:textFill>
              </w:rPr>
              <w:t>3</w:t>
            </w:r>
            <w:r>
              <w:rPr>
                <w:color w:val="000000" w:themeColor="text1"/>
                <w:sz w:val="24"/>
                <w14:textFill>
                  <w14:solidFill>
                    <w14:schemeClr w14:val="tx1"/>
                  </w14:solidFill>
                </w14:textFill>
              </w:rPr>
              <w:t>的油量储存要求。</w:t>
            </w:r>
            <w:r>
              <w:rPr>
                <w:rFonts w:hint="eastAsia"/>
                <w:color w:val="000000" w:themeColor="text1"/>
                <w:szCs w:val="24"/>
                <w14:textFill>
                  <w14:solidFill>
                    <w14:schemeClr w14:val="tx1"/>
                  </w14:solidFill>
                </w14:textFill>
              </w:rPr>
              <w:t>项目</w:t>
            </w:r>
            <w:r>
              <w:rPr>
                <w:color w:val="000000" w:themeColor="text1"/>
                <w:szCs w:val="24"/>
                <w14:textFill>
                  <w14:solidFill>
                    <w14:schemeClr w14:val="tx1"/>
                  </w14:solidFill>
                </w14:textFill>
              </w:rPr>
              <w:t>箱式变压器主要参数见表2-</w:t>
            </w:r>
            <w:r>
              <w:rPr>
                <w:rFonts w:hint="eastAsia"/>
                <w:color w:val="000000" w:themeColor="text1"/>
                <w:szCs w:val="24"/>
                <w14:textFill>
                  <w14:solidFill>
                    <w14:schemeClr w14:val="tx1"/>
                  </w14:solidFill>
                </w14:textFill>
              </w:rPr>
              <w:t>4。</w:t>
            </w:r>
          </w:p>
          <w:p w14:paraId="5F023BB6">
            <w:pPr>
              <w:adjustRightInd w:val="0"/>
              <w:snapToGrid w:val="0"/>
              <w:jc w:val="center"/>
              <w:rPr>
                <w:rFonts w:hint="eastAsia"/>
                <w:b/>
                <w:bCs/>
                <w:color w:val="000000" w:themeColor="text1"/>
                <w:szCs w:val="21"/>
                <w14:textFill>
                  <w14:solidFill>
                    <w14:schemeClr w14:val="tx1"/>
                  </w14:solidFill>
                </w14:textFill>
              </w:rPr>
            </w:pPr>
          </w:p>
          <w:p w14:paraId="2EA1C7FD">
            <w:pPr>
              <w:adjustRightInd w:val="0"/>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表2-4 箱式变技术参数一览表</w:t>
            </w:r>
          </w:p>
          <w:tbl>
            <w:tblPr>
              <w:tblStyle w:val="32"/>
              <w:tblW w:w="7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2299"/>
              <w:gridCol w:w="1649"/>
              <w:gridCol w:w="2635"/>
            </w:tblGrid>
            <w:tr w14:paraId="520F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0F820323">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2299" w:type="dxa"/>
                  <w:vAlign w:val="center"/>
                </w:tcPr>
                <w:p w14:paraId="09BF2179">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项目</w:t>
                  </w:r>
                </w:p>
              </w:tc>
              <w:tc>
                <w:tcPr>
                  <w:tcW w:w="1649" w:type="dxa"/>
                  <w:vAlign w:val="center"/>
                </w:tcPr>
                <w:p w14:paraId="0473C493">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单位</w:t>
                  </w:r>
                </w:p>
              </w:tc>
              <w:tc>
                <w:tcPr>
                  <w:tcW w:w="2635" w:type="dxa"/>
                  <w:vAlign w:val="center"/>
                </w:tcPr>
                <w:p w14:paraId="6848F5EB">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参数</w:t>
                  </w:r>
                </w:p>
              </w:tc>
            </w:tr>
            <w:tr w14:paraId="358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2C2E1A42">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2299" w:type="dxa"/>
                  <w:vAlign w:val="center"/>
                </w:tcPr>
                <w:p w14:paraId="7FB2210D">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型号</w:t>
                  </w:r>
                </w:p>
              </w:tc>
              <w:tc>
                <w:tcPr>
                  <w:tcW w:w="1649" w:type="dxa"/>
                  <w:vAlign w:val="center"/>
                </w:tcPr>
                <w:p w14:paraId="6FAAF012">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w:t>
                  </w:r>
                </w:p>
              </w:tc>
              <w:tc>
                <w:tcPr>
                  <w:tcW w:w="2635" w:type="dxa"/>
                  <w:vAlign w:val="center"/>
                </w:tcPr>
                <w:p w14:paraId="0BC8E897">
                  <w:pPr>
                    <w:widowControl/>
                    <w:jc w:val="center"/>
                    <w:rPr>
                      <w:b w:val="0"/>
                      <w:bCs w:val="0"/>
                      <w:color w:val="000000" w:themeColor="text1"/>
                      <w:szCs w:val="21"/>
                      <w14:textFill>
                        <w14:solidFill>
                          <w14:schemeClr w14:val="tx1"/>
                        </w14:solidFill>
                      </w14:textFill>
                    </w:rPr>
                  </w:pPr>
                  <w:r>
                    <w:rPr>
                      <w:b w:val="0"/>
                      <w:bCs w:val="0"/>
                      <w:color w:val="000000" w:themeColor="text1"/>
                      <w:kern w:val="0"/>
                      <w:szCs w:val="21"/>
                      <w:lang w:bidi="ar"/>
                      <w14:textFill>
                        <w14:solidFill>
                          <w14:schemeClr w14:val="tx1"/>
                        </w14:solidFill>
                      </w14:textFill>
                    </w:rPr>
                    <w:t>S1</w:t>
                  </w:r>
                  <w:r>
                    <w:rPr>
                      <w:rFonts w:hint="eastAsia"/>
                      <w:b w:val="0"/>
                      <w:bCs w:val="0"/>
                      <w:color w:val="000000" w:themeColor="text1"/>
                      <w:kern w:val="0"/>
                      <w:szCs w:val="21"/>
                      <w:lang w:val="en-US" w:eastAsia="zh-CN" w:bidi="ar"/>
                      <w14:textFill>
                        <w14:solidFill>
                          <w14:schemeClr w14:val="tx1"/>
                        </w14:solidFill>
                      </w14:textFill>
                    </w:rPr>
                    <w:t>1</w:t>
                  </w:r>
                  <w:r>
                    <w:rPr>
                      <w:b w:val="0"/>
                      <w:bCs w:val="0"/>
                      <w:color w:val="000000" w:themeColor="text1"/>
                      <w:kern w:val="0"/>
                      <w:szCs w:val="21"/>
                      <w:lang w:bidi="ar"/>
                      <w14:textFill>
                        <w14:solidFill>
                          <w14:schemeClr w14:val="tx1"/>
                        </w14:solidFill>
                      </w14:textFill>
                    </w:rPr>
                    <w:t>-</w:t>
                  </w:r>
                  <w:r>
                    <w:rPr>
                      <w:rFonts w:hint="eastAsia"/>
                      <w:b w:val="0"/>
                      <w:bCs w:val="0"/>
                      <w:color w:val="000000" w:themeColor="text1"/>
                      <w:kern w:val="0"/>
                      <w:szCs w:val="21"/>
                      <w:lang w:val="en-US" w:eastAsia="zh-CN" w:bidi="ar"/>
                      <w14:textFill>
                        <w14:solidFill>
                          <w14:schemeClr w14:val="tx1"/>
                        </w14:solidFill>
                      </w14:textFill>
                    </w:rPr>
                    <w:t>5500</w:t>
                  </w:r>
                  <w:r>
                    <w:rPr>
                      <w:b w:val="0"/>
                      <w:bCs w:val="0"/>
                      <w:color w:val="000000" w:themeColor="text1"/>
                      <w:kern w:val="0"/>
                      <w:szCs w:val="21"/>
                      <w:lang w:bidi="ar"/>
                      <w14:textFill>
                        <w14:solidFill>
                          <w14:schemeClr w14:val="tx1"/>
                        </w14:solidFill>
                      </w14:textFill>
                    </w:rPr>
                    <w:t>/35</w:t>
                  </w:r>
                </w:p>
              </w:tc>
            </w:tr>
            <w:tr w14:paraId="081A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612DFD65">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p>
              </w:tc>
              <w:tc>
                <w:tcPr>
                  <w:tcW w:w="2299" w:type="dxa"/>
                  <w:vAlign w:val="center"/>
                </w:tcPr>
                <w:p w14:paraId="3C5EF305">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额定容量</w:t>
                  </w:r>
                </w:p>
              </w:tc>
              <w:tc>
                <w:tcPr>
                  <w:tcW w:w="1649" w:type="dxa"/>
                  <w:vAlign w:val="center"/>
                </w:tcPr>
                <w:p w14:paraId="219DCCCD">
                  <w:pPr>
                    <w:jc w:val="center"/>
                    <w:rPr>
                      <w:b w:val="0"/>
                      <w:bCs w:val="0"/>
                      <w:color w:val="000000" w:themeColor="text1"/>
                      <w:szCs w:val="21"/>
                      <w14:textFill>
                        <w14:solidFill>
                          <w14:schemeClr w14:val="tx1"/>
                        </w14:solidFill>
                      </w14:textFill>
                    </w:rPr>
                  </w:pPr>
                  <w:r>
                    <w:rPr>
                      <w:b w:val="0"/>
                      <w:bCs w:val="0"/>
                      <w:color w:val="000000" w:themeColor="text1"/>
                      <w:kern w:val="0"/>
                      <w:szCs w:val="21"/>
                      <w:lang w:bidi="ar"/>
                      <w14:textFill>
                        <w14:solidFill>
                          <w14:schemeClr w14:val="tx1"/>
                        </w14:solidFill>
                      </w14:textFill>
                    </w:rPr>
                    <w:t>kVA</w:t>
                  </w:r>
                </w:p>
              </w:tc>
              <w:tc>
                <w:tcPr>
                  <w:tcW w:w="2635" w:type="dxa"/>
                  <w:vAlign w:val="center"/>
                </w:tcPr>
                <w:p w14:paraId="3DC6A0FA">
                  <w:pPr>
                    <w:widowControl/>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kern w:val="0"/>
                      <w:szCs w:val="21"/>
                      <w:lang w:val="en-US" w:eastAsia="zh-CN" w:bidi="ar"/>
                      <w14:textFill>
                        <w14:solidFill>
                          <w14:schemeClr w14:val="tx1"/>
                        </w14:solidFill>
                      </w14:textFill>
                    </w:rPr>
                    <w:t>5500</w:t>
                  </w:r>
                </w:p>
              </w:tc>
            </w:tr>
            <w:tr w14:paraId="398A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763ED925">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3</w:t>
                  </w:r>
                </w:p>
              </w:tc>
              <w:tc>
                <w:tcPr>
                  <w:tcW w:w="2299" w:type="dxa"/>
                  <w:vAlign w:val="center"/>
                </w:tcPr>
                <w:p w14:paraId="641D5F11">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额定电压</w:t>
                  </w:r>
                </w:p>
              </w:tc>
              <w:tc>
                <w:tcPr>
                  <w:tcW w:w="1649" w:type="dxa"/>
                  <w:vAlign w:val="center"/>
                </w:tcPr>
                <w:p w14:paraId="55D50E7A">
                  <w:pPr>
                    <w:jc w:val="center"/>
                    <w:rPr>
                      <w:b w:val="0"/>
                      <w:bCs w:val="0"/>
                      <w:color w:val="000000" w:themeColor="text1"/>
                      <w:szCs w:val="21"/>
                      <w14:textFill>
                        <w14:solidFill>
                          <w14:schemeClr w14:val="tx1"/>
                        </w14:solidFill>
                      </w14:textFill>
                    </w:rPr>
                  </w:pPr>
                  <w:r>
                    <w:rPr>
                      <w:b w:val="0"/>
                      <w:bCs w:val="0"/>
                      <w:color w:val="000000" w:themeColor="text1"/>
                      <w:kern w:val="0"/>
                      <w:szCs w:val="21"/>
                      <w:lang w:bidi="ar"/>
                      <w14:textFill>
                        <w14:solidFill>
                          <w14:schemeClr w14:val="tx1"/>
                        </w14:solidFill>
                      </w14:textFill>
                    </w:rPr>
                    <w:t>kV</w:t>
                  </w:r>
                </w:p>
              </w:tc>
              <w:tc>
                <w:tcPr>
                  <w:tcW w:w="2635" w:type="dxa"/>
                  <w:vAlign w:val="center"/>
                </w:tcPr>
                <w:p w14:paraId="69994F76">
                  <w:pPr>
                    <w:widowControl/>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kern w:val="0"/>
                      <w:szCs w:val="21"/>
                      <w:lang w:val="en-US" w:eastAsia="zh-CN" w:bidi="ar"/>
                      <w14:textFill>
                        <w14:solidFill>
                          <w14:schemeClr w14:val="tx1"/>
                        </w14:solidFill>
                      </w14:textFill>
                    </w:rPr>
                    <w:t>37/1.14</w:t>
                  </w:r>
                </w:p>
              </w:tc>
            </w:tr>
            <w:tr w14:paraId="58ED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08B98E11">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4</w:t>
                  </w:r>
                </w:p>
              </w:tc>
              <w:tc>
                <w:tcPr>
                  <w:tcW w:w="2299" w:type="dxa"/>
                  <w:vAlign w:val="center"/>
                </w:tcPr>
                <w:p w14:paraId="518BCB76">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短路阻抗</w:t>
                  </w:r>
                </w:p>
              </w:tc>
              <w:tc>
                <w:tcPr>
                  <w:tcW w:w="1649" w:type="dxa"/>
                  <w:vAlign w:val="center"/>
                </w:tcPr>
                <w:p w14:paraId="7B094AED">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w:t>
                  </w:r>
                </w:p>
              </w:tc>
              <w:tc>
                <w:tcPr>
                  <w:tcW w:w="2635" w:type="dxa"/>
                  <w:vAlign w:val="center"/>
                </w:tcPr>
                <w:p w14:paraId="2E8C56DE">
                  <w:pPr>
                    <w:widowControl/>
                    <w:jc w:val="center"/>
                    <w:rPr>
                      <w:b w:val="0"/>
                      <w:bCs w:val="0"/>
                      <w:color w:val="000000" w:themeColor="text1"/>
                      <w:szCs w:val="21"/>
                      <w14:textFill>
                        <w14:solidFill>
                          <w14:schemeClr w14:val="tx1"/>
                        </w14:solidFill>
                      </w14:textFill>
                    </w:rPr>
                  </w:pPr>
                  <w:r>
                    <w:rPr>
                      <w:rFonts w:hint="eastAsia"/>
                      <w:b w:val="0"/>
                      <w:bCs w:val="0"/>
                      <w:color w:val="000000" w:themeColor="text1"/>
                      <w:kern w:val="0"/>
                      <w:szCs w:val="21"/>
                      <w:lang w:val="en-US" w:eastAsia="zh-CN" w:bidi="ar"/>
                      <w14:textFill>
                        <w14:solidFill>
                          <w14:schemeClr w14:val="tx1"/>
                        </w14:solidFill>
                      </w14:textFill>
                    </w:rPr>
                    <w:t>6.5</w:t>
                  </w:r>
                  <w:r>
                    <w:rPr>
                      <w:b w:val="0"/>
                      <w:bCs w:val="0"/>
                      <w:color w:val="000000" w:themeColor="text1"/>
                      <w:kern w:val="0"/>
                      <w:szCs w:val="21"/>
                      <w:lang w:bidi="ar"/>
                      <w14:textFill>
                        <w14:solidFill>
                          <w14:schemeClr w14:val="tx1"/>
                        </w14:solidFill>
                      </w14:textFill>
                    </w:rPr>
                    <w:t>%</w:t>
                  </w:r>
                </w:p>
              </w:tc>
            </w:tr>
            <w:tr w14:paraId="0A5C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vAlign w:val="center"/>
                </w:tcPr>
                <w:p w14:paraId="216462BA">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5</w:t>
                  </w:r>
                </w:p>
              </w:tc>
              <w:tc>
                <w:tcPr>
                  <w:tcW w:w="2299" w:type="dxa"/>
                  <w:vAlign w:val="center"/>
                </w:tcPr>
                <w:p w14:paraId="232C433A">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无载调压</w:t>
                  </w:r>
                </w:p>
              </w:tc>
              <w:tc>
                <w:tcPr>
                  <w:tcW w:w="1649" w:type="dxa"/>
                  <w:vAlign w:val="center"/>
                </w:tcPr>
                <w:p w14:paraId="741BD0BF">
                  <w:pPr>
                    <w:jc w:val="center"/>
                    <w:rPr>
                      <w:b w:val="0"/>
                      <w:bCs w:val="0"/>
                      <w:color w:val="000000" w:themeColor="text1"/>
                      <w:szCs w:val="21"/>
                      <w14:textFill>
                        <w14:solidFill>
                          <w14:schemeClr w14:val="tx1"/>
                        </w14:solidFill>
                      </w14:textFill>
                    </w:rPr>
                  </w:pPr>
                  <w:r>
                    <w:rPr>
                      <w:b w:val="0"/>
                      <w:bCs w:val="0"/>
                      <w:color w:val="000000" w:themeColor="text1"/>
                      <w:kern w:val="0"/>
                      <w:szCs w:val="21"/>
                      <w:lang w:bidi="ar"/>
                      <w14:textFill>
                        <w14:solidFill>
                          <w14:schemeClr w14:val="tx1"/>
                        </w14:solidFill>
                      </w14:textFill>
                    </w:rPr>
                    <w:t>kV</w:t>
                  </w:r>
                </w:p>
              </w:tc>
              <w:tc>
                <w:tcPr>
                  <w:tcW w:w="2635" w:type="dxa"/>
                  <w:vAlign w:val="center"/>
                </w:tcPr>
                <w:p w14:paraId="6A2436EE">
                  <w:pPr>
                    <w:widowControl/>
                    <w:jc w:val="center"/>
                    <w:rPr>
                      <w:rFonts w:hint="default" w:eastAsia="宋体"/>
                      <w:b w:val="0"/>
                      <w:bCs w:val="0"/>
                      <w:color w:val="000000" w:themeColor="text1"/>
                      <w:szCs w:val="21"/>
                      <w:lang w:val="en-US" w:eastAsia="zh-CN"/>
                      <w14:textFill>
                        <w14:solidFill>
                          <w14:schemeClr w14:val="tx1"/>
                        </w14:solidFill>
                      </w14:textFill>
                    </w:rPr>
                  </w:pPr>
                  <w:r>
                    <w:rPr>
                      <w:b w:val="0"/>
                      <w:bCs w:val="0"/>
                      <w:color w:val="000000" w:themeColor="text1"/>
                      <w:kern w:val="0"/>
                      <w:szCs w:val="21"/>
                      <w:lang w:bidi="ar"/>
                      <w14:textFill>
                        <w14:solidFill>
                          <w14:schemeClr w14:val="tx1"/>
                        </w14:solidFill>
                      </w14:textFill>
                    </w:rPr>
                    <w:t>37±2×2.5%/</w:t>
                  </w:r>
                  <w:r>
                    <w:rPr>
                      <w:rFonts w:hint="eastAsia"/>
                      <w:b w:val="0"/>
                      <w:bCs w:val="0"/>
                      <w:color w:val="000000" w:themeColor="text1"/>
                      <w:kern w:val="0"/>
                      <w:szCs w:val="21"/>
                      <w:lang w:val="en-US" w:eastAsia="zh-CN" w:bidi="ar"/>
                      <w14:textFill>
                        <w14:solidFill>
                          <w14:schemeClr w14:val="tx1"/>
                        </w14:solidFill>
                      </w14:textFill>
                    </w:rPr>
                    <w:t>0.95</w:t>
                  </w:r>
                </w:p>
              </w:tc>
            </w:tr>
            <w:tr w14:paraId="63D1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7" w:type="dxa"/>
                  <w:vAlign w:val="center"/>
                </w:tcPr>
                <w:p w14:paraId="0F00CE97">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6</w:t>
                  </w:r>
                </w:p>
              </w:tc>
              <w:tc>
                <w:tcPr>
                  <w:tcW w:w="2299" w:type="dxa"/>
                  <w:vAlign w:val="center"/>
                </w:tcPr>
                <w:p w14:paraId="2D023F50">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连接组标号</w:t>
                  </w:r>
                </w:p>
              </w:tc>
              <w:tc>
                <w:tcPr>
                  <w:tcW w:w="1649" w:type="dxa"/>
                  <w:vAlign w:val="center"/>
                </w:tcPr>
                <w:p w14:paraId="4A43AC57">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w:t>
                  </w:r>
                </w:p>
              </w:tc>
              <w:tc>
                <w:tcPr>
                  <w:tcW w:w="2635" w:type="dxa"/>
                  <w:vAlign w:val="center"/>
                </w:tcPr>
                <w:p w14:paraId="21375C00">
                  <w:pPr>
                    <w:widowControl/>
                    <w:jc w:val="center"/>
                    <w:rPr>
                      <w:b w:val="0"/>
                      <w:bCs w:val="0"/>
                      <w:color w:val="000000" w:themeColor="text1"/>
                      <w:szCs w:val="21"/>
                      <w14:textFill>
                        <w14:solidFill>
                          <w14:schemeClr w14:val="tx1"/>
                        </w14:solidFill>
                      </w14:textFill>
                    </w:rPr>
                  </w:pPr>
                  <w:r>
                    <w:rPr>
                      <w:b w:val="0"/>
                      <w:bCs w:val="0"/>
                      <w:color w:val="000000" w:themeColor="text1"/>
                      <w:kern w:val="0"/>
                      <w:szCs w:val="21"/>
                      <w:lang w:bidi="ar"/>
                      <w14:textFill>
                        <w14:solidFill>
                          <w14:schemeClr w14:val="tx1"/>
                        </w14:solidFill>
                      </w14:textFill>
                    </w:rPr>
                    <w:t>D</w:t>
                  </w:r>
                  <w:r>
                    <w:rPr>
                      <w:rFonts w:hint="eastAsia" w:ascii="宋体" w:hAnsi="宋体" w:cs="宋体"/>
                      <w:b w:val="0"/>
                      <w:bCs w:val="0"/>
                      <w:color w:val="000000" w:themeColor="text1"/>
                      <w:kern w:val="0"/>
                      <w:szCs w:val="21"/>
                      <w:lang w:bidi="ar"/>
                      <w14:textFill>
                        <w14:solidFill>
                          <w14:schemeClr w14:val="tx1"/>
                        </w14:solidFill>
                      </w14:textFill>
                    </w:rPr>
                    <w:t>，</w:t>
                  </w:r>
                  <w:r>
                    <w:rPr>
                      <w:b w:val="0"/>
                      <w:bCs w:val="0"/>
                      <w:color w:val="000000" w:themeColor="text1"/>
                      <w:kern w:val="0"/>
                      <w:szCs w:val="21"/>
                      <w:lang w:bidi="ar"/>
                      <w14:textFill>
                        <w14:solidFill>
                          <w14:schemeClr w14:val="tx1"/>
                        </w14:solidFill>
                      </w14:textFill>
                    </w:rPr>
                    <w:t>yn11</w:t>
                  </w:r>
                </w:p>
              </w:tc>
            </w:tr>
          </w:tbl>
          <w:p w14:paraId="6B2CA069">
            <w:pPr>
              <w:adjustRightInd w:val="0"/>
              <w:snapToGrid w:val="0"/>
              <w:spacing w:before="120" w:beforeLines="50"/>
              <w:jc w:val="center"/>
              <w:rPr>
                <w:color w:val="000000" w:themeColor="text1"/>
                <w14:textFill>
                  <w14:solidFill>
                    <w14:schemeClr w14:val="tx1"/>
                  </w14:solidFill>
                </w14:textFill>
              </w:rPr>
            </w:pPr>
            <w:r>
              <w:drawing>
                <wp:inline distT="0" distB="0" distL="114300" distR="114300">
                  <wp:extent cx="5039995" cy="3725545"/>
                  <wp:effectExtent l="0" t="0" r="14605" b="825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039995" cy="3725545"/>
                          </a:xfrm>
                          <a:prstGeom prst="rect">
                            <a:avLst/>
                          </a:prstGeom>
                          <a:noFill/>
                          <a:ln>
                            <a:noFill/>
                          </a:ln>
                        </pic:spPr>
                      </pic:pic>
                    </a:graphicData>
                  </a:graphic>
                </wp:inline>
              </w:drawing>
            </w:r>
          </w:p>
          <w:p w14:paraId="2A12BF80">
            <w:pPr>
              <w:adjustRightInd w:val="0"/>
              <w:snapToGrid w:val="0"/>
              <w:spacing w:line="360" w:lineRule="auto"/>
              <w:jc w:val="center"/>
              <w:rPr>
                <w:color w:val="000000" w:themeColor="text1"/>
                <w:sz w:val="24"/>
                <w14:textFill>
                  <w14:solidFill>
                    <w14:schemeClr w14:val="tx1"/>
                  </w14:solidFill>
                </w14:textFill>
              </w:rPr>
            </w:pPr>
            <w:r>
              <w:rPr>
                <w:rFonts w:hint="eastAsia"/>
                <w:b/>
                <w:bCs/>
                <w:color w:val="000000" w:themeColor="text1"/>
                <w:szCs w:val="21"/>
                <w14:textFill>
                  <w14:solidFill>
                    <w14:schemeClr w14:val="tx1"/>
                  </w14:solidFill>
                </w14:textFill>
              </w:rPr>
              <w:t>图2-</w:t>
            </w:r>
            <w:r>
              <w:rPr>
                <w:rFonts w:hint="eastAsia"/>
                <w:b/>
                <w:bCs/>
                <w:color w:val="000000" w:themeColor="text1"/>
                <w:szCs w:val="21"/>
                <w:lang w:val="en-US" w:eastAsia="zh-CN"/>
                <w14:textFill>
                  <w14:solidFill>
                    <w14:schemeClr w14:val="tx1"/>
                  </w14:solidFill>
                </w14:textFill>
              </w:rPr>
              <w:t>3</w:t>
            </w:r>
            <w:r>
              <w:rPr>
                <w:rFonts w:hint="eastAsia"/>
                <w:b/>
                <w:bCs/>
                <w:color w:val="000000" w:themeColor="text1"/>
                <w:szCs w:val="21"/>
                <w14:textFill>
                  <w14:solidFill>
                    <w14:schemeClr w14:val="tx1"/>
                  </w14:solidFill>
                </w14:textFill>
              </w:rPr>
              <w:t xml:space="preserve"> 箱变基础平面图</w:t>
            </w:r>
          </w:p>
          <w:p w14:paraId="2C4965F2">
            <w:pPr>
              <w:adjustRightInd w:val="0"/>
              <w:snapToGrid w:val="0"/>
              <w:spacing w:line="360" w:lineRule="auto"/>
              <w:ind w:firstLine="480" w:firstLineChars="200"/>
              <w:rPr>
                <w:color w:val="000000" w:themeColor="text1"/>
                <w:sz w:val="24"/>
                <w:szCs w:val="24"/>
                <w14:textFill>
                  <w14:solidFill>
                    <w14:schemeClr w14:val="tx1"/>
                  </w14:solidFill>
                </w14:textFill>
              </w:rPr>
            </w:pPr>
            <w:r>
              <w:rPr>
                <w:color w:val="000000" w:themeColor="text1"/>
                <w:kern w:val="0"/>
                <w:sz w:val="24"/>
                <w:szCs w:val="24"/>
                <w:lang w:bidi="ar"/>
                <w14:textFill>
                  <w14:solidFill>
                    <w14:schemeClr w14:val="tx1"/>
                  </w14:solidFill>
                </w14:textFill>
              </w:rPr>
              <w:fldChar w:fldCharType="begin"/>
            </w:r>
            <w:r>
              <w:rPr>
                <w:color w:val="000000" w:themeColor="text1"/>
                <w:kern w:val="0"/>
                <w:sz w:val="24"/>
                <w:szCs w:val="24"/>
                <w:lang w:bidi="ar"/>
                <w14:textFill>
                  <w14:solidFill>
                    <w14:schemeClr w14:val="tx1"/>
                  </w14:solidFill>
                </w14:textFill>
              </w:rPr>
              <w:instrText xml:space="preserve"> = 2 \* GB2 \* MERGEFORMAT </w:instrText>
            </w:r>
            <w:r>
              <w:rPr>
                <w:color w:val="000000" w:themeColor="text1"/>
                <w:kern w:val="0"/>
                <w:sz w:val="24"/>
                <w:szCs w:val="24"/>
                <w:lang w:bidi="ar"/>
                <w14:textFill>
                  <w14:solidFill>
                    <w14:schemeClr w14:val="tx1"/>
                  </w14:solidFill>
                </w14:textFill>
              </w:rPr>
              <w:fldChar w:fldCharType="separate"/>
            </w:r>
            <w:r>
              <w:rPr>
                <w:sz w:val="24"/>
                <w:szCs w:val="24"/>
              </w:rPr>
              <w:t>⑵</w:t>
            </w:r>
            <w:r>
              <w:rPr>
                <w:color w:val="000000" w:themeColor="text1"/>
                <w:kern w:val="0"/>
                <w:sz w:val="24"/>
                <w:szCs w:val="24"/>
                <w:lang w:bidi="ar"/>
                <w14:textFill>
                  <w14:solidFill>
                    <w14:schemeClr w14:val="tx1"/>
                  </w14:solidFill>
                </w14:textFill>
              </w:rPr>
              <w:fldChar w:fldCharType="end"/>
            </w:r>
            <w:r>
              <w:rPr>
                <w:color w:val="000000" w:themeColor="text1"/>
                <w:kern w:val="0"/>
                <w:sz w:val="24"/>
                <w:szCs w:val="24"/>
                <w:lang w:bidi="ar"/>
                <w14:textFill>
                  <w14:solidFill>
                    <w14:schemeClr w14:val="tx1"/>
                  </w14:solidFill>
                </w14:textFill>
              </w:rPr>
              <w:t>35kV</w:t>
            </w:r>
            <w:r>
              <w:rPr>
                <w:rFonts w:hint="eastAsia"/>
                <w:color w:val="000000" w:themeColor="text1"/>
                <w:sz w:val="24"/>
                <w:szCs w:val="24"/>
                <w14:textFill>
                  <w14:solidFill>
                    <w14:schemeClr w14:val="tx1"/>
                  </w14:solidFill>
                </w14:textFill>
              </w:rPr>
              <w:t>集电线路</w:t>
            </w:r>
          </w:p>
          <w:p w14:paraId="16D8C397">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①路径</w:t>
            </w:r>
          </w:p>
          <w:p w14:paraId="3FC67394">
            <w:pPr>
              <w:adjustRightInd w:val="0"/>
              <w:snapToGrid w:val="0"/>
              <w:spacing w:line="360" w:lineRule="auto"/>
              <w:ind w:firstLine="480" w:firstLineChars="200"/>
              <w:rPr>
                <w:rFonts w:hint="eastAsia"/>
                <w:color w:val="000000" w:themeColor="text1"/>
                <w:spacing w:val="0"/>
                <w:sz w:val="24"/>
                <w14:textFill>
                  <w14:solidFill>
                    <w14:schemeClr w14:val="tx1"/>
                  </w14:solidFill>
                </w14:textFill>
              </w:rPr>
            </w:pPr>
            <w:r>
              <w:rPr>
                <w:rFonts w:hint="eastAsia"/>
                <w:color w:val="000000" w:themeColor="text1"/>
                <w:spacing w:val="0"/>
                <w:sz w:val="24"/>
                <w:szCs w:val="24"/>
                <w14:textFill>
                  <w14:solidFill>
                    <w14:schemeClr w14:val="tx1"/>
                  </w14:solidFill>
                </w14:textFill>
              </w:rPr>
              <w:t>本风电场</w:t>
            </w:r>
            <w:r>
              <w:rPr>
                <w:rFonts w:hint="eastAsia"/>
                <w:color w:val="000000" w:themeColor="text1"/>
                <w:spacing w:val="0"/>
                <w:sz w:val="24"/>
                <w:szCs w:val="24"/>
                <w:lang w:val="en-US" w:eastAsia="zh-CN"/>
                <w14:textFill>
                  <w14:solidFill>
                    <w14:schemeClr w14:val="tx1"/>
                  </w14:solidFill>
                </w14:textFill>
              </w:rPr>
              <w:t>10</w:t>
            </w:r>
            <w:r>
              <w:rPr>
                <w:rFonts w:hint="eastAsia"/>
                <w:color w:val="000000" w:themeColor="text1"/>
                <w:spacing w:val="0"/>
                <w:sz w:val="24"/>
                <w:szCs w:val="24"/>
                <w14:textFill>
                  <w14:solidFill>
                    <w14:schemeClr w14:val="tx1"/>
                  </w14:solidFill>
                </w14:textFill>
              </w:rPr>
              <w:t>台风机分布情况，对风机进行了分组，共设计有2回集电线路，每回集电线路分别连接</w:t>
            </w:r>
            <w:r>
              <w:rPr>
                <w:rFonts w:hint="eastAsia"/>
                <w:color w:val="000000" w:themeColor="text1"/>
                <w:spacing w:val="0"/>
                <w:sz w:val="24"/>
                <w:szCs w:val="24"/>
                <w:lang w:val="en-US" w:eastAsia="zh-CN"/>
                <w14:textFill>
                  <w14:solidFill>
                    <w14:schemeClr w14:val="tx1"/>
                  </w14:solidFill>
                </w14:textFill>
              </w:rPr>
              <w:t>5</w:t>
            </w:r>
            <w:r>
              <w:rPr>
                <w:rFonts w:hint="eastAsia"/>
                <w:color w:val="000000" w:themeColor="text1"/>
                <w:spacing w:val="0"/>
                <w:sz w:val="24"/>
                <w:szCs w:val="24"/>
                <w14:textFill>
                  <w14:solidFill>
                    <w14:schemeClr w14:val="tx1"/>
                  </w14:solidFill>
                </w14:textFill>
              </w:rPr>
              <w:t>台风机、</w:t>
            </w:r>
            <w:r>
              <w:rPr>
                <w:rFonts w:hint="eastAsia"/>
                <w:color w:val="000000" w:themeColor="text1"/>
                <w:spacing w:val="0"/>
                <w:sz w:val="24"/>
                <w:szCs w:val="24"/>
                <w:lang w:val="en-US" w:eastAsia="zh-CN"/>
                <w14:textFill>
                  <w14:solidFill>
                    <w14:schemeClr w14:val="tx1"/>
                  </w14:solidFill>
                </w14:textFill>
              </w:rPr>
              <w:t>5</w:t>
            </w:r>
            <w:r>
              <w:rPr>
                <w:rFonts w:hint="eastAsia"/>
                <w:color w:val="000000" w:themeColor="text1"/>
                <w:spacing w:val="0"/>
                <w:sz w:val="24"/>
                <w:szCs w:val="24"/>
                <w14:textFill>
                  <w14:solidFill>
                    <w14:schemeClr w14:val="tx1"/>
                  </w14:solidFill>
                </w14:textFill>
              </w:rPr>
              <w:t>台箱式变。全线路长度约为1</w:t>
            </w:r>
            <w:r>
              <w:rPr>
                <w:rFonts w:hint="eastAsia"/>
                <w:color w:val="000000" w:themeColor="text1"/>
                <w:spacing w:val="0"/>
                <w:sz w:val="24"/>
                <w:szCs w:val="24"/>
                <w:lang w:val="en-US" w:eastAsia="zh-CN"/>
                <w14:textFill>
                  <w14:solidFill>
                    <w14:schemeClr w14:val="tx1"/>
                  </w14:solidFill>
                </w14:textFill>
              </w:rPr>
              <w:t>1.8</w:t>
            </w:r>
            <w:r>
              <w:rPr>
                <w:rFonts w:hint="eastAsia"/>
                <w:color w:val="000000" w:themeColor="text1"/>
                <w:spacing w:val="0"/>
                <w:sz w:val="24"/>
                <w:szCs w:val="24"/>
                <w14:textFill>
                  <w14:solidFill>
                    <w14:schemeClr w14:val="tx1"/>
                  </w14:solidFill>
                </w14:textFill>
              </w:rPr>
              <w:t>km，</w:t>
            </w:r>
            <w:r>
              <w:rPr>
                <w:rFonts w:ascii="宋体" w:hAnsi="宋体" w:eastAsia="宋体" w:cs="宋体"/>
                <w:color w:val="000000" w:themeColor="text1"/>
                <w:spacing w:val="0"/>
                <w:sz w:val="24"/>
                <w:szCs w:val="24"/>
                <w14:textFill>
                  <w14:solidFill>
                    <w14:schemeClr w14:val="tx1"/>
                  </w14:solidFill>
                </w14:textFill>
              </w:rPr>
              <w:t>其中架空线路路径总长度约为</w:t>
            </w:r>
            <w:r>
              <w:rPr>
                <w:rFonts w:ascii="Times New Roman" w:hAnsi="Times New Roman" w:eastAsia="Times New Roman" w:cs="Times New Roman"/>
                <w:color w:val="000000" w:themeColor="text1"/>
                <w:spacing w:val="0"/>
                <w:sz w:val="24"/>
                <w:szCs w:val="24"/>
                <w14:textFill>
                  <w14:solidFill>
                    <w14:schemeClr w14:val="tx1"/>
                  </w14:solidFill>
                </w14:textFill>
              </w:rPr>
              <w:t>11km</w:t>
            </w:r>
            <w:r>
              <w:rPr>
                <w:rFonts w:hint="eastAsia" w:eastAsia="宋体" w:cs="Times New Roman"/>
                <w:color w:val="000000" w:themeColor="text1"/>
                <w:spacing w:val="0"/>
                <w:sz w:val="24"/>
                <w:szCs w:val="24"/>
                <w:lang w:eastAsia="zh-CN"/>
                <w14:textFill>
                  <w14:solidFill>
                    <w14:schemeClr w14:val="tx1"/>
                  </w14:solidFill>
                </w14:textFill>
              </w:rPr>
              <w:t>，</w:t>
            </w:r>
            <w:r>
              <w:rPr>
                <w:rFonts w:ascii="宋体" w:hAnsi="宋体" w:eastAsia="宋体" w:cs="宋体"/>
                <w:color w:val="000000" w:themeColor="text1"/>
                <w:spacing w:val="0"/>
                <w:sz w:val="24"/>
                <w:szCs w:val="24"/>
                <w14:textFill>
                  <w14:solidFill>
                    <w14:schemeClr w14:val="tx1"/>
                  </w14:solidFill>
                </w14:textFill>
              </w:rPr>
              <w:t>电缆段路径长度约为</w:t>
            </w:r>
            <w:r>
              <w:rPr>
                <w:rFonts w:ascii="Times New Roman" w:hAnsi="Times New Roman" w:eastAsia="Times New Roman" w:cs="Times New Roman"/>
                <w:color w:val="000000" w:themeColor="text1"/>
                <w:spacing w:val="0"/>
                <w:sz w:val="24"/>
                <w:szCs w:val="24"/>
                <w14:textFill>
                  <w14:solidFill>
                    <w14:schemeClr w14:val="tx1"/>
                  </w14:solidFill>
                </w14:textFill>
              </w:rPr>
              <w:t>0.8km</w:t>
            </w:r>
            <w:r>
              <w:rPr>
                <w:rFonts w:ascii="宋体" w:hAnsi="宋体" w:eastAsia="宋体" w:cs="宋体"/>
                <w:color w:val="000000" w:themeColor="text1"/>
                <w:spacing w:val="0"/>
                <w:sz w:val="24"/>
                <w:szCs w:val="24"/>
                <w14:textFill>
                  <w14:solidFill>
                    <w14:schemeClr w14:val="tx1"/>
                  </w14:solidFill>
                </w14:textFill>
              </w:rPr>
              <w:t>，直埋敷设</w:t>
            </w:r>
            <w:r>
              <w:rPr>
                <w:rFonts w:hint="eastAsia"/>
                <w:color w:val="000000" w:themeColor="text1"/>
                <w:spacing w:val="0"/>
                <w:sz w:val="24"/>
                <w14:textFill>
                  <w14:solidFill>
                    <w14:schemeClr w14:val="tx1"/>
                  </w14:solidFill>
                </w14:textFill>
              </w:rPr>
              <w:t>风机箱变入网部分架空线路采用悬空搭接的方式进行T接。</w:t>
            </w:r>
          </w:p>
          <w:p w14:paraId="29D521FA">
            <w:pPr>
              <w:adjustRightInd w:val="0"/>
              <w:snapToGrid w:val="0"/>
              <w:spacing w:line="360" w:lineRule="auto"/>
              <w:ind w:firstLine="480" w:firstLineChars="200"/>
              <w:rPr>
                <w:rFonts w:ascii="宋体" w:hAnsi="宋体" w:eastAsia="宋体" w:cs="宋体"/>
                <w:spacing w:val="0"/>
                <w:sz w:val="24"/>
                <w:szCs w:val="24"/>
              </w:rPr>
            </w:pPr>
            <w:r>
              <w:rPr>
                <w:rFonts w:ascii="Times New Roman" w:hAnsi="Times New Roman" w:eastAsia="Times New Roman" w:cs="Times New Roman"/>
                <w:spacing w:val="0"/>
                <w:sz w:val="24"/>
                <w:szCs w:val="24"/>
              </w:rPr>
              <w:t>A</w:t>
            </w:r>
            <w:r>
              <w:rPr>
                <w:rFonts w:ascii="宋体" w:hAnsi="宋体" w:eastAsia="宋体" w:cs="宋体"/>
                <w:spacing w:val="0"/>
                <w:sz w:val="24"/>
                <w:szCs w:val="24"/>
              </w:rPr>
              <w:t>回集电线路共</w:t>
            </w:r>
            <w:r>
              <w:rPr>
                <w:rFonts w:ascii="Times New Roman" w:hAnsi="Times New Roman" w:eastAsia="Times New Roman" w:cs="Times New Roman"/>
                <w:spacing w:val="0"/>
                <w:sz w:val="24"/>
                <w:szCs w:val="24"/>
              </w:rPr>
              <w:t>25MW</w:t>
            </w:r>
            <w:r>
              <w:rPr>
                <w:rFonts w:ascii="宋体" w:hAnsi="宋体" w:eastAsia="宋体" w:cs="宋体"/>
                <w:spacing w:val="0"/>
                <w:sz w:val="24"/>
                <w:szCs w:val="24"/>
              </w:rPr>
              <w:t>：线路沿线串联风机点位为风机</w:t>
            </w:r>
            <w:r>
              <w:rPr>
                <w:rFonts w:ascii="Times New Roman" w:hAnsi="Times New Roman" w:eastAsia="Times New Roman" w:cs="Times New Roman"/>
                <w:spacing w:val="0"/>
                <w:sz w:val="24"/>
                <w:szCs w:val="24"/>
              </w:rPr>
              <w:t>X01</w:t>
            </w:r>
            <w:r>
              <w:rPr>
                <w:rFonts w:ascii="宋体" w:hAnsi="宋体" w:eastAsia="宋体" w:cs="宋体"/>
                <w:spacing w:val="0"/>
                <w:sz w:val="24"/>
                <w:szCs w:val="24"/>
              </w:rPr>
              <w:t>、</w:t>
            </w:r>
            <w:r>
              <w:rPr>
                <w:rFonts w:ascii="Times New Roman" w:hAnsi="Times New Roman" w:eastAsia="Times New Roman" w:cs="Times New Roman"/>
                <w:spacing w:val="0"/>
                <w:sz w:val="24"/>
                <w:szCs w:val="24"/>
              </w:rPr>
              <w:t>X03</w:t>
            </w:r>
            <w:r>
              <w:rPr>
                <w:rFonts w:ascii="宋体" w:hAnsi="宋体" w:eastAsia="宋体" w:cs="宋体"/>
                <w:spacing w:val="0"/>
                <w:sz w:val="24"/>
                <w:szCs w:val="24"/>
              </w:rPr>
              <w:t>、</w:t>
            </w:r>
            <w:r>
              <w:rPr>
                <w:rFonts w:ascii="Times New Roman" w:hAnsi="Times New Roman" w:eastAsia="Times New Roman" w:cs="Times New Roman"/>
                <w:spacing w:val="0"/>
                <w:sz w:val="24"/>
                <w:szCs w:val="24"/>
              </w:rPr>
              <w:t>T9-2</w:t>
            </w:r>
            <w:r>
              <w:rPr>
                <w:rFonts w:ascii="宋体" w:hAnsi="宋体" w:eastAsia="宋体" w:cs="宋体"/>
                <w:spacing w:val="0"/>
                <w:sz w:val="24"/>
                <w:szCs w:val="24"/>
              </w:rPr>
              <w:t>、</w:t>
            </w:r>
            <w:r>
              <w:rPr>
                <w:rFonts w:ascii="Times New Roman" w:hAnsi="Times New Roman" w:eastAsia="Times New Roman" w:cs="Times New Roman"/>
                <w:spacing w:val="0"/>
                <w:sz w:val="24"/>
                <w:szCs w:val="24"/>
              </w:rPr>
              <w:t>X09</w:t>
            </w:r>
            <w:r>
              <w:rPr>
                <w:rFonts w:ascii="宋体" w:hAnsi="宋体" w:eastAsia="宋体" w:cs="宋体"/>
                <w:spacing w:val="0"/>
                <w:sz w:val="24"/>
                <w:szCs w:val="24"/>
              </w:rPr>
              <w:t>、</w:t>
            </w:r>
            <w:r>
              <w:rPr>
                <w:rFonts w:ascii="Times New Roman" w:hAnsi="Times New Roman" w:eastAsia="Times New Roman" w:cs="Times New Roman"/>
                <w:spacing w:val="0"/>
                <w:sz w:val="24"/>
                <w:szCs w:val="24"/>
              </w:rPr>
              <w:t>T4</w:t>
            </w:r>
            <w:r>
              <w:rPr>
                <w:rFonts w:ascii="宋体" w:hAnsi="宋体" w:eastAsia="宋体" w:cs="宋体"/>
                <w:spacing w:val="0"/>
                <w:sz w:val="24"/>
                <w:szCs w:val="24"/>
              </w:rPr>
              <w:t>五台风机，到终端塔电缆下地进入</w:t>
            </w:r>
            <w:r>
              <w:rPr>
                <w:rFonts w:ascii="Times New Roman" w:hAnsi="Times New Roman" w:eastAsia="Times New Roman" w:cs="Times New Roman"/>
                <w:spacing w:val="0"/>
                <w:sz w:val="24"/>
                <w:szCs w:val="24"/>
              </w:rPr>
              <w:t>110kV</w:t>
            </w:r>
            <w:r>
              <w:rPr>
                <w:rFonts w:ascii="宋体" w:hAnsi="宋体" w:eastAsia="宋体" w:cs="宋体"/>
                <w:spacing w:val="0"/>
                <w:sz w:val="24"/>
                <w:szCs w:val="24"/>
              </w:rPr>
              <w:t>升压站。</w:t>
            </w:r>
          </w:p>
          <w:p w14:paraId="50A5900B">
            <w:pPr>
              <w:adjustRightInd w:val="0"/>
              <w:snapToGrid w:val="0"/>
              <w:spacing w:line="360" w:lineRule="auto"/>
              <w:ind w:firstLine="480" w:firstLineChars="200"/>
              <w:rPr>
                <w:spacing w:val="0"/>
              </w:rPr>
            </w:pPr>
            <w:r>
              <w:rPr>
                <w:rFonts w:ascii="Times New Roman" w:hAnsi="Times New Roman" w:eastAsia="Times New Roman" w:cs="Times New Roman"/>
                <w:spacing w:val="0"/>
                <w:sz w:val="24"/>
                <w:szCs w:val="24"/>
              </w:rPr>
              <w:t>B</w:t>
            </w:r>
            <w:r>
              <w:rPr>
                <w:rFonts w:ascii="宋体" w:hAnsi="宋体" w:eastAsia="宋体" w:cs="宋体"/>
                <w:spacing w:val="0"/>
                <w:sz w:val="24"/>
                <w:szCs w:val="24"/>
              </w:rPr>
              <w:t>回集电线路共</w:t>
            </w:r>
            <w:r>
              <w:rPr>
                <w:rFonts w:hint="default" w:ascii="Times New Roman" w:hAnsi="Times New Roman" w:cs="Times New Roman"/>
                <w:spacing w:val="0"/>
                <w:sz w:val="24"/>
                <w:szCs w:val="24"/>
                <w:lang w:val="en-US" w:eastAsia="zh-CN"/>
              </w:rPr>
              <w:t>25</w:t>
            </w:r>
            <w:r>
              <w:rPr>
                <w:rFonts w:hint="default" w:ascii="Times New Roman" w:hAnsi="Times New Roman" w:eastAsia="Times New Roman" w:cs="Times New Roman"/>
                <w:spacing w:val="0"/>
                <w:sz w:val="24"/>
                <w:szCs w:val="24"/>
              </w:rPr>
              <w:t>MW</w:t>
            </w:r>
            <w:r>
              <w:rPr>
                <w:rFonts w:hint="default" w:ascii="Times New Roman" w:hAnsi="Times New Roman" w:eastAsia="宋体" w:cs="Times New Roman"/>
                <w:spacing w:val="0"/>
                <w:sz w:val="24"/>
                <w:szCs w:val="24"/>
              </w:rPr>
              <w:t>：线路沿线串联风</w:t>
            </w:r>
            <w:r>
              <w:rPr>
                <w:rFonts w:ascii="宋体" w:hAnsi="宋体" w:eastAsia="宋体" w:cs="宋体"/>
                <w:spacing w:val="0"/>
                <w:sz w:val="24"/>
                <w:szCs w:val="24"/>
              </w:rPr>
              <w:t>机点位为风机</w:t>
            </w:r>
            <w:r>
              <w:rPr>
                <w:rFonts w:ascii="Times New Roman" w:hAnsi="Times New Roman" w:eastAsia="Times New Roman" w:cs="Times New Roman"/>
                <w:spacing w:val="0"/>
                <w:sz w:val="24"/>
                <w:szCs w:val="24"/>
              </w:rPr>
              <w:t>T3</w:t>
            </w:r>
            <w:r>
              <w:rPr>
                <w:rFonts w:ascii="宋体" w:hAnsi="宋体" w:eastAsia="宋体" w:cs="宋体"/>
                <w:spacing w:val="0"/>
                <w:sz w:val="24"/>
                <w:szCs w:val="24"/>
              </w:rPr>
              <w:t>、</w:t>
            </w:r>
            <w:r>
              <w:rPr>
                <w:rFonts w:ascii="Times New Roman" w:hAnsi="Times New Roman" w:eastAsia="Times New Roman" w:cs="Times New Roman"/>
                <w:spacing w:val="0"/>
                <w:sz w:val="24"/>
                <w:szCs w:val="24"/>
              </w:rPr>
              <w:t>X05-2</w:t>
            </w:r>
            <w:r>
              <w:rPr>
                <w:rFonts w:ascii="宋体" w:hAnsi="宋体" w:eastAsia="宋体" w:cs="宋体"/>
                <w:spacing w:val="0"/>
                <w:sz w:val="24"/>
                <w:szCs w:val="24"/>
              </w:rPr>
              <w:t>、</w:t>
            </w:r>
            <w:r>
              <w:rPr>
                <w:rFonts w:ascii="Times New Roman" w:hAnsi="Times New Roman" w:eastAsia="Times New Roman" w:cs="Times New Roman"/>
                <w:spacing w:val="0"/>
                <w:sz w:val="24"/>
                <w:szCs w:val="24"/>
              </w:rPr>
              <w:t>X06</w:t>
            </w:r>
            <w:r>
              <w:rPr>
                <w:rFonts w:ascii="宋体" w:hAnsi="宋体" w:eastAsia="宋体" w:cs="宋体"/>
                <w:spacing w:val="0"/>
                <w:sz w:val="24"/>
                <w:szCs w:val="24"/>
              </w:rPr>
              <w:t>、</w:t>
            </w:r>
            <w:r>
              <w:rPr>
                <w:rFonts w:ascii="Times New Roman" w:hAnsi="Times New Roman" w:eastAsia="Times New Roman" w:cs="Times New Roman"/>
                <w:spacing w:val="0"/>
                <w:sz w:val="24"/>
                <w:szCs w:val="24"/>
              </w:rPr>
              <w:t>T5</w:t>
            </w:r>
            <w:r>
              <w:rPr>
                <w:rFonts w:ascii="宋体" w:hAnsi="宋体" w:eastAsia="宋体" w:cs="宋体"/>
                <w:spacing w:val="0"/>
                <w:sz w:val="24"/>
                <w:szCs w:val="24"/>
              </w:rPr>
              <w:t>、</w:t>
            </w:r>
            <w:r>
              <w:rPr>
                <w:rFonts w:ascii="Times New Roman" w:hAnsi="Times New Roman" w:eastAsia="Times New Roman" w:cs="Times New Roman"/>
                <w:spacing w:val="0"/>
                <w:sz w:val="24"/>
                <w:szCs w:val="24"/>
              </w:rPr>
              <w:t>T6</w:t>
            </w:r>
            <w:r>
              <w:rPr>
                <w:rFonts w:ascii="宋体" w:hAnsi="宋体" w:eastAsia="宋体" w:cs="宋体"/>
                <w:spacing w:val="0"/>
                <w:sz w:val="24"/>
                <w:szCs w:val="24"/>
              </w:rPr>
              <w:t>五台风机，到终端塔电缆下地进入</w:t>
            </w:r>
            <w:r>
              <w:rPr>
                <w:rFonts w:ascii="Times New Roman" w:hAnsi="Times New Roman" w:eastAsia="Times New Roman" w:cs="Times New Roman"/>
                <w:spacing w:val="0"/>
                <w:sz w:val="24"/>
                <w:szCs w:val="24"/>
              </w:rPr>
              <w:t>110kV</w:t>
            </w:r>
            <w:r>
              <w:rPr>
                <w:rFonts w:ascii="宋体" w:hAnsi="宋体" w:eastAsia="宋体" w:cs="宋体"/>
                <w:spacing w:val="0"/>
                <w:sz w:val="24"/>
                <w:szCs w:val="24"/>
              </w:rPr>
              <w:t>升压站。</w:t>
            </w:r>
          </w:p>
          <w:p w14:paraId="0E8BCDB9">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14:textFill>
                  <w14:solidFill>
                    <w14:schemeClr w14:val="tx1"/>
                  </w14:solidFill>
                </w14:textFill>
              </w:rPr>
              <w:t>②</w:t>
            </w:r>
            <w:r>
              <w:rPr>
                <w:rFonts w:hint="eastAsia"/>
                <w:color w:val="000000" w:themeColor="text1"/>
                <w:sz w:val="24"/>
                <w:lang w:val="en-US" w:eastAsia="zh-CN"/>
                <w14:textFill>
                  <w14:solidFill>
                    <w14:schemeClr w14:val="tx1"/>
                  </w14:solidFill>
                </w14:textFill>
              </w:rPr>
              <w:t>塔型</w:t>
            </w:r>
          </w:p>
          <w:p w14:paraId="0B9D1DFC">
            <w:pPr>
              <w:adjustRightInd w:val="0"/>
              <w:snapToGrid w:val="0"/>
              <w:spacing w:line="360" w:lineRule="auto"/>
              <w:ind w:firstLine="480" w:firstLineChars="200"/>
              <w:rPr>
                <w:rFonts w:hint="eastAsia"/>
                <w:color w:val="000000" w:themeColor="text1"/>
                <w:sz w:val="24"/>
                <w:lang w:val="en-US" w:eastAsia="zh-CN"/>
                <w14:textFill>
                  <w14:solidFill>
                    <w14:schemeClr w14:val="tx1"/>
                  </w14:solidFill>
                </w14:textFill>
              </w:rPr>
            </w:pPr>
            <w:r>
              <w:rPr>
                <w:rFonts w:hint="eastAsia"/>
                <w:color w:val="000000" w:themeColor="text1"/>
                <w:sz w:val="24"/>
                <w:lang w:val="en-US" w:eastAsia="zh-CN"/>
                <w14:textFill>
                  <w14:solidFill>
                    <w14:schemeClr w14:val="tx1"/>
                  </w14:solidFill>
                </w14:textFill>
              </w:rPr>
              <w:t>全线铁塔共计43基，其中单回路直线塔21基，单回路耐张塔22基，</w:t>
            </w:r>
            <w:r>
              <w:rPr>
                <w:rFonts w:ascii="宋体" w:hAnsi="宋体" w:eastAsia="宋体" w:cs="宋体"/>
                <w:spacing w:val="-2"/>
                <w:sz w:val="24"/>
                <w:szCs w:val="24"/>
              </w:rPr>
              <w:t>铁塔钢材构件采用</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Q345B</w:t>
            </w:r>
            <w:r>
              <w:rPr>
                <w:rFonts w:ascii="宋体" w:hAnsi="宋体" w:eastAsia="宋体" w:cs="宋体"/>
                <w:spacing w:val="-2"/>
                <w:sz w:val="24"/>
                <w:szCs w:val="24"/>
              </w:rPr>
              <w:t>和</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Q235B</w:t>
            </w:r>
            <w:r>
              <w:rPr>
                <w:rFonts w:ascii="宋体" w:hAnsi="宋体" w:eastAsia="宋体" w:cs="宋体"/>
                <w:spacing w:val="-2"/>
                <w:sz w:val="24"/>
                <w:szCs w:val="24"/>
              </w:rPr>
              <w:t>材质。构</w:t>
            </w:r>
            <w:r>
              <w:rPr>
                <w:rFonts w:ascii="宋体" w:hAnsi="宋体" w:eastAsia="宋体" w:cs="宋体"/>
                <w:spacing w:val="-6"/>
                <w:sz w:val="24"/>
                <w:szCs w:val="24"/>
              </w:rPr>
              <w:t>件均为热轧角钢，主要采用螺栓连接</w:t>
            </w:r>
            <w:r>
              <w:rPr>
                <w:rFonts w:hint="eastAsia"/>
                <w:color w:val="000000" w:themeColor="text1"/>
                <w:sz w:val="24"/>
                <w:lang w:val="en-US" w:eastAsia="zh-CN"/>
                <w14:textFill>
                  <w14:solidFill>
                    <w14:schemeClr w14:val="tx1"/>
                  </w14:solidFill>
                </w14:textFill>
              </w:rPr>
              <w:t>。</w:t>
            </w:r>
          </w:p>
          <w:p w14:paraId="6347615C">
            <w:pPr>
              <w:adjustRightInd w:val="0"/>
              <w:snapToGrid w:val="0"/>
              <w:spacing w:line="360" w:lineRule="auto"/>
              <w:jc w:val="center"/>
            </w:pPr>
            <w:r>
              <w:rPr>
                <w:rFonts w:ascii="宋体" w:hAnsi="宋体" w:eastAsia="宋体" w:cs="宋体"/>
                <w:b w:val="0"/>
                <w:bCs w:val="0"/>
                <w:spacing w:val="-2"/>
                <w:sz w:val="21"/>
                <w:szCs w:val="21"/>
              </w:rPr>
              <w:t>表</w:t>
            </w:r>
            <w:r>
              <w:rPr>
                <w:rFonts w:ascii="宋体" w:hAnsi="宋体" w:eastAsia="宋体" w:cs="宋体"/>
                <w:b w:val="0"/>
                <w:bCs w:val="0"/>
                <w:spacing w:val="-38"/>
                <w:sz w:val="21"/>
                <w:szCs w:val="21"/>
              </w:rPr>
              <w:t xml:space="preserve"> </w:t>
            </w:r>
            <w:r>
              <w:rPr>
                <w:rFonts w:hint="eastAsia" w:ascii="Times New Roman" w:hAnsi="Times New Roman" w:eastAsia="宋体" w:cs="Times New Roman"/>
                <w:b w:val="0"/>
                <w:bCs w:val="0"/>
                <w:spacing w:val="-2"/>
                <w:sz w:val="21"/>
                <w:szCs w:val="21"/>
                <w:lang w:val="en-US" w:eastAsia="zh-CN"/>
              </w:rPr>
              <w:t>2</w:t>
            </w:r>
            <w:r>
              <w:rPr>
                <w:rFonts w:ascii="Times New Roman" w:hAnsi="Times New Roman" w:eastAsia="Times New Roman" w:cs="Times New Roman"/>
                <w:b w:val="0"/>
                <w:bCs w:val="0"/>
                <w:spacing w:val="-2"/>
                <w:sz w:val="21"/>
                <w:szCs w:val="21"/>
              </w:rPr>
              <w:t>-</w:t>
            </w:r>
            <w:r>
              <w:rPr>
                <w:rFonts w:hint="eastAsia" w:ascii="Times New Roman" w:hAnsi="Times New Roman" w:eastAsia="宋体" w:cs="Times New Roman"/>
                <w:b w:val="0"/>
                <w:bCs w:val="0"/>
                <w:spacing w:val="-2"/>
                <w:sz w:val="21"/>
                <w:szCs w:val="21"/>
                <w:lang w:val="en-US" w:eastAsia="zh-CN"/>
              </w:rPr>
              <w:t xml:space="preserve">5  </w:t>
            </w:r>
            <w:r>
              <w:rPr>
                <w:rFonts w:ascii="宋体" w:hAnsi="宋体" w:eastAsia="宋体" w:cs="宋体"/>
                <w:b w:val="0"/>
                <w:bCs w:val="0"/>
                <w:spacing w:val="-2"/>
                <w:sz w:val="21"/>
                <w:szCs w:val="21"/>
              </w:rPr>
              <w:t>杆塔统计表</w:t>
            </w:r>
          </w:p>
          <w:tbl>
            <w:tblPr>
              <w:tblStyle w:val="93"/>
              <w:tblW w:w="75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5"/>
              <w:gridCol w:w="1405"/>
              <w:gridCol w:w="1141"/>
              <w:gridCol w:w="1273"/>
              <w:gridCol w:w="1458"/>
              <w:gridCol w:w="1494"/>
            </w:tblGrid>
            <w:tr w14:paraId="58227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jc w:val="center"/>
              </w:trPr>
              <w:tc>
                <w:tcPr>
                  <w:tcW w:w="745" w:type="dxa"/>
                  <w:vAlign w:val="top"/>
                </w:tcPr>
                <w:p w14:paraId="06B9F6C6">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2"/>
                      <w:sz w:val="21"/>
                      <w:szCs w:val="21"/>
                    </w:rPr>
                    <w:t>序号</w:t>
                  </w:r>
                </w:p>
              </w:tc>
              <w:tc>
                <w:tcPr>
                  <w:tcW w:w="1405" w:type="dxa"/>
                  <w:vAlign w:val="top"/>
                </w:tcPr>
                <w:p w14:paraId="35EBBB26">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杆塔类型</w:t>
                  </w:r>
                </w:p>
              </w:tc>
              <w:tc>
                <w:tcPr>
                  <w:tcW w:w="1141" w:type="dxa"/>
                  <w:vAlign w:val="top"/>
                </w:tcPr>
                <w:p w14:paraId="210A9676">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4"/>
                      <w:sz w:val="21"/>
                      <w:szCs w:val="21"/>
                    </w:rPr>
                    <w:t>呼称高</w:t>
                  </w:r>
                </w:p>
              </w:tc>
              <w:tc>
                <w:tcPr>
                  <w:tcW w:w="1273" w:type="dxa"/>
                  <w:vAlign w:val="top"/>
                </w:tcPr>
                <w:p w14:paraId="5D87ED9B">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杆塔数量</w:t>
                  </w:r>
                </w:p>
              </w:tc>
              <w:tc>
                <w:tcPr>
                  <w:tcW w:w="1458" w:type="dxa"/>
                  <w:vAlign w:val="top"/>
                </w:tcPr>
                <w:p w14:paraId="572740D1">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9"/>
                      <w:sz w:val="21"/>
                      <w:szCs w:val="21"/>
                    </w:rPr>
                    <w:t>允许转角(</w:t>
                  </w:r>
                  <w:r>
                    <w:rPr>
                      <w:rFonts w:hint="default" w:ascii="Times New Roman Regular" w:hAnsi="Times New Roman Regular" w:eastAsia="宋体" w:cs="Times New Roman Regular"/>
                      <w:spacing w:val="-63"/>
                      <w:sz w:val="21"/>
                      <w:szCs w:val="21"/>
                    </w:rPr>
                    <w:t xml:space="preserve"> </w:t>
                  </w:r>
                  <w:r>
                    <w:rPr>
                      <w:rFonts w:hint="default" w:ascii="Times New Roman Regular" w:hAnsi="Times New Roman Regular" w:eastAsia="宋体" w:cs="Times New Roman Regular"/>
                      <w:spacing w:val="19"/>
                      <w:sz w:val="21"/>
                      <w:szCs w:val="21"/>
                    </w:rPr>
                    <w:t>°)</w:t>
                  </w:r>
                </w:p>
              </w:tc>
              <w:tc>
                <w:tcPr>
                  <w:tcW w:w="1494" w:type="dxa"/>
                  <w:vAlign w:val="top"/>
                </w:tcPr>
                <w:p w14:paraId="537A563E">
                  <w:pPr>
                    <w:pStyle w:val="105"/>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pacing w:val="19"/>
                      <w:sz w:val="21"/>
                      <w:szCs w:val="21"/>
                    </w:rPr>
                  </w:pPr>
                  <w:r>
                    <w:rPr>
                      <w:rFonts w:hint="default" w:ascii="Times New Roman Regular" w:hAnsi="Times New Roman Regular" w:eastAsia="宋体" w:cs="Times New Roman Regular"/>
                      <w:spacing w:val="-2"/>
                      <w:sz w:val="21"/>
                      <w:szCs w:val="21"/>
                    </w:rPr>
                    <w:t>塔头高</w:t>
                  </w:r>
                  <w:r>
                    <w:rPr>
                      <w:rFonts w:hint="default" w:ascii="Times New Roman Regular" w:hAnsi="Times New Roman Regular" w:eastAsia="宋体" w:cs="Times New Roman Regular"/>
                      <w:sz w:val="21"/>
                      <w:szCs w:val="21"/>
                    </w:rPr>
                    <w:t xml:space="preserve"> </w:t>
                  </w:r>
                  <w:r>
                    <w:rPr>
                      <w:rFonts w:hint="default" w:ascii="Times New Roman Regular" w:hAnsi="Times New Roman Regular" w:eastAsia="宋体" w:cs="Times New Roman Regular"/>
                      <w:spacing w:val="-1"/>
                      <w:sz w:val="21"/>
                      <w:szCs w:val="21"/>
                    </w:rPr>
                    <w:t>(m)</w:t>
                  </w:r>
                </w:p>
              </w:tc>
            </w:tr>
            <w:tr w14:paraId="07CC3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1C92A60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w:t>
                  </w:r>
                </w:p>
              </w:tc>
              <w:tc>
                <w:tcPr>
                  <w:tcW w:w="1405" w:type="dxa"/>
                  <w:vAlign w:val="top"/>
                </w:tcPr>
                <w:p w14:paraId="7745C0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06B1-Z1</w:t>
                  </w:r>
                </w:p>
              </w:tc>
              <w:tc>
                <w:tcPr>
                  <w:tcW w:w="1141" w:type="dxa"/>
                  <w:vAlign w:val="top"/>
                </w:tcPr>
                <w:p w14:paraId="0DA2062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21</w:t>
                  </w:r>
                </w:p>
              </w:tc>
              <w:tc>
                <w:tcPr>
                  <w:tcW w:w="1273" w:type="dxa"/>
                  <w:vAlign w:val="top"/>
                </w:tcPr>
                <w:p w14:paraId="44239E4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sz w:val="21"/>
                      <w:szCs w:val="21"/>
                    </w:rPr>
                    <w:t>10</w:t>
                  </w:r>
                </w:p>
              </w:tc>
              <w:tc>
                <w:tcPr>
                  <w:tcW w:w="1458" w:type="dxa"/>
                  <w:vAlign w:val="top"/>
                </w:tcPr>
                <w:p w14:paraId="3D525DE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p>
              </w:tc>
              <w:tc>
                <w:tcPr>
                  <w:tcW w:w="1494" w:type="dxa"/>
                  <w:vAlign w:val="top"/>
                </w:tcPr>
                <w:p w14:paraId="24357C5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pacing w:val="-2"/>
                      <w:sz w:val="21"/>
                      <w:szCs w:val="21"/>
                    </w:rPr>
                    <w:t>6.15</w:t>
                  </w:r>
                </w:p>
              </w:tc>
            </w:tr>
            <w:tr w14:paraId="70F62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6404F4C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2</w:t>
                  </w:r>
                </w:p>
              </w:tc>
              <w:tc>
                <w:tcPr>
                  <w:tcW w:w="1405" w:type="dxa"/>
                  <w:vAlign w:val="top"/>
                </w:tcPr>
                <w:p w14:paraId="5B2C283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06B1-Z2</w:t>
                  </w:r>
                </w:p>
              </w:tc>
              <w:tc>
                <w:tcPr>
                  <w:tcW w:w="1141" w:type="dxa"/>
                  <w:vAlign w:val="top"/>
                </w:tcPr>
                <w:p w14:paraId="082A4A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24</w:t>
                  </w:r>
                </w:p>
              </w:tc>
              <w:tc>
                <w:tcPr>
                  <w:tcW w:w="1273" w:type="dxa"/>
                  <w:vAlign w:val="top"/>
                </w:tcPr>
                <w:p w14:paraId="2FABA04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sz w:val="21"/>
                      <w:szCs w:val="21"/>
                    </w:rPr>
                    <w:t>10</w:t>
                  </w:r>
                </w:p>
              </w:tc>
              <w:tc>
                <w:tcPr>
                  <w:tcW w:w="1458" w:type="dxa"/>
                  <w:vAlign w:val="top"/>
                </w:tcPr>
                <w:p w14:paraId="1703C6C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p>
              </w:tc>
              <w:tc>
                <w:tcPr>
                  <w:tcW w:w="1494" w:type="dxa"/>
                  <w:vAlign w:val="top"/>
                </w:tcPr>
                <w:p w14:paraId="7418A82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kern w:val="2"/>
                      <w:sz w:val="21"/>
                      <w:szCs w:val="21"/>
                      <w:lang w:val="en-US" w:eastAsia="zh-CN" w:bidi="ar-SA"/>
                    </w:rPr>
                  </w:pPr>
                  <w:r>
                    <w:rPr>
                      <w:rFonts w:hint="default" w:ascii="Times New Roman Regular" w:hAnsi="Times New Roman Regular" w:eastAsia="宋体" w:cs="Times New Roman Regular"/>
                      <w:spacing w:val="-2"/>
                      <w:sz w:val="21"/>
                      <w:szCs w:val="21"/>
                    </w:rPr>
                    <w:t>6.2</w:t>
                  </w:r>
                </w:p>
              </w:tc>
            </w:tr>
            <w:tr w14:paraId="404BB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22655AF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3</w:t>
                  </w:r>
                </w:p>
              </w:tc>
              <w:tc>
                <w:tcPr>
                  <w:tcW w:w="1405" w:type="dxa"/>
                  <w:vAlign w:val="top"/>
                </w:tcPr>
                <w:p w14:paraId="0FE35C1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06B1-J2</w:t>
                  </w:r>
                </w:p>
              </w:tc>
              <w:tc>
                <w:tcPr>
                  <w:tcW w:w="1141" w:type="dxa"/>
                  <w:vAlign w:val="top"/>
                </w:tcPr>
                <w:p w14:paraId="2E43AEC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24</w:t>
                  </w:r>
                </w:p>
              </w:tc>
              <w:tc>
                <w:tcPr>
                  <w:tcW w:w="1273" w:type="dxa"/>
                  <w:vAlign w:val="top"/>
                </w:tcPr>
                <w:p w14:paraId="21C20D9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6</w:t>
                  </w:r>
                </w:p>
              </w:tc>
              <w:tc>
                <w:tcPr>
                  <w:tcW w:w="1458" w:type="dxa"/>
                  <w:vAlign w:val="top"/>
                </w:tcPr>
                <w:p w14:paraId="5242E3C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7"/>
                      <w:sz w:val="21"/>
                      <w:szCs w:val="21"/>
                    </w:rPr>
                    <w:t>20°~</w:t>
                  </w:r>
                  <w:r>
                    <w:rPr>
                      <w:rFonts w:hint="default" w:ascii="Times New Roman Regular" w:hAnsi="Times New Roman Regular" w:eastAsia="宋体" w:cs="Times New Roman Regular"/>
                      <w:spacing w:val="-43"/>
                      <w:sz w:val="21"/>
                      <w:szCs w:val="21"/>
                    </w:rPr>
                    <w:t xml:space="preserve"> </w:t>
                  </w:r>
                  <w:r>
                    <w:rPr>
                      <w:rFonts w:hint="default" w:ascii="Times New Roman Regular" w:hAnsi="Times New Roman Regular" w:eastAsia="宋体" w:cs="Times New Roman Regular"/>
                      <w:spacing w:val="17"/>
                      <w:sz w:val="21"/>
                      <w:szCs w:val="21"/>
                    </w:rPr>
                    <w:t>40°</w:t>
                  </w:r>
                </w:p>
              </w:tc>
              <w:tc>
                <w:tcPr>
                  <w:tcW w:w="1494" w:type="dxa"/>
                  <w:vAlign w:val="top"/>
                </w:tcPr>
                <w:p w14:paraId="3413F00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pacing w:val="17"/>
                      <w:sz w:val="21"/>
                      <w:szCs w:val="21"/>
                    </w:rPr>
                  </w:pPr>
                  <w:r>
                    <w:rPr>
                      <w:rFonts w:hint="default" w:ascii="Times New Roman Regular" w:hAnsi="Times New Roman Regular" w:eastAsia="宋体" w:cs="Times New Roman Regular"/>
                      <w:spacing w:val="-2"/>
                      <w:sz w:val="21"/>
                      <w:szCs w:val="21"/>
                    </w:rPr>
                    <w:t>6.7</w:t>
                  </w:r>
                </w:p>
              </w:tc>
            </w:tr>
            <w:tr w14:paraId="44DC5F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589EFB0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w:t>
                  </w:r>
                </w:p>
              </w:tc>
              <w:tc>
                <w:tcPr>
                  <w:tcW w:w="1405" w:type="dxa"/>
                  <w:vAlign w:val="top"/>
                </w:tcPr>
                <w:p w14:paraId="6F67041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06B1-J4</w:t>
                  </w:r>
                </w:p>
              </w:tc>
              <w:tc>
                <w:tcPr>
                  <w:tcW w:w="1141" w:type="dxa"/>
                  <w:vAlign w:val="top"/>
                </w:tcPr>
                <w:p w14:paraId="23BB66C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sz w:val="21"/>
                      <w:szCs w:val="21"/>
                    </w:rPr>
                    <w:t>18</w:t>
                  </w:r>
                </w:p>
              </w:tc>
              <w:tc>
                <w:tcPr>
                  <w:tcW w:w="1273" w:type="dxa"/>
                  <w:vAlign w:val="top"/>
                </w:tcPr>
                <w:p w14:paraId="113BF29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6"/>
                      <w:sz w:val="21"/>
                      <w:szCs w:val="21"/>
                    </w:rPr>
                    <w:t>12</w:t>
                  </w:r>
                </w:p>
              </w:tc>
              <w:tc>
                <w:tcPr>
                  <w:tcW w:w="1458" w:type="dxa"/>
                  <w:vAlign w:val="top"/>
                </w:tcPr>
                <w:p w14:paraId="54F7733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6"/>
                      <w:sz w:val="21"/>
                      <w:szCs w:val="21"/>
                    </w:rPr>
                    <w:t>60°~</w:t>
                  </w:r>
                  <w:r>
                    <w:rPr>
                      <w:rFonts w:hint="default" w:ascii="Times New Roman Regular" w:hAnsi="Times New Roman Regular" w:eastAsia="宋体" w:cs="Times New Roman Regular"/>
                      <w:spacing w:val="-41"/>
                      <w:sz w:val="21"/>
                      <w:szCs w:val="21"/>
                    </w:rPr>
                    <w:t xml:space="preserve"> </w:t>
                  </w:r>
                  <w:r>
                    <w:rPr>
                      <w:rFonts w:hint="default" w:ascii="Times New Roman Regular" w:hAnsi="Times New Roman Regular" w:eastAsia="宋体" w:cs="Times New Roman Regular"/>
                      <w:spacing w:val="16"/>
                      <w:sz w:val="21"/>
                      <w:szCs w:val="21"/>
                    </w:rPr>
                    <w:t>90°</w:t>
                  </w:r>
                </w:p>
              </w:tc>
              <w:tc>
                <w:tcPr>
                  <w:tcW w:w="1494" w:type="dxa"/>
                  <w:vAlign w:val="top"/>
                </w:tcPr>
                <w:p w14:paraId="268A5EE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pacing w:val="16"/>
                      <w:sz w:val="21"/>
                      <w:szCs w:val="21"/>
                    </w:rPr>
                  </w:pPr>
                  <w:r>
                    <w:rPr>
                      <w:rFonts w:hint="default" w:ascii="Times New Roman Regular" w:hAnsi="Times New Roman Regular" w:eastAsia="宋体" w:cs="Times New Roman Regular"/>
                      <w:spacing w:val="-2"/>
                      <w:sz w:val="21"/>
                      <w:szCs w:val="21"/>
                    </w:rPr>
                    <w:t>6.7</w:t>
                  </w:r>
                </w:p>
              </w:tc>
            </w:tr>
            <w:tr w14:paraId="04E9C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4BCD4B7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5</w:t>
                  </w:r>
                </w:p>
              </w:tc>
              <w:tc>
                <w:tcPr>
                  <w:tcW w:w="1405" w:type="dxa"/>
                  <w:vAlign w:val="top"/>
                </w:tcPr>
                <w:p w14:paraId="0B4C8CD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06B2-Z2</w:t>
                  </w:r>
                </w:p>
              </w:tc>
              <w:tc>
                <w:tcPr>
                  <w:tcW w:w="1141" w:type="dxa"/>
                  <w:vAlign w:val="top"/>
                </w:tcPr>
                <w:p w14:paraId="2D54B6C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24</w:t>
                  </w:r>
                </w:p>
              </w:tc>
              <w:tc>
                <w:tcPr>
                  <w:tcW w:w="1273" w:type="dxa"/>
                  <w:vAlign w:val="top"/>
                </w:tcPr>
                <w:p w14:paraId="710A315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1</w:t>
                  </w:r>
                </w:p>
              </w:tc>
              <w:tc>
                <w:tcPr>
                  <w:tcW w:w="1458" w:type="dxa"/>
                  <w:vAlign w:val="top"/>
                </w:tcPr>
                <w:p w14:paraId="46BC14E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p>
              </w:tc>
              <w:tc>
                <w:tcPr>
                  <w:tcW w:w="1494" w:type="dxa"/>
                  <w:vAlign w:val="top"/>
                </w:tcPr>
                <w:p w14:paraId="196F68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lang w:val="en-US" w:eastAsia="zh-CN"/>
                    </w:rPr>
                  </w:pPr>
                  <w:r>
                    <w:rPr>
                      <w:rFonts w:hint="default" w:ascii="Times New Roman Regular" w:hAnsi="Times New Roman Regular" w:eastAsia="宋体" w:cs="Times New Roman Regular"/>
                      <w:sz w:val="21"/>
                      <w:szCs w:val="21"/>
                      <w:lang w:val="en-US" w:eastAsia="zh-CN"/>
                    </w:rPr>
                    <w:t>6</w:t>
                  </w:r>
                </w:p>
              </w:tc>
            </w:tr>
            <w:tr w14:paraId="09E91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 w:hRule="atLeast"/>
                <w:jc w:val="center"/>
              </w:trPr>
              <w:tc>
                <w:tcPr>
                  <w:tcW w:w="745" w:type="dxa"/>
                  <w:vAlign w:val="top"/>
                </w:tcPr>
                <w:p w14:paraId="7F84D5F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6</w:t>
                  </w:r>
                </w:p>
              </w:tc>
              <w:tc>
                <w:tcPr>
                  <w:tcW w:w="1405" w:type="dxa"/>
                  <w:vAlign w:val="top"/>
                </w:tcPr>
                <w:p w14:paraId="3F533DE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06B2-J4</w:t>
                  </w:r>
                </w:p>
              </w:tc>
              <w:tc>
                <w:tcPr>
                  <w:tcW w:w="1141" w:type="dxa"/>
                  <w:vAlign w:val="top"/>
                </w:tcPr>
                <w:p w14:paraId="6CCC531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24</w:t>
                  </w:r>
                </w:p>
              </w:tc>
              <w:tc>
                <w:tcPr>
                  <w:tcW w:w="1273" w:type="dxa"/>
                  <w:vAlign w:val="top"/>
                </w:tcPr>
                <w:p w14:paraId="3ED84A6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z w:val="21"/>
                      <w:szCs w:val="21"/>
                    </w:rPr>
                    <w:t>4</w:t>
                  </w:r>
                </w:p>
              </w:tc>
              <w:tc>
                <w:tcPr>
                  <w:tcW w:w="1458" w:type="dxa"/>
                  <w:vAlign w:val="top"/>
                </w:tcPr>
                <w:p w14:paraId="2FCD888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6"/>
                      <w:sz w:val="21"/>
                      <w:szCs w:val="21"/>
                    </w:rPr>
                    <w:t>60°~</w:t>
                  </w:r>
                  <w:r>
                    <w:rPr>
                      <w:rFonts w:hint="default" w:ascii="Times New Roman Regular" w:hAnsi="Times New Roman Regular" w:eastAsia="宋体" w:cs="Times New Roman Regular"/>
                      <w:spacing w:val="-41"/>
                      <w:sz w:val="21"/>
                      <w:szCs w:val="21"/>
                    </w:rPr>
                    <w:t xml:space="preserve"> </w:t>
                  </w:r>
                  <w:r>
                    <w:rPr>
                      <w:rFonts w:hint="default" w:ascii="Times New Roman Regular" w:hAnsi="Times New Roman Regular" w:eastAsia="宋体" w:cs="Times New Roman Regular"/>
                      <w:spacing w:val="16"/>
                      <w:sz w:val="21"/>
                      <w:szCs w:val="21"/>
                    </w:rPr>
                    <w:t>90°</w:t>
                  </w:r>
                </w:p>
              </w:tc>
              <w:tc>
                <w:tcPr>
                  <w:tcW w:w="1494" w:type="dxa"/>
                  <w:vAlign w:val="top"/>
                </w:tcPr>
                <w:p w14:paraId="7C35E5C7">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pacing w:val="16"/>
                      <w:sz w:val="21"/>
                      <w:szCs w:val="21"/>
                    </w:rPr>
                  </w:pPr>
                  <w:r>
                    <w:rPr>
                      <w:rFonts w:hint="default" w:ascii="Times New Roman Regular" w:hAnsi="Times New Roman Regular" w:eastAsia="宋体" w:cs="Times New Roman Regular"/>
                      <w:spacing w:val="-2"/>
                      <w:sz w:val="21"/>
                      <w:szCs w:val="21"/>
                    </w:rPr>
                    <w:t>6.7</w:t>
                  </w:r>
                </w:p>
              </w:tc>
            </w:tr>
            <w:tr w14:paraId="4E8FA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3291" w:type="dxa"/>
                  <w:gridSpan w:val="3"/>
                  <w:vAlign w:val="top"/>
                </w:tcPr>
                <w:p w14:paraId="7FEA3733">
                  <w:pPr>
                    <w:pStyle w:val="105"/>
                    <w:keepNext w:val="0"/>
                    <w:keepLines w:val="0"/>
                    <w:pageBreakBefore w:val="0"/>
                    <w:widowControl w:val="0"/>
                    <w:kinsoku/>
                    <w:wordWrap/>
                    <w:overflowPunct/>
                    <w:topLinePunct w:val="0"/>
                    <w:autoSpaceDE/>
                    <w:autoSpaceDN/>
                    <w:bidi w:val="0"/>
                    <w:adjustRightInd/>
                    <w:snapToGrid/>
                    <w:spacing w:line="240" w:lineRule="atLeast"/>
                    <w:ind w:left="2246"/>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2"/>
                      <w:sz w:val="21"/>
                      <w:szCs w:val="21"/>
                    </w:rPr>
                    <w:t>合计</w:t>
                  </w:r>
                </w:p>
              </w:tc>
              <w:tc>
                <w:tcPr>
                  <w:tcW w:w="1273" w:type="dxa"/>
                  <w:vAlign w:val="top"/>
                </w:tcPr>
                <w:p w14:paraId="4C456E9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r>
                    <w:rPr>
                      <w:rFonts w:hint="default" w:ascii="Times New Roman Regular" w:hAnsi="Times New Roman Regular" w:eastAsia="宋体" w:cs="Times New Roman Regular"/>
                      <w:spacing w:val="-1"/>
                      <w:sz w:val="21"/>
                      <w:szCs w:val="21"/>
                    </w:rPr>
                    <w:t>43</w:t>
                  </w:r>
                </w:p>
              </w:tc>
              <w:tc>
                <w:tcPr>
                  <w:tcW w:w="1458" w:type="dxa"/>
                  <w:vAlign w:val="top"/>
                </w:tcPr>
                <w:p w14:paraId="3D2440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p>
              </w:tc>
              <w:tc>
                <w:tcPr>
                  <w:tcW w:w="1494" w:type="dxa"/>
                  <w:vAlign w:val="top"/>
                </w:tcPr>
                <w:p w14:paraId="10D48DC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Regular" w:hAnsi="Times New Roman Regular" w:eastAsia="宋体" w:cs="Times New Roman Regular"/>
                      <w:sz w:val="21"/>
                      <w:szCs w:val="21"/>
                    </w:rPr>
                  </w:pPr>
                </w:p>
              </w:tc>
            </w:tr>
          </w:tbl>
          <w:p w14:paraId="2EB6BDB4">
            <w:pPr>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③电压</w:t>
            </w:r>
          </w:p>
          <w:p w14:paraId="33985F29">
            <w:pPr>
              <w:widowControl/>
              <w:spacing w:line="360" w:lineRule="auto"/>
              <w:ind w:firstLine="480" w:firstLineChars="200"/>
              <w:jc w:val="left"/>
              <w:rPr>
                <w:rFonts w:hint="default" w:ascii="Times New Roman" w:hAnsi="Times New Roman" w:cs="Times New Roman"/>
                <w:color w:val="000000" w:themeColor="text1"/>
                <w:kern w:val="0"/>
                <w:sz w:val="24"/>
                <w:szCs w:val="24"/>
                <w:lang w:bidi="ar"/>
                <w14:textFill>
                  <w14:solidFill>
                    <w14:schemeClr w14:val="tx1"/>
                  </w14:solidFill>
                </w14:textFill>
              </w:rPr>
            </w:pPr>
            <w:r>
              <w:rPr>
                <w:rFonts w:hint="default" w:ascii="Times New Roman" w:hAnsi="Times New Roman" w:cs="Times New Roman"/>
                <w:color w:val="000000" w:themeColor="text1"/>
                <w:kern w:val="0"/>
                <w:sz w:val="24"/>
                <w:szCs w:val="24"/>
                <w:lang w:bidi="ar"/>
                <w14:textFill>
                  <w14:solidFill>
                    <w14:schemeClr w14:val="tx1"/>
                  </w14:solidFill>
                </w14:textFill>
              </w:rPr>
              <w:t>线路额定电压：35kV。</w:t>
            </w:r>
          </w:p>
          <w:p w14:paraId="1378E030">
            <w:pPr>
              <w:pStyle w:val="4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 4 \* GB3 \* MERGEFORMAT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电缆</w:t>
            </w:r>
          </w:p>
          <w:p w14:paraId="76D045A4">
            <w:pPr>
              <w:pStyle w:val="40"/>
              <w:spacing w:line="360" w:lineRule="auto"/>
              <w:ind w:firstLine="468" w:firstLineChars="200"/>
              <w:rPr>
                <w:rFonts w:hint="default" w:ascii="Times New Roman" w:hAnsi="Times New Roman" w:cs="Times New Roman"/>
              </w:rPr>
            </w:pPr>
            <w:r>
              <w:rPr>
                <w:rFonts w:hint="default" w:ascii="Times New Roman" w:hAnsi="Times New Roman" w:eastAsia="宋体" w:cs="Times New Roman"/>
                <w:spacing w:val="-3"/>
                <w:sz w:val="24"/>
                <w:szCs w:val="24"/>
              </w:rPr>
              <w:t>机箱变高压侧至架空线</w:t>
            </w:r>
            <w:r>
              <w:rPr>
                <w:rFonts w:hint="default" w:ascii="Times New Roman" w:hAnsi="Times New Roman" w:eastAsia="宋体" w:cs="Times New Roman"/>
                <w:sz w:val="24"/>
                <w:szCs w:val="24"/>
              </w:rPr>
              <w:t xml:space="preserve"> 路杆塔之间采用</w:t>
            </w:r>
            <w:r>
              <w:rPr>
                <w:rFonts w:hint="default" w:ascii="Times New Roman" w:hAnsi="Times New Roman" w:eastAsia="宋体" w:cs="Times New Roman"/>
                <w:spacing w:val="-25"/>
                <w:sz w:val="24"/>
                <w:szCs w:val="24"/>
              </w:rPr>
              <w:t xml:space="preserve"> </w:t>
            </w:r>
            <w:r>
              <w:rPr>
                <w:rFonts w:hint="default" w:ascii="Times New Roman" w:hAnsi="Times New Roman" w:eastAsia="Times New Roman" w:cs="Times New Roman"/>
                <w:sz w:val="24"/>
                <w:szCs w:val="24"/>
              </w:rPr>
              <w:t>ZRC-YJY</w:t>
            </w:r>
            <w:r>
              <w:rPr>
                <w:rFonts w:hint="default" w:ascii="Times New Roman" w:hAnsi="Times New Roman" w:eastAsia="宋体" w:cs="Times New Roman"/>
                <w:sz w:val="24"/>
                <w:szCs w:val="24"/>
                <w:vertAlign w:val="subscript"/>
                <w:lang w:val="en-US" w:eastAsia="zh-CN"/>
              </w:rPr>
              <w:t>23</w:t>
            </w:r>
            <w:r>
              <w:rPr>
                <w:rFonts w:hint="default" w:ascii="Times New Roman" w:hAnsi="Times New Roman" w:eastAsia="宋体" w:cs="Times New Roman"/>
                <w:sz w:val="24"/>
                <w:szCs w:val="24"/>
                <w:lang w:val="en-US" w:eastAsia="zh-CN"/>
              </w:rPr>
              <w:t>35</w:t>
            </w:r>
            <w:r>
              <w:rPr>
                <w:rFonts w:hint="default" w:ascii="Times New Roman" w:hAnsi="Times New Roman" w:eastAsia="Times New Roman" w:cs="Times New Roman"/>
                <w:sz w:val="24"/>
                <w:szCs w:val="24"/>
              </w:rPr>
              <w:t>-3×70m</w:t>
            </w:r>
            <w:r>
              <w:rPr>
                <w:rFonts w:hint="default" w:ascii="Times New Roman" w:hAnsi="Times New Roman" w:eastAsia="Times New Roman" w:cs="Times New Roman"/>
                <w:spacing w:val="-1"/>
                <w:sz w:val="24"/>
                <w:szCs w:val="24"/>
              </w:rPr>
              <w:t>m</w:t>
            </w:r>
            <w:r>
              <w:rPr>
                <w:rFonts w:hint="default" w:ascii="Times New Roman" w:hAnsi="Times New Roman" w:eastAsia="宋体"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型电力电缆（直埋）连接，每回架空线</w:t>
            </w:r>
            <w:r>
              <w:rPr>
                <w:rFonts w:hint="default" w:ascii="Times New Roman" w:hAnsi="Times New Roman" w:eastAsia="宋体" w:cs="Times New Roman"/>
                <w:sz w:val="24"/>
                <w:szCs w:val="24"/>
              </w:rPr>
              <w:t>路终端杆至升压站</w:t>
            </w:r>
            <w:r>
              <w:rPr>
                <w:rFonts w:hint="default" w:ascii="Times New Roman" w:hAnsi="Times New Roman" w:eastAsia="Times New Roman" w:cs="Times New Roman"/>
                <w:sz w:val="24"/>
                <w:szCs w:val="24"/>
              </w:rPr>
              <w:t>35kV</w:t>
            </w:r>
            <w:r>
              <w:rPr>
                <w:rFonts w:hint="default" w:ascii="Times New Roman" w:hAnsi="Times New Roman" w:eastAsia="宋体" w:cs="Times New Roman"/>
                <w:sz w:val="24"/>
                <w:szCs w:val="24"/>
              </w:rPr>
              <w:t xml:space="preserve">开关柜之间采用 </w:t>
            </w:r>
            <w:r>
              <w:rPr>
                <w:rFonts w:hint="default" w:ascii="Times New Roman" w:hAnsi="Times New Roman" w:eastAsia="Times New Roman" w:cs="Times New Roman"/>
                <w:sz w:val="24"/>
                <w:szCs w:val="24"/>
              </w:rPr>
              <w:t>ZRC-YJY</w:t>
            </w:r>
            <w:r>
              <w:rPr>
                <w:rFonts w:hint="default" w:ascii="Times New Roman" w:hAnsi="Times New Roman" w:eastAsia="宋体" w:cs="Times New Roman"/>
                <w:sz w:val="24"/>
                <w:szCs w:val="24"/>
                <w:vertAlign w:val="subscript"/>
                <w:lang w:val="en-US" w:eastAsia="zh-CN"/>
              </w:rPr>
              <w:t>23</w:t>
            </w:r>
            <w:r>
              <w:rPr>
                <w:rFonts w:hint="default" w:ascii="Times New Roman" w:hAnsi="Times New Roman" w:eastAsia="Times New Roman" w:cs="Times New Roman"/>
                <w:spacing w:val="-1"/>
                <w:sz w:val="24"/>
                <w:szCs w:val="24"/>
              </w:rPr>
              <w:t>35-3</w:t>
            </w:r>
            <w:r>
              <w:rPr>
                <w:rFonts w:hint="default" w:ascii="Times New Roman" w:hAnsi="Times New Roman" w:eastAsia="Times New Roman" w:cs="Times New Roman"/>
                <w:sz w:val="24"/>
                <w:szCs w:val="24"/>
              </w:rPr>
              <w:t>×</w:t>
            </w:r>
            <w:r>
              <w:rPr>
                <w:rFonts w:hint="default" w:ascii="Times New Roman" w:hAnsi="Times New Roman" w:eastAsia="Times New Roman" w:cs="Times New Roman"/>
                <w:spacing w:val="-1"/>
                <w:sz w:val="24"/>
                <w:szCs w:val="24"/>
              </w:rPr>
              <w:t>300mm</w:t>
            </w:r>
            <w:r>
              <w:rPr>
                <w:rFonts w:hint="default" w:ascii="Times New Roman" w:hAnsi="Times New Roman" w:eastAsia="宋体"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型电力电缆</w:t>
            </w:r>
            <w:r>
              <w:rPr>
                <w:rFonts w:hint="default" w:ascii="Times New Roman" w:hAnsi="Times New Roman" w:eastAsia="宋体" w:cs="Times New Roman"/>
                <w:spacing w:val="-4"/>
                <w:sz w:val="24"/>
                <w:szCs w:val="24"/>
              </w:rPr>
              <w:t>（直埋及电缆沟敷设）连接。</w:t>
            </w:r>
          </w:p>
          <w:p w14:paraId="77876748">
            <w:pPr>
              <w:widowControl/>
              <w:spacing w:line="360" w:lineRule="auto"/>
              <w:ind w:firstLine="482" w:firstLineChars="200"/>
              <w:jc w:val="left"/>
              <w:rPr>
                <w:b/>
                <w:bCs/>
                <w:color w:val="000000" w:themeColor="text1"/>
                <w:kern w:val="0"/>
                <w:sz w:val="24"/>
                <w:lang w:bidi="ar"/>
                <w14:textFill>
                  <w14:solidFill>
                    <w14:schemeClr w14:val="tx1"/>
                  </w14:solidFill>
                </w14:textFill>
              </w:rPr>
            </w:pPr>
            <w:r>
              <w:rPr>
                <w:rFonts w:hint="eastAsia"/>
                <w:b/>
                <w:bCs/>
                <w:color w:val="000000" w:themeColor="text1"/>
                <w:kern w:val="0"/>
                <w:sz w:val="24"/>
                <w:lang w:bidi="ar"/>
                <w14:textFill>
                  <w14:solidFill>
                    <w14:schemeClr w14:val="tx1"/>
                  </w14:solidFill>
                </w14:textFill>
              </w:rPr>
              <w:t>5、临时工程</w:t>
            </w:r>
          </w:p>
          <w:p w14:paraId="2092289F">
            <w:pPr>
              <w:widowControl/>
              <w:spacing w:line="360" w:lineRule="auto"/>
              <w:ind w:firstLine="480" w:firstLineChars="200"/>
              <w:jc w:val="left"/>
              <w:rPr>
                <w:color w:val="000000" w:themeColor="text1"/>
                <w:kern w:val="0"/>
                <w:sz w:val="24"/>
                <w:szCs w:val="24"/>
                <w:lang w:bidi="ar"/>
                <w14:textFill>
                  <w14:solidFill>
                    <w14:schemeClr w14:val="tx1"/>
                  </w14:solidFill>
                </w14:textFill>
              </w:rPr>
            </w:pPr>
            <w:r>
              <w:rPr>
                <w:rFonts w:hint="eastAsia"/>
                <w:color w:val="000000" w:themeColor="text1"/>
                <w:kern w:val="0"/>
                <w:sz w:val="24"/>
                <w:szCs w:val="24"/>
                <w:lang w:bidi="ar"/>
                <w14:textFill>
                  <w14:solidFill>
                    <w14:schemeClr w14:val="tx1"/>
                  </w14:solidFill>
                </w14:textFill>
              </w:rPr>
              <w:fldChar w:fldCharType="begin"/>
            </w:r>
            <w:r>
              <w:rPr>
                <w:rFonts w:hint="eastAsia"/>
                <w:color w:val="000000" w:themeColor="text1"/>
                <w:kern w:val="0"/>
                <w:sz w:val="24"/>
                <w:szCs w:val="24"/>
                <w:lang w:bidi="ar"/>
                <w14:textFill>
                  <w14:solidFill>
                    <w14:schemeClr w14:val="tx1"/>
                  </w14:solidFill>
                </w14:textFill>
              </w:rPr>
              <w:instrText xml:space="preserve"> = 1 \* GB2 \* MERGEFORMAT </w:instrText>
            </w:r>
            <w:r>
              <w:rPr>
                <w:rFonts w:hint="eastAsia"/>
                <w:color w:val="000000" w:themeColor="text1"/>
                <w:kern w:val="0"/>
                <w:sz w:val="24"/>
                <w:szCs w:val="24"/>
                <w:lang w:bidi="ar"/>
                <w14:textFill>
                  <w14:solidFill>
                    <w14:schemeClr w14:val="tx1"/>
                  </w14:solidFill>
                </w14:textFill>
              </w:rPr>
              <w:fldChar w:fldCharType="separate"/>
            </w:r>
            <w:r>
              <w:rPr>
                <w:sz w:val="24"/>
                <w:szCs w:val="24"/>
              </w:rPr>
              <w:t>⑴</w:t>
            </w:r>
            <w:r>
              <w:rPr>
                <w:rFonts w:hint="eastAsia"/>
                <w:color w:val="000000" w:themeColor="text1"/>
                <w:kern w:val="0"/>
                <w:sz w:val="24"/>
                <w:szCs w:val="24"/>
                <w:lang w:bidi="ar"/>
                <w14:textFill>
                  <w14:solidFill>
                    <w14:schemeClr w14:val="tx1"/>
                  </w14:solidFill>
                </w14:textFill>
              </w:rPr>
              <w:fldChar w:fldCharType="end"/>
            </w:r>
            <w:r>
              <w:rPr>
                <w:rFonts w:hint="eastAsia"/>
                <w:color w:val="000000" w:themeColor="text1"/>
                <w:kern w:val="0"/>
                <w:sz w:val="24"/>
                <w:szCs w:val="24"/>
                <w:lang w:bidi="ar"/>
                <w14:textFill>
                  <w14:solidFill>
                    <w14:schemeClr w14:val="tx1"/>
                  </w14:solidFill>
                </w14:textFill>
              </w:rPr>
              <w:t>吊装场</w:t>
            </w:r>
          </w:p>
          <w:p w14:paraId="222D3228">
            <w:pPr>
              <w:widowControl/>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在每个风机基础旁设一施工吊装场地，并与场内施工道路相连。吊装场地与道路统一设计，节省场地面积，尺寸为50m×</w:t>
            </w:r>
            <w:r>
              <w:rPr>
                <w:rFonts w:hint="eastAsia"/>
                <w:color w:val="000000" w:themeColor="text1"/>
                <w:sz w:val="24"/>
                <w:szCs w:val="24"/>
                <w:lang w:val="en-US" w:eastAsia="zh-CN"/>
                <w14:textFill>
                  <w14:solidFill>
                    <w14:schemeClr w14:val="tx1"/>
                  </w14:solidFill>
                </w14:textFill>
              </w:rPr>
              <w:t>6</w:t>
            </w:r>
            <w:r>
              <w:rPr>
                <w:rFonts w:hint="eastAsia"/>
                <w:color w:val="000000" w:themeColor="text1"/>
                <w:sz w:val="24"/>
                <w:szCs w:val="24"/>
                <w14:textFill>
                  <w14:solidFill>
                    <w14:schemeClr w14:val="tx1"/>
                  </w14:solidFill>
                </w14:textFill>
              </w:rPr>
              <w:t>0m，供</w:t>
            </w:r>
            <w:r>
              <w:rPr>
                <w:rFonts w:hint="eastAsia"/>
                <w:color w:val="000000" w:themeColor="text1"/>
                <w:sz w:val="24"/>
                <w:szCs w:val="24"/>
                <w:lang w:val="en-US" w:eastAsia="zh-CN"/>
                <w14:textFill>
                  <w14:solidFill>
                    <w14:schemeClr w14:val="tx1"/>
                  </w14:solidFill>
                </w14:textFill>
              </w:rPr>
              <w:t>10</w:t>
            </w:r>
            <w:r>
              <w:rPr>
                <w:rFonts w:hint="eastAsia"/>
                <w:color w:val="000000" w:themeColor="text1"/>
                <w:sz w:val="24"/>
                <w:szCs w:val="24"/>
                <w14:textFill>
                  <w14:solidFill>
                    <w14:schemeClr w14:val="tx1"/>
                  </w14:solidFill>
                </w14:textFill>
              </w:rPr>
              <w:t>台风机使用，施工吊装场总占地面积3</w:t>
            </w:r>
            <w:r>
              <w:rPr>
                <w:rFonts w:hint="eastAsia"/>
                <w:color w:val="000000" w:themeColor="text1"/>
                <w:sz w:val="24"/>
                <w:szCs w:val="24"/>
                <w:lang w:val="en-US" w:eastAsia="zh-CN"/>
                <w14:textFill>
                  <w14:solidFill>
                    <w14:schemeClr w14:val="tx1"/>
                  </w14:solidFill>
                </w14:textFill>
              </w:rPr>
              <w:t>0</w:t>
            </w:r>
            <w:r>
              <w:rPr>
                <w:rFonts w:hint="eastAsia"/>
                <w:color w:val="000000" w:themeColor="text1"/>
                <w:sz w:val="24"/>
                <w:szCs w:val="24"/>
                <w14:textFill>
                  <w14:solidFill>
                    <w14:schemeClr w14:val="tx1"/>
                  </w14:solidFill>
                </w14:textFill>
              </w:rPr>
              <w:t>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，包括平台边坡租地面积。</w:t>
            </w:r>
          </w:p>
          <w:p w14:paraId="3AE9EC91">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2 \* GB2 \* MERGEFORMAT </w:instrText>
            </w:r>
            <w:r>
              <w:rPr>
                <w:rFonts w:hint="eastAsia"/>
                <w:color w:val="000000" w:themeColor="text1"/>
                <w:sz w:val="24"/>
                <w:szCs w:val="24"/>
                <w14:textFill>
                  <w14:solidFill>
                    <w14:schemeClr w14:val="tx1"/>
                  </w14:solidFill>
                </w14:textFill>
              </w:rPr>
              <w:fldChar w:fldCharType="separate"/>
            </w:r>
            <w:r>
              <w:rPr>
                <w:sz w:val="24"/>
                <w:szCs w:val="24"/>
              </w:rPr>
              <w:t>⑵</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场内施工道路</w:t>
            </w:r>
          </w:p>
          <w:p w14:paraId="3B254DD1">
            <w:pPr>
              <w:widowControl/>
              <w:spacing w:line="360" w:lineRule="auto"/>
              <w:ind w:firstLine="480" w:firstLineChars="200"/>
              <w:rPr>
                <w:b/>
                <w:bCs/>
                <w:color w:val="000000" w:themeColor="text1"/>
                <w:sz w:val="24"/>
                <w:szCs w:val="24"/>
                <w14:textFill>
                  <w14:solidFill>
                    <w14:schemeClr w14:val="tx1"/>
                  </w14:solidFill>
                </w14:textFill>
              </w:rPr>
            </w:pPr>
            <w:r>
              <w:rPr>
                <w:rFonts w:hint="eastAsia"/>
                <w:color w:val="000000" w:themeColor="text1"/>
                <w:kern w:val="0"/>
                <w:sz w:val="24"/>
                <w:szCs w:val="24"/>
                <w:lang w:bidi="ar"/>
                <w14:textFill>
                  <w14:solidFill>
                    <w14:schemeClr w14:val="tx1"/>
                  </w14:solidFill>
                </w14:textFill>
              </w:rPr>
              <w:t>场内新建支路长8.5km，需拓宽支路长1km，需拓宽主路20.1km，可直接利用水泥路或沥青路长约8km，总长度为37.6km</w:t>
            </w:r>
            <w:r>
              <w:rPr>
                <w:color w:val="000000" w:themeColor="text1"/>
                <w:kern w:val="0"/>
                <w:sz w:val="24"/>
                <w:szCs w:val="24"/>
                <w:lang w:bidi="ar"/>
                <w14:textFill>
                  <w14:solidFill>
                    <w14:schemeClr w14:val="tx1"/>
                  </w14:solidFill>
                </w14:textFill>
              </w:rPr>
              <w:t>。</w:t>
            </w:r>
            <w:r>
              <w:rPr>
                <w:rFonts w:ascii="宋体" w:hAnsi="宋体" w:eastAsia="宋体" w:cs="宋体"/>
                <w:color w:val="000000" w:themeColor="text1"/>
                <w:spacing w:val="-2"/>
                <w:sz w:val="24"/>
                <w:szCs w:val="24"/>
                <w14:textFill>
                  <w14:solidFill>
                    <w14:schemeClr w14:val="tx1"/>
                  </w14:solidFill>
                </w14:textFill>
              </w:rPr>
              <w:t>风电场道路参照四级公路标准，路面采用</w:t>
            </w:r>
            <w:r>
              <w:rPr>
                <w:rFonts w:ascii="宋体" w:hAnsi="宋体" w:eastAsia="宋体" w:cs="宋体"/>
                <w:color w:val="000000" w:themeColor="text1"/>
                <w:spacing w:val="-34"/>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2"/>
                <w:sz w:val="24"/>
                <w:szCs w:val="24"/>
                <w14:textFill>
                  <w14:solidFill>
                    <w14:schemeClr w14:val="tx1"/>
                  </w14:solidFill>
                </w14:textFill>
              </w:rPr>
              <w:t xml:space="preserve">30cm </w:t>
            </w:r>
            <w:r>
              <w:rPr>
                <w:rFonts w:ascii="宋体" w:hAnsi="宋体" w:eastAsia="宋体" w:cs="宋体"/>
                <w:color w:val="000000" w:themeColor="text1"/>
                <w:spacing w:val="-2"/>
                <w:sz w:val="24"/>
                <w:szCs w:val="24"/>
                <w14:textFill>
                  <w14:solidFill>
                    <w14:schemeClr w14:val="tx1"/>
                  </w14:solidFill>
                </w14:textFill>
              </w:rPr>
              <w:t>厚泥结碎石路面，主路路面</w:t>
            </w:r>
            <w:r>
              <w:rPr>
                <w:rFonts w:ascii="宋体" w:hAnsi="宋体" w:eastAsia="宋体" w:cs="宋体"/>
                <w:color w:val="000000" w:themeColor="text1"/>
                <w:spacing w:val="-1"/>
                <w:sz w:val="24"/>
                <w:szCs w:val="24"/>
                <w14:textFill>
                  <w14:solidFill>
                    <w14:schemeClr w14:val="tx1"/>
                  </w14:solidFill>
                </w14:textFill>
              </w:rPr>
              <w:t>宽</w:t>
            </w:r>
            <w:r>
              <w:rPr>
                <w:rFonts w:ascii="宋体" w:hAnsi="宋体" w:eastAsia="宋体" w:cs="宋体"/>
                <w:color w:val="000000" w:themeColor="text1"/>
                <w:spacing w:val="-50"/>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5m</w:t>
            </w:r>
            <w:r>
              <w:rPr>
                <w:rFonts w:ascii="宋体" w:hAnsi="宋体" w:eastAsia="宋体" w:cs="宋体"/>
                <w:color w:val="000000" w:themeColor="text1"/>
                <w:spacing w:val="-1"/>
                <w:sz w:val="24"/>
                <w:szCs w:val="24"/>
                <w14:textFill>
                  <w14:solidFill>
                    <w14:schemeClr w14:val="tx1"/>
                  </w14:solidFill>
                </w14:textFill>
              </w:rPr>
              <w:t>，路基宽</w:t>
            </w:r>
            <w:r>
              <w:rPr>
                <w:rFonts w:ascii="宋体" w:hAnsi="宋体" w:eastAsia="宋体" w:cs="宋体"/>
                <w:color w:val="000000" w:themeColor="text1"/>
                <w:spacing w:val="-50"/>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5.5m</w:t>
            </w:r>
            <w:r>
              <w:rPr>
                <w:rFonts w:ascii="宋体" w:hAnsi="宋体" w:eastAsia="宋体" w:cs="宋体"/>
                <w:color w:val="000000" w:themeColor="text1"/>
                <w:spacing w:val="-1"/>
                <w:sz w:val="24"/>
                <w:szCs w:val="24"/>
                <w14:textFill>
                  <w14:solidFill>
                    <w14:schemeClr w14:val="tx1"/>
                  </w14:solidFill>
                </w14:textFill>
              </w:rPr>
              <w:t>；支路路面宽</w:t>
            </w:r>
            <w:r>
              <w:rPr>
                <w:rFonts w:ascii="宋体" w:hAnsi="宋体" w:eastAsia="宋体" w:cs="宋体"/>
                <w:color w:val="000000" w:themeColor="text1"/>
                <w:spacing w:val="-58"/>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4m</w:t>
            </w:r>
            <w:r>
              <w:rPr>
                <w:rFonts w:ascii="宋体" w:hAnsi="宋体" w:eastAsia="宋体" w:cs="宋体"/>
                <w:color w:val="000000" w:themeColor="text1"/>
                <w:spacing w:val="-1"/>
                <w:sz w:val="24"/>
                <w:szCs w:val="24"/>
                <w14:textFill>
                  <w14:solidFill>
                    <w14:schemeClr w14:val="tx1"/>
                  </w14:solidFill>
                </w14:textFill>
              </w:rPr>
              <w:t>，路基宽</w:t>
            </w:r>
            <w:r>
              <w:rPr>
                <w:rFonts w:ascii="宋体" w:hAnsi="宋体" w:eastAsia="宋体" w:cs="宋体"/>
                <w:color w:val="000000" w:themeColor="text1"/>
                <w:spacing w:val="-58"/>
                <w:sz w:val="24"/>
                <w:szCs w:val="24"/>
                <w14:textFill>
                  <w14:solidFill>
                    <w14:schemeClr w14:val="tx1"/>
                  </w14:solidFill>
                </w14:textFill>
              </w:rPr>
              <w:t xml:space="preserve"> </w:t>
            </w:r>
            <w:r>
              <w:rPr>
                <w:rFonts w:ascii="Times New Roman" w:hAnsi="Times New Roman" w:eastAsia="Times New Roman" w:cs="Times New Roman"/>
                <w:color w:val="000000" w:themeColor="text1"/>
                <w:spacing w:val="-1"/>
                <w:sz w:val="24"/>
                <w:szCs w:val="24"/>
                <w14:textFill>
                  <w14:solidFill>
                    <w14:schemeClr w14:val="tx1"/>
                  </w14:solidFill>
                </w14:textFill>
              </w:rPr>
              <w:t>4.5m</w:t>
            </w:r>
            <w:r>
              <w:rPr>
                <w:color w:val="000000" w:themeColor="text1"/>
                <w:kern w:val="0"/>
                <w:sz w:val="24"/>
                <w:szCs w:val="24"/>
                <w:lang w:bidi="ar"/>
                <w14:textFill>
                  <w14:solidFill>
                    <w14:schemeClr w14:val="tx1"/>
                  </w14:solidFill>
                </w14:textFill>
              </w:rPr>
              <w:t>。施工临时道路连通至每台风机的吊装场地。</w:t>
            </w:r>
          </w:p>
          <w:p w14:paraId="21272E48">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3 \* GB2 \* MERGEFORMAT </w:instrText>
            </w:r>
            <w:r>
              <w:rPr>
                <w:rFonts w:hint="eastAsia"/>
                <w:color w:val="000000" w:themeColor="text1"/>
                <w:sz w:val="24"/>
                <w:szCs w:val="24"/>
                <w14:textFill>
                  <w14:solidFill>
                    <w14:schemeClr w14:val="tx1"/>
                  </w14:solidFill>
                </w14:textFill>
              </w:rPr>
              <w:fldChar w:fldCharType="separate"/>
            </w:r>
            <w:r>
              <w:rPr>
                <w:sz w:val="24"/>
                <w:szCs w:val="24"/>
              </w:rPr>
              <w:t>⑶</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t>施工临建场地</w:t>
            </w:r>
          </w:p>
          <w:p w14:paraId="77275473">
            <w:pPr>
              <w:widowControl/>
              <w:spacing w:line="360" w:lineRule="auto"/>
              <w:ind w:firstLine="480" w:firstLineChars="200"/>
              <w:jc w:val="left"/>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施工临建场地主要为施工材料、机械设备的临时堆场和综合仓库，总占地面积</w:t>
            </w:r>
            <w:r>
              <w:rPr>
                <w:rFonts w:hint="eastAsia"/>
                <w:color w:val="000000" w:themeColor="text1"/>
                <w:sz w:val="24"/>
                <w:szCs w:val="24"/>
                <w:lang w:val="en-US" w:eastAsia="zh-CN"/>
                <w14:textFill>
                  <w14:solidFill>
                    <w14:schemeClr w14:val="tx1"/>
                  </w14:solidFill>
                </w14:textFill>
              </w:rPr>
              <w:t>200</w:t>
            </w:r>
            <w:r>
              <w:rPr>
                <w:rFonts w:hint="eastAsia"/>
                <w:color w:val="000000" w:themeColor="text1"/>
                <w:sz w:val="24"/>
                <w:szCs w:val="24"/>
                <w14:textFill>
                  <w14:solidFill>
                    <w14:schemeClr w14:val="tx1"/>
                  </w14:solidFill>
                </w14:textFill>
              </w:rPr>
              <w:t>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，其中</w:t>
            </w:r>
            <w:r>
              <w:rPr>
                <w:rFonts w:hint="eastAsia" w:ascii="宋体" w:hAnsi="宋体" w:eastAsia="宋体" w:cs="宋体"/>
                <w:color w:val="000000"/>
                <w:kern w:val="0"/>
                <w:sz w:val="24"/>
                <w:szCs w:val="24"/>
                <w:lang w:val="en-US" w:eastAsia="zh-CN" w:bidi="ar"/>
              </w:rPr>
              <w:t>机械修配厂及综合加工系统（包括钢筋加工厂、木材加工厂）</w:t>
            </w:r>
            <w:r>
              <w:rPr>
                <w:rFonts w:hint="eastAsia"/>
                <w:color w:val="000000" w:themeColor="text1"/>
                <w:sz w:val="24"/>
                <w:szCs w:val="24"/>
                <w14:textFill>
                  <w14:solidFill>
                    <w14:schemeClr w14:val="tx1"/>
                  </w14:solidFill>
                </w14:textFill>
              </w:rPr>
              <w:t>占地面积约</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，仓库占地面积</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000m</w:t>
            </w:r>
            <w:r>
              <w:rPr>
                <w:rFonts w:hint="eastAsia"/>
                <w:color w:val="000000" w:themeColor="text1"/>
                <w:sz w:val="24"/>
                <w:szCs w:val="24"/>
                <w:vertAlign w:val="superscript"/>
                <w14:textFill>
                  <w14:solidFill>
                    <w14:schemeClr w14:val="tx1"/>
                  </w14:solidFill>
                </w14:textFill>
              </w:rPr>
              <w:t>2</w:t>
            </w:r>
            <w:r>
              <w:rPr>
                <w:rFonts w:hint="eastAsia"/>
                <w:color w:val="000000" w:themeColor="text1"/>
                <w:sz w:val="24"/>
                <w:szCs w:val="24"/>
                <w14:textFill>
                  <w14:solidFill>
                    <w14:schemeClr w14:val="tx1"/>
                  </w14:solidFill>
                </w14:textFill>
              </w:rPr>
              <w:t>。</w:t>
            </w:r>
          </w:p>
          <w:p w14:paraId="7DDD7494">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6、工程占地</w:t>
            </w:r>
          </w:p>
          <w:p w14:paraId="33CE3AD1">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用地包括永久占地以及临时用地。</w:t>
            </w:r>
          </w:p>
          <w:p w14:paraId="09B330E1">
            <w:pPr>
              <w:pStyle w:val="3"/>
              <w:spacing w:before="0" w:beforeLines="0" w:after="0" w:afterLines="0"/>
              <w:ind w:firstLine="480" w:firstLineChars="200"/>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1 \* GB2 \* MERGEFORMAT </w:instrText>
            </w:r>
            <w:r>
              <w:rPr>
                <w:rFonts w:hint="eastAsia"/>
                <w:color w:val="000000" w:themeColor="text1"/>
                <w:sz w:val="24"/>
                <w:szCs w:val="24"/>
                <w14:textFill>
                  <w14:solidFill>
                    <w14:schemeClr w14:val="tx1"/>
                  </w14:solidFill>
                </w14:textFill>
              </w:rPr>
              <w:fldChar w:fldCharType="separate"/>
            </w:r>
            <w:r>
              <w:rPr>
                <w:sz w:val="24"/>
                <w:szCs w:val="24"/>
              </w:rPr>
              <w:t>⑴</w:t>
            </w:r>
            <w:r>
              <w:rPr>
                <w:rFonts w:hint="eastAsia"/>
                <w:color w:val="000000" w:themeColor="text1"/>
                <w:sz w:val="24"/>
                <w:szCs w:val="24"/>
                <w14:textFill>
                  <w14:solidFill>
                    <w14:schemeClr w14:val="tx1"/>
                  </w14:solidFill>
                </w14:textFill>
              </w:rPr>
              <w:fldChar w:fldCharType="end"/>
            </w:r>
            <w:r>
              <w:rPr>
                <w:rFonts w:hint="eastAsia"/>
                <w:color w:val="000000" w:themeColor="text1"/>
                <w:sz w:val="24"/>
                <w14:textFill>
                  <w14:solidFill>
                    <w14:schemeClr w14:val="tx1"/>
                  </w14:solidFill>
                </w14:textFill>
              </w:rPr>
              <w:t>永久占地</w:t>
            </w:r>
          </w:p>
          <w:p w14:paraId="3A66F01F">
            <w:pPr>
              <w:pStyle w:val="3"/>
              <w:spacing w:before="0" w:beforeLines="0" w:after="0" w:afterLines="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本工程永久占地范围包括：</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台风力发电机组基础（含箱变）涉及的土地面积。本工程永久占地详见表2-6。</w:t>
            </w:r>
          </w:p>
          <w:p w14:paraId="1A169A93">
            <w:pPr>
              <w:pStyle w:val="3"/>
              <w:spacing w:before="0" w:beforeLines="0" w:after="0" w:afterLines="0"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表2-6 永久占地汇总一览表</w:t>
            </w:r>
          </w:p>
          <w:tbl>
            <w:tblPr>
              <w:tblStyle w:val="32"/>
              <w:tblW w:w="7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067"/>
              <w:gridCol w:w="2353"/>
              <w:gridCol w:w="1970"/>
            </w:tblGrid>
            <w:tr w14:paraId="0FCB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67" w:type="dxa"/>
                  <w:vAlign w:val="center"/>
                </w:tcPr>
                <w:p w14:paraId="7034AD8D">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2067" w:type="dxa"/>
                  <w:vAlign w:val="center"/>
                </w:tcPr>
                <w:p w14:paraId="2FF2E43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项目</w:t>
                  </w:r>
                </w:p>
              </w:tc>
              <w:tc>
                <w:tcPr>
                  <w:tcW w:w="2353" w:type="dxa"/>
                  <w:vAlign w:val="center"/>
                </w:tcPr>
                <w:p w14:paraId="142B1FA1">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占地面积（m</w:t>
                  </w:r>
                  <w:r>
                    <w:rPr>
                      <w:rFonts w:hint="eastAsia"/>
                      <w:b w:val="0"/>
                      <w:bCs w:val="0"/>
                      <w:color w:val="000000" w:themeColor="text1"/>
                      <w:sz w:val="21"/>
                      <w:szCs w:val="21"/>
                      <w:vertAlign w:val="superscript"/>
                      <w14:textFill>
                        <w14:solidFill>
                          <w14:schemeClr w14:val="tx1"/>
                        </w14:solidFill>
                      </w14:textFill>
                    </w:rPr>
                    <w:t>2</w:t>
                  </w:r>
                  <w:r>
                    <w:rPr>
                      <w:rFonts w:hint="eastAsia"/>
                      <w:b w:val="0"/>
                      <w:bCs w:val="0"/>
                      <w:color w:val="000000" w:themeColor="text1"/>
                      <w:sz w:val="21"/>
                      <w:szCs w:val="21"/>
                      <w14:textFill>
                        <w14:solidFill>
                          <w14:schemeClr w14:val="tx1"/>
                        </w14:solidFill>
                      </w14:textFill>
                    </w:rPr>
                    <w:t>）</w:t>
                  </w:r>
                </w:p>
              </w:tc>
              <w:tc>
                <w:tcPr>
                  <w:tcW w:w="1970" w:type="dxa"/>
                  <w:vAlign w:val="center"/>
                </w:tcPr>
                <w:p w14:paraId="556915B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占地类型</w:t>
                  </w:r>
                </w:p>
              </w:tc>
            </w:tr>
            <w:tr w14:paraId="5003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67" w:type="dxa"/>
                  <w:vAlign w:val="center"/>
                </w:tcPr>
                <w:p w14:paraId="03B26C0E">
                  <w:pPr>
                    <w:pStyle w:val="10"/>
                    <w:spacing w:after="0"/>
                    <w:ind w:left="0" w:lef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2067" w:type="dxa"/>
                  <w:vAlign w:val="center"/>
                </w:tcPr>
                <w:p w14:paraId="285DD2BB">
                  <w:pPr>
                    <w:pStyle w:val="10"/>
                    <w:spacing w:after="0"/>
                    <w:ind w:left="0" w:leftChars="0"/>
                    <w:jc w:val="center"/>
                    <w:rPr>
                      <w:rFonts w:hint="eastAsia"/>
                      <w:b w:val="0"/>
                      <w:bCs w:val="0"/>
                      <w:color w:val="auto"/>
                      <w:sz w:val="21"/>
                      <w:szCs w:val="21"/>
                    </w:rPr>
                  </w:pPr>
                  <w:r>
                    <w:rPr>
                      <w:rFonts w:hint="eastAsia"/>
                      <w:b w:val="0"/>
                      <w:bCs w:val="0"/>
                      <w:color w:val="auto"/>
                      <w:sz w:val="21"/>
                      <w:szCs w:val="21"/>
                    </w:rPr>
                    <w:t>风机基础</w:t>
                  </w:r>
                </w:p>
              </w:tc>
              <w:tc>
                <w:tcPr>
                  <w:tcW w:w="2353" w:type="dxa"/>
                  <w:vAlign w:val="center"/>
                </w:tcPr>
                <w:p w14:paraId="0D1DF0F6">
                  <w:pPr>
                    <w:pStyle w:val="10"/>
                    <w:spacing w:after="0"/>
                    <w:ind w:left="0" w:leftChars="0"/>
                    <w:jc w:val="center"/>
                    <w:rPr>
                      <w:rFonts w:hint="eastAsia"/>
                      <w:b w:val="0"/>
                      <w:bCs w:val="0"/>
                      <w:color w:val="auto"/>
                      <w:sz w:val="21"/>
                      <w:szCs w:val="21"/>
                    </w:rPr>
                  </w:pPr>
                  <w:r>
                    <w:rPr>
                      <w:rFonts w:ascii="Times New Roman" w:hAnsi="Times New Roman" w:eastAsia="Times New Roman" w:cs="Times New Roman"/>
                      <w:b w:val="0"/>
                      <w:bCs w:val="0"/>
                      <w:color w:val="auto"/>
                      <w:spacing w:val="-1"/>
                      <w:sz w:val="21"/>
                      <w:szCs w:val="21"/>
                    </w:rPr>
                    <w:t>4500</w:t>
                  </w:r>
                </w:p>
              </w:tc>
              <w:tc>
                <w:tcPr>
                  <w:tcW w:w="1970" w:type="dxa"/>
                  <w:vMerge w:val="restart"/>
                  <w:vAlign w:val="center"/>
                </w:tcPr>
                <w:p w14:paraId="74FF1954">
                  <w:pPr>
                    <w:widowControl/>
                    <w:jc w:val="center"/>
                    <w:rPr>
                      <w:rFonts w:hint="default" w:eastAsia="宋体"/>
                      <w:b w:val="0"/>
                      <w:bCs w:val="0"/>
                      <w:color w:val="auto"/>
                      <w:sz w:val="21"/>
                      <w:szCs w:val="21"/>
                      <w:lang w:val="en-US" w:eastAsia="zh-CN"/>
                    </w:rPr>
                  </w:pPr>
                  <w:r>
                    <w:rPr>
                      <w:rFonts w:hint="eastAsia"/>
                      <w:b w:val="0"/>
                      <w:bCs w:val="0"/>
                      <w:color w:val="auto"/>
                      <w:szCs w:val="21"/>
                      <w:lang w:val="en-US" w:eastAsia="zh-CN"/>
                    </w:rPr>
                    <w:t>农用地（其它</w:t>
                  </w:r>
                  <w:r>
                    <w:rPr>
                      <w:rFonts w:hint="eastAsia"/>
                      <w:b w:val="0"/>
                      <w:bCs w:val="0"/>
                      <w:color w:val="auto"/>
                      <w:szCs w:val="21"/>
                    </w:rPr>
                    <w:t>园</w:t>
                  </w:r>
                  <w:r>
                    <w:rPr>
                      <w:rFonts w:hint="eastAsia"/>
                      <w:b w:val="0"/>
                      <w:bCs w:val="0"/>
                      <w:color w:val="auto"/>
                      <w:szCs w:val="21"/>
                      <w:lang w:val="en-US" w:eastAsia="zh-CN"/>
                    </w:rPr>
                    <w:t>地</w:t>
                  </w:r>
                  <w:r>
                    <w:rPr>
                      <w:rFonts w:hint="eastAsia"/>
                      <w:b w:val="0"/>
                      <w:bCs w:val="0"/>
                      <w:color w:val="auto"/>
                      <w:szCs w:val="21"/>
                    </w:rPr>
                    <w:t>、</w:t>
                  </w:r>
                  <w:r>
                    <w:rPr>
                      <w:rFonts w:hint="eastAsia"/>
                      <w:b w:val="0"/>
                      <w:bCs w:val="0"/>
                      <w:color w:val="auto"/>
                      <w:szCs w:val="21"/>
                      <w:lang w:val="en-US" w:eastAsia="zh-CN"/>
                    </w:rPr>
                    <w:t>灌木林地、其它林地、其它草地）</w:t>
                  </w:r>
                </w:p>
              </w:tc>
            </w:tr>
            <w:tr w14:paraId="1145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367" w:type="dxa"/>
                  <w:vAlign w:val="center"/>
                </w:tcPr>
                <w:p w14:paraId="1DE7E7AB">
                  <w:pPr>
                    <w:pStyle w:val="10"/>
                    <w:spacing w:after="0"/>
                    <w:ind w:left="0" w:leftChars="0"/>
                    <w:jc w:val="center"/>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2</w:t>
                  </w:r>
                </w:p>
              </w:tc>
              <w:tc>
                <w:tcPr>
                  <w:tcW w:w="2067" w:type="dxa"/>
                  <w:vAlign w:val="center"/>
                </w:tcPr>
                <w:p w14:paraId="64AF52FA">
                  <w:pPr>
                    <w:widowControl/>
                    <w:jc w:val="center"/>
                    <w:rPr>
                      <w:b w:val="0"/>
                      <w:bCs w:val="0"/>
                      <w:color w:val="auto"/>
                      <w:sz w:val="21"/>
                      <w:szCs w:val="21"/>
                    </w:rPr>
                  </w:pPr>
                  <w:r>
                    <w:rPr>
                      <w:rFonts w:hint="eastAsia"/>
                      <w:b w:val="0"/>
                      <w:bCs w:val="0"/>
                      <w:color w:val="auto"/>
                      <w:sz w:val="21"/>
                      <w:szCs w:val="21"/>
                    </w:rPr>
                    <w:t>箱变基础</w:t>
                  </w:r>
                </w:p>
              </w:tc>
              <w:tc>
                <w:tcPr>
                  <w:tcW w:w="2353" w:type="dxa"/>
                  <w:vAlign w:val="center"/>
                </w:tcPr>
                <w:p w14:paraId="350F2214">
                  <w:pPr>
                    <w:widowControl/>
                    <w:jc w:val="center"/>
                    <w:rPr>
                      <w:b w:val="0"/>
                      <w:bCs w:val="0"/>
                      <w:color w:val="auto"/>
                      <w:sz w:val="21"/>
                      <w:szCs w:val="21"/>
                    </w:rPr>
                  </w:pPr>
                  <w:r>
                    <w:rPr>
                      <w:rFonts w:hint="eastAsia"/>
                      <w:b w:val="0"/>
                      <w:bCs w:val="0"/>
                      <w:color w:val="auto"/>
                      <w:sz w:val="21"/>
                      <w:szCs w:val="21"/>
                      <w:lang w:val="en-US" w:eastAsia="zh-CN"/>
                    </w:rPr>
                    <w:t>385</w:t>
                  </w:r>
                </w:p>
              </w:tc>
              <w:tc>
                <w:tcPr>
                  <w:tcW w:w="1970" w:type="dxa"/>
                  <w:vMerge w:val="continue"/>
                  <w:vAlign w:val="center"/>
                </w:tcPr>
                <w:p w14:paraId="209B2A44">
                  <w:pPr>
                    <w:widowControl/>
                    <w:jc w:val="center"/>
                    <w:rPr>
                      <w:b w:val="0"/>
                      <w:bCs w:val="0"/>
                      <w:color w:val="auto"/>
                      <w:sz w:val="21"/>
                      <w:szCs w:val="21"/>
                    </w:rPr>
                  </w:pPr>
                </w:p>
              </w:tc>
            </w:tr>
            <w:tr w14:paraId="7FB3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7" w:type="dxa"/>
                  <w:vAlign w:val="center"/>
                </w:tcPr>
                <w:p w14:paraId="3F5B1882">
                  <w:pPr>
                    <w:pStyle w:val="10"/>
                    <w:spacing w:after="0"/>
                    <w:ind w:left="0" w:leftChars="0"/>
                    <w:jc w:val="center"/>
                    <w:rPr>
                      <w:rFonts w:hint="default"/>
                      <w:b w:val="0"/>
                      <w:bCs w:val="0"/>
                      <w:color w:val="000000" w:themeColor="text1"/>
                      <w:sz w:val="21"/>
                      <w:szCs w:val="21"/>
                      <w:lang w:val="en-US" w:eastAsia="zh-CN"/>
                      <w14:textFill>
                        <w14:solidFill>
                          <w14:schemeClr w14:val="tx1"/>
                        </w14:solidFill>
                      </w14:textFill>
                    </w:rPr>
                  </w:pPr>
                  <w:r>
                    <w:rPr>
                      <w:rFonts w:hint="eastAsia"/>
                      <w:b w:val="0"/>
                      <w:bCs w:val="0"/>
                      <w:color w:val="000000" w:themeColor="text1"/>
                      <w:sz w:val="21"/>
                      <w:szCs w:val="21"/>
                      <w:lang w:val="en-US" w:eastAsia="zh-CN"/>
                      <w14:textFill>
                        <w14:solidFill>
                          <w14:schemeClr w14:val="tx1"/>
                        </w14:solidFill>
                      </w14:textFill>
                    </w:rPr>
                    <w:t>3</w:t>
                  </w:r>
                </w:p>
              </w:tc>
              <w:tc>
                <w:tcPr>
                  <w:tcW w:w="2067" w:type="dxa"/>
                  <w:vAlign w:val="center"/>
                </w:tcPr>
                <w:p w14:paraId="639A7DC3">
                  <w:pPr>
                    <w:widowControl/>
                    <w:jc w:val="center"/>
                    <w:rPr>
                      <w:rFonts w:hint="default"/>
                      <w:b w:val="0"/>
                      <w:bCs w:val="0"/>
                      <w:color w:val="auto"/>
                      <w:sz w:val="21"/>
                      <w:szCs w:val="21"/>
                      <w:lang w:val="en-US" w:eastAsia="zh-CN"/>
                    </w:rPr>
                  </w:pPr>
                  <w:r>
                    <w:rPr>
                      <w:b w:val="0"/>
                      <w:bCs w:val="0"/>
                      <w:color w:val="auto"/>
                      <w:spacing w:val="-2"/>
                    </w:rPr>
                    <w:t>线路基（输电线路塔杆）</w:t>
                  </w:r>
                </w:p>
              </w:tc>
              <w:tc>
                <w:tcPr>
                  <w:tcW w:w="2353" w:type="dxa"/>
                  <w:vAlign w:val="center"/>
                </w:tcPr>
                <w:p w14:paraId="77761792">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Times New Roman" w:hAnsi="Times New Roman" w:eastAsia="Times New Roman" w:cs="Times New Roman"/>
                      <w:color w:val="auto"/>
                      <w:kern w:val="2"/>
                      <w:sz w:val="21"/>
                      <w:szCs w:val="21"/>
                      <w:lang w:val="en-US" w:eastAsia="zh-CN" w:bidi="ar-SA"/>
                    </w:rPr>
                  </w:pPr>
                  <w:r>
                    <w:rPr>
                      <w:rFonts w:ascii="Times New Roman" w:hAnsi="Times New Roman" w:eastAsia="Times New Roman" w:cs="Times New Roman"/>
                      <w:color w:val="auto"/>
                      <w:spacing w:val="-6"/>
                      <w:sz w:val="21"/>
                      <w:szCs w:val="21"/>
                    </w:rPr>
                    <w:t>184</w:t>
                  </w:r>
                </w:p>
              </w:tc>
              <w:tc>
                <w:tcPr>
                  <w:tcW w:w="1970" w:type="dxa"/>
                  <w:vMerge w:val="continue"/>
                  <w:vAlign w:val="center"/>
                </w:tcPr>
                <w:p w14:paraId="1DA8E2F1">
                  <w:pPr>
                    <w:widowControl/>
                    <w:jc w:val="center"/>
                    <w:rPr>
                      <w:rFonts w:hint="eastAsia"/>
                      <w:b w:val="0"/>
                      <w:bCs w:val="0"/>
                      <w:color w:val="000000" w:themeColor="text1"/>
                      <w:sz w:val="21"/>
                      <w:szCs w:val="21"/>
                      <w14:textFill>
                        <w14:solidFill>
                          <w14:schemeClr w14:val="tx1"/>
                        </w14:solidFill>
                      </w14:textFill>
                    </w:rPr>
                  </w:pPr>
                </w:p>
              </w:tc>
            </w:tr>
            <w:tr w14:paraId="3FBA2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367" w:type="dxa"/>
                  <w:vAlign w:val="center"/>
                </w:tcPr>
                <w:p w14:paraId="54463775">
                  <w:pPr>
                    <w:pStyle w:val="10"/>
                    <w:spacing w:after="0"/>
                    <w:ind w:left="0" w:leftChars="0"/>
                    <w:jc w:val="center"/>
                    <w:rPr>
                      <w:rFonts w:hint="eastAsia"/>
                      <w:b w:val="0"/>
                      <w:bCs w:val="0"/>
                      <w:color w:val="000000" w:themeColor="text1"/>
                      <w:sz w:val="21"/>
                      <w:szCs w:val="21"/>
                      <w:lang w:val="en-US" w:eastAsia="zh-CN"/>
                      <w14:textFill>
                        <w14:solidFill>
                          <w14:schemeClr w14:val="tx1"/>
                        </w14:solidFill>
                      </w14:textFill>
                    </w:rPr>
                  </w:pPr>
                </w:p>
              </w:tc>
              <w:tc>
                <w:tcPr>
                  <w:tcW w:w="2067" w:type="dxa"/>
                  <w:vAlign w:val="center"/>
                </w:tcPr>
                <w:p w14:paraId="0049FAC3">
                  <w:pPr>
                    <w:widowControl/>
                    <w:jc w:val="center"/>
                    <w:rPr>
                      <w:rFonts w:hint="eastAsia" w:ascii="Times New Roman" w:hAnsi="Times New Roman" w:eastAsia="宋体" w:cs="Times New Roman"/>
                      <w:b w:val="0"/>
                      <w:bCs w:val="0"/>
                      <w:color w:val="auto"/>
                      <w:kern w:val="2"/>
                      <w:sz w:val="21"/>
                      <w:szCs w:val="21"/>
                      <w:lang w:val="en-US" w:eastAsia="zh-CN" w:bidi="ar-SA"/>
                    </w:rPr>
                  </w:pPr>
                  <w:r>
                    <w:rPr>
                      <w:rFonts w:hint="eastAsia"/>
                      <w:b w:val="0"/>
                      <w:bCs w:val="0"/>
                      <w:color w:val="auto"/>
                      <w:sz w:val="21"/>
                      <w:szCs w:val="21"/>
                      <w:lang w:val="en-US" w:eastAsia="zh-CN"/>
                    </w:rPr>
                    <w:t>合计</w:t>
                  </w:r>
                </w:p>
              </w:tc>
              <w:tc>
                <w:tcPr>
                  <w:tcW w:w="2353" w:type="dxa"/>
                  <w:vAlign w:val="center"/>
                </w:tcPr>
                <w:p w14:paraId="4229C888">
                  <w:pPr>
                    <w:widowControl/>
                    <w:jc w:val="center"/>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5069</w:t>
                  </w:r>
                </w:p>
              </w:tc>
              <w:tc>
                <w:tcPr>
                  <w:tcW w:w="1970" w:type="dxa"/>
                  <w:vAlign w:val="center"/>
                </w:tcPr>
                <w:p w14:paraId="565DC30E">
                  <w:pPr>
                    <w:widowControl/>
                    <w:jc w:val="center"/>
                    <w:rPr>
                      <w:rFonts w:hint="eastAsia"/>
                      <w:b w:val="0"/>
                      <w:bCs w:val="0"/>
                      <w:color w:val="000000" w:themeColor="text1"/>
                      <w:sz w:val="21"/>
                      <w:szCs w:val="21"/>
                      <w14:textFill>
                        <w14:solidFill>
                          <w14:schemeClr w14:val="tx1"/>
                        </w14:solidFill>
                      </w14:textFill>
                    </w:rPr>
                  </w:pPr>
                </w:p>
              </w:tc>
            </w:tr>
          </w:tbl>
          <w:p w14:paraId="581ACCF9">
            <w:pPr>
              <w:pStyle w:val="3"/>
              <w:spacing w:before="0" w:beforeLines="0" w:after="0" w:afterLines="0"/>
              <w:ind w:firstLine="480" w:firstLineChars="200"/>
              <w:rPr>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fldChar w:fldCharType="begin"/>
            </w:r>
            <w:r>
              <w:rPr>
                <w:rFonts w:hint="eastAsia"/>
                <w:color w:val="000000" w:themeColor="text1"/>
                <w:sz w:val="24"/>
                <w:szCs w:val="24"/>
                <w14:textFill>
                  <w14:solidFill>
                    <w14:schemeClr w14:val="tx1"/>
                  </w14:solidFill>
                </w14:textFill>
              </w:rPr>
              <w:instrText xml:space="preserve"> = 2 \* GB2 \* MERGEFORMAT </w:instrText>
            </w:r>
            <w:r>
              <w:rPr>
                <w:rFonts w:hint="eastAsia"/>
                <w:color w:val="000000" w:themeColor="text1"/>
                <w:sz w:val="24"/>
                <w:szCs w:val="24"/>
                <w14:textFill>
                  <w14:solidFill>
                    <w14:schemeClr w14:val="tx1"/>
                  </w14:solidFill>
                </w14:textFill>
              </w:rPr>
              <w:fldChar w:fldCharType="separate"/>
            </w:r>
            <w:r>
              <w:rPr>
                <w:sz w:val="24"/>
                <w:szCs w:val="24"/>
              </w:rPr>
              <w:t>⑵</w:t>
            </w:r>
            <w:r>
              <w:rPr>
                <w:rFonts w:hint="eastAsia"/>
                <w:color w:val="000000" w:themeColor="text1"/>
                <w:sz w:val="24"/>
                <w:szCs w:val="24"/>
                <w14:textFill>
                  <w14:solidFill>
                    <w14:schemeClr w14:val="tx1"/>
                  </w14:solidFill>
                </w14:textFill>
              </w:rPr>
              <w:fldChar w:fldCharType="end"/>
            </w:r>
            <w:r>
              <w:rPr>
                <w:rFonts w:hint="eastAsia"/>
                <w:color w:val="000000" w:themeColor="text1"/>
                <w:sz w:val="24"/>
                <w14:textFill>
                  <w14:solidFill>
                    <w14:schemeClr w14:val="tx1"/>
                  </w14:solidFill>
                </w14:textFill>
              </w:rPr>
              <w:t>临时用地</w:t>
            </w:r>
          </w:p>
          <w:p w14:paraId="17365B47">
            <w:pPr>
              <w:pStyle w:val="3"/>
              <w:spacing w:before="0" w:beforeLines="0" w:after="0" w:afterLines="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本工程临时用地范围包括：施工检修道路，吊装平台、临时施工用地、施工道路临时用地、塔基组装等施工临时设施所涉及的土地面积。本工程临时占地详见表2-7。</w:t>
            </w:r>
          </w:p>
          <w:p w14:paraId="1B587F13">
            <w:pPr>
              <w:pStyle w:val="3"/>
              <w:spacing w:before="0" w:beforeLines="0" w:after="0" w:afterLines="0"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表2-7 临时用地汇总一览表</w:t>
            </w:r>
          </w:p>
          <w:tbl>
            <w:tblPr>
              <w:tblStyle w:val="32"/>
              <w:tblW w:w="7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319"/>
              <w:gridCol w:w="2602"/>
              <w:gridCol w:w="1788"/>
              <w:gridCol w:w="1210"/>
            </w:tblGrid>
            <w:tr w14:paraId="3D6B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Align w:val="center"/>
                </w:tcPr>
                <w:p w14:paraId="2D0FABE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序号</w:t>
                  </w:r>
                </w:p>
              </w:tc>
              <w:tc>
                <w:tcPr>
                  <w:tcW w:w="3921" w:type="dxa"/>
                  <w:gridSpan w:val="2"/>
                  <w:vAlign w:val="center"/>
                </w:tcPr>
                <w:p w14:paraId="4D43B3DC">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项目</w:t>
                  </w:r>
                </w:p>
              </w:tc>
              <w:tc>
                <w:tcPr>
                  <w:tcW w:w="1788" w:type="dxa"/>
                  <w:vAlign w:val="center"/>
                </w:tcPr>
                <w:p w14:paraId="3957D610">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占地面积（m</w:t>
                  </w:r>
                  <w:r>
                    <w:rPr>
                      <w:rFonts w:hint="eastAsia"/>
                      <w:b w:val="0"/>
                      <w:bCs w:val="0"/>
                      <w:color w:val="000000" w:themeColor="text1"/>
                      <w:sz w:val="21"/>
                      <w:szCs w:val="21"/>
                      <w:vertAlign w:val="superscript"/>
                      <w14:textFill>
                        <w14:solidFill>
                          <w14:schemeClr w14:val="tx1"/>
                        </w14:solidFill>
                      </w14:textFill>
                    </w:rPr>
                    <w:t>2</w:t>
                  </w:r>
                  <w:r>
                    <w:rPr>
                      <w:rFonts w:hint="eastAsia"/>
                      <w:b w:val="0"/>
                      <w:bCs w:val="0"/>
                      <w:color w:val="000000" w:themeColor="text1"/>
                      <w:sz w:val="21"/>
                      <w:szCs w:val="21"/>
                      <w14:textFill>
                        <w14:solidFill>
                          <w14:schemeClr w14:val="tx1"/>
                        </w14:solidFill>
                      </w14:textFill>
                    </w:rPr>
                    <w:t>）</w:t>
                  </w:r>
                </w:p>
              </w:tc>
              <w:tc>
                <w:tcPr>
                  <w:tcW w:w="1210" w:type="dxa"/>
                  <w:vAlign w:val="center"/>
                </w:tcPr>
                <w:p w14:paraId="79BC072A">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占地类型</w:t>
                  </w:r>
                </w:p>
              </w:tc>
            </w:tr>
            <w:tr w14:paraId="714F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restart"/>
                  <w:vAlign w:val="center"/>
                </w:tcPr>
                <w:p w14:paraId="6C3A882F">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1</w:t>
                  </w:r>
                </w:p>
              </w:tc>
              <w:tc>
                <w:tcPr>
                  <w:tcW w:w="1319" w:type="dxa"/>
                  <w:vMerge w:val="restart"/>
                  <w:vAlign w:val="center"/>
                </w:tcPr>
                <w:p w14:paraId="1C87517D">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长期租地（租21年）</w:t>
                  </w:r>
                </w:p>
              </w:tc>
              <w:tc>
                <w:tcPr>
                  <w:tcW w:w="2602" w:type="dxa"/>
                  <w:vAlign w:val="center"/>
                </w:tcPr>
                <w:p w14:paraId="0E4DD6CB">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检修道路</w:t>
                  </w:r>
                </w:p>
              </w:tc>
              <w:tc>
                <w:tcPr>
                  <w:tcW w:w="1788" w:type="dxa"/>
                  <w:vAlign w:val="top"/>
                </w:tcPr>
                <w:p w14:paraId="5B35EDEE">
                  <w:pPr>
                    <w:spacing w:before="54"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2"/>
                      <w:sz w:val="21"/>
                      <w:szCs w:val="21"/>
                    </w:rPr>
                    <w:t>59235</w:t>
                  </w:r>
                </w:p>
              </w:tc>
              <w:tc>
                <w:tcPr>
                  <w:tcW w:w="1210" w:type="dxa"/>
                  <w:vMerge w:val="restart"/>
                  <w:vAlign w:val="center"/>
                </w:tcPr>
                <w:p w14:paraId="3EF5A88A">
                  <w:pPr>
                    <w:widowControl/>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auto"/>
                      <w:szCs w:val="21"/>
                      <w:lang w:val="en-US" w:eastAsia="zh-CN"/>
                    </w:rPr>
                    <w:t>农用地（其它</w:t>
                  </w:r>
                  <w:r>
                    <w:rPr>
                      <w:rFonts w:hint="eastAsia"/>
                      <w:b w:val="0"/>
                      <w:bCs w:val="0"/>
                      <w:color w:val="auto"/>
                      <w:szCs w:val="21"/>
                    </w:rPr>
                    <w:t>园</w:t>
                  </w:r>
                  <w:r>
                    <w:rPr>
                      <w:rFonts w:hint="eastAsia"/>
                      <w:b w:val="0"/>
                      <w:bCs w:val="0"/>
                      <w:color w:val="auto"/>
                      <w:szCs w:val="21"/>
                      <w:lang w:val="en-US" w:eastAsia="zh-CN"/>
                    </w:rPr>
                    <w:t>地</w:t>
                  </w:r>
                  <w:r>
                    <w:rPr>
                      <w:rFonts w:hint="eastAsia"/>
                      <w:b w:val="0"/>
                      <w:bCs w:val="0"/>
                      <w:color w:val="auto"/>
                      <w:szCs w:val="21"/>
                    </w:rPr>
                    <w:t>、</w:t>
                  </w:r>
                  <w:r>
                    <w:rPr>
                      <w:rFonts w:hint="eastAsia"/>
                      <w:b w:val="0"/>
                      <w:bCs w:val="0"/>
                      <w:color w:val="auto"/>
                      <w:szCs w:val="21"/>
                      <w:lang w:val="en-US" w:eastAsia="zh-CN"/>
                    </w:rPr>
                    <w:t>灌木林地、其它林地、农村道路、其它草地）</w:t>
                  </w:r>
                </w:p>
              </w:tc>
            </w:tr>
            <w:tr w14:paraId="4CF1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7" w:type="dxa"/>
                  <w:vMerge w:val="continue"/>
                  <w:vAlign w:val="center"/>
                </w:tcPr>
                <w:p w14:paraId="1483F2EF">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250B7499">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center"/>
                </w:tcPr>
                <w:p w14:paraId="4384C6C8">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直埋电缆</w:t>
                  </w:r>
                </w:p>
              </w:tc>
              <w:tc>
                <w:tcPr>
                  <w:tcW w:w="1788" w:type="dxa"/>
                  <w:vAlign w:val="top"/>
                </w:tcPr>
                <w:p w14:paraId="57CABF25">
                  <w:pPr>
                    <w:spacing w:before="56"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2"/>
                      <w:sz w:val="21"/>
                      <w:szCs w:val="21"/>
                    </w:rPr>
                    <w:t>728</w:t>
                  </w:r>
                </w:p>
              </w:tc>
              <w:tc>
                <w:tcPr>
                  <w:tcW w:w="1210" w:type="dxa"/>
                  <w:vMerge w:val="continue"/>
                  <w:vAlign w:val="center"/>
                </w:tcPr>
                <w:p w14:paraId="1813DC24">
                  <w:pPr>
                    <w:widowControl/>
                    <w:jc w:val="center"/>
                    <w:rPr>
                      <w:b w:val="0"/>
                      <w:bCs w:val="0"/>
                      <w:color w:val="000000" w:themeColor="text1"/>
                      <w:szCs w:val="21"/>
                      <w14:textFill>
                        <w14:solidFill>
                          <w14:schemeClr w14:val="tx1"/>
                        </w14:solidFill>
                      </w14:textFill>
                    </w:rPr>
                  </w:pPr>
                </w:p>
              </w:tc>
            </w:tr>
            <w:tr w14:paraId="4D97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restart"/>
                  <w:shd w:val="clear" w:color="auto" w:fill="auto"/>
                  <w:vAlign w:val="center"/>
                </w:tcPr>
                <w:p w14:paraId="54D5926E">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2</w:t>
                  </w:r>
                </w:p>
              </w:tc>
              <w:tc>
                <w:tcPr>
                  <w:tcW w:w="1319" w:type="dxa"/>
                  <w:vMerge w:val="restart"/>
                  <w:shd w:val="clear" w:color="auto" w:fill="auto"/>
                  <w:vAlign w:val="center"/>
                </w:tcPr>
                <w:p w14:paraId="205F6ABE">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临时租地（租1年）</w:t>
                  </w:r>
                </w:p>
              </w:tc>
              <w:tc>
                <w:tcPr>
                  <w:tcW w:w="2602" w:type="dxa"/>
                  <w:shd w:val="clear" w:color="auto" w:fill="auto"/>
                  <w:vAlign w:val="center"/>
                </w:tcPr>
                <w:p w14:paraId="078EBA44">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吊装平台</w:t>
                  </w:r>
                </w:p>
              </w:tc>
              <w:tc>
                <w:tcPr>
                  <w:tcW w:w="1788" w:type="dxa"/>
                  <w:shd w:val="clear" w:color="auto" w:fill="auto"/>
                  <w:vAlign w:val="top"/>
                </w:tcPr>
                <w:p w14:paraId="098C81DF">
                  <w:pPr>
                    <w:spacing w:before="54"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2"/>
                      <w:sz w:val="21"/>
                      <w:szCs w:val="21"/>
                    </w:rPr>
                    <w:t>51500</w:t>
                  </w:r>
                </w:p>
              </w:tc>
              <w:tc>
                <w:tcPr>
                  <w:tcW w:w="1210" w:type="dxa"/>
                  <w:vMerge w:val="continue"/>
                  <w:shd w:val="clear" w:color="auto" w:fill="auto"/>
                  <w:vAlign w:val="center"/>
                </w:tcPr>
                <w:p w14:paraId="6E5F0035">
                  <w:pPr>
                    <w:widowControl/>
                    <w:jc w:val="center"/>
                    <w:rPr>
                      <w:b w:val="0"/>
                      <w:bCs w:val="0"/>
                      <w:color w:val="000000" w:themeColor="text1"/>
                      <w:szCs w:val="21"/>
                      <w14:textFill>
                        <w14:solidFill>
                          <w14:schemeClr w14:val="tx1"/>
                        </w14:solidFill>
                      </w14:textFill>
                    </w:rPr>
                  </w:pPr>
                </w:p>
              </w:tc>
            </w:tr>
            <w:tr w14:paraId="3C18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vAlign w:val="center"/>
                </w:tcPr>
                <w:p w14:paraId="54AA5A34">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265369B0">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center"/>
                </w:tcPr>
                <w:p w14:paraId="690A54E2">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临时施工用地</w:t>
                  </w:r>
                </w:p>
              </w:tc>
              <w:tc>
                <w:tcPr>
                  <w:tcW w:w="1788" w:type="dxa"/>
                  <w:vAlign w:val="top"/>
                </w:tcPr>
                <w:p w14:paraId="4C675B09">
                  <w:pPr>
                    <w:spacing w:before="56"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1"/>
                      <w:sz w:val="21"/>
                      <w:szCs w:val="21"/>
                    </w:rPr>
                    <w:t>4000</w:t>
                  </w:r>
                </w:p>
              </w:tc>
              <w:tc>
                <w:tcPr>
                  <w:tcW w:w="1210" w:type="dxa"/>
                  <w:vMerge w:val="continue"/>
                  <w:vAlign w:val="center"/>
                </w:tcPr>
                <w:p w14:paraId="341C488E">
                  <w:pPr>
                    <w:widowControl/>
                    <w:jc w:val="center"/>
                    <w:rPr>
                      <w:b w:val="0"/>
                      <w:bCs w:val="0"/>
                      <w:color w:val="000000" w:themeColor="text1"/>
                      <w:szCs w:val="21"/>
                      <w14:textFill>
                        <w14:solidFill>
                          <w14:schemeClr w14:val="tx1"/>
                        </w14:solidFill>
                      </w14:textFill>
                    </w:rPr>
                  </w:pPr>
                </w:p>
              </w:tc>
            </w:tr>
            <w:tr w14:paraId="19EC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vAlign w:val="center"/>
                </w:tcPr>
                <w:p w14:paraId="075EB376">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57175795">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center"/>
                </w:tcPr>
                <w:p w14:paraId="3587E54B">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施工道路临时用地</w:t>
                  </w:r>
                </w:p>
              </w:tc>
              <w:tc>
                <w:tcPr>
                  <w:tcW w:w="1788" w:type="dxa"/>
                  <w:vAlign w:val="top"/>
                </w:tcPr>
                <w:p w14:paraId="397432E2">
                  <w:pPr>
                    <w:spacing w:before="56"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1"/>
                      <w:sz w:val="21"/>
                      <w:szCs w:val="21"/>
                    </w:rPr>
                    <w:t>316855</w:t>
                  </w:r>
                </w:p>
              </w:tc>
              <w:tc>
                <w:tcPr>
                  <w:tcW w:w="1210" w:type="dxa"/>
                  <w:vMerge w:val="continue"/>
                  <w:vAlign w:val="center"/>
                </w:tcPr>
                <w:p w14:paraId="39D0CA44">
                  <w:pPr>
                    <w:widowControl/>
                    <w:jc w:val="center"/>
                    <w:rPr>
                      <w:b w:val="0"/>
                      <w:bCs w:val="0"/>
                      <w:color w:val="000000" w:themeColor="text1"/>
                      <w:szCs w:val="21"/>
                      <w14:textFill>
                        <w14:solidFill>
                          <w14:schemeClr w14:val="tx1"/>
                        </w14:solidFill>
                      </w14:textFill>
                    </w:rPr>
                  </w:pPr>
                </w:p>
              </w:tc>
            </w:tr>
            <w:tr w14:paraId="77F8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shd w:val="clear" w:color="auto" w:fill="auto"/>
                  <w:vAlign w:val="center"/>
                </w:tcPr>
                <w:p w14:paraId="1A892AA6">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1B35ED3C">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center"/>
                </w:tcPr>
                <w:p w14:paraId="7EDAE2D8">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塔基组装场地</w:t>
                  </w:r>
                </w:p>
              </w:tc>
              <w:tc>
                <w:tcPr>
                  <w:tcW w:w="1788" w:type="dxa"/>
                  <w:vAlign w:val="top"/>
                </w:tcPr>
                <w:p w14:paraId="2E3D86AF">
                  <w:pPr>
                    <w:spacing w:before="59" w:line="187" w:lineRule="auto"/>
                    <w:jc w:val="center"/>
                    <w:rPr>
                      <w:b w:val="0"/>
                      <w:bCs w:val="0"/>
                      <w:color w:val="000000" w:themeColor="text1"/>
                      <w:szCs w:val="21"/>
                      <w14:textFill>
                        <w14:solidFill>
                          <w14:schemeClr w14:val="tx1"/>
                        </w14:solidFill>
                      </w14:textFill>
                    </w:rPr>
                  </w:pPr>
                  <w:r>
                    <w:rPr>
                      <w:rFonts w:ascii="Times New Roman" w:hAnsi="Times New Roman" w:eastAsia="Times New Roman" w:cs="Times New Roman"/>
                      <w:spacing w:val="-1"/>
                      <w:sz w:val="21"/>
                      <w:szCs w:val="21"/>
                    </w:rPr>
                    <w:t>24840</w:t>
                  </w:r>
                </w:p>
              </w:tc>
              <w:tc>
                <w:tcPr>
                  <w:tcW w:w="1210" w:type="dxa"/>
                  <w:vMerge w:val="continue"/>
                  <w:vAlign w:val="center"/>
                </w:tcPr>
                <w:p w14:paraId="0964B820">
                  <w:pPr>
                    <w:widowControl/>
                    <w:jc w:val="center"/>
                    <w:rPr>
                      <w:b w:val="0"/>
                      <w:bCs w:val="0"/>
                      <w:color w:val="000000" w:themeColor="text1"/>
                      <w:szCs w:val="21"/>
                      <w14:textFill>
                        <w14:solidFill>
                          <w14:schemeClr w14:val="tx1"/>
                        </w14:solidFill>
                      </w14:textFill>
                    </w:rPr>
                  </w:pPr>
                </w:p>
              </w:tc>
            </w:tr>
            <w:tr w14:paraId="10EF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shd w:val="clear" w:color="auto" w:fill="auto"/>
                  <w:vAlign w:val="center"/>
                </w:tcPr>
                <w:p w14:paraId="0EB660A9">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05A6F99B">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center"/>
                </w:tcPr>
                <w:p w14:paraId="71C26A59">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塔基施工便道</w:t>
                  </w:r>
                </w:p>
              </w:tc>
              <w:tc>
                <w:tcPr>
                  <w:tcW w:w="1788" w:type="dxa"/>
                  <w:vAlign w:val="center"/>
                </w:tcPr>
                <w:p w14:paraId="4A76DDA1">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27600</w:t>
                  </w:r>
                </w:p>
              </w:tc>
              <w:tc>
                <w:tcPr>
                  <w:tcW w:w="1210" w:type="dxa"/>
                  <w:vMerge w:val="continue"/>
                  <w:vAlign w:val="center"/>
                </w:tcPr>
                <w:p w14:paraId="4D2148B9">
                  <w:pPr>
                    <w:widowControl/>
                    <w:jc w:val="center"/>
                    <w:rPr>
                      <w:b w:val="0"/>
                      <w:bCs w:val="0"/>
                      <w:color w:val="000000" w:themeColor="text1"/>
                      <w:szCs w:val="21"/>
                      <w14:textFill>
                        <w14:solidFill>
                          <w14:schemeClr w14:val="tx1"/>
                        </w14:solidFill>
                      </w14:textFill>
                    </w:rPr>
                  </w:pPr>
                </w:p>
              </w:tc>
            </w:tr>
            <w:tr w14:paraId="573D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shd w:val="clear" w:color="auto" w:fill="auto"/>
                  <w:vAlign w:val="center"/>
                </w:tcPr>
                <w:p w14:paraId="59CB3337">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15D529BB">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top"/>
                </w:tcPr>
                <w:p w14:paraId="45190D25">
                  <w:pPr>
                    <w:pStyle w:val="105"/>
                    <w:spacing w:before="27" w:line="221" w:lineRule="auto"/>
                    <w:ind w:left="118" w:leftChars="0"/>
                    <w:jc w:val="center"/>
                    <w:rPr>
                      <w:rFonts w:hint="eastAsia"/>
                      <w:b w:val="0"/>
                      <w:bCs w:val="0"/>
                      <w:color w:val="000000" w:themeColor="text1"/>
                      <w:szCs w:val="21"/>
                      <w14:textFill>
                        <w14:solidFill>
                          <w14:schemeClr w14:val="tx1"/>
                        </w14:solidFill>
                      </w14:textFill>
                    </w:rPr>
                  </w:pPr>
                  <w:r>
                    <w:rPr>
                      <w:spacing w:val="-4"/>
                    </w:rPr>
                    <w:t>二次倒运堆场</w:t>
                  </w:r>
                </w:p>
              </w:tc>
              <w:tc>
                <w:tcPr>
                  <w:tcW w:w="1788" w:type="dxa"/>
                  <w:vAlign w:val="top"/>
                </w:tcPr>
                <w:p w14:paraId="3FCFF120">
                  <w:pPr>
                    <w:spacing w:before="56" w:line="187" w:lineRule="auto"/>
                    <w:jc w:val="center"/>
                    <w:rPr>
                      <w:rFonts w:hint="eastAsia"/>
                      <w:b w:val="0"/>
                      <w:bCs w:val="0"/>
                      <w:color w:val="000000" w:themeColor="text1"/>
                      <w:szCs w:val="21"/>
                      <w14:textFill>
                        <w14:solidFill>
                          <w14:schemeClr w14:val="tx1"/>
                        </w14:solidFill>
                      </w14:textFill>
                    </w:rPr>
                  </w:pPr>
                  <w:r>
                    <w:rPr>
                      <w:rFonts w:ascii="Times New Roman" w:hAnsi="Times New Roman" w:eastAsia="Times New Roman" w:cs="Times New Roman"/>
                      <w:spacing w:val="-2"/>
                      <w:sz w:val="21"/>
                      <w:szCs w:val="21"/>
                    </w:rPr>
                    <w:t>5000</w:t>
                  </w:r>
                </w:p>
              </w:tc>
              <w:tc>
                <w:tcPr>
                  <w:tcW w:w="1210" w:type="dxa"/>
                  <w:vMerge w:val="continue"/>
                  <w:vAlign w:val="center"/>
                </w:tcPr>
                <w:p w14:paraId="71664AC7">
                  <w:pPr>
                    <w:widowControl/>
                    <w:jc w:val="center"/>
                    <w:rPr>
                      <w:b w:val="0"/>
                      <w:bCs w:val="0"/>
                      <w:color w:val="000000" w:themeColor="text1"/>
                      <w:szCs w:val="21"/>
                      <w14:textFill>
                        <w14:solidFill>
                          <w14:schemeClr w14:val="tx1"/>
                        </w14:solidFill>
                      </w14:textFill>
                    </w:rPr>
                  </w:pPr>
                </w:p>
              </w:tc>
            </w:tr>
            <w:tr w14:paraId="6402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Merge w:val="continue"/>
                  <w:shd w:val="clear" w:color="auto" w:fill="auto"/>
                  <w:vAlign w:val="center"/>
                </w:tcPr>
                <w:p w14:paraId="0318DEEE">
                  <w:pPr>
                    <w:pStyle w:val="10"/>
                    <w:spacing w:after="0"/>
                    <w:ind w:left="0" w:leftChars="0"/>
                    <w:jc w:val="center"/>
                    <w:rPr>
                      <w:b w:val="0"/>
                      <w:bCs w:val="0"/>
                      <w:color w:val="000000" w:themeColor="text1"/>
                      <w:sz w:val="21"/>
                      <w:szCs w:val="21"/>
                      <w14:textFill>
                        <w14:solidFill>
                          <w14:schemeClr w14:val="tx1"/>
                        </w14:solidFill>
                      </w14:textFill>
                    </w:rPr>
                  </w:pPr>
                </w:p>
              </w:tc>
              <w:tc>
                <w:tcPr>
                  <w:tcW w:w="1319" w:type="dxa"/>
                  <w:vMerge w:val="continue"/>
                  <w:vAlign w:val="center"/>
                </w:tcPr>
                <w:p w14:paraId="5EB16275">
                  <w:pPr>
                    <w:pStyle w:val="10"/>
                    <w:spacing w:after="0"/>
                    <w:ind w:left="0" w:leftChars="0"/>
                    <w:jc w:val="center"/>
                    <w:rPr>
                      <w:b w:val="0"/>
                      <w:bCs w:val="0"/>
                      <w:color w:val="000000" w:themeColor="text1"/>
                      <w:sz w:val="21"/>
                      <w:szCs w:val="21"/>
                      <w14:textFill>
                        <w14:solidFill>
                          <w14:schemeClr w14:val="tx1"/>
                        </w14:solidFill>
                      </w14:textFill>
                    </w:rPr>
                  </w:pPr>
                </w:p>
              </w:tc>
              <w:tc>
                <w:tcPr>
                  <w:tcW w:w="2602" w:type="dxa"/>
                  <w:vAlign w:val="top"/>
                </w:tcPr>
                <w:p w14:paraId="360C8E10">
                  <w:pPr>
                    <w:pStyle w:val="105"/>
                    <w:keepNext w:val="0"/>
                    <w:keepLines w:val="0"/>
                    <w:pageBreakBefore w:val="0"/>
                    <w:widowControl w:val="0"/>
                    <w:kinsoku/>
                    <w:wordWrap/>
                    <w:overflowPunct/>
                    <w:topLinePunct w:val="0"/>
                    <w:autoSpaceDE/>
                    <w:autoSpaceDN/>
                    <w:bidi w:val="0"/>
                    <w:adjustRightInd/>
                    <w:snapToGrid/>
                    <w:spacing w:line="240" w:lineRule="atLeast"/>
                    <w:ind w:left="119" w:leftChars="0"/>
                    <w:jc w:val="center"/>
                    <w:textAlignment w:val="auto"/>
                    <w:rPr>
                      <w:rFonts w:hint="eastAsia"/>
                      <w:b w:val="0"/>
                      <w:bCs w:val="0"/>
                      <w:color w:val="000000" w:themeColor="text1"/>
                      <w:szCs w:val="21"/>
                      <w14:textFill>
                        <w14:solidFill>
                          <w14:schemeClr w14:val="tx1"/>
                        </w14:solidFill>
                      </w14:textFill>
                    </w:rPr>
                  </w:pPr>
                  <w:r>
                    <w:rPr>
                      <w:spacing w:val="-2"/>
                    </w:rPr>
                    <w:t>线路基础（输电线路塔杆）</w:t>
                  </w:r>
                </w:p>
              </w:tc>
              <w:tc>
                <w:tcPr>
                  <w:tcW w:w="1788" w:type="dxa"/>
                  <w:vAlign w:val="top"/>
                </w:tcPr>
                <w:p w14:paraId="40D4BB5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val="0"/>
                      <w:bCs w:val="0"/>
                      <w:color w:val="000000" w:themeColor="text1"/>
                      <w:szCs w:val="21"/>
                      <w14:textFill>
                        <w14:solidFill>
                          <w14:schemeClr w14:val="tx1"/>
                        </w14:solidFill>
                      </w14:textFill>
                    </w:rPr>
                  </w:pPr>
                  <w:r>
                    <w:rPr>
                      <w:rFonts w:ascii="Times New Roman" w:hAnsi="Times New Roman" w:eastAsia="Times New Roman" w:cs="Times New Roman"/>
                      <w:spacing w:val="-6"/>
                      <w:sz w:val="21"/>
                      <w:szCs w:val="21"/>
                    </w:rPr>
                    <w:t>184</w:t>
                  </w:r>
                </w:p>
              </w:tc>
              <w:tc>
                <w:tcPr>
                  <w:tcW w:w="1210" w:type="dxa"/>
                  <w:vMerge w:val="continue"/>
                  <w:vAlign w:val="center"/>
                </w:tcPr>
                <w:p w14:paraId="32881AEC">
                  <w:pPr>
                    <w:widowControl/>
                    <w:jc w:val="center"/>
                    <w:rPr>
                      <w:b w:val="0"/>
                      <w:bCs w:val="0"/>
                      <w:color w:val="000000" w:themeColor="text1"/>
                      <w:szCs w:val="21"/>
                      <w14:textFill>
                        <w14:solidFill>
                          <w14:schemeClr w14:val="tx1"/>
                        </w14:solidFill>
                      </w14:textFill>
                    </w:rPr>
                  </w:pPr>
                </w:p>
              </w:tc>
            </w:tr>
            <w:tr w14:paraId="4340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87" w:type="dxa"/>
                  <w:vAlign w:val="center"/>
                </w:tcPr>
                <w:p w14:paraId="572135F4">
                  <w:pPr>
                    <w:pStyle w:val="10"/>
                    <w:spacing w:after="0"/>
                    <w:ind w:left="0" w:leftChars="0"/>
                    <w:jc w:val="center"/>
                    <w:rPr>
                      <w:b w:val="0"/>
                      <w:bCs w:val="0"/>
                      <w:color w:val="000000" w:themeColor="text1"/>
                      <w:sz w:val="21"/>
                      <w:szCs w:val="21"/>
                      <w14:textFill>
                        <w14:solidFill>
                          <w14:schemeClr w14:val="tx1"/>
                        </w14:solidFill>
                      </w14:textFill>
                    </w:rPr>
                  </w:pPr>
                  <w:r>
                    <w:rPr>
                      <w:rFonts w:hint="eastAsia"/>
                      <w:b w:val="0"/>
                      <w:bCs w:val="0"/>
                      <w:color w:val="000000" w:themeColor="text1"/>
                      <w:sz w:val="21"/>
                      <w:szCs w:val="21"/>
                      <w14:textFill>
                        <w14:solidFill>
                          <w14:schemeClr w14:val="tx1"/>
                        </w14:solidFill>
                      </w14:textFill>
                    </w:rPr>
                    <w:t>3</w:t>
                  </w:r>
                </w:p>
              </w:tc>
              <w:tc>
                <w:tcPr>
                  <w:tcW w:w="3921" w:type="dxa"/>
                  <w:gridSpan w:val="2"/>
                  <w:vAlign w:val="center"/>
                </w:tcPr>
                <w:p w14:paraId="301FBAD7">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合计</w:t>
                  </w:r>
                </w:p>
              </w:tc>
              <w:tc>
                <w:tcPr>
                  <w:tcW w:w="1788" w:type="dxa"/>
                  <w:vAlign w:val="center"/>
                </w:tcPr>
                <w:p w14:paraId="4C4FA4D8">
                  <w:pPr>
                    <w:widowControl/>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489942</w:t>
                  </w:r>
                </w:p>
              </w:tc>
              <w:tc>
                <w:tcPr>
                  <w:tcW w:w="1210" w:type="dxa"/>
                  <w:vMerge w:val="continue"/>
                  <w:vAlign w:val="center"/>
                </w:tcPr>
                <w:p w14:paraId="2673CB09">
                  <w:pPr>
                    <w:widowControl/>
                    <w:jc w:val="center"/>
                    <w:rPr>
                      <w:b w:val="0"/>
                      <w:bCs w:val="0"/>
                      <w:color w:val="000000" w:themeColor="text1"/>
                      <w:szCs w:val="21"/>
                      <w14:textFill>
                        <w14:solidFill>
                          <w14:schemeClr w14:val="tx1"/>
                        </w14:solidFill>
                      </w14:textFill>
                    </w:rPr>
                  </w:pPr>
                </w:p>
              </w:tc>
            </w:tr>
          </w:tbl>
          <w:p w14:paraId="2BDA41C3">
            <w:pPr>
              <w:pStyle w:val="3"/>
              <w:spacing w:before="0" w:beforeLines="0" w:after="0" w:afterLines="0"/>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7</w:t>
            </w:r>
            <w:r>
              <w:rPr>
                <w:rFonts w:hint="eastAsia"/>
                <w:b/>
                <w:bCs/>
                <w:color w:val="000000" w:themeColor="text1"/>
                <w:sz w:val="24"/>
                <w14:textFill>
                  <w14:solidFill>
                    <w14:schemeClr w14:val="tx1"/>
                  </w14:solidFill>
                </w14:textFill>
              </w:rPr>
              <w:t>、土石方平衡</w:t>
            </w:r>
          </w:p>
          <w:p w14:paraId="6F199DB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本工程土建施工工程量包括风机基础、箱变基础、集电线路、施工道路等。本项目风电场</w:t>
            </w:r>
            <w:r>
              <w:rPr>
                <w:color w:val="000000" w:themeColor="text1"/>
                <w:sz w:val="24"/>
                <w14:textFill>
                  <w14:solidFill>
                    <w14:schemeClr w14:val="tx1"/>
                  </w14:solidFill>
                </w14:textFill>
              </w:rPr>
              <w:t>开挖方总量</w:t>
            </w:r>
            <w:r>
              <w:rPr>
                <w:rFonts w:hint="eastAsia"/>
                <w:color w:val="000000" w:themeColor="text1"/>
                <w:sz w:val="24"/>
                <w14:textFill>
                  <w14:solidFill>
                    <w14:schemeClr w14:val="tx1"/>
                  </w14:solidFill>
                </w14:textFill>
              </w:rPr>
              <w:t>约</w:t>
            </w:r>
            <w:r>
              <w:rPr>
                <w:rFonts w:hint="eastAsia"/>
                <w:color w:val="000000" w:themeColor="text1"/>
                <w:sz w:val="24"/>
                <w:lang w:val="en-US" w:eastAsia="zh-CN"/>
                <w14:textFill>
                  <w14:solidFill>
                    <w14:schemeClr w14:val="tx1"/>
                  </w14:solidFill>
                </w14:textFill>
              </w:rPr>
              <w:t>39.085</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，回填方总量</w:t>
            </w:r>
            <w:r>
              <w:rPr>
                <w:rFonts w:hint="eastAsia"/>
                <w:color w:val="000000" w:themeColor="text1"/>
                <w:sz w:val="24"/>
                <w14:textFill>
                  <w14:solidFill>
                    <w14:schemeClr w14:val="tx1"/>
                  </w14:solidFill>
                </w14:textFill>
              </w:rPr>
              <w:t>约</w:t>
            </w:r>
            <w:r>
              <w:rPr>
                <w:rFonts w:hint="eastAsia"/>
                <w:color w:val="000000" w:themeColor="text1"/>
                <w:sz w:val="24"/>
                <w:lang w:val="en-US" w:eastAsia="zh-CN"/>
                <w14:textFill>
                  <w14:solidFill>
                    <w14:schemeClr w14:val="tx1"/>
                  </w14:solidFill>
                </w14:textFill>
              </w:rPr>
              <w:t>39.085</w:t>
            </w:r>
            <w:r>
              <w:rPr>
                <w:rFonts w:hint="eastAsia"/>
                <w:color w:val="000000" w:themeColor="text1"/>
                <w:sz w:val="24"/>
                <w14:textFill>
                  <w14:solidFill>
                    <w14:schemeClr w14:val="tx1"/>
                  </w14:solidFill>
                </w14:textFill>
              </w:rPr>
              <w:t>万</w:t>
            </w:r>
            <w:r>
              <w:rPr>
                <w:color w:val="000000" w:themeColor="text1"/>
                <w:sz w:val="24"/>
                <w14:textFill>
                  <w14:solidFill>
                    <w14:schemeClr w14:val="tx1"/>
                  </w14:solidFill>
                </w14:textFill>
              </w:rPr>
              <w:t>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本项目土石方全部回填至施工道路后，土石方平衡。土石方平衡表见表2-8。</w:t>
            </w:r>
          </w:p>
          <w:p w14:paraId="44C396EC">
            <w:pPr>
              <w:pStyle w:val="3"/>
              <w:spacing w:before="0" w:beforeLines="0" w:after="0" w:afterLines="0" w:line="240" w:lineRule="auto"/>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表2-8 土方工程量一览表 单位：</w:t>
            </w:r>
            <w:r>
              <w:rPr>
                <w:rFonts w:hint="eastAsia"/>
                <w:b/>
                <w:bCs/>
                <w:color w:val="000000" w:themeColor="text1"/>
                <w:sz w:val="21"/>
                <w:szCs w:val="21"/>
                <w:lang w:val="en-US" w:eastAsia="zh-CN"/>
                <w14:textFill>
                  <w14:solidFill>
                    <w14:schemeClr w14:val="tx1"/>
                  </w14:solidFill>
                </w14:textFill>
              </w:rPr>
              <w:t>万</w:t>
            </w:r>
            <w:r>
              <w:rPr>
                <w:rFonts w:hint="eastAsia"/>
                <w:b/>
                <w:bCs/>
                <w:color w:val="000000" w:themeColor="text1"/>
                <w:sz w:val="21"/>
                <w:szCs w:val="21"/>
                <w14:textFill>
                  <w14:solidFill>
                    <w14:schemeClr w14:val="tx1"/>
                  </w14:solidFill>
                </w14:textFill>
              </w:rPr>
              <w:t>m</w:t>
            </w:r>
            <w:r>
              <w:rPr>
                <w:rFonts w:hint="eastAsia"/>
                <w:b/>
                <w:bCs/>
                <w:color w:val="000000" w:themeColor="text1"/>
                <w:sz w:val="21"/>
                <w:szCs w:val="21"/>
                <w:vertAlign w:val="superscript"/>
                <w14:textFill>
                  <w14:solidFill>
                    <w14:schemeClr w14:val="tx1"/>
                  </w14:solidFill>
                </w14:textFill>
              </w:rPr>
              <w:t>3</w:t>
            </w:r>
          </w:p>
          <w:tbl>
            <w:tblPr>
              <w:tblStyle w:val="31"/>
              <w:tblW w:w="7776"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1"/>
              <w:gridCol w:w="1175"/>
              <w:gridCol w:w="1290"/>
              <w:gridCol w:w="1224"/>
              <w:gridCol w:w="960"/>
              <w:gridCol w:w="988"/>
              <w:gridCol w:w="1288"/>
            </w:tblGrid>
            <w:tr w14:paraId="51C8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trPr>
              <w:tc>
                <w:tcPr>
                  <w:tcW w:w="851" w:type="dxa"/>
                  <w:shd w:val="clear" w:color="auto" w:fill="auto"/>
                  <w:vAlign w:val="center"/>
                </w:tcPr>
                <w:p w14:paraId="0C1D47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465" w:type="dxa"/>
                  <w:gridSpan w:val="2"/>
                  <w:shd w:val="clear" w:color="auto" w:fill="auto"/>
                  <w:vAlign w:val="center"/>
                </w:tcPr>
                <w:p w14:paraId="398DAE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w:t>
                  </w:r>
                </w:p>
              </w:tc>
              <w:tc>
                <w:tcPr>
                  <w:tcW w:w="1224" w:type="dxa"/>
                  <w:shd w:val="clear" w:color="auto" w:fill="auto"/>
                  <w:vAlign w:val="center"/>
                </w:tcPr>
                <w:p w14:paraId="4FFE7B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挖方</w:t>
                  </w:r>
                </w:p>
              </w:tc>
              <w:tc>
                <w:tcPr>
                  <w:tcW w:w="960" w:type="dxa"/>
                  <w:shd w:val="clear" w:color="auto" w:fill="auto"/>
                  <w:vAlign w:val="center"/>
                </w:tcPr>
                <w:p w14:paraId="6D886C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填方</w:t>
                  </w:r>
                </w:p>
              </w:tc>
              <w:tc>
                <w:tcPr>
                  <w:tcW w:w="988" w:type="dxa"/>
                  <w:shd w:val="clear" w:color="auto" w:fill="auto"/>
                  <w:vAlign w:val="center"/>
                </w:tcPr>
                <w:p w14:paraId="287157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借方</w:t>
                  </w:r>
                </w:p>
              </w:tc>
              <w:tc>
                <w:tcPr>
                  <w:tcW w:w="1288" w:type="dxa"/>
                  <w:shd w:val="clear" w:color="auto" w:fill="auto"/>
                  <w:vAlign w:val="center"/>
                </w:tcPr>
                <w:p w14:paraId="12CDCB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调方</w:t>
                  </w:r>
                </w:p>
              </w:tc>
            </w:tr>
            <w:tr w14:paraId="4069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trPr>
              <w:tc>
                <w:tcPr>
                  <w:tcW w:w="851" w:type="dxa"/>
                  <w:vMerge w:val="restart"/>
                  <w:shd w:val="clear" w:color="auto" w:fill="auto"/>
                  <w:vAlign w:val="center"/>
                </w:tcPr>
                <w:p w14:paraId="78E232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75" w:type="dxa"/>
                  <w:vMerge w:val="restart"/>
                  <w:shd w:val="clear" w:color="auto" w:fill="auto"/>
                  <w:vAlign w:val="center"/>
                </w:tcPr>
                <w:p w14:paraId="2953D2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风机及箱变基础工程</w:t>
                  </w:r>
                </w:p>
              </w:tc>
              <w:tc>
                <w:tcPr>
                  <w:tcW w:w="1290" w:type="dxa"/>
                  <w:shd w:val="clear" w:color="auto" w:fill="auto"/>
                  <w:vAlign w:val="bottom"/>
                </w:tcPr>
                <w:p w14:paraId="6596287C">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风机基础</w:t>
                  </w:r>
                </w:p>
              </w:tc>
              <w:tc>
                <w:tcPr>
                  <w:tcW w:w="1224" w:type="dxa"/>
                  <w:shd w:val="clear" w:color="auto" w:fill="auto"/>
                  <w:vAlign w:val="center"/>
                </w:tcPr>
                <w:p w14:paraId="07E815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2.06</w:t>
                  </w:r>
                </w:p>
              </w:tc>
              <w:tc>
                <w:tcPr>
                  <w:tcW w:w="960" w:type="dxa"/>
                  <w:shd w:val="clear" w:color="auto" w:fill="auto"/>
                  <w:vAlign w:val="center"/>
                </w:tcPr>
                <w:p w14:paraId="07910F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988" w:type="dxa"/>
                  <w:shd w:val="clear" w:color="auto" w:fill="auto"/>
                  <w:vAlign w:val="center"/>
                </w:tcPr>
                <w:p w14:paraId="79CB87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8" w:type="dxa"/>
                  <w:shd w:val="clear" w:color="auto" w:fill="auto"/>
                  <w:vAlign w:val="center"/>
                </w:tcPr>
                <w:p w14:paraId="4074C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0.9</w:t>
                  </w:r>
                </w:p>
              </w:tc>
            </w:tr>
            <w:tr w14:paraId="48EA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1" w:hRule="atLeast"/>
              </w:trPr>
              <w:tc>
                <w:tcPr>
                  <w:tcW w:w="851" w:type="dxa"/>
                  <w:vMerge w:val="continue"/>
                  <w:shd w:val="clear" w:color="auto" w:fill="auto"/>
                  <w:vAlign w:val="center"/>
                </w:tcPr>
                <w:p w14:paraId="478B92FE">
                  <w:pPr>
                    <w:jc w:val="center"/>
                    <w:rPr>
                      <w:rFonts w:hint="default" w:ascii="Times New Roman" w:hAnsi="Times New Roman" w:eastAsia="宋体" w:cs="Times New Roman"/>
                      <w:i w:val="0"/>
                      <w:iCs w:val="0"/>
                      <w:color w:val="000000"/>
                      <w:sz w:val="21"/>
                      <w:szCs w:val="21"/>
                      <w:u w:val="none"/>
                    </w:rPr>
                  </w:pPr>
                </w:p>
              </w:tc>
              <w:tc>
                <w:tcPr>
                  <w:tcW w:w="1175" w:type="dxa"/>
                  <w:vMerge w:val="continue"/>
                  <w:shd w:val="clear" w:color="auto" w:fill="auto"/>
                  <w:vAlign w:val="center"/>
                </w:tcPr>
                <w:p w14:paraId="7E29FD74">
                  <w:pPr>
                    <w:jc w:val="center"/>
                    <w:rPr>
                      <w:rFonts w:hint="eastAsia" w:ascii="宋体" w:hAnsi="宋体" w:eastAsia="宋体" w:cs="宋体"/>
                      <w:i w:val="0"/>
                      <w:iCs w:val="0"/>
                      <w:color w:val="000000"/>
                      <w:sz w:val="21"/>
                      <w:szCs w:val="21"/>
                      <w:u w:val="none"/>
                    </w:rPr>
                  </w:pPr>
                </w:p>
              </w:tc>
              <w:tc>
                <w:tcPr>
                  <w:tcW w:w="1290" w:type="dxa"/>
                  <w:shd w:val="clear" w:color="auto" w:fill="auto"/>
                  <w:vAlign w:val="bottom"/>
                </w:tcPr>
                <w:p w14:paraId="7F7F3BF5">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箱变基础</w:t>
                  </w:r>
                </w:p>
              </w:tc>
              <w:tc>
                <w:tcPr>
                  <w:tcW w:w="1224" w:type="dxa"/>
                  <w:shd w:val="clear" w:color="auto" w:fill="auto"/>
                  <w:vAlign w:val="center"/>
                </w:tcPr>
                <w:p w14:paraId="2235D3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960" w:type="dxa"/>
                  <w:shd w:val="clear" w:color="auto" w:fill="auto"/>
                  <w:vAlign w:val="center"/>
                </w:tcPr>
                <w:p w14:paraId="674F9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0.12</w:t>
                  </w:r>
                </w:p>
              </w:tc>
              <w:tc>
                <w:tcPr>
                  <w:tcW w:w="988" w:type="dxa"/>
                  <w:shd w:val="clear" w:color="auto" w:fill="auto"/>
                  <w:vAlign w:val="center"/>
                </w:tcPr>
                <w:p w14:paraId="112964CA">
                  <w:pPr>
                    <w:jc w:val="center"/>
                    <w:rPr>
                      <w:rFonts w:hint="default" w:ascii="Times New Roman" w:hAnsi="Times New Roman" w:eastAsia="宋体" w:cs="Times New Roman"/>
                      <w:i w:val="0"/>
                      <w:iCs w:val="0"/>
                      <w:color w:val="auto"/>
                      <w:sz w:val="21"/>
                      <w:szCs w:val="21"/>
                      <w:u w:val="none"/>
                    </w:rPr>
                  </w:pPr>
                </w:p>
              </w:tc>
              <w:tc>
                <w:tcPr>
                  <w:tcW w:w="1288" w:type="dxa"/>
                  <w:shd w:val="clear" w:color="auto" w:fill="auto"/>
                  <w:vAlign w:val="center"/>
                </w:tcPr>
                <w:p w14:paraId="7F51FF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w:t>
                  </w:r>
                </w:p>
              </w:tc>
            </w:tr>
            <w:tr w14:paraId="1E6D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851" w:type="dxa"/>
                  <w:vMerge w:val="continue"/>
                  <w:shd w:val="clear" w:color="auto" w:fill="auto"/>
                  <w:vAlign w:val="center"/>
                </w:tcPr>
                <w:p w14:paraId="57F52F33">
                  <w:pPr>
                    <w:jc w:val="center"/>
                    <w:rPr>
                      <w:rFonts w:hint="default" w:ascii="Times New Roman" w:hAnsi="Times New Roman" w:eastAsia="宋体" w:cs="Times New Roman"/>
                      <w:i w:val="0"/>
                      <w:iCs w:val="0"/>
                      <w:color w:val="000000"/>
                      <w:sz w:val="21"/>
                      <w:szCs w:val="21"/>
                      <w:u w:val="none"/>
                    </w:rPr>
                  </w:pPr>
                </w:p>
              </w:tc>
              <w:tc>
                <w:tcPr>
                  <w:tcW w:w="1175" w:type="dxa"/>
                  <w:vMerge w:val="continue"/>
                  <w:shd w:val="clear" w:color="auto" w:fill="auto"/>
                  <w:vAlign w:val="center"/>
                </w:tcPr>
                <w:p w14:paraId="42CB4DFA">
                  <w:pPr>
                    <w:jc w:val="center"/>
                    <w:rPr>
                      <w:rFonts w:hint="eastAsia" w:ascii="宋体" w:hAnsi="宋体" w:eastAsia="宋体" w:cs="宋体"/>
                      <w:i w:val="0"/>
                      <w:iCs w:val="0"/>
                      <w:color w:val="000000"/>
                      <w:sz w:val="21"/>
                      <w:szCs w:val="21"/>
                      <w:u w:val="none"/>
                    </w:rPr>
                  </w:pPr>
                </w:p>
              </w:tc>
              <w:tc>
                <w:tcPr>
                  <w:tcW w:w="1290" w:type="dxa"/>
                  <w:shd w:val="clear" w:color="auto" w:fill="auto"/>
                  <w:vAlign w:val="bottom"/>
                </w:tcPr>
                <w:p w14:paraId="66E79F8E">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吊装场地</w:t>
                  </w:r>
                </w:p>
              </w:tc>
              <w:tc>
                <w:tcPr>
                  <w:tcW w:w="1224" w:type="dxa"/>
                  <w:shd w:val="clear" w:color="auto" w:fill="auto"/>
                  <w:vAlign w:val="center"/>
                </w:tcPr>
                <w:p w14:paraId="5904F3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0.347</w:t>
                  </w:r>
                </w:p>
              </w:tc>
              <w:tc>
                <w:tcPr>
                  <w:tcW w:w="960" w:type="dxa"/>
                  <w:shd w:val="clear" w:color="auto" w:fill="auto"/>
                  <w:vAlign w:val="center"/>
                </w:tcPr>
                <w:p w14:paraId="48B81B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0.017</w:t>
                  </w:r>
                </w:p>
              </w:tc>
              <w:tc>
                <w:tcPr>
                  <w:tcW w:w="988" w:type="dxa"/>
                  <w:shd w:val="clear" w:color="auto" w:fill="auto"/>
                  <w:vAlign w:val="center"/>
                </w:tcPr>
                <w:p w14:paraId="2C459B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8" w:type="dxa"/>
                  <w:shd w:val="clear" w:color="auto" w:fill="auto"/>
                  <w:vAlign w:val="center"/>
                </w:tcPr>
                <w:p w14:paraId="2197C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w:t>
                  </w:r>
                </w:p>
              </w:tc>
            </w:tr>
            <w:tr w14:paraId="64AF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4" w:hRule="atLeast"/>
              </w:trPr>
              <w:tc>
                <w:tcPr>
                  <w:tcW w:w="851" w:type="dxa"/>
                  <w:shd w:val="clear" w:color="auto" w:fill="auto"/>
                  <w:vAlign w:val="center"/>
                </w:tcPr>
                <w:p w14:paraId="3D87E9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75" w:type="dxa"/>
                  <w:shd w:val="clear" w:color="auto" w:fill="auto"/>
                  <w:vAlign w:val="center"/>
                </w:tcPr>
                <w:p w14:paraId="7FF5696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Style w:val="110"/>
                      <w:rFonts w:eastAsia="宋体"/>
                      <w:lang w:val="en-US" w:eastAsia="zh-CN" w:bidi="ar"/>
                    </w:rPr>
                    <w:t>35kV</w:t>
                  </w:r>
                  <w:r>
                    <w:rPr>
                      <w:rFonts w:hint="eastAsia" w:ascii="宋体" w:hAnsi="宋体" w:eastAsia="宋体" w:cs="宋体"/>
                      <w:i w:val="0"/>
                      <w:iCs w:val="0"/>
                      <w:color w:val="000000"/>
                      <w:kern w:val="0"/>
                      <w:sz w:val="21"/>
                      <w:szCs w:val="21"/>
                      <w:u w:val="none"/>
                      <w:lang w:val="en-US" w:eastAsia="zh-CN" w:bidi="ar"/>
                    </w:rPr>
                    <w:t>集电线路基础工程</w:t>
                  </w:r>
                </w:p>
              </w:tc>
              <w:tc>
                <w:tcPr>
                  <w:tcW w:w="1290" w:type="dxa"/>
                  <w:shd w:val="clear" w:color="auto" w:fill="auto"/>
                  <w:vAlign w:val="center"/>
                </w:tcPr>
                <w:p w14:paraId="047DD3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地埋电缆</w:t>
                  </w:r>
                </w:p>
              </w:tc>
              <w:tc>
                <w:tcPr>
                  <w:tcW w:w="1224" w:type="dxa"/>
                  <w:shd w:val="clear" w:color="auto" w:fill="auto"/>
                  <w:vAlign w:val="center"/>
                </w:tcPr>
                <w:p w14:paraId="5F10BD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0.048</w:t>
                  </w:r>
                </w:p>
              </w:tc>
              <w:tc>
                <w:tcPr>
                  <w:tcW w:w="960" w:type="dxa"/>
                  <w:shd w:val="clear" w:color="auto" w:fill="auto"/>
                  <w:vAlign w:val="center"/>
                </w:tcPr>
                <w:p w14:paraId="1D326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988" w:type="dxa"/>
                  <w:shd w:val="clear" w:color="auto" w:fill="auto"/>
                  <w:vAlign w:val="center"/>
                </w:tcPr>
                <w:p w14:paraId="4C3CF9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288" w:type="dxa"/>
                  <w:shd w:val="clear" w:color="auto" w:fill="auto"/>
                  <w:vAlign w:val="center"/>
                </w:tcPr>
                <w:p w14:paraId="22C9B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w:t>
                  </w:r>
                </w:p>
              </w:tc>
            </w:tr>
            <w:tr w14:paraId="53F0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3" w:hRule="atLeast"/>
              </w:trPr>
              <w:tc>
                <w:tcPr>
                  <w:tcW w:w="851" w:type="dxa"/>
                  <w:shd w:val="clear" w:color="auto" w:fill="auto"/>
                  <w:vAlign w:val="center"/>
                </w:tcPr>
                <w:p w14:paraId="54D2BA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75" w:type="dxa"/>
                  <w:shd w:val="clear" w:color="auto" w:fill="auto"/>
                  <w:vAlign w:val="center"/>
                </w:tcPr>
                <w:p w14:paraId="55572CD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道路工程</w:t>
                  </w:r>
                </w:p>
              </w:tc>
              <w:tc>
                <w:tcPr>
                  <w:tcW w:w="1290" w:type="dxa"/>
                  <w:shd w:val="clear" w:color="auto" w:fill="auto"/>
                  <w:vAlign w:val="center"/>
                </w:tcPr>
                <w:p w14:paraId="161D14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新建道路及改扩建道路</w:t>
                  </w:r>
                </w:p>
              </w:tc>
              <w:tc>
                <w:tcPr>
                  <w:tcW w:w="1224" w:type="dxa"/>
                  <w:shd w:val="clear" w:color="auto" w:fill="auto"/>
                  <w:vAlign w:val="center"/>
                </w:tcPr>
                <w:p w14:paraId="20858B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36.4</w:t>
                  </w:r>
                </w:p>
              </w:tc>
              <w:tc>
                <w:tcPr>
                  <w:tcW w:w="960" w:type="dxa"/>
                  <w:shd w:val="clear" w:color="auto" w:fill="auto"/>
                  <w:vAlign w:val="center"/>
                </w:tcPr>
                <w:p w14:paraId="6E054B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37.77</w:t>
                  </w:r>
                </w:p>
              </w:tc>
              <w:tc>
                <w:tcPr>
                  <w:tcW w:w="988" w:type="dxa"/>
                  <w:shd w:val="clear" w:color="auto" w:fill="auto"/>
                  <w:vAlign w:val="center"/>
                </w:tcPr>
                <w:p w14:paraId="4C78DE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1288" w:type="dxa"/>
                  <w:shd w:val="clear" w:color="auto" w:fill="auto"/>
                  <w:vAlign w:val="center"/>
                </w:tcPr>
                <w:p w14:paraId="343F4E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780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851" w:type="dxa"/>
                  <w:shd w:val="clear" w:color="auto" w:fill="auto"/>
                  <w:vAlign w:val="center"/>
                </w:tcPr>
                <w:p w14:paraId="55307174">
                  <w:pPr>
                    <w:jc w:val="center"/>
                    <w:rPr>
                      <w:rFonts w:hint="default" w:ascii="Times New Roman" w:hAnsi="Times New Roman" w:eastAsia="宋体" w:cs="Times New Roman"/>
                      <w:i w:val="0"/>
                      <w:iCs w:val="0"/>
                      <w:color w:val="000000"/>
                      <w:sz w:val="21"/>
                      <w:szCs w:val="21"/>
                      <w:u w:val="none"/>
                    </w:rPr>
                  </w:pPr>
                </w:p>
              </w:tc>
              <w:tc>
                <w:tcPr>
                  <w:tcW w:w="2465" w:type="dxa"/>
                  <w:gridSpan w:val="2"/>
                  <w:shd w:val="clear" w:color="auto" w:fill="auto"/>
                  <w:vAlign w:val="center"/>
                </w:tcPr>
                <w:p w14:paraId="2DC9CD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合计</w:t>
                  </w:r>
                </w:p>
              </w:tc>
              <w:tc>
                <w:tcPr>
                  <w:tcW w:w="1224" w:type="dxa"/>
                  <w:shd w:val="clear" w:color="auto" w:fill="auto"/>
                  <w:vAlign w:val="center"/>
                </w:tcPr>
                <w:p w14:paraId="5581A9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39.085</w:t>
                  </w:r>
                </w:p>
              </w:tc>
              <w:tc>
                <w:tcPr>
                  <w:tcW w:w="960" w:type="dxa"/>
                  <w:shd w:val="clear" w:color="auto" w:fill="auto"/>
                  <w:vAlign w:val="center"/>
                </w:tcPr>
                <w:p w14:paraId="277C86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39.085</w:t>
                  </w:r>
                </w:p>
              </w:tc>
              <w:tc>
                <w:tcPr>
                  <w:tcW w:w="988" w:type="dxa"/>
                  <w:shd w:val="clear" w:color="auto" w:fill="auto"/>
                  <w:vAlign w:val="center"/>
                </w:tcPr>
                <w:p w14:paraId="215D85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1288" w:type="dxa"/>
                  <w:shd w:val="clear" w:color="auto" w:fill="auto"/>
                  <w:vAlign w:val="center"/>
                </w:tcPr>
                <w:p w14:paraId="5C6797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w:t>
                  </w:r>
                </w:p>
              </w:tc>
            </w:tr>
          </w:tbl>
          <w:p w14:paraId="0D28502E">
            <w:pPr>
              <w:pStyle w:val="3"/>
              <w:spacing w:before="0" w:beforeLines="0" w:after="0" w:afterLines="0"/>
              <w:ind w:firstLine="482" w:firstLineChars="200"/>
              <w:rPr>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8</w:t>
            </w:r>
            <w:r>
              <w:rPr>
                <w:rFonts w:hint="eastAsia"/>
                <w:b/>
                <w:bCs/>
                <w:color w:val="000000" w:themeColor="text1"/>
                <w:sz w:val="24"/>
                <w14:textFill>
                  <w14:solidFill>
                    <w14:schemeClr w14:val="tx1"/>
                  </w14:solidFill>
                </w14:textFill>
              </w:rPr>
              <w:t>、</w:t>
            </w:r>
            <w:r>
              <w:rPr>
                <w:b/>
                <w:bCs/>
                <w:color w:val="000000" w:themeColor="text1"/>
                <w:sz w:val="24"/>
                <w14:textFill>
                  <w14:solidFill>
                    <w14:schemeClr w14:val="tx1"/>
                  </w14:solidFill>
                </w14:textFill>
              </w:rPr>
              <w:t>公用工程</w:t>
            </w:r>
          </w:p>
          <w:p w14:paraId="5E98A14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给</w:t>
            </w:r>
            <w:r>
              <w:rPr>
                <w:color w:val="000000" w:themeColor="text1"/>
                <w:sz w:val="24"/>
                <w14:textFill>
                  <w14:solidFill>
                    <w14:schemeClr w14:val="tx1"/>
                  </w14:solidFill>
                </w14:textFill>
              </w:rPr>
              <w:t>水</w:t>
            </w:r>
          </w:p>
          <w:p w14:paraId="20709702">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项目用水主要为施工期用水，现场施工用水利用水罐车由附近村庄拉水，距离在5km以内，在施工场地修建临时蓄水池。</w:t>
            </w:r>
          </w:p>
          <w:p w14:paraId="1A5DFC9F">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排水</w:t>
            </w:r>
          </w:p>
          <w:p w14:paraId="22B131E3">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施工期产生的</w:t>
            </w:r>
            <w:r>
              <w:rPr>
                <w:snapToGrid w:val="0"/>
                <w:color w:val="000000" w:themeColor="text1"/>
                <w:kern w:val="0"/>
                <w:sz w:val="24"/>
                <w14:textFill>
                  <w14:solidFill>
                    <w14:schemeClr w14:val="tx1"/>
                  </w14:solidFill>
                </w14:textFill>
              </w:rPr>
              <w:t>施工</w:t>
            </w:r>
            <w:r>
              <w:rPr>
                <w:rFonts w:hint="eastAsia"/>
                <w:snapToGrid w:val="0"/>
                <w:color w:val="000000" w:themeColor="text1"/>
                <w:kern w:val="0"/>
                <w:sz w:val="24"/>
                <w14:textFill>
                  <w14:solidFill>
                    <w14:schemeClr w14:val="tx1"/>
                  </w14:solidFill>
                </w14:textFill>
              </w:rPr>
              <w:t>废水</w:t>
            </w:r>
            <w:r>
              <w:rPr>
                <w:snapToGrid w:val="0"/>
                <w:color w:val="000000" w:themeColor="text1"/>
                <w:kern w:val="0"/>
                <w:sz w:val="24"/>
                <w14:textFill>
                  <w14:solidFill>
                    <w14:schemeClr w14:val="tx1"/>
                  </w14:solidFill>
                </w14:textFill>
              </w:rPr>
              <w:t>设置临时简易沉淀池，经沉淀池沉淀后全部回用</w:t>
            </w:r>
            <w:r>
              <w:rPr>
                <w:rFonts w:hint="eastAsia"/>
                <w:snapToGrid w:val="0"/>
                <w:color w:val="000000" w:themeColor="text1"/>
                <w:kern w:val="0"/>
                <w:sz w:val="24"/>
                <w14:textFill>
                  <w14:solidFill>
                    <w14:schemeClr w14:val="tx1"/>
                  </w14:solidFill>
                </w14:textFill>
              </w:rPr>
              <w:t>，无废水排放，</w:t>
            </w:r>
            <w:r>
              <w:rPr>
                <w:rFonts w:hint="eastAsia"/>
                <w:color w:val="000000" w:themeColor="text1"/>
                <w:sz w:val="24"/>
                <w14:textFill>
                  <w14:solidFill>
                    <w14:schemeClr w14:val="tx1"/>
                  </w14:solidFill>
                </w14:textFill>
              </w:rPr>
              <w:t>施工人员食宿依托附近村庄，无生活污水产生；运营期风电场内无废水产生与排放，工作人员生活污水纳入升压站管理。</w:t>
            </w:r>
          </w:p>
          <w:p w14:paraId="02D387F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GB2 \* MERGEFORMAT </w:instrText>
            </w:r>
            <w:r>
              <w:rPr>
                <w:color w:val="000000" w:themeColor="text1"/>
                <w:sz w:val="24"/>
                <w14:textFill>
                  <w14:solidFill>
                    <w14:schemeClr w14:val="tx1"/>
                  </w14:solidFill>
                </w14:textFill>
              </w:rPr>
              <w:fldChar w:fldCharType="separate"/>
            </w:r>
            <w:r>
              <w:t>⑶</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供电</w:t>
            </w:r>
          </w:p>
          <w:p w14:paraId="0812DE0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施工电源为10kV供电，风电场电源接入点为附近村庄，配</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台50kW柴油发电机。</w:t>
            </w:r>
          </w:p>
          <w:p w14:paraId="56DD66B9">
            <w:pPr>
              <w:adjustRightInd w:val="0"/>
              <w:snapToGrid w:val="0"/>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sz w:val="24"/>
                <w14:textFill>
                  <w14:solidFill>
                    <w14:schemeClr w14:val="tx1"/>
                  </w14:solidFill>
                </w14:textFill>
              </w:rPr>
              <w:t>、劳动定员及工作制度</w:t>
            </w:r>
          </w:p>
          <w:p w14:paraId="339AF016">
            <w:pPr>
              <w:adjustRightInd w:val="0"/>
              <w:snapToGrid w:val="0"/>
              <w:spacing w:line="360" w:lineRule="auto"/>
              <w:ind w:firstLine="480" w:firstLineChars="200"/>
              <w:rPr>
                <w:rFonts w:ascii="Times New Roman" w:hAnsi="Times New Roman" w:eastAsia="宋体"/>
                <w:b/>
                <w:bCs/>
                <w:color w:val="000000" w:themeColor="text1"/>
                <w:kern w:val="2"/>
                <w:szCs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建成后</w:t>
            </w:r>
            <w:r>
              <w:rPr>
                <w:color w:val="000000" w:themeColor="text1"/>
                <w:sz w:val="24"/>
                <w14:textFill>
                  <w14:solidFill>
                    <w14:schemeClr w14:val="tx1"/>
                  </w14:solidFill>
                </w14:textFill>
              </w:rPr>
              <w:t>风电场定员按4人考虑，含场长1人、专责1人，运维人员2人</w:t>
            </w:r>
            <w:r>
              <w:rPr>
                <w:rFonts w:hint="eastAsia"/>
                <w:color w:val="000000" w:themeColor="text1"/>
                <w:sz w:val="24"/>
                <w14:textFill>
                  <w14:solidFill>
                    <w14:schemeClr w14:val="tx1"/>
                  </w14:solidFill>
                </w14:textFill>
              </w:rPr>
              <w:t>，员工办公生活在升压站内，实行三班两倒，年工作日365天。</w:t>
            </w:r>
          </w:p>
        </w:tc>
      </w:tr>
      <w:tr w14:paraId="74E500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499BA960">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总平面及现场布置</w:t>
            </w:r>
          </w:p>
        </w:tc>
        <w:tc>
          <w:tcPr>
            <w:tcW w:w="8075" w:type="dxa"/>
          </w:tcPr>
          <w:p w14:paraId="73BDA0BD">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风电机组</w:t>
            </w:r>
          </w:p>
          <w:p w14:paraId="4CCC5CD5">
            <w:pPr>
              <w:pStyle w:val="40"/>
              <w:spacing w:line="360" w:lineRule="auto"/>
              <w:ind w:firstLine="480" w:firstLineChars="200"/>
              <w:rPr>
                <w:rFonts w:hint="eastAsia" w:ascii="Times New Roman" w:hAnsi="Times New Roman" w:eastAsia="宋体"/>
                <w:color w:val="000000" w:themeColor="text1"/>
                <w:kern w:val="2"/>
                <w:szCs w:val="24"/>
                <w:lang w:eastAsia="zh-CN"/>
                <w14:textFill>
                  <w14:solidFill>
                    <w14:schemeClr w14:val="tx1"/>
                  </w14:solidFill>
                </w14:textFill>
              </w:rPr>
            </w:pPr>
            <w:r>
              <w:rPr>
                <w:rFonts w:ascii="Times New Roman" w:hAnsi="Times New Roman" w:eastAsia="宋体"/>
                <w:color w:val="000000" w:themeColor="text1"/>
                <w:kern w:val="2"/>
                <w:szCs w:val="24"/>
                <w14:textFill>
                  <w14:solidFill>
                    <w14:schemeClr w14:val="tx1"/>
                  </w14:solidFill>
                </w14:textFill>
              </w:rPr>
              <w:t>项目</w:t>
            </w:r>
            <w:r>
              <w:rPr>
                <w:rFonts w:ascii="Times New Roman" w:hAnsi="Times New Roman" w:eastAsiaTheme="minorEastAsia"/>
                <w:color w:val="000000" w:themeColor="text1"/>
                <w:szCs w:val="24"/>
                <w14:textFill>
                  <w14:solidFill>
                    <w14:schemeClr w14:val="tx1"/>
                  </w14:solidFill>
                </w14:textFill>
              </w:rPr>
              <w:t>风机选址</w:t>
            </w:r>
            <w:r>
              <w:rPr>
                <w:rFonts w:hint="eastAsia" w:ascii="Times New Roman" w:hAnsi="Times New Roman" w:eastAsiaTheme="minorEastAsia"/>
                <w:color w:val="000000" w:themeColor="text1"/>
                <w:szCs w:val="24"/>
                <w14:textFill>
                  <w14:solidFill>
                    <w14:schemeClr w14:val="tx1"/>
                  </w14:solidFill>
                </w14:textFill>
              </w:rPr>
              <w:t>1</w:t>
            </w:r>
            <w:r>
              <w:rPr>
                <w:rFonts w:hint="eastAsia" w:ascii="Times New Roman" w:hAnsi="Times New Roman" w:eastAsiaTheme="minorEastAsia"/>
                <w:color w:val="000000" w:themeColor="text1"/>
                <w:szCs w:val="24"/>
                <w:lang w:val="en-US" w:eastAsia="zh-CN"/>
                <w14:textFill>
                  <w14:solidFill>
                    <w14:schemeClr w14:val="tx1"/>
                  </w14:solidFill>
                </w14:textFill>
              </w:rPr>
              <w:t>0</w:t>
            </w:r>
            <w:r>
              <w:rPr>
                <w:rFonts w:ascii="Times New Roman" w:hAnsi="Times New Roman" w:eastAsiaTheme="minorEastAsia"/>
                <w:color w:val="000000" w:themeColor="text1"/>
                <w:szCs w:val="24"/>
                <w14:textFill>
                  <w14:solidFill>
                    <w14:schemeClr w14:val="tx1"/>
                  </w14:solidFill>
                </w14:textFill>
              </w:rPr>
              <w:t>处，</w:t>
            </w:r>
            <w:r>
              <w:rPr>
                <w:rFonts w:hint="eastAsia" w:ascii="Times New Roman" w:hAnsi="Times New Roman" w:eastAsiaTheme="minorEastAsia"/>
                <w:color w:val="000000" w:themeColor="text1"/>
                <w:szCs w:val="24"/>
                <w14:textFill>
                  <w14:solidFill>
                    <w14:schemeClr w14:val="tx1"/>
                  </w14:solidFill>
                </w14:textFill>
              </w:rPr>
              <w:t>安装</w:t>
            </w:r>
            <w:r>
              <w:rPr>
                <w:rFonts w:hint="eastAsia" w:ascii="Times New Roman" w:hAnsi="Times New Roman" w:eastAsiaTheme="minorEastAsia"/>
                <w:color w:val="000000" w:themeColor="text1"/>
                <w:szCs w:val="24"/>
                <w:lang w:val="en-US" w:eastAsia="zh-CN"/>
                <w14:textFill>
                  <w14:solidFill>
                    <w14:schemeClr w14:val="tx1"/>
                  </w14:solidFill>
                </w14:textFill>
              </w:rPr>
              <w:t>10</w:t>
            </w:r>
            <w:r>
              <w:rPr>
                <w:rFonts w:hint="eastAsia" w:ascii="Times New Roman" w:hAnsi="Times New Roman" w:eastAsiaTheme="minorEastAsia"/>
                <w:color w:val="000000" w:themeColor="text1"/>
                <w:szCs w:val="24"/>
                <w14:textFill>
                  <w14:solidFill>
                    <w14:schemeClr w14:val="tx1"/>
                  </w14:solidFill>
                </w14:textFill>
              </w:rPr>
              <w:t>台</w:t>
            </w:r>
            <w:r>
              <w:rPr>
                <w:rFonts w:hint="eastAsia" w:ascii="Times New Roman" w:hAnsi="Times New Roman" w:eastAsiaTheme="minorEastAsia"/>
                <w:color w:val="000000" w:themeColor="text1"/>
                <w:szCs w:val="24"/>
                <w:lang w:eastAsia="zh-CN"/>
                <w14:textFill>
                  <w14:solidFill>
                    <w14:schemeClr w14:val="tx1"/>
                  </w14:solidFill>
                </w14:textFill>
              </w:rPr>
              <w:t>单机容量为</w:t>
            </w:r>
            <w:r>
              <w:rPr>
                <w:rFonts w:hint="eastAsia" w:ascii="Times New Roman" w:hAnsi="Times New Roman" w:eastAsiaTheme="minorEastAsia"/>
                <w:color w:val="000000" w:themeColor="text1"/>
                <w:szCs w:val="24"/>
                <w14:textFill>
                  <w14:solidFill>
                    <w14:schemeClr w14:val="tx1"/>
                  </w14:solidFill>
                </w14:textFill>
              </w:rPr>
              <w:t>50</w:t>
            </w:r>
            <w:r>
              <w:rPr>
                <w:rFonts w:hint="eastAsia" w:ascii="Times New Roman" w:hAnsi="Times New Roman" w:eastAsiaTheme="minorEastAsia"/>
                <w:color w:val="000000" w:themeColor="text1"/>
                <w:szCs w:val="24"/>
                <w:lang w:val="en-US" w:eastAsia="zh-CN"/>
                <w14:textFill>
                  <w14:solidFill>
                    <w14:schemeClr w14:val="tx1"/>
                  </w14:solidFill>
                </w14:textFill>
              </w:rPr>
              <w:t>00</w:t>
            </w:r>
            <w:r>
              <w:rPr>
                <w:rFonts w:ascii="Times New Roman" w:hAnsi="Times New Roman" w:eastAsiaTheme="minorEastAsia"/>
                <w:color w:val="000000" w:themeColor="text1"/>
                <w:szCs w:val="24"/>
                <w14:textFill>
                  <w14:solidFill>
                    <w14:schemeClr w14:val="tx1"/>
                  </w14:solidFill>
                </w14:textFill>
              </w:rPr>
              <w:t>kW的风力发电机组</w:t>
            </w:r>
            <w:r>
              <w:rPr>
                <w:rFonts w:hint="eastAsia" w:ascii="Times New Roman" w:hAnsi="Times New Roman" w:eastAsia="宋体"/>
                <w:color w:val="000000" w:themeColor="text1"/>
                <w:kern w:val="2"/>
                <w:szCs w:val="24"/>
                <w14:textFill>
                  <w14:solidFill>
                    <w14:schemeClr w14:val="tx1"/>
                  </w14:solidFill>
                </w14:textFill>
              </w:rPr>
              <w:t>，每台风机就近布置一台</w:t>
            </w:r>
            <w:r>
              <w:rPr>
                <w:rFonts w:hint="eastAsia" w:ascii="Times New Roman" w:hAnsi="Times New Roman" w:eastAsia="宋体"/>
                <w:color w:val="000000" w:themeColor="text1"/>
                <w:kern w:val="2"/>
                <w:szCs w:val="24"/>
                <w:lang w:val="en-US" w:eastAsia="zh-CN"/>
                <w14:textFill>
                  <w14:solidFill>
                    <w14:schemeClr w14:val="tx1"/>
                  </w14:solidFill>
                </w14:textFill>
              </w:rPr>
              <w:t>5000</w:t>
            </w:r>
            <w:r>
              <w:rPr>
                <w:rFonts w:hint="eastAsia" w:ascii="Times New Roman" w:hAnsi="Times New Roman" w:eastAsia="宋体"/>
                <w:color w:val="000000" w:themeColor="text1"/>
                <w:kern w:val="2"/>
                <w:szCs w:val="24"/>
                <w14:textFill>
                  <w14:solidFill>
                    <w14:schemeClr w14:val="tx1"/>
                  </w14:solidFill>
                </w14:textFill>
              </w:rPr>
              <w:t>kVA箱变，项目装机总容量为50MW。本项目各风机位置坐标</w:t>
            </w:r>
            <w:r>
              <w:rPr>
                <w:rFonts w:ascii="Times New Roman" w:hAnsi="Times New Roman" w:eastAsia="宋体"/>
                <w:color w:val="000000" w:themeColor="text1"/>
                <w:kern w:val="2"/>
                <w:szCs w:val="24"/>
                <w14:textFill>
                  <w14:solidFill>
                    <w14:schemeClr w14:val="tx1"/>
                  </w14:solidFill>
                </w14:textFill>
              </w:rPr>
              <w:t>见表2-1</w:t>
            </w:r>
            <w:r>
              <w:rPr>
                <w:rFonts w:hint="eastAsia" w:ascii="Times New Roman" w:hAnsi="Times New Roman" w:eastAsia="宋体"/>
                <w:color w:val="000000" w:themeColor="text1"/>
                <w:kern w:val="2"/>
                <w:szCs w:val="24"/>
                <w14:textFill>
                  <w14:solidFill>
                    <w14:schemeClr w14:val="tx1"/>
                  </w14:solidFill>
                </w14:textFill>
              </w:rPr>
              <w:t>0，风机分布见附图二</w:t>
            </w:r>
            <w:r>
              <w:rPr>
                <w:rFonts w:hint="eastAsia" w:ascii="Times New Roman" w:hAnsi="Times New Roman" w:eastAsia="宋体"/>
                <w:color w:val="000000" w:themeColor="text1"/>
                <w:kern w:val="2"/>
                <w:szCs w:val="24"/>
                <w:lang w:eastAsia="zh-CN"/>
                <w14:textFill>
                  <w14:solidFill>
                    <w14:schemeClr w14:val="tx1"/>
                  </w14:solidFill>
                </w14:textFill>
              </w:rPr>
              <w:t>。</w:t>
            </w:r>
          </w:p>
          <w:p w14:paraId="5712400D">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表2-</w:t>
            </w:r>
            <w:r>
              <w:rPr>
                <w:rFonts w:hint="eastAsia"/>
                <w:b/>
                <w:bCs/>
                <w:color w:val="000000" w:themeColor="text1"/>
                <w:sz w:val="21"/>
                <w:szCs w:val="21"/>
                <w14:textFill>
                  <w14:solidFill>
                    <w14:schemeClr w14:val="tx1"/>
                  </w14:solidFill>
                </w14:textFill>
              </w:rPr>
              <w:t>10 风电场机位</w:t>
            </w:r>
            <w:r>
              <w:rPr>
                <w:b/>
                <w:bCs/>
                <w:color w:val="000000" w:themeColor="text1"/>
                <w:sz w:val="21"/>
                <w:szCs w:val="21"/>
                <w14:textFill>
                  <w14:solidFill>
                    <w14:schemeClr w14:val="tx1"/>
                  </w14:solidFill>
                </w14:textFill>
              </w:rPr>
              <w:t>坐标一览表</w:t>
            </w:r>
            <w:r>
              <w:rPr>
                <w:rFonts w:hint="eastAsia"/>
                <w:b/>
                <w:bCs/>
                <w:color w:val="000000" w:themeColor="text1"/>
                <w:sz w:val="21"/>
                <w:szCs w:val="21"/>
                <w14:textFill>
                  <w14:solidFill>
                    <w14:schemeClr w14:val="tx1"/>
                  </w14:solidFill>
                </w14:textFill>
              </w:rPr>
              <w:t>（CGC2000坐标）</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991"/>
              <w:gridCol w:w="2336"/>
              <w:gridCol w:w="2416"/>
            </w:tblGrid>
            <w:tr w14:paraId="6EC6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noWrap/>
                  <w:vAlign w:val="center"/>
                </w:tcPr>
                <w:p w14:paraId="72302968">
                  <w:pPr>
                    <w:pStyle w:val="60"/>
                    <w:spacing w:beforeLines="0" w:afterLines="0"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序号</w:t>
                  </w:r>
                </w:p>
              </w:tc>
              <w:tc>
                <w:tcPr>
                  <w:tcW w:w="1268" w:type="pct"/>
                  <w:noWrap/>
                  <w:vAlign w:val="center"/>
                </w:tcPr>
                <w:p w14:paraId="3CB17032">
                  <w:pPr>
                    <w:pStyle w:val="60"/>
                    <w:spacing w:beforeLines="0" w:afterLines="0"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风机编号</w:t>
                  </w:r>
                </w:p>
              </w:tc>
              <w:tc>
                <w:tcPr>
                  <w:tcW w:w="1488" w:type="pct"/>
                  <w:noWrap/>
                  <w:vAlign w:val="center"/>
                </w:tcPr>
                <w:p w14:paraId="7E29F9EA">
                  <w:pPr>
                    <w:pStyle w:val="60"/>
                    <w:spacing w:beforeLines="0" w:afterLines="0"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X</w:t>
                  </w:r>
                </w:p>
              </w:tc>
              <w:tc>
                <w:tcPr>
                  <w:tcW w:w="1539" w:type="pct"/>
                  <w:noWrap/>
                  <w:vAlign w:val="center"/>
                </w:tcPr>
                <w:p w14:paraId="2B65785A">
                  <w:pPr>
                    <w:pStyle w:val="60"/>
                    <w:spacing w:beforeLines="0" w:afterLines="0" w:line="240" w:lineRule="auto"/>
                    <w:rPr>
                      <w:rFonts w:ascii="Times New Roman"/>
                      <w:b/>
                      <w:bCs/>
                      <w:color w:val="000000" w:themeColor="text1"/>
                      <w:szCs w:val="21"/>
                      <w14:textFill>
                        <w14:solidFill>
                          <w14:schemeClr w14:val="tx1"/>
                        </w14:solidFill>
                      </w14:textFill>
                    </w:rPr>
                  </w:pPr>
                  <w:r>
                    <w:rPr>
                      <w:rFonts w:ascii="Times New Roman"/>
                      <w:b/>
                      <w:bCs/>
                      <w:color w:val="000000" w:themeColor="text1"/>
                      <w:szCs w:val="21"/>
                      <w14:textFill>
                        <w14:solidFill>
                          <w14:schemeClr w14:val="tx1"/>
                        </w14:solidFill>
                      </w14:textFill>
                    </w:rPr>
                    <w:t>Y</w:t>
                  </w:r>
                </w:p>
              </w:tc>
            </w:tr>
            <w:tr w14:paraId="4D3D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704" w:type="pct"/>
                  <w:noWrap/>
                  <w:vAlign w:val="center"/>
                </w:tcPr>
                <w:p w14:paraId="5C0E053D">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w:t>
                  </w:r>
                </w:p>
              </w:tc>
              <w:tc>
                <w:tcPr>
                  <w:tcW w:w="1268" w:type="pct"/>
                  <w:noWrap/>
                  <w:vAlign w:val="top"/>
                </w:tcPr>
                <w:p w14:paraId="20EBE91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T3</w:t>
                  </w:r>
                </w:p>
              </w:tc>
              <w:tc>
                <w:tcPr>
                  <w:tcW w:w="1488" w:type="pct"/>
                  <w:noWrap/>
                  <w:vAlign w:val="top"/>
                </w:tcPr>
                <w:p w14:paraId="155957A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36371297.895</w:t>
                  </w:r>
                </w:p>
              </w:tc>
              <w:tc>
                <w:tcPr>
                  <w:tcW w:w="1539" w:type="pct"/>
                  <w:noWrap/>
                  <w:vAlign w:val="top"/>
                </w:tcPr>
                <w:p w14:paraId="1F8505D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3826580.995</w:t>
                  </w:r>
                </w:p>
              </w:tc>
            </w:tr>
            <w:tr w14:paraId="2E48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noWrap/>
                  <w:vAlign w:val="center"/>
                </w:tcPr>
                <w:p w14:paraId="43C6121C">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2</w:t>
                  </w:r>
                </w:p>
              </w:tc>
              <w:tc>
                <w:tcPr>
                  <w:tcW w:w="1268" w:type="pct"/>
                  <w:noWrap/>
                  <w:vAlign w:val="top"/>
                </w:tcPr>
                <w:p w14:paraId="20B18B7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T4</w:t>
                  </w:r>
                </w:p>
              </w:tc>
              <w:tc>
                <w:tcPr>
                  <w:tcW w:w="1488" w:type="pct"/>
                  <w:noWrap/>
                  <w:vAlign w:val="top"/>
                </w:tcPr>
                <w:p w14:paraId="563F74F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eastAsia="等线"/>
                      <w:color w:val="000000" w:themeColor="text1"/>
                      <w:kern w:val="0"/>
                      <w:sz w:val="22"/>
                      <w:szCs w:val="22"/>
                      <w:lang w:bidi="ar"/>
                      <w14:textFill>
                        <w14:solidFill>
                          <w14:schemeClr w14:val="tx1"/>
                        </w14:solidFill>
                      </w14:textFill>
                    </w:rPr>
                  </w:pPr>
                  <w:r>
                    <w:rPr>
                      <w:rFonts w:ascii="Times New Roman" w:hAnsi="Times New Roman" w:eastAsia="Times New Roman" w:cs="Times New Roman"/>
                      <w:spacing w:val="-1"/>
                      <w:sz w:val="20"/>
                      <w:szCs w:val="20"/>
                    </w:rPr>
                    <w:t>36368414.300</w:t>
                  </w:r>
                </w:p>
              </w:tc>
              <w:tc>
                <w:tcPr>
                  <w:tcW w:w="1539" w:type="pct"/>
                  <w:noWrap/>
                  <w:vAlign w:val="top"/>
                </w:tcPr>
                <w:p w14:paraId="5B7839A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eastAsia="等线"/>
                      <w:color w:val="000000" w:themeColor="text1"/>
                      <w:kern w:val="0"/>
                      <w:sz w:val="22"/>
                      <w:szCs w:val="22"/>
                      <w:lang w:bidi="ar"/>
                      <w14:textFill>
                        <w14:solidFill>
                          <w14:schemeClr w14:val="tx1"/>
                        </w14:solidFill>
                      </w14:textFill>
                    </w:rPr>
                  </w:pPr>
                  <w:r>
                    <w:rPr>
                      <w:rFonts w:ascii="Times New Roman" w:hAnsi="Times New Roman" w:eastAsia="Times New Roman" w:cs="Times New Roman"/>
                      <w:spacing w:val="-1"/>
                      <w:sz w:val="20"/>
                      <w:szCs w:val="20"/>
                    </w:rPr>
                    <w:t>3828364.590</w:t>
                  </w:r>
                </w:p>
              </w:tc>
            </w:tr>
            <w:tr w14:paraId="6D2D1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noWrap/>
                  <w:vAlign w:val="center"/>
                </w:tcPr>
                <w:p w14:paraId="27F45D1F">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3</w:t>
                  </w:r>
                </w:p>
              </w:tc>
              <w:tc>
                <w:tcPr>
                  <w:tcW w:w="1268" w:type="pct"/>
                  <w:noWrap/>
                  <w:vAlign w:val="top"/>
                </w:tcPr>
                <w:p w14:paraId="64A52FF9">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T5</w:t>
                  </w:r>
                </w:p>
              </w:tc>
              <w:tc>
                <w:tcPr>
                  <w:tcW w:w="1488" w:type="pct"/>
                  <w:noWrap/>
                  <w:vAlign w:val="top"/>
                </w:tcPr>
                <w:p w14:paraId="302E48C3">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36368186.421</w:t>
                  </w:r>
                </w:p>
              </w:tc>
              <w:tc>
                <w:tcPr>
                  <w:tcW w:w="1539" w:type="pct"/>
                  <w:noWrap/>
                  <w:vAlign w:val="top"/>
                </w:tcPr>
                <w:p w14:paraId="7AAA2A7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3827592.651</w:t>
                  </w:r>
                </w:p>
              </w:tc>
            </w:tr>
            <w:tr w14:paraId="3FDB4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7537BD41">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4</w:t>
                  </w:r>
                </w:p>
              </w:tc>
              <w:tc>
                <w:tcPr>
                  <w:tcW w:w="1268" w:type="pct"/>
                  <w:noWrap/>
                  <w:vAlign w:val="top"/>
                </w:tcPr>
                <w:p w14:paraId="7664650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T6</w:t>
                  </w:r>
                </w:p>
              </w:tc>
              <w:tc>
                <w:tcPr>
                  <w:tcW w:w="1488" w:type="pct"/>
                  <w:noWrap/>
                  <w:vAlign w:val="top"/>
                </w:tcPr>
                <w:p w14:paraId="048434C8">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eastAsia="等线"/>
                      <w:color w:val="000000" w:themeColor="text1"/>
                      <w:kern w:val="0"/>
                      <w:sz w:val="22"/>
                      <w:szCs w:val="22"/>
                      <w:lang w:bidi="ar"/>
                      <w14:textFill>
                        <w14:solidFill>
                          <w14:schemeClr w14:val="tx1"/>
                        </w14:solidFill>
                      </w14:textFill>
                    </w:rPr>
                  </w:pPr>
                  <w:r>
                    <w:rPr>
                      <w:rFonts w:ascii="Times New Roman" w:hAnsi="Times New Roman" w:eastAsia="Times New Roman" w:cs="Times New Roman"/>
                      <w:spacing w:val="-1"/>
                      <w:sz w:val="20"/>
                      <w:szCs w:val="20"/>
                    </w:rPr>
                    <w:t>36368401.370</w:t>
                  </w:r>
                </w:p>
              </w:tc>
              <w:tc>
                <w:tcPr>
                  <w:tcW w:w="1539" w:type="pct"/>
                  <w:noWrap/>
                  <w:vAlign w:val="top"/>
                </w:tcPr>
                <w:p w14:paraId="5EE9868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eastAsia="等线"/>
                      <w:color w:val="000000" w:themeColor="text1"/>
                      <w:kern w:val="0"/>
                      <w:sz w:val="22"/>
                      <w:szCs w:val="22"/>
                      <w:lang w:bidi="ar"/>
                      <w14:textFill>
                        <w14:solidFill>
                          <w14:schemeClr w14:val="tx1"/>
                        </w14:solidFill>
                      </w14:textFill>
                    </w:rPr>
                  </w:pPr>
                  <w:r>
                    <w:rPr>
                      <w:rFonts w:ascii="Times New Roman" w:hAnsi="Times New Roman" w:eastAsia="Times New Roman" w:cs="Times New Roman"/>
                      <w:spacing w:val="-1"/>
                      <w:sz w:val="20"/>
                      <w:szCs w:val="20"/>
                    </w:rPr>
                    <w:t>3826626.014</w:t>
                  </w:r>
                </w:p>
              </w:tc>
            </w:tr>
            <w:tr w14:paraId="2507A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5AC8DF90">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5</w:t>
                  </w:r>
                </w:p>
              </w:tc>
              <w:tc>
                <w:tcPr>
                  <w:tcW w:w="1268" w:type="pct"/>
                  <w:noWrap/>
                  <w:vAlign w:val="top"/>
                </w:tcPr>
                <w:p w14:paraId="6735824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T9-2</w:t>
                  </w:r>
                </w:p>
              </w:tc>
              <w:tc>
                <w:tcPr>
                  <w:tcW w:w="1488" w:type="pct"/>
                  <w:noWrap/>
                  <w:vAlign w:val="top"/>
                </w:tcPr>
                <w:p w14:paraId="0AD4F93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36370296.627</w:t>
                  </w:r>
                </w:p>
              </w:tc>
              <w:tc>
                <w:tcPr>
                  <w:tcW w:w="1539" w:type="pct"/>
                  <w:noWrap/>
                  <w:vAlign w:val="top"/>
                </w:tcPr>
                <w:p w14:paraId="2769E87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color w:val="000000" w:themeColor="text1"/>
                      <w:szCs w:val="21"/>
                      <w14:textFill>
                        <w14:solidFill>
                          <w14:schemeClr w14:val="tx1"/>
                        </w14:solidFill>
                      </w14:textFill>
                    </w:rPr>
                  </w:pPr>
                  <w:r>
                    <w:rPr>
                      <w:rFonts w:ascii="Times New Roman" w:hAnsi="Times New Roman" w:eastAsia="Times New Roman" w:cs="Times New Roman"/>
                      <w:spacing w:val="-1"/>
                      <w:sz w:val="20"/>
                      <w:szCs w:val="20"/>
                    </w:rPr>
                    <w:t>3827757.661</w:t>
                  </w:r>
                </w:p>
              </w:tc>
            </w:tr>
            <w:tr w14:paraId="48C8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31BD080A">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6</w:t>
                  </w:r>
                </w:p>
              </w:tc>
              <w:tc>
                <w:tcPr>
                  <w:tcW w:w="1268" w:type="pct"/>
                  <w:noWrap/>
                  <w:vAlign w:val="top"/>
                </w:tcPr>
                <w:p w14:paraId="3BEA33B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X01</w:t>
                  </w:r>
                </w:p>
              </w:tc>
              <w:tc>
                <w:tcPr>
                  <w:tcW w:w="1488" w:type="pct"/>
                  <w:noWrap/>
                  <w:vAlign w:val="top"/>
                </w:tcPr>
                <w:p w14:paraId="22CDA86D">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36372266.097</w:t>
                  </w:r>
                </w:p>
              </w:tc>
              <w:tc>
                <w:tcPr>
                  <w:tcW w:w="1539" w:type="pct"/>
                  <w:noWrap/>
                  <w:vAlign w:val="top"/>
                </w:tcPr>
                <w:p w14:paraId="46C32DFF">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3828181.682</w:t>
                  </w:r>
                </w:p>
              </w:tc>
            </w:tr>
            <w:tr w14:paraId="2AE7D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4AF0A596">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7</w:t>
                  </w:r>
                </w:p>
              </w:tc>
              <w:tc>
                <w:tcPr>
                  <w:tcW w:w="1268" w:type="pct"/>
                  <w:noWrap/>
                  <w:vAlign w:val="top"/>
                </w:tcPr>
                <w:p w14:paraId="0D0D573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X03</w:t>
                  </w:r>
                </w:p>
              </w:tc>
              <w:tc>
                <w:tcPr>
                  <w:tcW w:w="1488" w:type="pct"/>
                  <w:noWrap/>
                  <w:vAlign w:val="top"/>
                </w:tcPr>
                <w:p w14:paraId="53D8A0A4">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36371040.366</w:t>
                  </w:r>
                </w:p>
              </w:tc>
              <w:tc>
                <w:tcPr>
                  <w:tcW w:w="1539" w:type="pct"/>
                  <w:noWrap/>
                  <w:vAlign w:val="top"/>
                </w:tcPr>
                <w:p w14:paraId="3897997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3827616.895</w:t>
                  </w:r>
                </w:p>
              </w:tc>
            </w:tr>
            <w:tr w14:paraId="7A2A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1C582D49">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8</w:t>
                  </w:r>
                </w:p>
              </w:tc>
              <w:tc>
                <w:tcPr>
                  <w:tcW w:w="1268" w:type="pct"/>
                  <w:noWrap/>
                  <w:vAlign w:val="top"/>
                </w:tcPr>
                <w:p w14:paraId="7DCE07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z w:val="20"/>
                      <w:szCs w:val="20"/>
                    </w:rPr>
                    <w:t>X05-2</w:t>
                  </w:r>
                </w:p>
              </w:tc>
              <w:tc>
                <w:tcPr>
                  <w:tcW w:w="1488" w:type="pct"/>
                  <w:noWrap/>
                  <w:vAlign w:val="top"/>
                </w:tcPr>
                <w:p w14:paraId="63FC4276">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36370921.471</w:t>
                  </w:r>
                </w:p>
              </w:tc>
              <w:tc>
                <w:tcPr>
                  <w:tcW w:w="1539" w:type="pct"/>
                  <w:noWrap/>
                  <w:vAlign w:val="top"/>
                </w:tcPr>
                <w:p w14:paraId="5F8E8900">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3826395.913</w:t>
                  </w:r>
                </w:p>
              </w:tc>
            </w:tr>
            <w:tr w14:paraId="5515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505E8CCD">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9</w:t>
                  </w:r>
                </w:p>
              </w:tc>
              <w:tc>
                <w:tcPr>
                  <w:tcW w:w="1268" w:type="pct"/>
                  <w:noWrap/>
                  <w:vAlign w:val="top"/>
                </w:tcPr>
                <w:p w14:paraId="564C823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X06</w:t>
                  </w:r>
                </w:p>
              </w:tc>
              <w:tc>
                <w:tcPr>
                  <w:tcW w:w="1488" w:type="pct"/>
                  <w:noWrap/>
                  <w:vAlign w:val="top"/>
                </w:tcPr>
                <w:p w14:paraId="502D6255">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36370357.237</w:t>
                  </w:r>
                </w:p>
              </w:tc>
              <w:tc>
                <w:tcPr>
                  <w:tcW w:w="1539" w:type="pct"/>
                  <w:noWrap/>
                  <w:vAlign w:val="top"/>
                </w:tcPr>
                <w:p w14:paraId="7822409A">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3826537.285</w:t>
                  </w:r>
                </w:p>
              </w:tc>
            </w:tr>
            <w:tr w14:paraId="18C8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pct"/>
                  <w:shd w:val="clear" w:color="auto" w:fill="auto"/>
                  <w:noWrap/>
                  <w:vAlign w:val="center"/>
                </w:tcPr>
                <w:p w14:paraId="2A3C5651">
                  <w:pPr>
                    <w:pStyle w:val="60"/>
                    <w:spacing w:beforeLines="0" w:afterLines="0" w:line="240" w:lineRule="auto"/>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10</w:t>
                  </w:r>
                </w:p>
              </w:tc>
              <w:tc>
                <w:tcPr>
                  <w:tcW w:w="1268" w:type="pct"/>
                  <w:noWrap/>
                  <w:vAlign w:val="top"/>
                </w:tcPr>
                <w:p w14:paraId="67C819EB">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X09</w:t>
                  </w:r>
                </w:p>
              </w:tc>
              <w:tc>
                <w:tcPr>
                  <w:tcW w:w="1488" w:type="pct"/>
                  <w:noWrap/>
                  <w:vAlign w:val="top"/>
                </w:tcPr>
                <w:p w14:paraId="02974AEE">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36367454.039</w:t>
                  </w:r>
                </w:p>
              </w:tc>
              <w:tc>
                <w:tcPr>
                  <w:tcW w:w="1539" w:type="pct"/>
                  <w:noWrap/>
                  <w:vAlign w:val="top"/>
                </w:tcPr>
                <w:p w14:paraId="012237EC">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Times New Roman" w:cs="Times New Roman"/>
                      <w:spacing w:val="-1"/>
                      <w:sz w:val="20"/>
                      <w:szCs w:val="20"/>
                    </w:rPr>
                    <w:t>3828523.827</w:t>
                  </w:r>
                </w:p>
              </w:tc>
            </w:tr>
          </w:tbl>
          <w:p w14:paraId="2A09C8FE">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2、集电线路</w:t>
            </w:r>
          </w:p>
          <w:p w14:paraId="54707AA9">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根据本风电场</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台风机分布情况，对风机进行了分组，共设计有2回集电线路，每回集电线路分别连接</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台风机、</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台箱式变。全线采用单回路架空方式走线，线路长度约为</w:t>
            </w:r>
            <w:r>
              <w:rPr>
                <w:rFonts w:hint="eastAsia"/>
                <w:color w:val="000000" w:themeColor="text1"/>
                <w:sz w:val="24"/>
                <w:lang w:val="en-US" w:eastAsia="zh-CN"/>
                <w14:textFill>
                  <w14:solidFill>
                    <w14:schemeClr w14:val="tx1"/>
                  </w14:solidFill>
                </w14:textFill>
              </w:rPr>
              <w:t>11.8</w:t>
            </w:r>
            <w:r>
              <w:rPr>
                <w:rFonts w:hint="eastAsia"/>
                <w:color w:val="000000" w:themeColor="text1"/>
                <w:sz w:val="24"/>
                <w14:textFill>
                  <w14:solidFill>
                    <w14:schemeClr w14:val="tx1"/>
                  </w14:solidFill>
                </w14:textFill>
              </w:rPr>
              <w:t>km，风机箱变入网部分架空线路采用悬空搭接的方式进行T接。</w:t>
            </w:r>
          </w:p>
          <w:p w14:paraId="7A1E7CAF">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3、道路</w:t>
            </w:r>
          </w:p>
          <w:p w14:paraId="7EA236DD">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场内新建支路长8.5km，需拓宽支路长1km，需拓宽主路20.1km，可直接利用水泥路或沥青路长约8km，总长度为37.6km</w:t>
            </w:r>
            <w:r>
              <w:rPr>
                <w:color w:val="000000" w:themeColor="text1"/>
                <w:kern w:val="0"/>
                <w:sz w:val="24"/>
                <w:lang w:bidi="ar"/>
                <w14:textFill>
                  <w14:solidFill>
                    <w14:schemeClr w14:val="tx1"/>
                  </w14:solidFill>
                </w14:textFill>
              </w:rPr>
              <w:t>。</w:t>
            </w:r>
            <w:r>
              <w:rPr>
                <w:rFonts w:hint="eastAsia"/>
                <w:color w:val="000000" w:themeColor="text1"/>
                <w:sz w:val="24"/>
                <w14:textFill>
                  <w14:solidFill>
                    <w14:schemeClr w14:val="tx1"/>
                  </w14:solidFill>
                </w14:textFill>
              </w:rPr>
              <w:t>风电场施工完成后，在简易施工道路的基础上修建宽度为路基宽度为4.5m的场内永久检修道路。</w:t>
            </w:r>
          </w:p>
          <w:p w14:paraId="301FAEB4">
            <w:pPr>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4、吊装场</w:t>
            </w:r>
          </w:p>
          <w:p w14:paraId="4A7DF0F4">
            <w:pPr>
              <w:pStyle w:val="10"/>
              <w:spacing w:after="0" w:line="360" w:lineRule="auto"/>
              <w:ind w:left="0" w:leftChars="0"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在每个风机基础旁设一施工吊装场地，并与场内施工道路相连。吊装场地与道路统一设计，节省场地面积，尺寸为50m×</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0m，供</w:t>
            </w:r>
            <w:r>
              <w:rPr>
                <w:rFonts w:hint="eastAsia"/>
                <w:color w:val="000000" w:themeColor="text1"/>
                <w:lang w:val="en-US" w:eastAsia="zh-CN"/>
                <w14:textFill>
                  <w14:solidFill>
                    <w14:schemeClr w14:val="tx1"/>
                  </w14:solidFill>
                </w14:textFill>
              </w:rPr>
              <w:t>10</w:t>
            </w:r>
            <w:r>
              <w:rPr>
                <w:color w:val="000000" w:themeColor="text1"/>
                <w14:textFill>
                  <w14:solidFill>
                    <w14:schemeClr w14:val="tx1"/>
                  </w14:solidFill>
                </w14:textFill>
              </w:rPr>
              <w:t>台风机使用，施工吊装场占地面积3</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，施工结束后恢复为原始地貌。</w:t>
            </w:r>
            <w:r>
              <w:rPr>
                <w:rFonts w:hint="eastAsia"/>
                <w:color w:val="000000" w:themeColor="text1"/>
                <w14:textFill>
                  <w14:solidFill>
                    <w14:schemeClr w14:val="tx1"/>
                  </w14:solidFill>
                </w14:textFill>
              </w:rPr>
              <w:t>本项目吊装场地平面布置示意图见图2-3。</w:t>
            </w:r>
          </w:p>
          <w:p w14:paraId="5C919801">
            <w:pPr>
              <w:adjustRightInd w:val="0"/>
              <w:snapToGrid w:val="0"/>
              <w:spacing w:before="120" w:beforeLines="50"/>
              <w:jc w:val="center"/>
              <w:rPr>
                <w:b/>
                <w:bCs/>
                <w:color w:val="000000" w:themeColor="text1"/>
                <w:sz w:val="24"/>
                <w14:textFill>
                  <w14:solidFill>
                    <w14:schemeClr w14:val="tx1"/>
                  </w14:solidFill>
                </w14:textFill>
              </w:rPr>
            </w:pPr>
            <w:r>
              <w:rPr>
                <w:color w:val="000000" w:themeColor="text1"/>
                <w14:textFill>
                  <w14:solidFill>
                    <w14:schemeClr w14:val="tx1"/>
                  </w14:solidFill>
                </w14:textFill>
              </w:rPr>
              <w:drawing>
                <wp:inline distT="0" distB="0" distL="114300" distR="114300">
                  <wp:extent cx="3481070" cy="3659505"/>
                  <wp:effectExtent l="0" t="0" r="24130" b="2349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5"/>
                          <a:srcRect t="3198" r="2012" b="641"/>
                          <a:stretch>
                            <a:fillRect/>
                          </a:stretch>
                        </pic:blipFill>
                        <pic:spPr>
                          <a:xfrm>
                            <a:off x="0" y="0"/>
                            <a:ext cx="3481070" cy="3659505"/>
                          </a:xfrm>
                          <a:prstGeom prst="rect">
                            <a:avLst/>
                          </a:prstGeom>
                          <a:noFill/>
                          <a:ln>
                            <a:noFill/>
                          </a:ln>
                        </pic:spPr>
                      </pic:pic>
                    </a:graphicData>
                  </a:graphic>
                </wp:inline>
              </w:drawing>
            </w:r>
          </w:p>
          <w:p w14:paraId="11CB2FE8">
            <w:pPr>
              <w:pStyle w:val="10"/>
              <w:spacing w:after="0" w:line="360" w:lineRule="auto"/>
              <w:ind w:left="0" w:leftChars="0"/>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14:textFill>
                  <w14:solidFill>
                    <w14:schemeClr w14:val="tx1"/>
                  </w14:solidFill>
                </w14:textFill>
              </w:rPr>
              <w:t>图2-3 吊装场地平面布置示意图</w:t>
            </w:r>
          </w:p>
        </w:tc>
      </w:tr>
      <w:tr w14:paraId="2415D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14:paraId="10400150">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施工方案</w:t>
            </w:r>
          </w:p>
        </w:tc>
        <w:tc>
          <w:tcPr>
            <w:tcW w:w="8075" w:type="dxa"/>
          </w:tcPr>
          <w:p w14:paraId="1EFAAE63">
            <w:pPr>
              <w:pStyle w:val="10"/>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2" w:firstLineChars="200"/>
              <w:textAlignment w:val="auto"/>
              <w:rPr>
                <w:b/>
                <w:bCs/>
                <w:color w:val="000000" w:themeColor="text1"/>
                <w:sz w:val="24"/>
                <w:szCs w:val="24"/>
                <w14:textFill>
                  <w14:solidFill>
                    <w14:schemeClr w14:val="tx1"/>
                  </w14:solidFill>
                </w14:textFill>
              </w:rPr>
            </w:pPr>
            <w:r>
              <w:rPr>
                <w:rFonts w:hint="eastAsia"/>
                <w:b/>
                <w:bCs/>
                <w:color w:val="000000" w:themeColor="text1"/>
                <w:szCs w:val="24"/>
                <w14:textFill>
                  <w14:solidFill>
                    <w14:schemeClr w14:val="tx1"/>
                  </w14:solidFill>
                </w14:textFill>
              </w:rPr>
              <w:t>1、</w:t>
            </w:r>
            <w:r>
              <w:rPr>
                <w:rFonts w:hint="eastAsia"/>
                <w:b/>
                <w:bCs/>
                <w:color w:val="000000" w:themeColor="text1"/>
                <w:sz w:val="24"/>
                <w:szCs w:val="24"/>
                <w14:textFill>
                  <w14:solidFill>
                    <w14:schemeClr w14:val="tx1"/>
                  </w14:solidFill>
                </w14:textFill>
              </w:rPr>
              <w:t>施工进度计划</w:t>
            </w:r>
          </w:p>
          <w:p w14:paraId="1200DD91">
            <w:pPr>
              <w:pStyle w:val="9"/>
              <w:spacing w:before="0" w:after="0" w:line="360" w:lineRule="auto"/>
              <w:ind w:right="0"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土施工总工期为12个月，施工准备期2.5个月，主体工程施工期9.5个月。</w:t>
            </w:r>
          </w:p>
          <w:p w14:paraId="5F43C5DC">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①施工</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进场道路平整</w:t>
            </w:r>
            <w:r>
              <w:rPr>
                <w:rFonts w:hint="default" w:ascii="Times New Roman" w:hAnsi="Times New Roman" w:eastAsia="宋体" w:cs="Times New Roman"/>
                <w:color w:val="000000" w:themeColor="text1"/>
                <w:sz w:val="24"/>
                <w:szCs w:val="24"/>
                <w14:textFill>
                  <w14:solidFill>
                    <w14:schemeClr w14:val="tx1"/>
                  </w14:solidFill>
                </w14:textFill>
              </w:rPr>
              <w:t>。</w:t>
            </w:r>
          </w:p>
          <w:p w14:paraId="5746D51D">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②风力发电机机组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运输、及承台基础施工</w:t>
            </w:r>
            <w:r>
              <w:rPr>
                <w:rFonts w:hint="default" w:ascii="Times New Roman" w:hAnsi="Times New Roman" w:eastAsia="宋体" w:cs="Times New Roman"/>
                <w:color w:val="000000" w:themeColor="text1"/>
                <w:sz w:val="24"/>
                <w:szCs w:val="24"/>
                <w14:textFill>
                  <w14:solidFill>
                    <w14:schemeClr w14:val="tx1"/>
                  </w14:solidFill>
                </w14:textFill>
              </w:rPr>
              <w:t>。</w:t>
            </w:r>
          </w:p>
          <w:p w14:paraId="309B9B15">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③风力发电机组安装</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吊装</w:t>
            </w:r>
            <w:r>
              <w:rPr>
                <w:rFonts w:hint="default" w:ascii="Times New Roman" w:hAnsi="Times New Roman" w:eastAsia="宋体" w:cs="Times New Roman"/>
                <w:color w:val="000000" w:themeColor="text1"/>
                <w:sz w:val="24"/>
                <w:szCs w:val="24"/>
                <w14:textFill>
                  <w14:solidFill>
                    <w14:schemeClr w14:val="tx1"/>
                  </w14:solidFill>
                </w14:textFill>
              </w:rPr>
              <w:t>。</w:t>
            </w:r>
          </w:p>
          <w:p w14:paraId="008F32B8">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④</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集电线路施工、线路安装。</w:t>
            </w:r>
          </w:p>
          <w:p w14:paraId="7563D7A6">
            <w:pPr>
              <w:pStyle w:val="9"/>
              <w:spacing w:before="0" w:after="0" w:line="360" w:lineRule="auto"/>
              <w:ind w:right="0"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2</w:t>
            </w:r>
            <w:r>
              <w:rPr>
                <w:rFonts w:hint="eastAsia"/>
                <w:b/>
                <w:bCs/>
                <w:color w:val="000000" w:themeColor="text1"/>
                <w:sz w:val="24"/>
                <w:szCs w:val="24"/>
                <w14:textFill>
                  <w14:solidFill>
                    <w14:schemeClr w14:val="tx1"/>
                  </w14:solidFill>
                </w14:textFill>
              </w:rPr>
              <w:t>、施工工艺</w:t>
            </w:r>
          </w:p>
          <w:p w14:paraId="1255033A">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项目风电场主体工程施工包括：风电机组、箱变基础施工、风电机组安装、集电线路施工、路施工及吊装平台施工。</w:t>
            </w:r>
          </w:p>
          <w:p w14:paraId="62698EBA">
            <w:pPr>
              <w:pStyle w:val="9"/>
              <w:spacing w:before="0" w:after="0" w:line="360" w:lineRule="auto"/>
              <w:ind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1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⑴</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风电机组、箱变基础施工</w:t>
            </w:r>
          </w:p>
          <w:p w14:paraId="06955A6D">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风电机组、箱变基础施工包括基础开挖、基础混凝土浇筑及回填。</w:t>
            </w:r>
          </w:p>
          <w:p w14:paraId="58ED9177">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①基础开挖：</w:t>
            </w:r>
          </w:p>
          <w:p w14:paraId="2ABACDCF">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石方开挖采用以机械施工开挖为主，人工配合为辅的方法。首先采用小型反铲挖掘机，配合推土机进行表层土的清理，底层石方开挖采用破碎锤或手风钻钻孔，配合装载机开挖，沿坑槽周边堆放，人工修整边坡；部分土石方采用自卸汽车运输，用于平整吊装场地和施工道路。基础开挖完成后，可进行基础混凝土浇筑。</w:t>
            </w:r>
          </w:p>
          <w:p w14:paraId="5765A641">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②基础混凝土浇筑：</w:t>
            </w:r>
          </w:p>
          <w:p w14:paraId="5B76393E">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先清底浇筑混凝土垫层，进行基础环吊装就位，钢筋绑扎加固、架立模具；再进行钢筋混凝土浇筑。基础钢筋混凝土要求一次性浇筑成型，无施工缝。施工时应严格控制混凝土浇筑温度，混凝土浇筑块体的内表温差不宜大于25℃。混凝土浇筑后须进行表面洒水保湿养护28天，防止产生温差造成表面干缩裂缝。土石方回填应在混凝土浇筑7天后进行。</w:t>
            </w:r>
          </w:p>
          <w:p w14:paraId="5CD2CE61">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③土石方回填：</w:t>
            </w:r>
          </w:p>
          <w:p w14:paraId="617EDE75">
            <w:pPr>
              <w:pStyle w:val="9"/>
              <w:spacing w:before="0" w:after="0" w:line="360" w:lineRule="auto"/>
              <w:ind w:right="0"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土石方回填采用汽车运输、人工分层回填、机械夯实的方式。回填时应分层回填，电动打夯机分层夯实，并预留沉降量，剩余土石方就近平整场地。</w:t>
            </w:r>
          </w:p>
          <w:p w14:paraId="5B290DA9">
            <w:pPr>
              <w:pStyle w:val="9"/>
              <w:spacing w:before="0" w:after="0" w:line="360" w:lineRule="auto"/>
              <w:ind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2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⑵</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风电机组安装</w:t>
            </w:r>
          </w:p>
          <w:p w14:paraId="50FE0075">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项目拟安装</w:t>
            </w:r>
            <w:r>
              <w:rPr>
                <w:rFonts w:hint="default" w:ascii="Times New Roman" w:hAnsi="Times New Roman" w:eastAsia="宋体" w:cs="Times New Roman"/>
                <w:color w:val="000000" w:themeColor="text1"/>
                <w:sz w:val="24"/>
                <w:szCs w:val="24"/>
                <w:lang w:val="en-US"/>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台单机容量为50</w:t>
            </w:r>
            <w:r>
              <w:rPr>
                <w:rFonts w:hint="default" w:ascii="Times New Roman" w:hAnsi="Times New Roman" w:eastAsia="宋体" w:cs="Times New Roman"/>
                <w:color w:val="000000" w:themeColor="text1"/>
                <w:sz w:val="24"/>
                <w:szCs w:val="24"/>
                <w:lang w:val="en-US"/>
                <w14:textFill>
                  <w14:solidFill>
                    <w14:schemeClr w14:val="tx1"/>
                  </w14:solidFill>
                </w14:textFill>
              </w:rPr>
              <w:t>00</w:t>
            </w:r>
            <w:r>
              <w:rPr>
                <w:rFonts w:hint="default" w:ascii="Times New Roman" w:hAnsi="Times New Roman" w:eastAsia="宋体" w:cs="Times New Roman"/>
                <w:color w:val="000000" w:themeColor="text1"/>
                <w:sz w:val="24"/>
                <w:szCs w:val="24"/>
                <w14:textFill>
                  <w14:solidFill>
                    <w14:schemeClr w14:val="tx1"/>
                  </w14:solidFill>
                </w14:textFill>
              </w:rPr>
              <w:t>kW的风力发电机组，叶轮直径220m，轮毂高度16</w:t>
            </w:r>
            <w:r>
              <w:rPr>
                <w:rFonts w:hint="default" w:ascii="Times New Roman" w:hAnsi="Times New Roman" w:eastAsia="宋体" w:cs="Times New Roman"/>
                <w:color w:val="000000" w:themeColor="text1"/>
                <w:sz w:val="24"/>
                <w:szCs w:val="24"/>
                <w:lang w:val="en-US"/>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m，风电场总装机规模为50MW。</w:t>
            </w:r>
          </w:p>
          <w:p w14:paraId="3B647035">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①风电机组塔架安装</w:t>
            </w:r>
          </w:p>
          <w:p w14:paraId="173163B8">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风力发电机塔筒为圆筒塔架，由四部分组成，每两部分之间用法兰盘连接。这些圆筒塔架是分段运输的，须在现场将筒内的配件安装好后，再进行吊装。在现场保存时应注意将塔筒放置于硬木上并防止其滚动，存放场地应尽可能平整无斜坡。必须在现场检查塔架及其配件在运输中损坏与否，为防止锈蚀，任何外表的损伤都应立即修补，所有污物也需清洗干净。</w:t>
            </w:r>
          </w:p>
          <w:p w14:paraId="5CCB41BD">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安装前应检查基座，基座的平整度需用水准仪校测，塔架的允许误差应符合厂家规定。</w:t>
            </w:r>
          </w:p>
          <w:p w14:paraId="7CA5DCD4">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在塔架安装前还应清除基础环法兰上的尘土及</w:t>
            </w:r>
            <w:r>
              <w:rPr>
                <w:rFonts w:hint="eastAsia" w:cs="Times New Roman"/>
                <w:color w:val="000000" w:themeColor="text1"/>
                <w:sz w:val="24"/>
                <w:szCs w:val="24"/>
                <w:lang w:eastAsia="zh-CN"/>
                <w14:textFill>
                  <w14:solidFill>
                    <w14:schemeClr w14:val="tx1"/>
                  </w14:solidFill>
                </w14:textFill>
              </w:rPr>
              <w:t>浇注</w:t>
            </w:r>
            <w:r>
              <w:rPr>
                <w:rFonts w:hint="default" w:ascii="Times New Roman" w:hAnsi="Times New Roman" w:eastAsia="宋体" w:cs="Times New Roman"/>
                <w:color w:val="000000" w:themeColor="text1"/>
                <w:sz w:val="24"/>
                <w:szCs w:val="24"/>
                <w14:textFill>
                  <w14:solidFill>
                    <w14:schemeClr w14:val="tx1"/>
                  </w14:solidFill>
                </w14:textFill>
              </w:rPr>
              <w:t>混凝土的剩余物，尤其是法兰处，不允许有任何锈蚀存在，若需要，可用砂纸打磨抛光。</w:t>
            </w:r>
          </w:p>
          <w:p w14:paraId="0215A3CF">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②风电机组机舱安装</w:t>
            </w:r>
          </w:p>
          <w:p w14:paraId="1339FA2B">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力发电机组采用分部件吊装的形式，在安装时，应选择良好的天气，下雨或风速超过12m/s时不允许安装风力发电机。根据汽车吊的起吊能力，机舱可用汽车吊直接吊至塔架顶部并予以固定，汽车吊支撑部位需铺垫路基箱，增加接地面积以分散起重荷载，防止地面下陷。</w:t>
            </w:r>
          </w:p>
          <w:p w14:paraId="323EFF6B">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③风电机组叶片安装</w:t>
            </w:r>
          </w:p>
          <w:p w14:paraId="35D97467">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转子叶片由载重汽车运输到安装现场后，为了防止叶片与地面的接触，应使用运输支架将其固定。安装前，必须对叶片进行全面地检查，以查明其在运输过程中有否损坏。禁止不经全面检查就直接安装叶片。</w:t>
            </w:r>
          </w:p>
          <w:p w14:paraId="725366A9">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地面上按施工安装技术要求首先将转子叶片安装在轮毂上，然后再进行吊装工作。轮毂与叶片在地面组装，叶片需采用支架支撑呈水平状态。组装完毕后，采用专用夹具夹紧轮毂，同时用绳索系在其中的两片叶片上，剩余的一片叶片尖端架在可移动式专用小车上。在转子叶片安装前，应用清洗设备对叶片法兰和轮毂法兰进行清洗。当汽车吊将轮毂缓慢吊起时，由人工在地面拉住绳索以控制叶片的摆动，直到提升至安装高度，由安装工人站于机舱内进行空中组装连接。</w:t>
            </w:r>
          </w:p>
          <w:p w14:paraId="04965A08">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风速是影响风电机组安装的主要因素，当风速超过一定值时不允许安装电机组，现场施工管理人员应能够判断在何种风速下才可以安装风电机组。</w:t>
            </w:r>
          </w:p>
          <w:p w14:paraId="1708A978">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吊装叶片和轮毂时，用大吊车提升轮毂和叶片，用小吊车随吊一片叶片。为了避免叶片在提升过程中摆动，用圆环绳索分别套在三片叶片上，每片叶片用3～6名装配人员在地面上拉住。在提升过程中，禁止叶片与吊车、塔架、机舱发生碰撞，应确保绳索不相互缠绕。通过两台吊车的共同作用，慢慢将转子叶片竖立。随后与吊装圆筒塔架相似的办法将带叶片的轮毂起吊并安装到机舱的法兰上。</w:t>
            </w:r>
          </w:p>
          <w:p w14:paraId="425A1BCA">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安装结束后可将叶片的安装附件移走，并清理安装现场。</w:t>
            </w:r>
          </w:p>
          <w:p w14:paraId="15E8DAE5">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④箱式变电站安装</w:t>
            </w:r>
          </w:p>
          <w:p w14:paraId="212233BF">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本项目配套选用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台箱式变进行升压，风电机组与箱式变的接线方式采用一机一变的单元接线方式。采用35kV箱式变压器（油浸式三相双卷自冷式升压变压器）。风机地面控制柜位于塔筒底部，与箱式变采用3kV电力电缆连接。</w:t>
            </w:r>
          </w:p>
          <w:p w14:paraId="3827F4D6">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a安装前的准备</w:t>
            </w:r>
          </w:p>
          <w:p w14:paraId="6FE89666">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电缆应在箱变就位前敷设好，并且经过检验是无电的。</w:t>
            </w:r>
          </w:p>
          <w:p w14:paraId="48DEAD08">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开箱验收检查产品是否有损伤、变形和断裂。按装箱清单检查附件和专用工具是否齐全，在确认无误后方可按安装要求进行安装。</w:t>
            </w:r>
          </w:p>
          <w:p w14:paraId="21A0EDFD">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b箱式变电站的安装</w:t>
            </w:r>
          </w:p>
          <w:p w14:paraId="35D6D3D5">
            <w:pPr>
              <w:pStyle w:val="9"/>
              <w:spacing w:before="0" w:after="0" w:line="360" w:lineRule="auto"/>
              <w:ind w:right="0" w:firstLine="480"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靠近箱体顶部有用于装卸的吊钩，起吊钢缆拉伸时与垂直线间的角度不能超过30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度</w:t>
            </w:r>
            <w:r>
              <w:rPr>
                <w:rFonts w:hint="default" w:ascii="Times New Roman" w:hAnsi="Times New Roman" w:eastAsia="宋体" w:cs="Times New Roman"/>
                <w:color w:val="000000" w:themeColor="text1"/>
                <w:sz w:val="24"/>
                <w:szCs w:val="24"/>
                <w14:textFill>
                  <w14:solidFill>
                    <w14:schemeClr w14:val="tx1"/>
                  </w14:solidFill>
                </w14:textFill>
              </w:rPr>
              <w:t>，如有必要，应用横杆支撑钢缆，以免造成箱变结构或起吊钩的变形。箱变大部分重量集中在装有铁心、绕组和绝缘油的箱体中的变压器，高低压终端箱内大部分是空的，重量相对较轻，使用吊钩或起重机不当可能造成箱变或其附件的损坏，或引起人员伤害。在安装完毕后，接上试验电缆插头，按国家有关试验规程进行试验。</w:t>
            </w:r>
          </w:p>
          <w:p w14:paraId="0D8972D1">
            <w:pPr>
              <w:pStyle w:val="9"/>
              <w:spacing w:before="0" w:after="0" w:line="360" w:lineRule="auto"/>
              <w:ind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3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⑶</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集电线路施工</w:t>
            </w:r>
          </w:p>
          <w:p w14:paraId="6D0666A2">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集电线路施工包括铁塔基础、架空电缆施工及直埋电缆施工。</w:t>
            </w:r>
          </w:p>
          <w:p w14:paraId="41A57577">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①铁塔基础：</w:t>
            </w:r>
          </w:p>
          <w:p w14:paraId="299C4339">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角钢塔拟采用板式直柱基础，基础垫层混凝土采用C25混凝土，混凝土保护帽采用C15混凝土，主柱与台阶基础均采用C25混凝土；</w:t>
            </w:r>
            <w:r>
              <w:rPr>
                <w:rFonts w:hint="eastAsia" w:cs="Times New Roman"/>
                <w:color w:val="000000" w:themeColor="text1"/>
                <w:sz w:val="24"/>
                <w:szCs w:val="24"/>
                <w:lang w:eastAsia="zh-CN"/>
                <w14:textFill>
                  <w14:solidFill>
                    <w14:schemeClr w14:val="tx1"/>
                  </w14:solidFill>
                </w14:textFill>
              </w:rPr>
              <w:t>基础钢筋采用</w:t>
            </w:r>
            <w:r>
              <w:rPr>
                <w:rFonts w:hint="default" w:ascii="Times New Roman" w:hAnsi="Times New Roman" w:eastAsia="宋体" w:cs="Times New Roman"/>
                <w:color w:val="000000" w:themeColor="text1"/>
                <w:sz w:val="24"/>
                <w:szCs w:val="24"/>
                <w14:textFill>
                  <w14:solidFill>
                    <w14:schemeClr w14:val="tx1"/>
                  </w14:solidFill>
                </w14:textFill>
              </w:rPr>
              <w:t>HRB400及HPB300，地脚螺栓采用Q235及35#钢。</w:t>
            </w:r>
          </w:p>
          <w:p w14:paraId="35B47B2F">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②架空电缆施工：</w:t>
            </w:r>
          </w:p>
          <w:p w14:paraId="6ACBAA9C">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人工开挖铁塔基础坑后，进行基础混凝土浇筑，分层回填夯实。在基础混凝土达到设计要求后，进行铁塔安装，铁塔采用汽车吊配合人工安装。施工安装铁塔要对称分段、自下而上、安装调试。待铁塔施工完成后，进行电缆挂件、支架、钢线等安装，最后进行挂线、拉线、系紧、紧固。</w:t>
            </w:r>
          </w:p>
          <w:p w14:paraId="453392FB">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③直埋电缆施工：</w:t>
            </w:r>
          </w:p>
          <w:p w14:paraId="225D18C3">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人工开挖电缆沟，将沟底用沙土垫平整，将电缆敷设后填埋一层沙土，再压上红砖，然后用碎石土回填夯实。电缆走向要按图纸标注和相关的技术要求执行。施工期采取表土剥存、覆土平整、临时拦挡、纱网遮盖等措施。</w:t>
            </w:r>
          </w:p>
          <w:p w14:paraId="688BAE81">
            <w:pPr>
              <w:pStyle w:val="9"/>
              <w:spacing w:before="0" w:after="0" w:line="360" w:lineRule="auto"/>
              <w:ind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4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⑷</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道路施工</w:t>
            </w:r>
          </w:p>
          <w:p w14:paraId="51B27782">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风电场场内道路采用“永久临时结合”的原则，沿风机位修建场内施工道路，施工期作为风电设备运输道路，施工结束后，作为风电场运行检修维护道路。</w:t>
            </w:r>
          </w:p>
          <w:p w14:paraId="25E72286">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①场内道路：</w:t>
            </w:r>
          </w:p>
          <w:p w14:paraId="469F9E9A">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本风电场风机位布置分散，大部分机位位于现有道路旁，局部机位需新建道路。路线选择尽量避开村庄，线路最短，减少占地，节约土石方工程量。</w:t>
            </w:r>
          </w:p>
          <w:p w14:paraId="6BEF9A6D">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②新建道路：</w:t>
            </w:r>
          </w:p>
          <w:p w14:paraId="749454C1">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新建道路路面为路面采用300mm厚泥结碎石面层+300mm厚2:8灰土路面。场内施工道路通向各风机机位，并与各机位的吊装场地相连接。施工道路设计标准：路基宽5.5m，路面宽为4.5m，道路最小转弯半径不小于30m，主路道路纵坡不大于15%，支路不大于18%。施工后期在简易施工道路的基础上修建宽度为路基宽度为4.5m的场内永久检修道路。</w:t>
            </w:r>
          </w:p>
          <w:p w14:paraId="79847602">
            <w:pPr>
              <w:pStyle w:val="9"/>
              <w:spacing w:before="0" w:after="0" w:line="360" w:lineRule="auto"/>
              <w:ind w:right="0" w:firstLine="482" w:firstLineChars="200"/>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14:textFill>
                  <w14:solidFill>
                    <w14:schemeClr w14:val="tx1"/>
                  </w14:solidFill>
                </w14:textFill>
              </w:rPr>
              <w:instrText xml:space="preserve"> = 5 \* GB2 \* MERGEFORMAT </w:instrText>
            </w:r>
            <w:r>
              <w:rPr>
                <w:rFonts w:hint="default" w:ascii="Times New Roman" w:hAnsi="Times New Roman" w:eastAsia="宋体" w:cs="Times New Roman"/>
                <w:b/>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sz w:val="24"/>
                <w:szCs w:val="24"/>
              </w:rPr>
              <w:t>⑸</w:t>
            </w:r>
            <w:r>
              <w:rPr>
                <w:rFonts w:hint="default" w:ascii="Times New Roman" w:hAnsi="Times New Roman" w:eastAsia="宋体" w:cs="Times New Roman"/>
                <w:b/>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bCs/>
                <w:color w:val="000000" w:themeColor="text1"/>
                <w:sz w:val="24"/>
                <w:szCs w:val="24"/>
                <w14:textFill>
                  <w14:solidFill>
                    <w14:schemeClr w14:val="tx1"/>
                  </w14:solidFill>
                </w14:textFill>
              </w:rPr>
              <w:t>吊装平台施工</w:t>
            </w:r>
          </w:p>
          <w:p w14:paraId="6C6D7110">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结合项目所处地形条件及当地交通路况，考虑到本工程的单机容量，吊装车辆至少有3台运输板车配合履带吊进行转场，采用汽车吊作为风电机组及塔架的主力吊装机械，辅助吊车配备一台履带吊和一台汽车吊。吊装场地尺寸为50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0m，</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占地面积为3000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共设有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14:textFill>
                  <w14:solidFill>
                    <w14:schemeClr w14:val="tx1"/>
                  </w14:solidFill>
                </w14:textFill>
              </w:rPr>
              <w:t>块场地。</w:t>
            </w:r>
          </w:p>
          <w:p w14:paraId="69B01B57">
            <w:pPr>
              <w:pStyle w:val="9"/>
              <w:spacing w:before="0" w:after="0" w:line="360" w:lineRule="auto"/>
              <w:ind w:right="0"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施工结束后恢复为原始地貌。</w:t>
            </w:r>
          </w:p>
          <w:p w14:paraId="1E8FF67F">
            <w:pPr>
              <w:pStyle w:val="9"/>
              <w:spacing w:before="0" w:after="0" w:line="360" w:lineRule="auto"/>
              <w:ind w:right="0" w:firstLine="480" w:firstLineChars="200"/>
              <w:rPr>
                <w:rFonts w:hint="eastAsia"/>
                <w:color w:val="000000" w:themeColor="text1"/>
                <w:sz w:val="24"/>
                <w:szCs w:val="24"/>
                <w14:textFill>
                  <w14:solidFill>
                    <w14:schemeClr w14:val="tx1"/>
                  </w14:solidFill>
                </w14:textFill>
              </w:rPr>
            </w:pPr>
          </w:p>
          <w:p w14:paraId="3F09BACC">
            <w:pPr>
              <w:pStyle w:val="9"/>
              <w:spacing w:before="0" w:after="0" w:line="360" w:lineRule="auto"/>
              <w:ind w:right="0" w:firstLine="480" w:firstLineChars="200"/>
              <w:rPr>
                <w:rFonts w:hint="eastAsia"/>
                <w:color w:val="000000" w:themeColor="text1"/>
                <w:sz w:val="24"/>
                <w:szCs w:val="24"/>
                <w14:textFill>
                  <w14:solidFill>
                    <w14:schemeClr w14:val="tx1"/>
                  </w14:solidFill>
                </w14:textFill>
              </w:rPr>
            </w:pPr>
          </w:p>
        </w:tc>
      </w:tr>
      <w:tr w14:paraId="644BD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32" w:hRule="atLeast"/>
          <w:jc w:val="center"/>
        </w:trPr>
        <w:tc>
          <w:tcPr>
            <w:tcW w:w="823" w:type="dxa"/>
            <w:vAlign w:val="center"/>
          </w:tcPr>
          <w:p w14:paraId="7536CE5A">
            <w:pPr>
              <w:pStyle w:val="26"/>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hint="eastAsia" w:ascii="Times New Roman" w:hAnsi="Times New Roman"/>
                <w:color w:val="000000" w:themeColor="text1"/>
                <w:szCs w:val="24"/>
                <w14:textFill>
                  <w14:solidFill>
                    <w14:schemeClr w14:val="tx1"/>
                  </w14:solidFill>
                </w14:textFill>
              </w:rPr>
              <w:t>其他</w:t>
            </w:r>
          </w:p>
        </w:tc>
        <w:tc>
          <w:tcPr>
            <w:tcW w:w="8075" w:type="dxa"/>
          </w:tcPr>
          <w:p w14:paraId="0FCA7088">
            <w:pPr>
              <w:pStyle w:val="21"/>
              <w:jc w:val="left"/>
              <w:rPr>
                <w:color w:val="000000" w:themeColor="text1"/>
                <w14:textFill>
                  <w14:solidFill>
                    <w14:schemeClr w14:val="tx1"/>
                  </w14:solidFill>
                </w14:textFill>
              </w:rPr>
            </w:pPr>
          </w:p>
        </w:tc>
      </w:tr>
    </w:tbl>
    <w:p w14:paraId="54489457">
      <w:pPr>
        <w:pStyle w:val="26"/>
        <w:adjustRightInd w:val="0"/>
        <w:snapToGrid w:val="0"/>
        <w:spacing w:before="0" w:beforeAutospacing="0" w:after="0" w:afterAutospacing="0"/>
        <w:jc w:val="both"/>
        <w:rPr>
          <w:rFonts w:ascii="Times New Roman" w:hAnsi="Times New Roman"/>
          <w:color w:val="000000" w:themeColor="text1"/>
          <w:szCs w:val="24"/>
          <w14:textFill>
            <w14:solidFill>
              <w14:schemeClr w14:val="tx1"/>
            </w14:solidFill>
          </w14:textFill>
        </w:rPr>
        <w:sectPr>
          <w:pgSz w:w="11906" w:h="16838"/>
          <w:pgMar w:top="1701" w:right="1531" w:bottom="1701" w:left="1531" w:header="851" w:footer="850" w:gutter="0"/>
          <w:cols w:space="0" w:num="1"/>
          <w:docGrid w:linePitch="312" w:charSpace="0"/>
        </w:sectPr>
      </w:pPr>
    </w:p>
    <w:p w14:paraId="53AB9699">
      <w:pPr>
        <w:pStyle w:val="26"/>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w:t>
      </w:r>
      <w:r>
        <w:rPr>
          <w:rFonts w:hint="eastAsia" w:ascii="Times New Roman" w:hAnsi="Times New Roman" w:eastAsia="黑体"/>
          <w:snapToGrid w:val="0"/>
          <w:color w:val="000000" w:themeColor="text1"/>
          <w:sz w:val="30"/>
          <w:szCs w:val="30"/>
          <w14:textFill>
            <w14:solidFill>
              <w14:schemeClr w14:val="tx1"/>
            </w14:solidFill>
          </w14:textFill>
        </w:rPr>
        <w:t>生态环境</w:t>
      </w:r>
      <w:r>
        <w:rPr>
          <w:rFonts w:ascii="Times New Roman" w:hAnsi="Times New Roman" w:eastAsia="黑体"/>
          <w:snapToGrid w:val="0"/>
          <w:color w:val="000000" w:themeColor="text1"/>
          <w:sz w:val="30"/>
          <w:szCs w:val="30"/>
          <w14:textFill>
            <w14:solidFill>
              <w14:schemeClr w14:val="tx1"/>
            </w14:solidFill>
          </w14:textFill>
        </w:rPr>
        <w:t>现状、保护目标及评价标准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56"/>
      </w:tblGrid>
      <w:tr w14:paraId="748C4A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78BD46D7">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生态</w:t>
            </w:r>
          </w:p>
          <w:p w14:paraId="1053AF74">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环境</w:t>
            </w:r>
          </w:p>
          <w:p w14:paraId="757EA6AA">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现状</w:t>
            </w:r>
          </w:p>
        </w:tc>
        <w:tc>
          <w:tcPr>
            <w:tcW w:w="8156" w:type="dxa"/>
            <w:vAlign w:val="center"/>
          </w:tcPr>
          <w:p w14:paraId="16CCCA70">
            <w:pPr>
              <w:keepNext w:val="0"/>
              <w:keepLines w:val="0"/>
              <w:pageBreakBefore w:val="0"/>
              <w:widowControl w:val="0"/>
              <w:tabs>
                <w:tab w:val="left" w:pos="3555"/>
              </w:tabs>
              <w:kinsoku/>
              <w:wordWrap/>
              <w:overflowPunct/>
              <w:topLinePunct w:val="0"/>
              <w:autoSpaceDE/>
              <w:autoSpaceDN/>
              <w:bidi w:val="0"/>
              <w:adjustRightInd/>
              <w:snapToGrid/>
              <w:spacing w:before="157" w:beforeLines="50" w:line="360" w:lineRule="auto"/>
              <w:ind w:firstLine="482" w:firstLineChars="200"/>
              <w:textAlignment w:val="auto"/>
              <w:rPr>
                <w:rStyle w:val="58"/>
                <w:b/>
                <w:color w:val="000000" w:themeColor="text1"/>
                <w:sz w:val="24"/>
                <w14:textFill>
                  <w14:solidFill>
                    <w14:schemeClr w14:val="tx1"/>
                  </w14:solidFill>
                </w14:textFill>
              </w:rPr>
            </w:pPr>
            <w:r>
              <w:rPr>
                <w:rStyle w:val="58"/>
                <w:rFonts w:hint="eastAsia"/>
                <w:b/>
                <w:color w:val="000000" w:themeColor="text1"/>
                <w:sz w:val="24"/>
                <w14:textFill>
                  <w14:solidFill>
                    <w14:schemeClr w14:val="tx1"/>
                  </w14:solidFill>
                </w14:textFill>
              </w:rPr>
              <w:t>1、生态环境质量现状</w:t>
            </w:r>
          </w:p>
          <w:p w14:paraId="497ED5C5">
            <w:pPr>
              <w:pStyle w:val="97"/>
              <w:snapToGrid w:val="0"/>
              <w:ind w:firstLine="480"/>
              <w:rPr>
                <w:rStyle w:val="58"/>
                <w:bCs/>
                <w:color w:val="000000" w:themeColor="text1"/>
                <w:sz w:val="24"/>
                <w14:textFill>
                  <w14:solidFill>
                    <w14:schemeClr w14:val="tx1"/>
                  </w14:solidFill>
                </w14:textFill>
              </w:rPr>
            </w:pPr>
            <w:r>
              <w:rPr>
                <w:rStyle w:val="58"/>
                <w:rFonts w:hint="eastAsia"/>
                <w:bCs/>
                <w:color w:val="000000" w:themeColor="text1"/>
                <w:sz w:val="24"/>
                <w14:textFill>
                  <w14:solidFill>
                    <w14:schemeClr w14:val="tx1"/>
                  </w14:solidFill>
                </w14:textFill>
              </w:rPr>
              <w:fldChar w:fldCharType="begin"/>
            </w:r>
            <w:r>
              <w:rPr>
                <w:rStyle w:val="58"/>
                <w:rFonts w:hint="eastAsia"/>
                <w:bCs/>
                <w:color w:val="000000" w:themeColor="text1"/>
                <w:sz w:val="24"/>
                <w14:textFill>
                  <w14:solidFill>
                    <w14:schemeClr w14:val="tx1"/>
                  </w14:solidFill>
                </w14:textFill>
              </w:rPr>
              <w:instrText xml:space="preserve"> = 1 \* GB2 \* MERGEFORMAT </w:instrText>
            </w:r>
            <w:r>
              <w:rPr>
                <w:rStyle w:val="58"/>
                <w:rFonts w:hint="eastAsia"/>
                <w:bCs/>
                <w:color w:val="000000" w:themeColor="text1"/>
                <w:sz w:val="24"/>
                <w14:textFill>
                  <w14:solidFill>
                    <w14:schemeClr w14:val="tx1"/>
                  </w14:solidFill>
                </w14:textFill>
              </w:rPr>
              <w:fldChar w:fldCharType="separate"/>
            </w:r>
            <w:r>
              <w:t>⑴</w:t>
            </w:r>
            <w:r>
              <w:rPr>
                <w:rStyle w:val="58"/>
                <w:rFonts w:hint="eastAsia"/>
                <w:bCs/>
                <w:color w:val="000000" w:themeColor="text1"/>
                <w:sz w:val="24"/>
                <w14:textFill>
                  <w14:solidFill>
                    <w14:schemeClr w14:val="tx1"/>
                  </w14:solidFill>
                </w14:textFill>
              </w:rPr>
              <w:fldChar w:fldCharType="end"/>
            </w:r>
            <w:r>
              <w:rPr>
                <w:rStyle w:val="58"/>
                <w:rFonts w:hint="eastAsia"/>
                <w:bCs/>
                <w:color w:val="000000" w:themeColor="text1"/>
                <w:sz w:val="24"/>
                <w14:textFill>
                  <w14:solidFill>
                    <w14:schemeClr w14:val="tx1"/>
                  </w14:solidFill>
                </w14:textFill>
              </w:rPr>
              <w:t>主体功能区划</w:t>
            </w:r>
          </w:p>
          <w:p w14:paraId="0DC2B4F4">
            <w:pPr>
              <w:pStyle w:val="97"/>
              <w:snapToGrid w:val="0"/>
              <w:ind w:firstLine="480"/>
              <w:rPr>
                <w:rStyle w:val="58"/>
                <w:rFonts w:hint="default" w:ascii="Times New Roman" w:hAnsi="Times New Roman" w:eastAsia="宋体" w:cs="Times New Roman"/>
                <w:bCs/>
                <w:color w:val="000000" w:themeColor="text1"/>
                <w:sz w:val="24"/>
                <w14:textFill>
                  <w14:solidFill>
                    <w14:schemeClr w14:val="tx1"/>
                  </w14:solidFill>
                </w14:textFill>
              </w:rPr>
            </w:pPr>
            <w:r>
              <w:rPr>
                <w:rStyle w:val="58"/>
                <w:rFonts w:hint="eastAsia" w:ascii="Times New Roman" w:hAnsi="Times New Roman" w:eastAsia="宋体" w:cs="Times New Roman"/>
                <w:bCs/>
                <w:color w:val="000000" w:themeColor="text1"/>
                <w:sz w:val="24"/>
                <w14:textFill>
                  <w14:solidFill>
                    <w14:schemeClr w14:val="tx1"/>
                  </w14:solidFill>
                </w14:textFill>
              </w:rPr>
              <w:t>根</w:t>
            </w:r>
            <w:r>
              <w:rPr>
                <w:rStyle w:val="58"/>
                <w:rFonts w:hint="default" w:ascii="Times New Roman" w:hAnsi="Times New Roman" w:eastAsia="宋体" w:cs="Times New Roman"/>
                <w:bCs/>
                <w:color w:val="000000" w:themeColor="text1"/>
                <w:sz w:val="24"/>
                <w14:textFill>
                  <w14:solidFill>
                    <w14:schemeClr w14:val="tx1"/>
                  </w14:solidFill>
                </w14:textFill>
              </w:rPr>
              <w:t>据《陕西省主体功能区划》，项目所在区域属于限制开发区域(农产品主产区)。功能定位：</w:t>
            </w:r>
            <w:r>
              <w:rPr>
                <w:rStyle w:val="58"/>
                <w:rFonts w:hint="eastAsia" w:ascii="Times New Roman" w:hAnsi="Times New Roman" w:eastAsia="宋体" w:cs="Times New Roman"/>
                <w:bCs/>
                <w:color w:val="000000" w:themeColor="text1"/>
                <w:sz w:val="24"/>
                <w:lang w:val="en-US" w:eastAsia="zh-CN"/>
                <w14:textFill>
                  <w14:solidFill>
                    <w14:schemeClr w14:val="tx1"/>
                  </w14:solidFill>
                </w14:textFill>
              </w:rPr>
              <w:t>保障农产品供给安全的重要区域，现代农业发展的核心区，农村居民安居乐业的美好家园，社会主义新农村建设的示范区。农产品主产区应着力保护耕地，稳定粮食生产，提高农业综合生产能力，增加农民收入，优化农业产业结构，着力提高品质和单产，保障农产品供给。</w:t>
            </w:r>
          </w:p>
          <w:p w14:paraId="0F61E706">
            <w:pPr>
              <w:pStyle w:val="97"/>
              <w:snapToGrid w:val="0"/>
              <w:ind w:firstLine="480"/>
              <w:rPr>
                <w:rStyle w:val="58"/>
                <w:rFonts w:hint="eastAsia"/>
                <w:bCs/>
                <w:color w:val="000000" w:themeColor="text1"/>
                <w:sz w:val="24"/>
                <w14:textFill>
                  <w14:solidFill>
                    <w14:schemeClr w14:val="tx1"/>
                  </w14:solidFill>
                </w14:textFill>
              </w:rPr>
            </w:pPr>
            <w:r>
              <w:rPr>
                <w:rStyle w:val="58"/>
                <w:rFonts w:hint="eastAsia"/>
                <w:bCs/>
                <w:color w:val="000000" w:themeColor="text1"/>
                <w:sz w:val="24"/>
                <w14:textFill>
                  <w14:solidFill>
                    <w14:schemeClr w14:val="tx1"/>
                  </w14:solidFill>
                </w14:textFill>
              </w:rPr>
              <w:t>本项目为风电项目，</w:t>
            </w:r>
            <w:r>
              <w:rPr>
                <w:rStyle w:val="58"/>
                <w:rFonts w:hint="eastAsia"/>
                <w:bCs/>
                <w:color w:val="000000" w:themeColor="text1"/>
                <w:sz w:val="24"/>
                <w:lang w:val="en-US" w:eastAsia="zh-CN"/>
                <w14:textFill>
                  <w14:solidFill>
                    <w14:schemeClr w14:val="tx1"/>
                  </w14:solidFill>
                </w14:textFill>
              </w:rPr>
              <w:t>项目</w:t>
            </w:r>
            <w:r>
              <w:rPr>
                <w:rFonts w:hint="eastAsia"/>
                <w:color w:val="000000" w:themeColor="text1"/>
                <w:kern w:val="0"/>
                <w:szCs w:val="21"/>
                <w:lang w:val="en-US" w:eastAsia="zh-CN" w:bidi="ar"/>
                <w14:textFill>
                  <w14:solidFill>
                    <w14:schemeClr w14:val="tx1"/>
                  </w14:solidFill>
                </w14:textFill>
              </w:rPr>
              <w:t>占地不涉及耕地，</w:t>
            </w:r>
            <w:r>
              <w:rPr>
                <w:rStyle w:val="58"/>
                <w:rFonts w:hint="eastAsia"/>
                <w:bCs/>
                <w:color w:val="000000" w:themeColor="text1"/>
                <w:sz w:val="24"/>
                <w14:textFill>
                  <w14:solidFill>
                    <w14:schemeClr w14:val="tx1"/>
                  </w14:solidFill>
                </w14:textFill>
              </w:rPr>
              <w:t>建设过程中应</w:t>
            </w:r>
            <w:r>
              <w:rPr>
                <w:rStyle w:val="58"/>
                <w:rFonts w:hint="eastAsia"/>
                <w:bCs/>
                <w:color w:val="000000" w:themeColor="text1"/>
                <w:sz w:val="24"/>
                <w:lang w:eastAsia="zh-CN"/>
                <w14:textFill>
                  <w14:solidFill>
                    <w14:schemeClr w14:val="tx1"/>
                  </w14:solidFill>
                </w14:textFill>
              </w:rPr>
              <w:t>注意</w:t>
            </w:r>
            <w:r>
              <w:rPr>
                <w:rStyle w:val="58"/>
                <w:rFonts w:hint="eastAsia"/>
                <w:bCs/>
                <w:color w:val="000000" w:themeColor="text1"/>
                <w:sz w:val="24"/>
                <w:lang w:val="en-US" w:eastAsia="zh-CN"/>
                <w14:textFill>
                  <w14:solidFill>
                    <w14:schemeClr w14:val="tx1"/>
                  </w14:solidFill>
                </w14:textFill>
              </w:rPr>
              <w:t>保护农田</w:t>
            </w:r>
            <w:r>
              <w:rPr>
                <w:rStyle w:val="58"/>
                <w:rFonts w:hint="eastAsia"/>
                <w:bCs/>
                <w:color w:val="000000" w:themeColor="text1"/>
                <w:sz w:val="24"/>
                <w14:textFill>
                  <w14:solidFill>
                    <w14:schemeClr w14:val="tx1"/>
                  </w14:solidFill>
                </w14:textFill>
              </w:rPr>
              <w:t>，加强项目区域的生态保护措施后，本项目符合《陕西省主体功能区规划》的要求。</w:t>
            </w:r>
          </w:p>
          <w:p w14:paraId="06734BB7">
            <w:pPr>
              <w:pStyle w:val="97"/>
              <w:snapToGrid w:val="0"/>
              <w:ind w:firstLine="480"/>
              <w:rPr>
                <w:bCs/>
                <w:color w:val="000000" w:themeColor="text1"/>
                <w14:textFill>
                  <w14:solidFill>
                    <w14:schemeClr w14:val="tx1"/>
                  </w14:solidFill>
                </w14:textFill>
              </w:rPr>
            </w:pPr>
            <w:r>
              <w:rPr>
                <w:rStyle w:val="58"/>
                <w:rFonts w:hint="eastAsia"/>
                <w:bCs/>
                <w:color w:val="000000" w:themeColor="text1"/>
                <w:sz w:val="24"/>
                <w14:textFill>
                  <w14:solidFill>
                    <w14:schemeClr w14:val="tx1"/>
                  </w14:solidFill>
                </w14:textFill>
              </w:rPr>
              <w:fldChar w:fldCharType="begin"/>
            </w:r>
            <w:r>
              <w:rPr>
                <w:rStyle w:val="58"/>
                <w:rFonts w:hint="eastAsia"/>
                <w:bCs/>
                <w:color w:val="000000" w:themeColor="text1"/>
                <w:sz w:val="24"/>
                <w14:textFill>
                  <w14:solidFill>
                    <w14:schemeClr w14:val="tx1"/>
                  </w14:solidFill>
                </w14:textFill>
              </w:rPr>
              <w:instrText xml:space="preserve"> = 2 \* GB2 \* MERGEFORMAT </w:instrText>
            </w:r>
            <w:r>
              <w:rPr>
                <w:rStyle w:val="58"/>
                <w:rFonts w:hint="eastAsia"/>
                <w:bCs/>
                <w:color w:val="000000" w:themeColor="text1"/>
                <w:sz w:val="24"/>
                <w14:textFill>
                  <w14:solidFill>
                    <w14:schemeClr w14:val="tx1"/>
                  </w14:solidFill>
                </w14:textFill>
              </w:rPr>
              <w:fldChar w:fldCharType="separate"/>
            </w:r>
            <w:r>
              <w:t>⑵</w:t>
            </w:r>
            <w:r>
              <w:rPr>
                <w:rStyle w:val="58"/>
                <w:rFonts w:hint="eastAsia"/>
                <w:bCs/>
                <w:color w:val="000000" w:themeColor="text1"/>
                <w:sz w:val="24"/>
                <w14:textFill>
                  <w14:solidFill>
                    <w14:schemeClr w14:val="tx1"/>
                  </w14:solidFill>
                </w14:textFill>
              </w:rPr>
              <w:fldChar w:fldCharType="end"/>
            </w:r>
            <w:r>
              <w:rPr>
                <w:bCs/>
                <w:color w:val="000000" w:themeColor="text1"/>
                <w14:textFill>
                  <w14:solidFill>
                    <w14:schemeClr w14:val="tx1"/>
                  </w14:solidFill>
                </w14:textFill>
              </w:rPr>
              <w:t>生态功能区划</w:t>
            </w:r>
          </w:p>
          <w:p w14:paraId="723B4BE6">
            <w:pPr>
              <w:pStyle w:val="97"/>
              <w:snapToGrid w:val="0"/>
              <w:ind w:firstLine="480"/>
              <w:rPr>
                <w:rFonts w:hint="eastAsia"/>
                <w:bCs/>
                <w:color w:val="000000" w:themeColor="text1"/>
                <w14:textFill>
                  <w14:solidFill>
                    <w14:schemeClr w14:val="tx1"/>
                  </w14:solidFill>
                </w14:textFill>
              </w:rPr>
            </w:pPr>
            <w:r>
              <w:rPr>
                <w:bCs/>
                <w:color w:val="000000" w:themeColor="text1"/>
                <w14:textFill>
                  <w14:solidFill>
                    <w14:schemeClr w14:val="tx1"/>
                  </w14:solidFill>
                </w14:textFill>
              </w:rPr>
              <w:t>根据《陕西省生态功能区划》，陕西省划分4个生态区、10个生态功能区、35个生态功能小区。本项目位于</w:t>
            </w:r>
            <w:r>
              <w:rPr>
                <w:rFonts w:hint="eastAsia"/>
                <w:bCs/>
                <w:color w:val="000000" w:themeColor="text1"/>
                <w14:textFill>
                  <w14:solidFill>
                    <w14:schemeClr w14:val="tx1"/>
                  </w14:solidFill>
                </w14:textFill>
              </w:rPr>
              <w:t>项目区属于“渭河谷地农业生态区－渭河两侧黄土台塬农业生态亚区－关山水源涵养区”。</w:t>
            </w:r>
          </w:p>
          <w:p w14:paraId="5D725232">
            <w:pPr>
              <w:pStyle w:val="97"/>
              <w:snapToGrid w:val="0"/>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该功能区生态保护主要方向：</w:t>
            </w:r>
          </w:p>
          <w:p w14:paraId="617A93DA">
            <w:pPr>
              <w:pStyle w:val="97"/>
              <w:snapToGrid w:val="0"/>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①限制和禁止各种不利于保护生态系统水源涵养功能的经济社会活动和生产方式。</w:t>
            </w:r>
          </w:p>
          <w:p w14:paraId="1A97C408">
            <w:pPr>
              <w:pStyle w:val="97"/>
              <w:snapToGrid w:val="0"/>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②继续加强生态恢复与生态建设提高生态系统的水源涵养功能。</w:t>
            </w:r>
          </w:p>
          <w:p w14:paraId="58857106">
            <w:pPr>
              <w:pStyle w:val="97"/>
              <w:snapToGrid w:val="0"/>
              <w:ind w:firstLine="480"/>
              <w:rPr>
                <w:rFonts w:hint="default" w:ascii="Times New Roman" w:hAnsi="Times New Roman" w:cs="Times New Roman"/>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③禁止导致水体污染的产业发展。</w:t>
            </w:r>
          </w:p>
          <w:p w14:paraId="6267CE12">
            <w:pPr>
              <w:pStyle w:val="97"/>
              <w:snapToGrid w:val="0"/>
              <w:ind w:firstLine="480"/>
              <w:rPr>
                <w:rFonts w:hint="eastAsia"/>
                <w:bCs/>
                <w:color w:val="000000" w:themeColor="text1"/>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fldChar w:fldCharType="begin"/>
            </w:r>
            <w:r>
              <w:rPr>
                <w:rFonts w:hint="default" w:ascii="Times New Roman" w:hAnsi="Times New Roman" w:cs="Times New Roman"/>
                <w:bCs/>
                <w:color w:val="000000" w:themeColor="text1"/>
                <w14:textFill>
                  <w14:solidFill>
                    <w14:schemeClr w14:val="tx1"/>
                  </w14:solidFill>
                </w14:textFill>
              </w:rPr>
              <w:instrText xml:space="preserve"> = 4 \* GB3 \* MERGEFORMAT </w:instrText>
            </w:r>
            <w:r>
              <w:rPr>
                <w:rFonts w:hint="default" w:ascii="Times New Roman" w:hAnsi="Times New Roman" w:cs="Times New Roman"/>
                <w:bCs/>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cs="Times New Roman"/>
                <w:bCs/>
                <w:color w:val="000000" w:themeColor="text1"/>
                <w14:textFill>
                  <w14:solidFill>
                    <w14:schemeClr w14:val="tx1"/>
                  </w14:solidFill>
                </w14:textFill>
              </w:rPr>
              <w:fldChar w:fldCharType="end"/>
            </w:r>
            <w:r>
              <w:rPr>
                <w:rFonts w:hint="default" w:ascii="Times New Roman" w:hAnsi="Times New Roman" w:cs="Times New Roman"/>
                <w:bCs/>
                <w:color w:val="000000" w:themeColor="text1"/>
                <w14:textFill>
                  <w14:solidFill>
                    <w14:schemeClr w14:val="tx1"/>
                  </w14:solidFill>
                </w14:textFill>
              </w:rPr>
              <w:t>严格控制载畜量减轻区内</w:t>
            </w:r>
            <w:r>
              <w:rPr>
                <w:rFonts w:hint="eastAsia"/>
                <w:bCs/>
                <w:color w:val="000000" w:themeColor="text1"/>
                <w14:textFill>
                  <w14:solidFill>
                    <w14:schemeClr w14:val="tx1"/>
                  </w14:solidFill>
                </w14:textFill>
              </w:rPr>
              <w:t>畜牧业对水源和生态系统的压力。</w:t>
            </w:r>
          </w:p>
          <w:p w14:paraId="10C1FF98">
            <w:pPr>
              <w:pStyle w:val="97"/>
              <w:snapToGrid w:val="0"/>
              <w:ind w:firstLine="480"/>
              <w:rPr>
                <w:rFonts w:hint="eastAsia"/>
                <w:bCs/>
                <w:color w:val="FF0000"/>
              </w:rPr>
            </w:pPr>
            <w:r>
              <w:rPr>
                <w:rFonts w:hint="eastAsia" w:ascii="Times New Roman" w:hAnsi="Times New Roman" w:eastAsia="宋体" w:cs="Times New Roman"/>
                <w:color w:val="auto"/>
                <w:kern w:val="0"/>
                <w:sz w:val="24"/>
                <w:szCs w:val="24"/>
                <w:highlight w:val="none"/>
                <w:lang w:val="en-US" w:eastAsia="zh-CN" w:bidi="zh-CN"/>
              </w:rPr>
              <w:t>项目为风电项目，施工和运营期不排放污水，不属于陕西省生态功能区划禁止建设类项目。</w:t>
            </w:r>
          </w:p>
          <w:p w14:paraId="10C5345F">
            <w:pPr>
              <w:pStyle w:val="97"/>
              <w:snapToGrid w:val="0"/>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fldChar w:fldCharType="begin"/>
            </w:r>
            <w:r>
              <w:rPr>
                <w:rFonts w:hint="eastAsia"/>
                <w:bCs/>
                <w:color w:val="000000" w:themeColor="text1"/>
                <w14:textFill>
                  <w14:solidFill>
                    <w14:schemeClr w14:val="tx1"/>
                  </w14:solidFill>
                </w14:textFill>
              </w:rPr>
              <w:instrText xml:space="preserve"> = 3 \* GB2 \* MERGEFORMAT </w:instrText>
            </w:r>
            <w:r>
              <w:rPr>
                <w:rFonts w:hint="eastAsia"/>
                <w:bCs/>
                <w:color w:val="000000" w:themeColor="text1"/>
                <w14:textFill>
                  <w14:solidFill>
                    <w14:schemeClr w14:val="tx1"/>
                  </w14:solidFill>
                </w14:textFill>
              </w:rPr>
              <w:fldChar w:fldCharType="separate"/>
            </w:r>
            <w:r>
              <w:t>⑶</w:t>
            </w:r>
            <w:r>
              <w:rPr>
                <w:rFonts w:hint="eastAsia"/>
                <w:bCs/>
                <w:color w:val="000000" w:themeColor="text1"/>
                <w14:textFill>
                  <w14:solidFill>
                    <w14:schemeClr w14:val="tx1"/>
                  </w14:solidFill>
                </w14:textFill>
              </w:rPr>
              <w:fldChar w:fldCharType="end"/>
            </w:r>
            <w:r>
              <w:rPr>
                <w:rFonts w:hint="eastAsia"/>
                <w:bCs/>
                <w:color w:val="000000" w:themeColor="text1"/>
                <w14:textFill>
                  <w14:solidFill>
                    <w14:schemeClr w14:val="tx1"/>
                  </w14:solidFill>
                </w14:textFill>
              </w:rPr>
              <w:t>土地现状状况</w:t>
            </w:r>
          </w:p>
          <w:p w14:paraId="7876C90B">
            <w:pPr>
              <w:pStyle w:val="97"/>
              <w:snapToGrid w:val="0"/>
              <w:ind w:firstLine="480"/>
              <w:rPr>
                <w:bCs/>
                <w:color w:val="000000" w:themeColor="text1"/>
                <w14:textFill>
                  <w14:solidFill>
                    <w14:schemeClr w14:val="tx1"/>
                  </w14:solidFill>
                </w14:textFill>
              </w:rPr>
            </w:pPr>
            <w:r>
              <w:rPr>
                <w:bCs/>
                <w:color w:val="000000" w:themeColor="text1"/>
                <w14:textFill>
                  <w14:solidFill>
                    <w14:schemeClr w14:val="tx1"/>
                  </w14:solidFill>
                </w14:textFill>
              </w:rPr>
              <w:t>根据现场</w:t>
            </w:r>
            <w:r>
              <w:rPr>
                <w:rFonts w:hint="eastAsia"/>
                <w:bCs/>
                <w:color w:val="000000" w:themeColor="text1"/>
                <w14:textFill>
                  <w14:solidFill>
                    <w14:schemeClr w14:val="tx1"/>
                  </w14:solidFill>
                </w14:textFill>
              </w:rPr>
              <w:t>踏勘和</w:t>
            </w:r>
            <w:r>
              <w:rPr>
                <w:bCs/>
                <w:color w:val="000000" w:themeColor="text1"/>
                <w14:textFill>
                  <w14:solidFill>
                    <w14:schemeClr w14:val="tx1"/>
                  </w14:solidFill>
                </w14:textFill>
              </w:rPr>
              <w:t>调查，</w:t>
            </w:r>
            <w:r>
              <w:rPr>
                <w:rFonts w:hint="eastAsia"/>
                <w:bCs/>
                <w:color w:val="000000" w:themeColor="text1"/>
                <w14:textFill>
                  <w14:solidFill>
                    <w14:schemeClr w14:val="tx1"/>
                  </w14:solidFill>
                </w14:textFill>
              </w:rPr>
              <w:t>项目</w:t>
            </w:r>
            <w:r>
              <w:rPr>
                <w:bCs/>
                <w:color w:val="000000" w:themeColor="text1"/>
                <w14:textFill>
                  <w14:solidFill>
                    <w14:schemeClr w14:val="tx1"/>
                  </w14:solidFill>
                </w14:textFill>
              </w:rPr>
              <w:t>拟建风电场场区内用地主要</w:t>
            </w:r>
            <w:r>
              <w:rPr>
                <w:rFonts w:hint="eastAsia"/>
                <w:bCs/>
                <w:color w:val="000000" w:themeColor="text1"/>
                <w14:textFill>
                  <w14:solidFill>
                    <w14:schemeClr w14:val="tx1"/>
                  </w14:solidFill>
                </w14:textFill>
              </w:rPr>
              <w:t>以</w:t>
            </w:r>
            <w:r>
              <w:rPr>
                <w:rFonts w:hint="eastAsia"/>
                <w:bCs/>
                <w:color w:val="000000" w:themeColor="text1"/>
                <w:lang w:val="en-US" w:eastAsia="zh-CN"/>
                <w14:textFill>
                  <w14:solidFill>
                    <w14:schemeClr w14:val="tx1"/>
                  </w14:solidFill>
                </w14:textFill>
              </w:rPr>
              <w:t>林</w:t>
            </w:r>
            <w:r>
              <w:rPr>
                <w:bCs/>
                <w:color w:val="000000" w:themeColor="text1"/>
                <w14:textFill>
                  <w14:solidFill>
                    <w14:schemeClr w14:val="tx1"/>
                  </w14:solidFill>
                </w14:textFill>
              </w:rPr>
              <w:t>地、园</w:t>
            </w:r>
            <w:r>
              <w:rPr>
                <w:rFonts w:hint="eastAsia"/>
                <w:bCs/>
                <w:color w:val="000000" w:themeColor="text1"/>
                <w:lang w:val="en-US" w:eastAsia="zh-CN"/>
                <w14:textFill>
                  <w14:solidFill>
                    <w14:schemeClr w14:val="tx1"/>
                  </w14:solidFill>
                </w14:textFill>
              </w:rPr>
              <w:t>地</w:t>
            </w:r>
            <w:r>
              <w:rPr>
                <w:bCs/>
                <w:color w:val="000000" w:themeColor="text1"/>
                <w14:textFill>
                  <w14:solidFill>
                    <w14:schemeClr w14:val="tx1"/>
                  </w14:solidFill>
                </w14:textFill>
              </w:rPr>
              <w:t>为主，土地现状照片见图</w:t>
            </w:r>
            <w:r>
              <w:rPr>
                <w:rFonts w:hint="eastAsia"/>
                <w:bCs/>
                <w:color w:val="000000" w:themeColor="text1"/>
                <w14:textFill>
                  <w14:solidFill>
                    <w14:schemeClr w14:val="tx1"/>
                  </w14:solidFill>
                </w14:textFill>
              </w:rPr>
              <w:t>3-1</w:t>
            </w:r>
            <w:r>
              <w:rPr>
                <w:bCs/>
                <w:color w:val="000000" w:themeColor="text1"/>
                <w14:textFill>
                  <w14:solidFill>
                    <w14:schemeClr w14:val="tx1"/>
                  </w14:solidFill>
                </w14:textFill>
              </w:rPr>
              <w:t>。</w:t>
            </w:r>
          </w:p>
          <w:tbl>
            <w:tblPr>
              <w:tblStyle w:val="32"/>
              <w:tblW w:w="799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86"/>
              <w:gridCol w:w="3913"/>
            </w:tblGrid>
            <w:tr w14:paraId="3A1E4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8" w:hRule="atLeast"/>
                <w:jc w:val="center"/>
              </w:trPr>
              <w:tc>
                <w:tcPr>
                  <w:tcW w:w="4086" w:type="dxa"/>
                  <w:vAlign w:val="center"/>
                </w:tcPr>
                <w:p w14:paraId="000BB578">
                  <w:pPr>
                    <w:pStyle w:val="30"/>
                    <w:spacing w:after="0"/>
                    <w:ind w:left="0" w:leftChars="0" w:firstLine="0"/>
                    <w:jc w:val="center"/>
                    <w:rPr>
                      <w:rFonts w:eastAsiaTheme="minorEastAsia"/>
                      <w:b/>
                      <w:bCs/>
                      <w:color w:val="000000" w:themeColor="text1"/>
                      <w:sz w:val="21"/>
                      <w:szCs w:val="21"/>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432050" cy="1621790"/>
                        <wp:effectExtent l="0" t="0" r="6350" b="8890"/>
                        <wp:docPr id="20" name="图片 20" descr="DJI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JI_0062"/>
                                <pic:cNvPicPr>
                                  <a:picLocks noChangeAspect="1"/>
                                </pic:cNvPicPr>
                              </pic:nvPicPr>
                              <pic:blipFill>
                                <a:blip r:embed="rId16">
                                  <a:lum bright="18000"/>
                                </a:blip>
                                <a:stretch>
                                  <a:fillRect/>
                                </a:stretch>
                              </pic:blipFill>
                              <pic:spPr>
                                <a:xfrm>
                                  <a:off x="0" y="0"/>
                                  <a:ext cx="2432050" cy="1621790"/>
                                </a:xfrm>
                                <a:prstGeom prst="rect">
                                  <a:avLst/>
                                </a:prstGeom>
                              </pic:spPr>
                            </pic:pic>
                          </a:graphicData>
                        </a:graphic>
                      </wp:inline>
                    </w:drawing>
                  </w:r>
                </w:p>
              </w:tc>
              <w:tc>
                <w:tcPr>
                  <w:tcW w:w="3913" w:type="dxa"/>
                  <w:vAlign w:val="center"/>
                </w:tcPr>
                <w:p w14:paraId="5C3D637B">
                  <w:pPr>
                    <w:pStyle w:val="30"/>
                    <w:spacing w:after="0"/>
                    <w:ind w:left="0" w:leftChars="0" w:firstLine="0"/>
                    <w:jc w:val="center"/>
                    <w:rPr>
                      <w:rFonts w:eastAsiaTheme="minorEastAsia"/>
                      <w:b/>
                      <w:bCs/>
                      <w:color w:val="000000" w:themeColor="text1"/>
                      <w:sz w:val="21"/>
                      <w:szCs w:val="21"/>
                      <w14:textFill>
                        <w14:solidFill>
                          <w14:schemeClr w14:val="tx1"/>
                        </w14:solidFill>
                      </w14:textFill>
                    </w:rPr>
                  </w:pPr>
                  <w:r>
                    <w:rPr>
                      <w:rFonts w:hint="eastAsia" w:eastAsiaTheme="minorEastAsia"/>
                      <w:b/>
                      <w:bCs/>
                      <w:color w:val="000000" w:themeColor="text1"/>
                      <w:sz w:val="21"/>
                      <w:szCs w:val="21"/>
                      <w:lang w:eastAsia="zh-CN"/>
                      <w14:textFill>
                        <w14:solidFill>
                          <w14:schemeClr w14:val="tx1"/>
                        </w14:solidFill>
                      </w14:textFill>
                    </w:rPr>
                    <w:drawing>
                      <wp:inline distT="0" distB="0" distL="114300" distR="114300">
                        <wp:extent cx="2543810" cy="1546860"/>
                        <wp:effectExtent l="0" t="0" r="1270" b="7620"/>
                        <wp:docPr id="22" name="图片 22" descr="fe7419c5e79682b8de2fb61dfc01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e7419c5e79682b8de2fb61dfc0170f"/>
                                <pic:cNvPicPr>
                                  <a:picLocks noChangeAspect="1"/>
                                </pic:cNvPicPr>
                              </pic:nvPicPr>
                              <pic:blipFill>
                                <a:blip r:embed="rId17">
                                  <a:lum bright="12000"/>
                                </a:blip>
                                <a:stretch>
                                  <a:fillRect/>
                                </a:stretch>
                              </pic:blipFill>
                              <pic:spPr>
                                <a:xfrm>
                                  <a:off x="0" y="0"/>
                                  <a:ext cx="2543810" cy="1546860"/>
                                </a:xfrm>
                                <a:prstGeom prst="rect">
                                  <a:avLst/>
                                </a:prstGeom>
                              </pic:spPr>
                            </pic:pic>
                          </a:graphicData>
                        </a:graphic>
                      </wp:inline>
                    </w:drawing>
                  </w:r>
                </w:p>
              </w:tc>
            </w:tr>
            <w:tr w14:paraId="65F0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4086" w:type="dxa"/>
                  <w:vAlign w:val="center"/>
                </w:tcPr>
                <w:p w14:paraId="599E56E1">
                  <w:pPr>
                    <w:pStyle w:val="30"/>
                    <w:spacing w:after="0"/>
                    <w:ind w:left="0" w:leftChars="0" w:firstLine="0"/>
                    <w:jc w:val="center"/>
                    <w:rPr>
                      <w:rFonts w:hint="eastAsia" w:eastAsiaTheme="minorEastAsia"/>
                      <w:b/>
                      <w:bCs/>
                      <w:color w:val="000000" w:themeColor="text1"/>
                      <w:sz w:val="21"/>
                      <w:szCs w:val="21"/>
                      <w14:textFill>
                        <w14:solidFill>
                          <w14:schemeClr w14:val="tx1"/>
                        </w14:solidFill>
                      </w14:textFill>
                    </w:rPr>
                  </w:pPr>
                  <w:r>
                    <w:rPr>
                      <w:rFonts w:hint="eastAsia" w:eastAsiaTheme="minorEastAsia"/>
                      <w:b/>
                      <w:bCs/>
                      <w:color w:val="000000" w:themeColor="text1"/>
                      <w:sz w:val="21"/>
                      <w:szCs w:val="21"/>
                      <w:lang w:val="en-US" w:eastAsia="zh-CN"/>
                      <w14:textFill>
                        <w14:solidFill>
                          <w14:schemeClr w14:val="tx1"/>
                        </w14:solidFill>
                      </w14:textFill>
                    </w:rPr>
                    <w:t>部分风机</w:t>
                  </w:r>
                  <w:r>
                    <w:rPr>
                      <w:rFonts w:eastAsiaTheme="minorEastAsia"/>
                      <w:b/>
                      <w:bCs/>
                      <w:color w:val="000000" w:themeColor="text1"/>
                      <w:sz w:val="21"/>
                      <w:szCs w:val="21"/>
                      <w14:textFill>
                        <w14:solidFill>
                          <w14:schemeClr w14:val="tx1"/>
                        </w14:solidFill>
                      </w14:textFill>
                    </w:rPr>
                    <w:t>占</w:t>
                  </w:r>
                  <w:r>
                    <w:rPr>
                      <w:rFonts w:hint="eastAsia" w:eastAsiaTheme="minorEastAsia"/>
                      <w:b/>
                      <w:bCs/>
                      <w:color w:val="000000" w:themeColor="text1"/>
                      <w:sz w:val="21"/>
                      <w:szCs w:val="21"/>
                      <w:lang w:val="en-US" w:eastAsia="zh-CN"/>
                      <w14:textFill>
                        <w14:solidFill>
                          <w14:schemeClr w14:val="tx1"/>
                        </w14:solidFill>
                      </w14:textFill>
                    </w:rPr>
                    <w:t>地照片</w:t>
                  </w:r>
                </w:p>
              </w:tc>
              <w:tc>
                <w:tcPr>
                  <w:tcW w:w="3913" w:type="dxa"/>
                  <w:vAlign w:val="center"/>
                </w:tcPr>
                <w:p w14:paraId="382EE627">
                  <w:pPr>
                    <w:pStyle w:val="30"/>
                    <w:spacing w:after="0"/>
                    <w:ind w:left="0" w:leftChars="0" w:firstLine="0"/>
                    <w:jc w:val="center"/>
                    <w:rPr>
                      <w:rFonts w:hint="default" w:eastAsiaTheme="minorEastAsia"/>
                      <w:b/>
                      <w:bCs/>
                      <w:color w:val="000000" w:themeColor="text1"/>
                      <w:sz w:val="21"/>
                      <w:szCs w:val="21"/>
                      <w:lang w:val="en-US"/>
                      <w14:textFill>
                        <w14:solidFill>
                          <w14:schemeClr w14:val="tx1"/>
                        </w14:solidFill>
                      </w14:textFill>
                    </w:rPr>
                  </w:pPr>
                  <w:r>
                    <w:rPr>
                      <w:rFonts w:hint="eastAsia" w:eastAsiaTheme="minorEastAsia"/>
                      <w:b/>
                      <w:bCs/>
                      <w:color w:val="000000" w:themeColor="text1"/>
                      <w:sz w:val="21"/>
                      <w:szCs w:val="21"/>
                      <w:lang w:val="en-US" w:eastAsia="zh-CN"/>
                      <w14:textFill>
                        <w14:solidFill>
                          <w14:schemeClr w14:val="tx1"/>
                        </w14:solidFill>
                      </w14:textFill>
                    </w:rPr>
                    <w:t>部分风机</w:t>
                  </w:r>
                  <w:r>
                    <w:rPr>
                      <w:rFonts w:eastAsiaTheme="minorEastAsia"/>
                      <w:b/>
                      <w:bCs/>
                      <w:color w:val="000000" w:themeColor="text1"/>
                      <w:sz w:val="21"/>
                      <w:szCs w:val="21"/>
                      <w14:textFill>
                        <w14:solidFill>
                          <w14:schemeClr w14:val="tx1"/>
                        </w14:solidFill>
                      </w14:textFill>
                    </w:rPr>
                    <w:t>占</w:t>
                  </w:r>
                  <w:r>
                    <w:rPr>
                      <w:rFonts w:hint="eastAsia" w:eastAsiaTheme="minorEastAsia"/>
                      <w:b/>
                      <w:bCs/>
                      <w:color w:val="000000" w:themeColor="text1"/>
                      <w:sz w:val="21"/>
                      <w:szCs w:val="21"/>
                      <w:lang w:val="en-US" w:eastAsia="zh-CN"/>
                      <w14:textFill>
                        <w14:solidFill>
                          <w14:schemeClr w14:val="tx1"/>
                        </w14:solidFill>
                      </w14:textFill>
                    </w:rPr>
                    <w:t>地照片</w:t>
                  </w:r>
                </w:p>
              </w:tc>
            </w:tr>
          </w:tbl>
          <w:p w14:paraId="73EB0A4A">
            <w:pPr>
              <w:pStyle w:val="3"/>
              <w:spacing w:before="0" w:beforeLines="0" w:after="0" w:afterLine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图3-1 场区土地现状照片</w:t>
            </w:r>
          </w:p>
          <w:p w14:paraId="1AF69D37">
            <w:pPr>
              <w:adjustRightInd w:val="0"/>
              <w:snapToGrid w:val="0"/>
              <w:spacing w:line="360" w:lineRule="auto"/>
              <w:ind w:firstLine="480" w:firstLineChars="200"/>
              <w:jc w:val="left"/>
              <w:rPr>
                <w:b/>
                <w:color w:val="auto"/>
                <w:sz w:val="24"/>
              </w:rPr>
            </w:pPr>
            <w:r>
              <w:rPr>
                <w:rFonts w:hint="eastAsia"/>
                <w:color w:val="000000" w:themeColor="text1"/>
                <w:sz w:val="24"/>
                <w14:textFill>
                  <w14:solidFill>
                    <w14:schemeClr w14:val="tx1"/>
                  </w14:solidFill>
                </w14:textFill>
              </w:rPr>
              <w:t>按照《土地利用现状分类标准（GBT 21010-2017）》进行地类划分，</w:t>
            </w:r>
            <w:r>
              <w:rPr>
                <w:color w:val="000000" w:themeColor="text1"/>
                <w:sz w:val="24"/>
                <w14:textFill>
                  <w14:solidFill>
                    <w14:schemeClr w14:val="tx1"/>
                  </w14:solidFill>
                </w14:textFill>
              </w:rPr>
              <w:t>项目区土地利用类型及面积见表3-1</w:t>
            </w:r>
            <w:r>
              <w:rPr>
                <w:color w:val="4F81BD" w:themeColor="accent1"/>
                <w:sz w:val="24"/>
                <w14:textFill>
                  <w14:solidFill>
                    <w14:schemeClr w14:val="accent1"/>
                  </w14:solidFill>
                </w14:textFill>
              </w:rPr>
              <w:t>，</w:t>
            </w:r>
            <w:r>
              <w:rPr>
                <w:color w:val="auto"/>
                <w:sz w:val="24"/>
              </w:rPr>
              <w:t>土地利用类型见附图</w:t>
            </w:r>
            <w:r>
              <w:rPr>
                <w:rFonts w:hint="eastAsia"/>
                <w:color w:val="auto"/>
                <w:sz w:val="24"/>
                <w:lang w:val="en-US" w:eastAsia="zh-CN"/>
              </w:rPr>
              <w:t>5</w:t>
            </w:r>
            <w:r>
              <w:rPr>
                <w:color w:val="auto"/>
                <w:sz w:val="24"/>
              </w:rPr>
              <w:t>。</w:t>
            </w:r>
          </w:p>
          <w:p w14:paraId="01FA02DA">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表3-1 土地利用类型及面积统计</w:t>
            </w:r>
            <w:r>
              <w:rPr>
                <w:rFonts w:hint="eastAsia"/>
                <w:b/>
                <w:bCs/>
                <w:color w:val="000000" w:themeColor="text1"/>
                <w:sz w:val="21"/>
                <w:szCs w:val="21"/>
                <w14:textFill>
                  <w14:solidFill>
                    <w14:schemeClr w14:val="tx1"/>
                  </w14:solidFill>
                </w14:textFill>
              </w:rPr>
              <w:t>一览表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42"/>
              <w:gridCol w:w="2466"/>
              <w:gridCol w:w="3214"/>
            </w:tblGrid>
            <w:tr w14:paraId="29432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7B96D37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土地利用分类</w:t>
                  </w:r>
                </w:p>
              </w:tc>
              <w:tc>
                <w:tcPr>
                  <w:tcW w:w="5680" w:type="dxa"/>
                  <w:gridSpan w:val="2"/>
                  <w:shd w:val="clear" w:color="auto" w:fill="auto"/>
                  <w:noWrap/>
                  <w:vAlign w:val="center"/>
                </w:tcPr>
                <w:p w14:paraId="4353AEF9">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评价区（风电范围外扩500m）</w:t>
                  </w:r>
                </w:p>
              </w:tc>
            </w:tr>
            <w:tr w14:paraId="2F9C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2" w:type="dxa"/>
                  <w:shd w:val="clear" w:color="auto" w:fill="auto"/>
                  <w:noWrap/>
                  <w:vAlign w:val="center"/>
                </w:tcPr>
                <w:p w14:paraId="1A4324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二级分类</w:t>
                  </w:r>
                </w:p>
              </w:tc>
              <w:tc>
                <w:tcPr>
                  <w:tcW w:w="2466" w:type="dxa"/>
                  <w:shd w:val="clear" w:color="auto" w:fill="auto"/>
                  <w:noWrap/>
                  <w:vAlign w:val="center"/>
                </w:tcPr>
                <w:p w14:paraId="22A840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面积（</w:t>
                  </w:r>
                  <w:r>
                    <w:rPr>
                      <w:rFonts w:hint="default" w:ascii="Times New Roman" w:hAnsi="Times New Roman" w:eastAsia="宋体" w:cs="Times New Roman"/>
                      <w:i w:val="0"/>
                      <w:iCs w:val="0"/>
                      <w:color w:val="000000"/>
                      <w:kern w:val="0"/>
                      <w:sz w:val="21"/>
                      <w:szCs w:val="21"/>
                      <w:u w:val="none"/>
                      <w:lang w:val="en-US" w:eastAsia="zh-CN" w:bidi="ar"/>
                    </w:rPr>
                    <w:t>m</w:t>
                  </w:r>
                  <w:r>
                    <w:rPr>
                      <w:rStyle w:val="110"/>
                      <w:rFonts w:eastAsia="宋体"/>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3214" w:type="dxa"/>
                  <w:shd w:val="clear" w:color="auto" w:fill="auto"/>
                  <w:noWrap/>
                  <w:vAlign w:val="center"/>
                </w:tcPr>
                <w:p w14:paraId="5A714D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比例（</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w:t>
                  </w:r>
                </w:p>
              </w:tc>
            </w:tr>
            <w:tr w14:paraId="06AF3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4DA37D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乔木林地</w:t>
                  </w:r>
                </w:p>
              </w:tc>
              <w:tc>
                <w:tcPr>
                  <w:tcW w:w="2466" w:type="dxa"/>
                  <w:shd w:val="clear" w:color="auto" w:fill="auto"/>
                  <w:noWrap/>
                  <w:vAlign w:val="center"/>
                </w:tcPr>
                <w:p w14:paraId="442F17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6695189.34</w:t>
                  </w:r>
                </w:p>
              </w:tc>
              <w:tc>
                <w:tcPr>
                  <w:tcW w:w="3214" w:type="dxa"/>
                  <w:shd w:val="clear" w:color="auto" w:fill="auto"/>
                  <w:noWrap/>
                  <w:vAlign w:val="center"/>
                </w:tcPr>
                <w:p w14:paraId="2E1B00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60.38</w:t>
                  </w:r>
                </w:p>
              </w:tc>
            </w:tr>
            <w:tr w14:paraId="3E41B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42" w:type="dxa"/>
                  <w:shd w:val="clear" w:color="auto" w:fill="auto"/>
                  <w:noWrap/>
                  <w:vAlign w:val="center"/>
                </w:tcPr>
                <w:p w14:paraId="6465EBD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旱地</w:t>
                  </w:r>
                </w:p>
              </w:tc>
              <w:tc>
                <w:tcPr>
                  <w:tcW w:w="2466" w:type="dxa"/>
                  <w:shd w:val="clear" w:color="auto" w:fill="auto"/>
                  <w:noWrap/>
                  <w:vAlign w:val="center"/>
                </w:tcPr>
                <w:p w14:paraId="408C9A3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691042.96</w:t>
                  </w:r>
                </w:p>
              </w:tc>
              <w:tc>
                <w:tcPr>
                  <w:tcW w:w="3214" w:type="dxa"/>
                  <w:shd w:val="clear" w:color="auto" w:fill="auto"/>
                  <w:noWrap/>
                  <w:vAlign w:val="center"/>
                </w:tcPr>
                <w:p w14:paraId="628F6D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6.23</w:t>
                  </w:r>
                </w:p>
              </w:tc>
            </w:tr>
            <w:tr w14:paraId="2F28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42" w:type="dxa"/>
                  <w:shd w:val="clear" w:color="auto" w:fill="auto"/>
                  <w:noWrap/>
                  <w:vAlign w:val="center"/>
                </w:tcPr>
                <w:p w14:paraId="6A5C757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灌木林地</w:t>
                  </w:r>
                </w:p>
              </w:tc>
              <w:tc>
                <w:tcPr>
                  <w:tcW w:w="2466" w:type="dxa"/>
                  <w:shd w:val="clear" w:color="auto" w:fill="auto"/>
                  <w:noWrap/>
                  <w:vAlign w:val="center"/>
                </w:tcPr>
                <w:p w14:paraId="39159D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1082843.19</w:t>
                  </w:r>
                </w:p>
              </w:tc>
              <w:tc>
                <w:tcPr>
                  <w:tcW w:w="3214" w:type="dxa"/>
                  <w:shd w:val="clear" w:color="auto" w:fill="auto"/>
                  <w:noWrap/>
                  <w:vAlign w:val="center"/>
                </w:tcPr>
                <w:p w14:paraId="421AFD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9.77</w:t>
                  </w:r>
                </w:p>
              </w:tc>
            </w:tr>
            <w:tr w14:paraId="2650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40E63F5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农村道路</w:t>
                  </w:r>
                </w:p>
              </w:tc>
              <w:tc>
                <w:tcPr>
                  <w:tcW w:w="2466" w:type="dxa"/>
                  <w:shd w:val="clear" w:color="auto" w:fill="auto"/>
                  <w:noWrap/>
                  <w:vAlign w:val="center"/>
                </w:tcPr>
                <w:p w14:paraId="0F7BA8B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92074.73</w:t>
                  </w:r>
                </w:p>
              </w:tc>
              <w:tc>
                <w:tcPr>
                  <w:tcW w:w="3214" w:type="dxa"/>
                  <w:shd w:val="clear" w:color="auto" w:fill="auto"/>
                  <w:noWrap/>
                  <w:vAlign w:val="center"/>
                </w:tcPr>
                <w:p w14:paraId="1B8BB9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0.83</w:t>
                  </w:r>
                </w:p>
              </w:tc>
            </w:tr>
            <w:tr w14:paraId="463A4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364C4FF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商业服务业设施用地</w:t>
                  </w:r>
                </w:p>
              </w:tc>
              <w:tc>
                <w:tcPr>
                  <w:tcW w:w="2466" w:type="dxa"/>
                  <w:shd w:val="clear" w:color="auto" w:fill="auto"/>
                  <w:noWrap/>
                  <w:vAlign w:val="center"/>
                </w:tcPr>
                <w:p w14:paraId="5F6BE3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2098.02</w:t>
                  </w:r>
                </w:p>
              </w:tc>
              <w:tc>
                <w:tcPr>
                  <w:tcW w:w="3214" w:type="dxa"/>
                  <w:shd w:val="clear" w:color="auto" w:fill="auto"/>
                  <w:noWrap/>
                  <w:vAlign w:val="center"/>
                </w:tcPr>
                <w:p w14:paraId="67FF6A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78C6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42" w:type="dxa"/>
                  <w:shd w:val="clear" w:color="auto" w:fill="auto"/>
                  <w:noWrap/>
                  <w:vAlign w:val="center"/>
                </w:tcPr>
                <w:p w14:paraId="5345FAE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农村宅基地</w:t>
                  </w:r>
                </w:p>
              </w:tc>
              <w:tc>
                <w:tcPr>
                  <w:tcW w:w="2466" w:type="dxa"/>
                  <w:shd w:val="clear" w:color="auto" w:fill="auto"/>
                  <w:noWrap/>
                  <w:vAlign w:val="center"/>
                </w:tcPr>
                <w:p w14:paraId="5BD184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87273.84</w:t>
                  </w:r>
                </w:p>
              </w:tc>
              <w:tc>
                <w:tcPr>
                  <w:tcW w:w="3214" w:type="dxa"/>
                  <w:shd w:val="clear" w:color="auto" w:fill="auto"/>
                  <w:noWrap/>
                  <w:vAlign w:val="center"/>
                </w:tcPr>
                <w:p w14:paraId="3798602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0.79</w:t>
                  </w:r>
                </w:p>
              </w:tc>
            </w:tr>
            <w:tr w14:paraId="1947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3C04FFE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城镇村道路用地</w:t>
                  </w:r>
                </w:p>
              </w:tc>
              <w:tc>
                <w:tcPr>
                  <w:tcW w:w="2466" w:type="dxa"/>
                  <w:shd w:val="clear" w:color="auto" w:fill="auto"/>
                  <w:noWrap/>
                  <w:vAlign w:val="center"/>
                </w:tcPr>
                <w:p w14:paraId="208E8F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2293.25</w:t>
                  </w:r>
                </w:p>
              </w:tc>
              <w:tc>
                <w:tcPr>
                  <w:tcW w:w="3214" w:type="dxa"/>
                  <w:shd w:val="clear" w:color="auto" w:fill="auto"/>
                  <w:noWrap/>
                  <w:vAlign w:val="center"/>
                </w:tcPr>
                <w:p w14:paraId="1BEF1AE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455F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26A7CB9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其他林地</w:t>
                  </w:r>
                </w:p>
              </w:tc>
              <w:tc>
                <w:tcPr>
                  <w:tcW w:w="2466" w:type="dxa"/>
                  <w:shd w:val="clear" w:color="auto" w:fill="auto"/>
                  <w:noWrap/>
                  <w:vAlign w:val="center"/>
                </w:tcPr>
                <w:p w14:paraId="26CC8A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470204.66</w:t>
                  </w:r>
                </w:p>
              </w:tc>
              <w:tc>
                <w:tcPr>
                  <w:tcW w:w="3214" w:type="dxa"/>
                  <w:shd w:val="clear" w:color="auto" w:fill="auto"/>
                  <w:noWrap/>
                  <w:vAlign w:val="center"/>
                </w:tcPr>
                <w:p w14:paraId="25D89C1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r>
            <w:tr w14:paraId="0F245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28DFDC0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其他园地</w:t>
                  </w:r>
                </w:p>
              </w:tc>
              <w:tc>
                <w:tcPr>
                  <w:tcW w:w="2466" w:type="dxa"/>
                  <w:shd w:val="clear" w:color="auto" w:fill="auto"/>
                  <w:noWrap/>
                  <w:vAlign w:val="center"/>
                </w:tcPr>
                <w:p w14:paraId="310E63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1161270.33</w:t>
                  </w:r>
                </w:p>
              </w:tc>
              <w:tc>
                <w:tcPr>
                  <w:tcW w:w="3214" w:type="dxa"/>
                  <w:shd w:val="clear" w:color="auto" w:fill="auto"/>
                  <w:noWrap/>
                  <w:vAlign w:val="center"/>
                </w:tcPr>
                <w:p w14:paraId="6EB878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10.47</w:t>
                  </w:r>
                </w:p>
              </w:tc>
            </w:tr>
            <w:tr w14:paraId="4685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6033F4B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其他草地</w:t>
                  </w:r>
                </w:p>
              </w:tc>
              <w:tc>
                <w:tcPr>
                  <w:tcW w:w="2466" w:type="dxa"/>
                  <w:shd w:val="clear" w:color="auto" w:fill="auto"/>
                  <w:noWrap/>
                  <w:vAlign w:val="center"/>
                </w:tcPr>
                <w:p w14:paraId="67AC33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545114.82</w:t>
                  </w:r>
                </w:p>
              </w:tc>
              <w:tc>
                <w:tcPr>
                  <w:tcW w:w="3214" w:type="dxa"/>
                  <w:shd w:val="clear" w:color="auto" w:fill="auto"/>
                  <w:noWrap/>
                  <w:vAlign w:val="center"/>
                </w:tcPr>
                <w:p w14:paraId="0501D7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4.92</w:t>
                  </w:r>
                </w:p>
              </w:tc>
            </w:tr>
            <w:tr w14:paraId="5F8B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31B0EA7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河流水面</w:t>
                  </w:r>
                </w:p>
              </w:tc>
              <w:tc>
                <w:tcPr>
                  <w:tcW w:w="2466" w:type="dxa"/>
                  <w:shd w:val="clear" w:color="auto" w:fill="auto"/>
                  <w:noWrap/>
                  <w:vAlign w:val="center"/>
                </w:tcPr>
                <w:p w14:paraId="0342E3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11164.74</w:t>
                  </w:r>
                </w:p>
              </w:tc>
              <w:tc>
                <w:tcPr>
                  <w:tcW w:w="3214" w:type="dxa"/>
                  <w:shd w:val="clear" w:color="auto" w:fill="auto"/>
                  <w:noWrap/>
                  <w:vAlign w:val="center"/>
                </w:tcPr>
                <w:p w14:paraId="2E4740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0.10</w:t>
                  </w:r>
                </w:p>
              </w:tc>
            </w:tr>
            <w:tr w14:paraId="0FE64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7DD3961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天然牧草地</w:t>
                  </w:r>
                </w:p>
              </w:tc>
              <w:tc>
                <w:tcPr>
                  <w:tcW w:w="2466" w:type="dxa"/>
                  <w:shd w:val="clear" w:color="auto" w:fill="auto"/>
                  <w:noWrap/>
                  <w:vAlign w:val="center"/>
                </w:tcPr>
                <w:p w14:paraId="202C06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242856.17</w:t>
                  </w:r>
                </w:p>
              </w:tc>
              <w:tc>
                <w:tcPr>
                  <w:tcW w:w="3214" w:type="dxa"/>
                  <w:shd w:val="clear" w:color="auto" w:fill="auto"/>
                  <w:noWrap/>
                  <w:vAlign w:val="center"/>
                </w:tcPr>
                <w:p w14:paraId="7ECD8F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w:t>
                  </w:r>
                </w:p>
              </w:tc>
            </w:tr>
            <w:tr w14:paraId="51D35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5DB5BC8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机关团体新闻出版用地</w:t>
                  </w:r>
                </w:p>
              </w:tc>
              <w:tc>
                <w:tcPr>
                  <w:tcW w:w="2466" w:type="dxa"/>
                  <w:shd w:val="clear" w:color="auto" w:fill="auto"/>
                  <w:noWrap/>
                  <w:vAlign w:val="center"/>
                </w:tcPr>
                <w:p w14:paraId="4D9DFE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280.86</w:t>
                  </w:r>
                </w:p>
              </w:tc>
              <w:tc>
                <w:tcPr>
                  <w:tcW w:w="3214" w:type="dxa"/>
                  <w:shd w:val="clear" w:color="auto" w:fill="auto"/>
                  <w:noWrap/>
                  <w:vAlign w:val="center"/>
                </w:tcPr>
                <w:p w14:paraId="58F032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14:paraId="60F4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0ABE5D8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科教文卫用地</w:t>
                  </w:r>
                </w:p>
              </w:tc>
              <w:tc>
                <w:tcPr>
                  <w:tcW w:w="2466" w:type="dxa"/>
                  <w:shd w:val="clear" w:color="auto" w:fill="auto"/>
                  <w:noWrap/>
                  <w:vAlign w:val="center"/>
                </w:tcPr>
                <w:p w14:paraId="510378C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2826.54</w:t>
                  </w:r>
                </w:p>
              </w:tc>
              <w:tc>
                <w:tcPr>
                  <w:tcW w:w="3214" w:type="dxa"/>
                  <w:shd w:val="clear" w:color="auto" w:fill="auto"/>
                  <w:noWrap/>
                  <w:vAlign w:val="center"/>
                </w:tcPr>
                <w:p w14:paraId="0477EC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447D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7138CC8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特殊用地</w:t>
                  </w:r>
                </w:p>
              </w:tc>
              <w:tc>
                <w:tcPr>
                  <w:tcW w:w="2466" w:type="dxa"/>
                  <w:shd w:val="clear" w:color="auto" w:fill="auto"/>
                  <w:noWrap/>
                  <w:vAlign w:val="center"/>
                </w:tcPr>
                <w:p w14:paraId="13B452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1814.52</w:t>
                  </w:r>
                </w:p>
              </w:tc>
              <w:tc>
                <w:tcPr>
                  <w:tcW w:w="3214" w:type="dxa"/>
                  <w:shd w:val="clear" w:color="auto" w:fill="auto"/>
                  <w:noWrap/>
                  <w:vAlign w:val="center"/>
                </w:tcPr>
                <w:p w14:paraId="63A6FE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49F5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3A11BC8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坑塘水面</w:t>
                  </w:r>
                </w:p>
              </w:tc>
              <w:tc>
                <w:tcPr>
                  <w:tcW w:w="2466" w:type="dxa"/>
                  <w:shd w:val="clear" w:color="auto" w:fill="auto"/>
                  <w:noWrap/>
                  <w:vAlign w:val="center"/>
                </w:tcPr>
                <w:p w14:paraId="5F54A2C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155.25</w:t>
                  </w:r>
                </w:p>
              </w:tc>
              <w:tc>
                <w:tcPr>
                  <w:tcW w:w="3214" w:type="dxa"/>
                  <w:shd w:val="clear" w:color="auto" w:fill="auto"/>
                  <w:noWrap/>
                  <w:vAlign w:val="center"/>
                </w:tcPr>
                <w:p w14:paraId="714E97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w:t>
                  </w:r>
                </w:p>
              </w:tc>
            </w:tr>
            <w:tr w14:paraId="32592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3" w:hRule="atLeast"/>
              </w:trPr>
              <w:tc>
                <w:tcPr>
                  <w:tcW w:w="2842" w:type="dxa"/>
                  <w:shd w:val="clear" w:color="auto" w:fill="auto"/>
                  <w:noWrap/>
                  <w:vAlign w:val="center"/>
                </w:tcPr>
                <w:p w14:paraId="3E23BCD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设施农用地</w:t>
                  </w:r>
                </w:p>
              </w:tc>
              <w:tc>
                <w:tcPr>
                  <w:tcW w:w="2466" w:type="dxa"/>
                  <w:shd w:val="clear" w:color="auto" w:fill="auto"/>
                  <w:noWrap/>
                  <w:vAlign w:val="center"/>
                </w:tcPr>
                <w:p w14:paraId="628C6CD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0.77</w:t>
                  </w:r>
                </w:p>
              </w:tc>
              <w:tc>
                <w:tcPr>
                  <w:tcW w:w="3214" w:type="dxa"/>
                  <w:shd w:val="clear" w:color="auto" w:fill="auto"/>
                  <w:noWrap/>
                  <w:vAlign w:val="center"/>
                </w:tcPr>
                <w:p w14:paraId="145C8AD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w:t>
                  </w:r>
                </w:p>
              </w:tc>
            </w:tr>
          </w:tbl>
          <w:p w14:paraId="52012ACF">
            <w:pPr>
              <w:spacing w:line="360" w:lineRule="auto"/>
              <w:ind w:firstLine="480" w:firstLineChars="200"/>
              <w:rPr>
                <w:color w:val="4F81BD" w:themeColor="accent1"/>
                <w:sz w:val="24"/>
                <w14:textFill>
                  <w14:solidFill>
                    <w14:schemeClr w14:val="accent1"/>
                  </w14:solidFill>
                </w14:textFill>
              </w:rPr>
            </w:pPr>
            <w:r>
              <w:rPr>
                <w:color w:val="000000" w:themeColor="text1"/>
                <w:sz w:val="24"/>
                <w14:textFill>
                  <w14:solidFill>
                    <w14:schemeClr w14:val="tx1"/>
                  </w14:solidFill>
                </w14:textFill>
              </w:rPr>
              <w:t>从上表可以看出，项目风场</w:t>
            </w:r>
            <w:r>
              <w:rPr>
                <w:rFonts w:hint="eastAsia"/>
                <w:color w:val="000000" w:themeColor="text1"/>
                <w:sz w:val="24"/>
                <w:lang w:val="en-US" w:eastAsia="zh-CN"/>
                <w14:textFill>
                  <w14:solidFill>
                    <w14:schemeClr w14:val="tx1"/>
                  </w14:solidFill>
                </w14:textFill>
              </w:rPr>
              <w:t>评价</w:t>
            </w:r>
            <w:r>
              <w:rPr>
                <w:color w:val="000000" w:themeColor="text1"/>
                <w:sz w:val="24"/>
                <w14:textFill>
                  <w14:solidFill>
                    <w14:schemeClr w14:val="tx1"/>
                  </w14:solidFill>
                </w14:textFill>
              </w:rPr>
              <w:t>范围内土地利用类型主要为</w:t>
            </w:r>
            <w:r>
              <w:rPr>
                <w:rFonts w:hint="eastAsia"/>
                <w:color w:val="000000" w:themeColor="text1"/>
                <w:sz w:val="24"/>
                <w:lang w:val="en-US" w:eastAsia="zh-CN"/>
                <w14:textFill>
                  <w14:solidFill>
                    <w14:schemeClr w14:val="tx1"/>
                  </w14:solidFill>
                </w14:textFill>
              </w:rPr>
              <w:t>乔木林地</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灌木林地、</w:t>
            </w:r>
            <w:r>
              <w:rPr>
                <w:color w:val="000000" w:themeColor="text1"/>
                <w:sz w:val="24"/>
                <w14:textFill>
                  <w14:solidFill>
                    <w14:schemeClr w14:val="tx1"/>
                  </w14:solidFill>
                </w14:textFill>
              </w:rPr>
              <w:t>园地</w:t>
            </w:r>
            <w:r>
              <w:rPr>
                <w:rFonts w:hint="eastAsia"/>
                <w:color w:val="000000" w:themeColor="text1"/>
                <w:sz w:val="24"/>
                <w14:textFill>
                  <w14:solidFill>
                    <w14:schemeClr w14:val="tx1"/>
                  </w14:solidFill>
                </w14:textFill>
              </w:rPr>
              <w:t>和草地</w:t>
            </w:r>
            <w:r>
              <w:rPr>
                <w:color w:val="000000" w:themeColor="text1"/>
                <w:sz w:val="24"/>
                <w14:textFill>
                  <w14:solidFill>
                    <w14:schemeClr w14:val="tx1"/>
                  </w14:solidFill>
                </w14:textFill>
              </w:rPr>
              <w:t>。</w:t>
            </w:r>
          </w:p>
          <w:p w14:paraId="11D42AB5">
            <w:pPr>
              <w:spacing w:line="360" w:lineRule="auto"/>
              <w:ind w:firstLine="480" w:firstLineChars="200"/>
              <w:jc w:val="left"/>
              <w:rPr>
                <w:color w:val="auto"/>
                <w:sz w:val="24"/>
              </w:rPr>
            </w:pPr>
            <w:r>
              <w:rPr>
                <w:color w:val="auto"/>
                <w:sz w:val="24"/>
              </w:rPr>
              <w:fldChar w:fldCharType="begin"/>
            </w:r>
            <w:r>
              <w:rPr>
                <w:color w:val="auto"/>
                <w:sz w:val="24"/>
              </w:rPr>
              <w:instrText xml:space="preserve"> = 4 \* GB2 \* MERGEFORMAT </w:instrText>
            </w:r>
            <w:r>
              <w:rPr>
                <w:color w:val="auto"/>
                <w:sz w:val="24"/>
              </w:rPr>
              <w:fldChar w:fldCharType="separate"/>
            </w:r>
            <w:r>
              <w:rPr>
                <w:color w:val="auto"/>
              </w:rPr>
              <w:t>⑷</w:t>
            </w:r>
            <w:r>
              <w:rPr>
                <w:color w:val="auto"/>
                <w:sz w:val="24"/>
              </w:rPr>
              <w:fldChar w:fldCharType="end"/>
            </w:r>
            <w:r>
              <w:rPr>
                <w:color w:val="auto"/>
                <w:sz w:val="24"/>
              </w:rPr>
              <w:t>植被类型情况</w:t>
            </w:r>
          </w:p>
          <w:p w14:paraId="13771DA0">
            <w:pPr>
              <w:spacing w:line="360" w:lineRule="auto"/>
              <w:ind w:firstLine="480" w:firstLineChars="200"/>
              <w:jc w:val="left"/>
              <w:rPr>
                <w:color w:val="auto"/>
                <w:sz w:val="24"/>
              </w:rPr>
            </w:pPr>
            <w:r>
              <w:rPr>
                <w:rFonts w:hint="eastAsia"/>
                <w:color w:val="auto"/>
                <w:sz w:val="24"/>
                <w:lang w:val="en-US" w:eastAsia="zh-CN"/>
              </w:rPr>
              <w:t>项目区属于</w:t>
            </w:r>
            <w:r>
              <w:rPr>
                <w:bCs/>
                <w:color w:val="auto"/>
                <w:sz w:val="24"/>
              </w:rPr>
              <w:t>渭北黄土侵蚀地貌，地形复杂多样。有山、原、丘陵、沟壑、梁峁和</w:t>
            </w:r>
            <w:r>
              <w:rPr>
                <w:rFonts w:hint="eastAsia" w:ascii="Times New Roman" w:hAnsi="Times New Roman" w:eastAsia="宋体" w:cs="Times New Roman"/>
                <w:bCs/>
                <w:color w:val="auto"/>
                <w:sz w:val="24"/>
                <w:lang w:val="en-US" w:eastAsia="zh-CN"/>
              </w:rPr>
              <w:t>河谷阶地。</w:t>
            </w:r>
          </w:p>
          <w:p w14:paraId="5BB83B9F">
            <w:pPr>
              <w:spacing w:line="360" w:lineRule="auto"/>
              <w:ind w:firstLine="480" w:firstLineChars="200"/>
              <w:jc w:val="left"/>
              <w:rPr>
                <w:color w:val="000000" w:themeColor="text1"/>
                <w:sz w:val="24"/>
                <w14:textFill>
                  <w14:solidFill>
                    <w14:schemeClr w14:val="tx1"/>
                  </w14:solidFill>
                </w14:textFill>
              </w:rPr>
            </w:pPr>
            <w:r>
              <w:rPr>
                <w:rFonts w:hint="eastAsia" w:ascii="Times New Roman" w:hAnsi="Times New Roman" w:eastAsia="宋体" w:cs="Times New Roman"/>
                <w:bCs/>
                <w:sz w:val="24"/>
                <w:lang w:val="en-US" w:eastAsia="zh-CN"/>
              </w:rPr>
              <w:t>据现</w:t>
            </w:r>
            <w:r>
              <w:rPr>
                <w:rFonts w:hint="eastAsia" w:ascii="Times New Roman" w:hAnsi="Times New Roman" w:eastAsia="宋体" w:cs="Times New Roman"/>
                <w:bCs/>
                <w:sz w:val="24"/>
              </w:rPr>
              <w:t>场调查，</w:t>
            </w:r>
            <w:r>
              <w:rPr>
                <w:rFonts w:hint="default" w:ascii="Times New Roman" w:hAnsi="Times New Roman" w:eastAsia="宋体" w:cs="Times New Roman"/>
                <w:bCs/>
                <w:sz w:val="24"/>
              </w:rPr>
              <w:t>所在区域植被类型划分为</w:t>
            </w:r>
            <w:r>
              <w:rPr>
                <w:rFonts w:hint="default" w:ascii="Times New Roman" w:hAnsi="Times New Roman" w:eastAsia="宋体" w:cs="Times New Roman"/>
                <w:bCs/>
                <w:sz w:val="24"/>
                <w:lang w:val="en-US" w:eastAsia="zh-CN"/>
              </w:rPr>
              <w:t>乔木林地、灌木林地、果园</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农作物、天然牧草地区、其他林地、其他草地</w:t>
            </w:r>
            <w:r>
              <w:rPr>
                <w:rFonts w:hint="default" w:ascii="Times New Roman" w:hAnsi="Times New Roman" w:eastAsia="宋体" w:cs="Times New Roman"/>
                <w:bCs/>
                <w:sz w:val="24"/>
              </w:rPr>
              <w:t>等。</w:t>
            </w:r>
            <w:r>
              <w:rPr>
                <w:rFonts w:hint="eastAsia" w:ascii="Times New Roman" w:hAnsi="Times New Roman" w:eastAsia="宋体" w:cs="Times New Roman"/>
                <w:bCs/>
                <w:sz w:val="24"/>
              </w:rPr>
              <w:t>林地</w:t>
            </w:r>
            <w:r>
              <w:rPr>
                <w:rFonts w:hint="eastAsia" w:ascii="Times New Roman" w:hAnsi="Times New Roman" w:eastAsia="宋体" w:cs="Times New Roman"/>
                <w:bCs/>
                <w:sz w:val="24"/>
                <w:lang w:val="en-US" w:eastAsia="zh-CN"/>
              </w:rPr>
              <w:t>有</w:t>
            </w:r>
            <w:r>
              <w:rPr>
                <w:rFonts w:hint="default" w:ascii="Times New Roman" w:hAnsi="Times New Roman" w:eastAsia="宋体" w:cs="Times New Roman"/>
                <w:bCs/>
                <w:sz w:val="24"/>
              </w:rPr>
              <w:t>刺槐、构树、紫叶李、杨树、臭椿</w:t>
            </w:r>
            <w:r>
              <w:rPr>
                <w:rFonts w:hint="eastAsia" w:ascii="Times New Roman" w:hAnsi="Times New Roman" w:eastAsia="宋体" w:cs="Times New Roman"/>
                <w:bCs/>
                <w:sz w:val="24"/>
                <w:lang w:eastAsia="zh-CN"/>
              </w:rPr>
              <w:t>、</w:t>
            </w:r>
            <w:r>
              <w:rPr>
                <w:rFonts w:hint="eastAsia" w:ascii="Times New Roman" w:hAnsi="Times New Roman" w:eastAsia="宋体" w:cs="Times New Roman"/>
                <w:bCs/>
                <w:sz w:val="24"/>
              </w:rPr>
              <w:t>核桃、白梨、榆、酸枣、荆条等为主；</w:t>
            </w:r>
            <w:r>
              <w:rPr>
                <w:rFonts w:hint="default" w:ascii="Times New Roman" w:hAnsi="Times New Roman" w:eastAsia="宋体" w:cs="Times New Roman"/>
                <w:bCs/>
                <w:sz w:val="24"/>
                <w:lang w:val="en-US" w:eastAsia="zh-CN"/>
              </w:rPr>
              <w:t>果园</w:t>
            </w:r>
            <w:r>
              <w:rPr>
                <w:rFonts w:hint="eastAsia" w:ascii="Times New Roman" w:hAnsi="Times New Roman" w:eastAsia="宋体" w:cs="Times New Roman"/>
                <w:bCs/>
                <w:sz w:val="24"/>
                <w:lang w:val="en-US" w:eastAsia="zh-CN"/>
              </w:rPr>
              <w:t>以苹果、梨为主；</w:t>
            </w:r>
            <w:r>
              <w:rPr>
                <w:rFonts w:hint="default" w:ascii="Times New Roman" w:hAnsi="Times New Roman" w:eastAsia="宋体" w:cs="Times New Roman"/>
                <w:bCs/>
                <w:sz w:val="24"/>
                <w:lang w:val="en-US" w:eastAsia="zh-CN"/>
              </w:rPr>
              <w:t>天然牧草地有葎草、紫堇、车前草、藜、野蒿、苜蓿、沿阶草、艾、千里光、酸模、早熟禾等</w:t>
            </w:r>
            <w:r>
              <w:rPr>
                <w:rFonts w:hint="eastAsia" w:ascii="Times New Roman" w:hAnsi="Times New Roman" w:eastAsia="宋体" w:cs="Times New Roman"/>
                <w:bCs/>
                <w:sz w:val="24"/>
                <w:lang w:val="en-US" w:eastAsia="zh-CN"/>
              </w:rPr>
              <w:t>；其他草地以草本植物主要为狗尾草、白羊草等为主；农业</w:t>
            </w:r>
            <w:r>
              <w:rPr>
                <w:bCs/>
                <w:sz w:val="24"/>
              </w:rPr>
              <w:t>植被主要以小麦、玉米、豆类为主。</w:t>
            </w:r>
            <w:r>
              <w:rPr>
                <w:rFonts w:hint="eastAsia"/>
                <w:bCs/>
                <w:sz w:val="24"/>
              </w:rPr>
              <w:t>评价范围内</w:t>
            </w:r>
            <w:r>
              <w:rPr>
                <w:bCs/>
                <w:color w:val="auto"/>
                <w:sz w:val="24"/>
              </w:rPr>
              <w:t>未发现国家及</w:t>
            </w:r>
            <w:r>
              <w:rPr>
                <w:rFonts w:hint="eastAsia"/>
                <w:bCs/>
                <w:color w:val="auto"/>
                <w:sz w:val="24"/>
              </w:rPr>
              <w:t>地方</w:t>
            </w:r>
            <w:r>
              <w:rPr>
                <w:bCs/>
                <w:color w:val="auto"/>
                <w:sz w:val="24"/>
              </w:rPr>
              <w:t>重点保护植物。</w:t>
            </w:r>
            <w:r>
              <w:rPr>
                <w:color w:val="000000" w:themeColor="text1"/>
                <w:sz w:val="24"/>
                <w14:textFill>
                  <w14:solidFill>
                    <w14:schemeClr w14:val="tx1"/>
                  </w14:solidFill>
                </w14:textFill>
              </w:rPr>
              <w:t>。</w:t>
            </w:r>
          </w:p>
          <w:p w14:paraId="45D41AF4">
            <w:pPr>
              <w:spacing w:line="360" w:lineRule="auto"/>
              <w:ind w:firstLine="480" w:firstLineChars="200"/>
              <w:jc w:val="left"/>
              <w:rPr>
                <w:color w:val="auto"/>
                <w:sz w:val="24"/>
              </w:rPr>
            </w:pPr>
            <w:r>
              <w:rPr>
                <w:color w:val="000000" w:themeColor="text1"/>
                <w:sz w:val="24"/>
                <w14:textFill>
                  <w14:solidFill>
                    <w14:schemeClr w14:val="tx1"/>
                  </w14:solidFill>
                </w14:textFill>
              </w:rPr>
              <w:t>项目植被类型现状统计结果见表3-2，</w:t>
            </w:r>
            <w:r>
              <w:rPr>
                <w:color w:val="auto"/>
                <w:sz w:val="24"/>
              </w:rPr>
              <w:t>植被类型见附图</w:t>
            </w:r>
            <w:r>
              <w:rPr>
                <w:rFonts w:hint="eastAsia"/>
                <w:color w:val="auto"/>
                <w:sz w:val="24"/>
                <w:lang w:val="en-US" w:eastAsia="zh-CN"/>
              </w:rPr>
              <w:t>6</w:t>
            </w:r>
            <w:r>
              <w:rPr>
                <w:color w:val="auto"/>
                <w:sz w:val="24"/>
              </w:rPr>
              <w:t>。</w:t>
            </w:r>
          </w:p>
          <w:p w14:paraId="751AD476">
            <w:pPr>
              <w:pStyle w:val="3"/>
              <w:spacing w:before="0" w:beforeLines="0" w:after="0" w:afterLines="0" w:line="240" w:lineRule="auto"/>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表3-2  植被类型面积统计</w:t>
            </w:r>
            <w:r>
              <w:rPr>
                <w:rFonts w:hint="eastAsia" w:eastAsiaTheme="minorEastAsia"/>
                <w:b/>
                <w:bCs/>
                <w:color w:val="000000" w:themeColor="text1"/>
                <w:sz w:val="21"/>
                <w:szCs w:val="21"/>
                <w14:textFill>
                  <w14:solidFill>
                    <w14:schemeClr w14:val="tx1"/>
                  </w14:solidFill>
                </w14:textFill>
              </w:rPr>
              <w:t>一览表</w:t>
            </w:r>
          </w:p>
          <w:tbl>
            <w:tblPr>
              <w:tblStyle w:val="31"/>
              <w:tblW w:w="7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507"/>
              <w:gridCol w:w="3530"/>
              <w:gridCol w:w="1922"/>
            </w:tblGrid>
            <w:tr w14:paraId="607D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vMerge w:val="restart"/>
                  <w:shd w:val="clear" w:color="auto" w:fill="auto"/>
                  <w:noWrap/>
                  <w:vAlign w:val="center"/>
                </w:tcPr>
                <w:p w14:paraId="5555DA7B">
                  <w:pPr>
                    <w:keepNext w:val="0"/>
                    <w:keepLines w:val="0"/>
                    <w:widowControl/>
                    <w:suppressLineNumbers w:val="0"/>
                    <w:jc w:val="center"/>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植被类型</w:t>
                  </w:r>
                </w:p>
              </w:tc>
              <w:tc>
                <w:tcPr>
                  <w:tcW w:w="3425" w:type="pct"/>
                  <w:gridSpan w:val="2"/>
                  <w:shd w:val="clear" w:color="auto" w:fill="auto"/>
                  <w:noWrap/>
                  <w:vAlign w:val="center"/>
                </w:tcPr>
                <w:p w14:paraId="23F521D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评价区（风电范围外扩</w:t>
                  </w:r>
                  <w:r>
                    <w:rPr>
                      <w:rFonts w:hint="default" w:ascii="Times New Roman" w:hAnsi="Times New Roman" w:eastAsia="宋体" w:cs="Times New Roman"/>
                      <w:b/>
                      <w:bCs/>
                      <w:i w:val="0"/>
                      <w:iCs w:val="0"/>
                      <w:color w:val="000000"/>
                      <w:kern w:val="0"/>
                      <w:sz w:val="21"/>
                      <w:szCs w:val="21"/>
                      <w:u w:val="none"/>
                      <w:lang w:val="en-US" w:eastAsia="zh-CN" w:bidi="ar"/>
                    </w:rPr>
                    <w:t>500m</w:t>
                  </w:r>
                  <w:r>
                    <w:rPr>
                      <w:rFonts w:hint="eastAsia" w:ascii="宋体" w:hAnsi="宋体" w:eastAsia="宋体" w:cs="宋体"/>
                      <w:b/>
                      <w:bCs/>
                      <w:i w:val="0"/>
                      <w:iCs w:val="0"/>
                      <w:color w:val="000000"/>
                      <w:kern w:val="0"/>
                      <w:sz w:val="21"/>
                      <w:szCs w:val="21"/>
                      <w:u w:val="none"/>
                      <w:lang w:val="en-US" w:eastAsia="zh-CN" w:bidi="ar"/>
                    </w:rPr>
                    <w:t>）</w:t>
                  </w:r>
                </w:p>
              </w:tc>
            </w:tr>
            <w:tr w14:paraId="323A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9" w:hRule="atLeast"/>
              </w:trPr>
              <w:tc>
                <w:tcPr>
                  <w:tcW w:w="1574" w:type="pct"/>
                  <w:vMerge w:val="continue"/>
                  <w:shd w:val="clear" w:color="auto" w:fill="auto"/>
                  <w:noWrap/>
                  <w:vAlign w:val="center"/>
                </w:tcPr>
                <w:p w14:paraId="6977DD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2217" w:type="pct"/>
                  <w:shd w:val="clear" w:color="auto" w:fill="auto"/>
                  <w:noWrap/>
                  <w:vAlign w:val="center"/>
                </w:tcPr>
                <w:p w14:paraId="5253FD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面积（</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宋体" w:hAnsi="宋体" w:eastAsia="宋体" w:cs="宋体"/>
                      <w:i w:val="0"/>
                      <w:iCs w:val="0"/>
                      <w:color w:val="000000"/>
                      <w:kern w:val="0"/>
                      <w:sz w:val="21"/>
                      <w:szCs w:val="21"/>
                      <w:u w:val="none"/>
                      <w:lang w:val="en-US" w:eastAsia="zh-CN" w:bidi="ar"/>
                    </w:rPr>
                    <w:t>）</w:t>
                  </w:r>
                </w:p>
              </w:tc>
              <w:tc>
                <w:tcPr>
                  <w:tcW w:w="1207" w:type="pct"/>
                  <w:shd w:val="clear" w:color="auto" w:fill="auto"/>
                  <w:noWrap/>
                  <w:vAlign w:val="center"/>
                </w:tcPr>
                <w:p w14:paraId="3A9E7B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比例（</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w:t>
                  </w:r>
                </w:p>
              </w:tc>
            </w:tr>
            <w:tr w14:paraId="07D0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327FE08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乔木林地</w:t>
                  </w:r>
                </w:p>
              </w:tc>
              <w:tc>
                <w:tcPr>
                  <w:tcW w:w="2217" w:type="pct"/>
                  <w:shd w:val="clear" w:color="auto" w:fill="auto"/>
                  <w:noWrap/>
                  <w:vAlign w:val="center"/>
                </w:tcPr>
                <w:p w14:paraId="6BA575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6695189.34</w:t>
                  </w:r>
                </w:p>
              </w:tc>
              <w:tc>
                <w:tcPr>
                  <w:tcW w:w="1207" w:type="pct"/>
                  <w:shd w:val="clear" w:color="auto" w:fill="auto"/>
                  <w:noWrap/>
                  <w:vAlign w:val="center"/>
                </w:tcPr>
                <w:p w14:paraId="507431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60.38</w:t>
                  </w:r>
                </w:p>
              </w:tc>
            </w:tr>
            <w:tr w14:paraId="7644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2DFBB35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栽培植被区</w:t>
                  </w:r>
                </w:p>
              </w:tc>
              <w:tc>
                <w:tcPr>
                  <w:tcW w:w="2217" w:type="pct"/>
                  <w:shd w:val="clear" w:color="auto" w:fill="auto"/>
                  <w:noWrap/>
                  <w:vAlign w:val="center"/>
                </w:tcPr>
                <w:p w14:paraId="1323EB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691043.74</w:t>
                  </w:r>
                </w:p>
              </w:tc>
              <w:tc>
                <w:tcPr>
                  <w:tcW w:w="1207" w:type="pct"/>
                  <w:shd w:val="clear" w:color="auto" w:fill="auto"/>
                  <w:noWrap/>
                  <w:vAlign w:val="center"/>
                </w:tcPr>
                <w:p w14:paraId="6E7AF4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6.23</w:t>
                  </w:r>
                </w:p>
              </w:tc>
            </w:tr>
            <w:tr w14:paraId="0C5E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6485CF9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灌木林地</w:t>
                  </w:r>
                </w:p>
              </w:tc>
              <w:tc>
                <w:tcPr>
                  <w:tcW w:w="2217" w:type="pct"/>
                  <w:shd w:val="clear" w:color="auto" w:fill="auto"/>
                  <w:noWrap/>
                  <w:vAlign w:val="center"/>
                </w:tcPr>
                <w:p w14:paraId="37A8DA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1082843.19</w:t>
                  </w:r>
                </w:p>
              </w:tc>
              <w:tc>
                <w:tcPr>
                  <w:tcW w:w="1207" w:type="pct"/>
                  <w:shd w:val="clear" w:color="auto" w:fill="auto"/>
                  <w:noWrap/>
                  <w:vAlign w:val="center"/>
                </w:tcPr>
                <w:p w14:paraId="110E68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9.77</w:t>
                  </w:r>
                </w:p>
              </w:tc>
            </w:tr>
            <w:tr w14:paraId="2CF6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66247FE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无植被区</w:t>
                  </w:r>
                </w:p>
              </w:tc>
              <w:tc>
                <w:tcPr>
                  <w:tcW w:w="2217" w:type="pct"/>
                  <w:shd w:val="clear" w:color="auto" w:fill="auto"/>
                  <w:noWrap/>
                  <w:vAlign w:val="center"/>
                </w:tcPr>
                <w:p w14:paraId="6A5A80E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199981.77</w:t>
                  </w:r>
                </w:p>
              </w:tc>
              <w:tc>
                <w:tcPr>
                  <w:tcW w:w="1207" w:type="pct"/>
                  <w:shd w:val="clear" w:color="auto" w:fill="auto"/>
                  <w:noWrap/>
                  <w:vAlign w:val="center"/>
                </w:tcPr>
                <w:p w14:paraId="337799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w:t>
                  </w:r>
                </w:p>
              </w:tc>
            </w:tr>
            <w:tr w14:paraId="1E3B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04F0FED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其他林地</w:t>
                  </w:r>
                </w:p>
              </w:tc>
              <w:tc>
                <w:tcPr>
                  <w:tcW w:w="2217" w:type="pct"/>
                  <w:shd w:val="clear" w:color="auto" w:fill="auto"/>
                  <w:noWrap/>
                  <w:vAlign w:val="center"/>
                </w:tcPr>
                <w:p w14:paraId="1B9FE5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470204.66</w:t>
                  </w:r>
                </w:p>
              </w:tc>
              <w:tc>
                <w:tcPr>
                  <w:tcW w:w="1207" w:type="pct"/>
                  <w:shd w:val="clear" w:color="auto" w:fill="auto"/>
                  <w:noWrap/>
                  <w:vAlign w:val="center"/>
                </w:tcPr>
                <w:p w14:paraId="0359BF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4.24</w:t>
                  </w:r>
                </w:p>
              </w:tc>
            </w:tr>
            <w:tr w14:paraId="0818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7" w:hRule="atLeast"/>
              </w:trPr>
              <w:tc>
                <w:tcPr>
                  <w:tcW w:w="1574" w:type="pct"/>
                  <w:shd w:val="clear" w:color="auto" w:fill="auto"/>
                  <w:noWrap/>
                  <w:vAlign w:val="center"/>
                </w:tcPr>
                <w:p w14:paraId="20BCE15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其他园地</w:t>
                  </w:r>
                </w:p>
              </w:tc>
              <w:tc>
                <w:tcPr>
                  <w:tcW w:w="2217" w:type="pct"/>
                  <w:shd w:val="clear" w:color="auto" w:fill="auto"/>
                  <w:noWrap/>
                  <w:vAlign w:val="center"/>
                </w:tcPr>
                <w:p w14:paraId="1BC2C89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1161270.33</w:t>
                  </w:r>
                </w:p>
              </w:tc>
              <w:tc>
                <w:tcPr>
                  <w:tcW w:w="1207" w:type="pct"/>
                  <w:shd w:val="clear" w:color="auto" w:fill="auto"/>
                  <w:noWrap/>
                  <w:vAlign w:val="center"/>
                </w:tcPr>
                <w:p w14:paraId="454782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10.47</w:t>
                  </w:r>
                </w:p>
              </w:tc>
            </w:tr>
            <w:tr w14:paraId="1EDF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trPr>
              <w:tc>
                <w:tcPr>
                  <w:tcW w:w="1574" w:type="pct"/>
                  <w:shd w:val="clear" w:color="auto" w:fill="auto"/>
                  <w:noWrap/>
                  <w:vAlign w:val="center"/>
                </w:tcPr>
                <w:p w14:paraId="175BF43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其他草地</w:t>
                  </w:r>
                </w:p>
              </w:tc>
              <w:tc>
                <w:tcPr>
                  <w:tcW w:w="2217" w:type="pct"/>
                  <w:shd w:val="clear" w:color="auto" w:fill="auto"/>
                  <w:noWrap/>
                  <w:vAlign w:val="center"/>
                </w:tcPr>
                <w:p w14:paraId="2387ED2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545114.82</w:t>
                  </w:r>
                </w:p>
              </w:tc>
              <w:tc>
                <w:tcPr>
                  <w:tcW w:w="1207" w:type="pct"/>
                  <w:shd w:val="clear" w:color="auto" w:fill="auto"/>
                  <w:noWrap/>
                  <w:vAlign w:val="center"/>
                </w:tcPr>
                <w:p w14:paraId="681584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4.92</w:t>
                  </w:r>
                </w:p>
              </w:tc>
            </w:tr>
            <w:tr w14:paraId="6BD4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574" w:type="pct"/>
                  <w:shd w:val="clear" w:color="auto" w:fill="auto"/>
                  <w:noWrap/>
                  <w:vAlign w:val="center"/>
                </w:tcPr>
                <w:p w14:paraId="6E57A09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天然牧草地</w:t>
                  </w:r>
                </w:p>
              </w:tc>
              <w:tc>
                <w:tcPr>
                  <w:tcW w:w="2217" w:type="pct"/>
                  <w:shd w:val="clear" w:color="auto" w:fill="auto"/>
                  <w:noWrap/>
                  <w:vAlign w:val="center"/>
                </w:tcPr>
                <w:p w14:paraId="0FD0E39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242856.17</w:t>
                  </w:r>
                </w:p>
              </w:tc>
              <w:tc>
                <w:tcPr>
                  <w:tcW w:w="1207" w:type="pct"/>
                  <w:shd w:val="clear" w:color="auto" w:fill="auto"/>
                  <w:noWrap/>
                  <w:vAlign w:val="center"/>
                </w:tcPr>
                <w:p w14:paraId="474CBE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2.19</w:t>
                  </w:r>
                </w:p>
              </w:tc>
            </w:tr>
          </w:tbl>
          <w:p w14:paraId="6D04A64F">
            <w:pPr>
              <w:pStyle w:val="97"/>
              <w:snapToGrid w:val="0"/>
              <w:ind w:firstLine="480"/>
              <w:rPr>
                <w:bCs/>
                <w:color w:val="000000" w:themeColor="text1"/>
                <w14:textFill>
                  <w14:solidFill>
                    <w14:schemeClr w14:val="tx1"/>
                  </w14:solidFill>
                </w14:textFill>
              </w:rPr>
            </w:pPr>
            <w:r>
              <w:rPr>
                <w:color w:val="000000" w:themeColor="text1"/>
                <w14:textFill>
                  <w14:solidFill>
                    <w14:schemeClr w14:val="tx1"/>
                  </w14:solidFill>
                </w14:textFill>
              </w:rPr>
              <w:t>从上表可以看出，风场范围内植被类型主要为</w:t>
            </w:r>
            <w:r>
              <w:rPr>
                <w:rFonts w:hint="eastAsia"/>
                <w:color w:val="000000" w:themeColor="text1"/>
                <w:lang w:val="en-US" w:eastAsia="zh-CN"/>
                <w14:textFill>
                  <w14:solidFill>
                    <w14:schemeClr w14:val="tx1"/>
                  </w14:solidFill>
                </w14:textFill>
              </w:rPr>
              <w:t>乔木、灌木</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果树。</w:t>
            </w:r>
          </w:p>
          <w:p w14:paraId="666D2161">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GB2 \* MERGEFORMAT </w:instrText>
            </w:r>
            <w:r>
              <w:rPr>
                <w:color w:val="000000" w:themeColor="text1"/>
                <w:sz w:val="24"/>
                <w14:textFill>
                  <w14:solidFill>
                    <w14:schemeClr w14:val="tx1"/>
                  </w14:solidFill>
                </w14:textFill>
              </w:rPr>
              <w:fldChar w:fldCharType="separate"/>
            </w:r>
            <w:r>
              <w:t>⑸</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植被概况</w:t>
            </w:r>
          </w:p>
          <w:p w14:paraId="03A669A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评价区</w:t>
            </w:r>
            <w:r>
              <w:rPr>
                <w:color w:val="000000" w:themeColor="text1"/>
                <w:sz w:val="24"/>
                <w14:textFill>
                  <w14:solidFill>
                    <w14:schemeClr w14:val="tx1"/>
                  </w14:solidFill>
                </w14:textFill>
              </w:rPr>
              <w:t>植被覆盖度分级及面积统计见表</w:t>
            </w:r>
            <w:r>
              <w:rPr>
                <w:rFonts w:hint="eastAsia"/>
                <w:color w:val="000000" w:themeColor="text1"/>
                <w:sz w:val="24"/>
                <w14:textFill>
                  <w14:solidFill>
                    <w14:schemeClr w14:val="tx1"/>
                  </w14:solidFill>
                </w14:textFill>
              </w:rPr>
              <w:t>3-3</w:t>
            </w:r>
            <w:r>
              <w:rPr>
                <w:color w:val="000000" w:themeColor="text1"/>
                <w:sz w:val="24"/>
                <w14:textFill>
                  <w14:solidFill>
                    <w14:schemeClr w14:val="tx1"/>
                  </w14:solidFill>
                </w14:textFill>
              </w:rPr>
              <w:t>，植被覆盖度图见附图</w:t>
            </w:r>
            <w:r>
              <w:rPr>
                <w:rFonts w:hint="eastAsia"/>
                <w:color w:val="000000" w:themeColor="text1"/>
                <w:sz w:val="24"/>
                <w14:textFill>
                  <w14:solidFill>
                    <w14:schemeClr w14:val="tx1"/>
                  </w14:solidFill>
                </w14:textFill>
              </w:rPr>
              <w:t>十</w:t>
            </w:r>
            <w:r>
              <w:rPr>
                <w:color w:val="000000" w:themeColor="text1"/>
                <w:sz w:val="24"/>
                <w14:textFill>
                  <w14:solidFill>
                    <w14:schemeClr w14:val="tx1"/>
                  </w14:solidFill>
                </w14:textFill>
              </w:rPr>
              <w:t>。</w:t>
            </w:r>
          </w:p>
          <w:p w14:paraId="2230A063">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表3-3 植被覆盖度面积统计</w:t>
            </w:r>
            <w:r>
              <w:rPr>
                <w:rFonts w:hint="eastAsia"/>
                <w:b/>
                <w:bCs/>
                <w:color w:val="000000" w:themeColor="text1"/>
                <w:sz w:val="21"/>
                <w:szCs w:val="21"/>
                <w14:textFill>
                  <w14:solidFill>
                    <w14:schemeClr w14:val="tx1"/>
                  </w14:solidFill>
                </w14:textFill>
              </w:rPr>
              <w:t>一览表</w:t>
            </w:r>
          </w:p>
          <w:tbl>
            <w:tblPr>
              <w:tblStyle w:val="31"/>
              <w:tblW w:w="787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35"/>
              <w:gridCol w:w="2237"/>
              <w:gridCol w:w="2003"/>
              <w:gridCol w:w="2003"/>
            </w:tblGrid>
            <w:tr w14:paraId="30F93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trPr>
              <w:tc>
                <w:tcPr>
                  <w:tcW w:w="1635" w:type="dxa"/>
                  <w:shd w:val="clear" w:color="auto" w:fill="auto"/>
                  <w:noWrap/>
                  <w:vAlign w:val="center"/>
                </w:tcPr>
                <w:p w14:paraId="67CC37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植被覆盖度</w:t>
                  </w:r>
                </w:p>
              </w:tc>
              <w:tc>
                <w:tcPr>
                  <w:tcW w:w="2237" w:type="dxa"/>
                  <w:shd w:val="clear" w:color="auto" w:fill="auto"/>
                  <w:noWrap/>
                  <w:vAlign w:val="center"/>
                </w:tcPr>
                <w:p w14:paraId="6AB4CE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覆盖等级</w:t>
                  </w:r>
                </w:p>
              </w:tc>
              <w:tc>
                <w:tcPr>
                  <w:tcW w:w="2003" w:type="dxa"/>
                  <w:shd w:val="clear" w:color="auto" w:fill="auto"/>
                  <w:noWrap/>
                  <w:vAlign w:val="center"/>
                </w:tcPr>
                <w:p w14:paraId="5C3EA0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面积（</w:t>
                  </w:r>
                  <w:r>
                    <w:rPr>
                      <w:rFonts w:hint="default" w:ascii="Times New Roman" w:hAnsi="Times New Roman" w:eastAsia="宋体" w:cs="Times New Roman"/>
                      <w:i w:val="0"/>
                      <w:iCs w:val="0"/>
                      <w:color w:val="000000"/>
                      <w:kern w:val="0"/>
                      <w:sz w:val="21"/>
                      <w:szCs w:val="21"/>
                      <w:u w:val="none"/>
                      <w:lang w:val="en-US" w:eastAsia="zh-CN" w:bidi="ar"/>
                    </w:rPr>
                    <w:t>m</w:t>
                  </w:r>
                  <w:r>
                    <w:rPr>
                      <w:rFonts w:hint="default" w:ascii="Times New Roman" w:hAnsi="Times New Roman" w:eastAsia="宋体" w:cs="Times New Roman"/>
                      <w:i w:val="0"/>
                      <w:iCs w:val="0"/>
                      <w:color w:val="000000"/>
                      <w:kern w:val="0"/>
                      <w:sz w:val="21"/>
                      <w:szCs w:val="21"/>
                      <w:u w:val="none"/>
                      <w:vertAlign w:val="superscript"/>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w:t>
                  </w:r>
                </w:p>
              </w:tc>
              <w:tc>
                <w:tcPr>
                  <w:tcW w:w="2003" w:type="dxa"/>
                  <w:shd w:val="clear" w:color="auto" w:fill="auto"/>
                  <w:noWrap/>
                  <w:vAlign w:val="center"/>
                </w:tcPr>
                <w:p w14:paraId="6024FB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比例（</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w:t>
                  </w:r>
                </w:p>
              </w:tc>
            </w:tr>
            <w:tr w14:paraId="20D5C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trPr>
              <w:tc>
                <w:tcPr>
                  <w:tcW w:w="1635" w:type="dxa"/>
                  <w:shd w:val="clear" w:color="auto" w:fill="auto"/>
                  <w:noWrap/>
                  <w:vAlign w:val="center"/>
                </w:tcPr>
                <w:p w14:paraId="798B8B8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0-0.1</w:t>
                  </w:r>
                </w:p>
              </w:tc>
              <w:tc>
                <w:tcPr>
                  <w:tcW w:w="2237" w:type="dxa"/>
                  <w:shd w:val="clear" w:color="auto" w:fill="auto"/>
                  <w:noWrap/>
                  <w:vAlign w:val="center"/>
                </w:tcPr>
                <w:p w14:paraId="0E19BDE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极低覆盖度</w:t>
                  </w:r>
                </w:p>
              </w:tc>
              <w:tc>
                <w:tcPr>
                  <w:tcW w:w="2003" w:type="dxa"/>
                  <w:shd w:val="clear" w:color="auto" w:fill="auto"/>
                  <w:noWrap/>
                  <w:vAlign w:val="center"/>
                </w:tcPr>
                <w:p w14:paraId="6496A77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891025.50 </w:t>
                  </w:r>
                </w:p>
              </w:tc>
              <w:tc>
                <w:tcPr>
                  <w:tcW w:w="2003" w:type="dxa"/>
                  <w:shd w:val="clear" w:color="auto" w:fill="auto"/>
                  <w:noWrap/>
                  <w:vAlign w:val="center"/>
                </w:tcPr>
                <w:p w14:paraId="072D204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8.04 </w:t>
                  </w:r>
                </w:p>
              </w:tc>
            </w:tr>
            <w:tr w14:paraId="7D49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15" w:hRule="atLeast"/>
              </w:trPr>
              <w:tc>
                <w:tcPr>
                  <w:tcW w:w="1635" w:type="dxa"/>
                  <w:shd w:val="clear" w:color="auto" w:fill="auto"/>
                  <w:noWrap/>
                  <w:vAlign w:val="center"/>
                </w:tcPr>
                <w:p w14:paraId="74BE8B8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0.1—0.3</w:t>
                  </w:r>
                </w:p>
              </w:tc>
              <w:tc>
                <w:tcPr>
                  <w:tcW w:w="2237" w:type="dxa"/>
                  <w:shd w:val="clear" w:color="auto" w:fill="auto"/>
                  <w:noWrap/>
                  <w:vAlign w:val="center"/>
                </w:tcPr>
                <w:p w14:paraId="520EEA7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低覆盖度</w:t>
                  </w:r>
                </w:p>
              </w:tc>
              <w:tc>
                <w:tcPr>
                  <w:tcW w:w="2003" w:type="dxa"/>
                  <w:shd w:val="clear" w:color="auto" w:fill="auto"/>
                  <w:noWrap/>
                  <w:vAlign w:val="center"/>
                </w:tcPr>
                <w:p w14:paraId="2EF3411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545114.82 </w:t>
                  </w:r>
                </w:p>
              </w:tc>
              <w:tc>
                <w:tcPr>
                  <w:tcW w:w="2003" w:type="dxa"/>
                  <w:shd w:val="clear" w:color="auto" w:fill="auto"/>
                  <w:noWrap/>
                  <w:vAlign w:val="center"/>
                </w:tcPr>
                <w:p w14:paraId="546774B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4.92 </w:t>
                  </w:r>
                </w:p>
              </w:tc>
            </w:tr>
            <w:tr w14:paraId="170A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trPr>
              <w:tc>
                <w:tcPr>
                  <w:tcW w:w="1635" w:type="dxa"/>
                  <w:shd w:val="clear" w:color="auto" w:fill="auto"/>
                  <w:noWrap/>
                  <w:vAlign w:val="center"/>
                </w:tcPr>
                <w:p w14:paraId="3793731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0.3-0.5</w:t>
                  </w:r>
                </w:p>
              </w:tc>
              <w:tc>
                <w:tcPr>
                  <w:tcW w:w="2237" w:type="dxa"/>
                  <w:shd w:val="clear" w:color="auto" w:fill="auto"/>
                  <w:noWrap/>
                  <w:vAlign w:val="center"/>
                </w:tcPr>
                <w:p w14:paraId="389630F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中覆盖度</w:t>
                  </w:r>
                </w:p>
              </w:tc>
              <w:tc>
                <w:tcPr>
                  <w:tcW w:w="2003" w:type="dxa"/>
                  <w:shd w:val="clear" w:color="auto" w:fill="auto"/>
                  <w:noWrap/>
                  <w:vAlign w:val="center"/>
                </w:tcPr>
                <w:p w14:paraId="550A573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242856.17 </w:t>
                  </w:r>
                </w:p>
              </w:tc>
              <w:tc>
                <w:tcPr>
                  <w:tcW w:w="2003" w:type="dxa"/>
                  <w:shd w:val="clear" w:color="auto" w:fill="auto"/>
                  <w:noWrap/>
                  <w:vAlign w:val="center"/>
                </w:tcPr>
                <w:p w14:paraId="462746C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2.19 </w:t>
                  </w:r>
                </w:p>
              </w:tc>
            </w:tr>
            <w:tr w14:paraId="3E2D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5" w:hRule="atLeast"/>
              </w:trPr>
              <w:tc>
                <w:tcPr>
                  <w:tcW w:w="1635" w:type="dxa"/>
                  <w:shd w:val="clear" w:color="auto" w:fill="auto"/>
                  <w:noWrap/>
                  <w:vAlign w:val="center"/>
                </w:tcPr>
                <w:p w14:paraId="5AB7C0D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0.5-0.7</w:t>
                  </w:r>
                </w:p>
              </w:tc>
              <w:tc>
                <w:tcPr>
                  <w:tcW w:w="2237" w:type="dxa"/>
                  <w:shd w:val="clear" w:color="auto" w:fill="auto"/>
                  <w:noWrap/>
                  <w:vAlign w:val="center"/>
                </w:tcPr>
                <w:p w14:paraId="257E89B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中高覆盖度</w:t>
                  </w:r>
                </w:p>
              </w:tc>
              <w:tc>
                <w:tcPr>
                  <w:tcW w:w="2003" w:type="dxa"/>
                  <w:shd w:val="clear" w:color="auto" w:fill="auto"/>
                  <w:noWrap/>
                  <w:vAlign w:val="center"/>
                </w:tcPr>
                <w:p w14:paraId="22FB30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1631474.99 </w:t>
                  </w:r>
                </w:p>
              </w:tc>
              <w:tc>
                <w:tcPr>
                  <w:tcW w:w="2003" w:type="dxa"/>
                  <w:shd w:val="clear" w:color="auto" w:fill="auto"/>
                  <w:noWrap/>
                  <w:vAlign w:val="center"/>
                </w:tcPr>
                <w:p w14:paraId="2C6AD7C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14.71 </w:t>
                  </w:r>
                </w:p>
              </w:tc>
            </w:tr>
            <w:tr w14:paraId="1029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1" w:hRule="atLeast"/>
              </w:trPr>
              <w:tc>
                <w:tcPr>
                  <w:tcW w:w="1635" w:type="dxa"/>
                  <w:shd w:val="clear" w:color="auto" w:fill="auto"/>
                  <w:noWrap/>
                  <w:vAlign w:val="center"/>
                </w:tcPr>
                <w:p w14:paraId="78450B4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0.7-1</w:t>
                  </w:r>
                </w:p>
              </w:tc>
              <w:tc>
                <w:tcPr>
                  <w:tcW w:w="2237" w:type="dxa"/>
                  <w:shd w:val="clear" w:color="auto" w:fill="auto"/>
                  <w:noWrap/>
                  <w:vAlign w:val="center"/>
                </w:tcPr>
                <w:p w14:paraId="602B11E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高覆盖度</w:t>
                  </w:r>
                </w:p>
              </w:tc>
              <w:tc>
                <w:tcPr>
                  <w:tcW w:w="2003" w:type="dxa"/>
                  <w:shd w:val="clear" w:color="auto" w:fill="auto"/>
                  <w:noWrap/>
                  <w:vAlign w:val="center"/>
                </w:tcPr>
                <w:p w14:paraId="68FFAD0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7778032.54 </w:t>
                  </w:r>
                </w:p>
              </w:tc>
              <w:tc>
                <w:tcPr>
                  <w:tcW w:w="2003" w:type="dxa"/>
                  <w:shd w:val="clear" w:color="auto" w:fill="auto"/>
                  <w:noWrap/>
                  <w:vAlign w:val="center"/>
                </w:tcPr>
                <w:p w14:paraId="1637EF2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70.15 </w:t>
                  </w:r>
                </w:p>
              </w:tc>
            </w:tr>
          </w:tbl>
          <w:p w14:paraId="5D6DB67A">
            <w:pPr>
              <w:spacing w:line="360" w:lineRule="auto"/>
              <w:ind w:firstLine="480" w:firstLineChars="200"/>
              <w:jc w:val="left"/>
              <w:rPr>
                <w:color w:val="4F81BD" w:themeColor="accent1"/>
                <w:sz w:val="24"/>
                <w14:textFill>
                  <w14:solidFill>
                    <w14:schemeClr w14:val="accent1"/>
                  </w14:solidFill>
                </w14:textFill>
              </w:rPr>
            </w:pPr>
            <w:r>
              <w:rPr>
                <w:color w:val="000000" w:themeColor="text1"/>
                <w:sz w:val="24"/>
                <w14:textFill>
                  <w14:solidFill>
                    <w14:schemeClr w14:val="tx1"/>
                  </w14:solidFill>
                </w14:textFill>
              </w:rPr>
              <w:t>由上</w:t>
            </w:r>
            <w:r>
              <w:rPr>
                <w:color w:val="auto"/>
                <w:sz w:val="24"/>
              </w:rPr>
              <w:t>述分析可知，项目风场</w:t>
            </w:r>
            <w:r>
              <w:rPr>
                <w:rFonts w:hint="eastAsia"/>
                <w:color w:val="auto"/>
                <w:sz w:val="24"/>
                <w:lang w:val="en-US" w:eastAsia="zh-CN"/>
              </w:rPr>
              <w:t>评价</w:t>
            </w:r>
            <w:r>
              <w:rPr>
                <w:color w:val="auto"/>
                <w:sz w:val="24"/>
              </w:rPr>
              <w:t>范围内</w:t>
            </w:r>
            <w:r>
              <w:rPr>
                <w:rFonts w:hint="eastAsia"/>
                <w:color w:val="auto"/>
                <w:sz w:val="24"/>
              </w:rPr>
              <w:t>主要为</w:t>
            </w:r>
            <w:r>
              <w:rPr>
                <w:rFonts w:hint="eastAsia"/>
                <w:color w:val="auto"/>
                <w:sz w:val="24"/>
                <w:lang w:val="en-US" w:eastAsia="zh-CN"/>
              </w:rPr>
              <w:t>林地</w:t>
            </w:r>
            <w:r>
              <w:rPr>
                <w:rFonts w:hint="eastAsia"/>
                <w:color w:val="auto"/>
                <w:sz w:val="24"/>
              </w:rPr>
              <w:t>，其次</w:t>
            </w:r>
            <w:r>
              <w:rPr>
                <w:color w:val="auto"/>
                <w:sz w:val="24"/>
              </w:rPr>
              <w:t>植被覆盖度</w:t>
            </w:r>
            <w:r>
              <w:rPr>
                <w:rFonts w:hint="eastAsia"/>
                <w:color w:val="auto"/>
                <w:sz w:val="24"/>
              </w:rPr>
              <w:t>为</w:t>
            </w:r>
            <w:r>
              <w:rPr>
                <w:color w:val="auto"/>
                <w:sz w:val="24"/>
              </w:rPr>
              <w:t>中</w:t>
            </w:r>
            <w:r>
              <w:rPr>
                <w:rFonts w:hint="eastAsia"/>
                <w:color w:val="auto"/>
                <w:sz w:val="24"/>
              </w:rPr>
              <w:t>高覆盖</w:t>
            </w:r>
            <w:r>
              <w:rPr>
                <w:color w:val="auto"/>
                <w:sz w:val="24"/>
              </w:rPr>
              <w:t>。</w:t>
            </w:r>
          </w:p>
          <w:p w14:paraId="03EB2DD7">
            <w:pPr>
              <w:pStyle w:val="97"/>
              <w:keepNext w:val="0"/>
              <w:keepLines w:val="0"/>
              <w:pageBreakBefore w:val="0"/>
              <w:widowControl w:val="0"/>
              <w:kinsoku/>
              <w:wordWrap/>
              <w:overflowPunct/>
              <w:topLinePunct/>
              <w:autoSpaceDE w:val="0"/>
              <w:autoSpaceDN w:val="0"/>
              <w:bidi w:val="0"/>
              <w:adjustRightInd/>
              <w:snapToGrid w:val="0"/>
              <w:spacing w:before="157" w:beforeLines="50"/>
              <w:ind w:firstLine="480"/>
              <w:textAlignment w:val="auto"/>
              <w:rPr>
                <w:color w:val="000000" w:themeColor="text1"/>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GB2 \* MERGEFORMAT </w:instrText>
            </w:r>
            <w:r>
              <w:rPr>
                <w:color w:val="000000" w:themeColor="text1"/>
                <w:sz w:val="24"/>
                <w14:textFill>
                  <w14:solidFill>
                    <w14:schemeClr w14:val="tx1"/>
                  </w14:solidFill>
                </w14:textFill>
              </w:rPr>
              <w:fldChar w:fldCharType="separate"/>
            </w:r>
            <w:r>
              <w:t>⑹</w:t>
            </w:r>
            <w:r>
              <w:rPr>
                <w:color w:val="000000" w:themeColor="text1"/>
                <w:sz w:val="24"/>
                <w14:textFill>
                  <w14:solidFill>
                    <w14:schemeClr w14:val="tx1"/>
                  </w14:solidFill>
                </w14:textFill>
              </w:rPr>
              <w:fldChar w:fldCharType="end"/>
            </w:r>
            <w:r>
              <w:rPr>
                <w:color w:val="000000" w:themeColor="text1"/>
                <w14:textFill>
                  <w14:solidFill>
                    <w14:schemeClr w14:val="tx1"/>
                  </w14:solidFill>
                </w14:textFill>
              </w:rPr>
              <w:t>野生动物调查情况</w:t>
            </w:r>
          </w:p>
          <w:p w14:paraId="704A4E78">
            <w:pPr>
              <w:pStyle w:val="97"/>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根据调查，</w:t>
            </w:r>
            <w:r>
              <w:rPr>
                <w:rFonts w:hint="eastAsia"/>
                <w:color w:val="000000" w:themeColor="text1"/>
                <w14:textFill>
                  <w14:solidFill>
                    <w14:schemeClr w14:val="tx1"/>
                  </w14:solidFill>
                </w14:textFill>
              </w:rPr>
              <w:t>区域</w:t>
            </w:r>
            <w:r>
              <w:rPr>
                <w:color w:val="000000" w:themeColor="text1"/>
                <w14:textFill>
                  <w14:solidFill>
                    <w14:schemeClr w14:val="tx1"/>
                  </w14:solidFill>
                </w14:textFill>
              </w:rPr>
              <w:t>野生动物组成比较简单，以小型兽类和鸟类为主，多为常见种类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兽类主要有</w:t>
            </w:r>
            <w:r>
              <w:rPr>
                <w:rFonts w:hint="eastAsia"/>
                <w:color w:val="000000" w:themeColor="text1"/>
                <w14:textFill>
                  <w14:solidFill>
                    <w14:schemeClr w14:val="tx1"/>
                  </w14:solidFill>
                </w14:textFill>
              </w:rPr>
              <w:t>褐家鼠、兔、松鼠等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鸟类</w:t>
            </w:r>
            <w:r>
              <w:rPr>
                <w:color w:val="000000" w:themeColor="text1"/>
                <w14:textFill>
                  <w14:solidFill>
                    <w14:schemeClr w14:val="tx1"/>
                  </w14:solidFill>
                </w14:textFill>
              </w:rPr>
              <w:t>主要有麻雀、乌鸦、喜鹊、画眉、家燕</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评价范围内</w:t>
            </w:r>
            <w:r>
              <w:rPr>
                <w:color w:val="000000" w:themeColor="text1"/>
                <w14:textFill>
                  <w14:solidFill>
                    <w14:schemeClr w14:val="tx1"/>
                  </w14:solidFill>
                </w14:textFill>
              </w:rPr>
              <w:t>未发现国家及</w:t>
            </w:r>
            <w:r>
              <w:rPr>
                <w:rFonts w:hint="eastAsia"/>
                <w:color w:val="000000" w:themeColor="text1"/>
                <w14:textFill>
                  <w14:solidFill>
                    <w14:schemeClr w14:val="tx1"/>
                  </w14:solidFill>
                </w14:textFill>
              </w:rPr>
              <w:t>地方</w:t>
            </w:r>
            <w:r>
              <w:rPr>
                <w:color w:val="000000" w:themeColor="text1"/>
                <w14:textFill>
                  <w14:solidFill>
                    <w14:schemeClr w14:val="tx1"/>
                  </w14:solidFill>
                </w14:textFill>
              </w:rPr>
              <w:t>重点保护动物。</w:t>
            </w:r>
          </w:p>
          <w:p w14:paraId="6DB148BA">
            <w:pPr>
              <w:pStyle w:val="97"/>
              <w:snapToGrid w:val="0"/>
              <w:ind w:firstLine="480"/>
              <w:rPr>
                <w:bCs/>
                <w:color w:val="000000" w:themeColor="text1"/>
                <w14:textFill>
                  <w14:solidFill>
                    <w14:schemeClr w14:val="tx1"/>
                  </w14:solidFill>
                </w14:textFill>
              </w:rPr>
            </w:pPr>
            <w:r>
              <w:rPr>
                <w:color w:val="000000" w:themeColor="text1"/>
                <w14:textFill>
                  <w14:solidFill>
                    <w14:schemeClr w14:val="tx1"/>
                  </w14:solidFill>
                </w14:textFill>
              </w:rPr>
              <w:t>根据现场调查以及访问当地居民，拟建项目风电场范围内无大型野生动物出没，主要野生动物均为区域内常见种。</w:t>
            </w:r>
          </w:p>
          <w:p w14:paraId="45400094">
            <w:pPr>
              <w:tabs>
                <w:tab w:val="left" w:pos="3555"/>
              </w:tabs>
              <w:spacing w:line="360" w:lineRule="auto"/>
              <w:ind w:firstLine="482" w:firstLineChars="200"/>
              <w:rPr>
                <w:rStyle w:val="58"/>
                <w:b/>
                <w:color w:val="000000" w:themeColor="text1"/>
                <w:sz w:val="24"/>
                <w14:textFill>
                  <w14:solidFill>
                    <w14:schemeClr w14:val="tx1"/>
                  </w14:solidFill>
                </w14:textFill>
              </w:rPr>
            </w:pPr>
            <w:r>
              <w:rPr>
                <w:rStyle w:val="58"/>
                <w:rFonts w:hint="eastAsia"/>
                <w:b/>
                <w:color w:val="000000" w:themeColor="text1"/>
                <w:sz w:val="24"/>
                <w14:textFill>
                  <w14:solidFill>
                    <w14:schemeClr w14:val="tx1"/>
                  </w14:solidFill>
                </w14:textFill>
              </w:rPr>
              <w:t>2</w:t>
            </w:r>
            <w:r>
              <w:rPr>
                <w:rStyle w:val="58"/>
                <w:b/>
                <w:color w:val="000000" w:themeColor="text1"/>
                <w:sz w:val="24"/>
                <w14:textFill>
                  <w14:solidFill>
                    <w14:schemeClr w14:val="tx1"/>
                  </w14:solidFill>
                </w14:textFill>
              </w:rPr>
              <w:t>、大气环境质量现状</w:t>
            </w:r>
          </w:p>
          <w:p w14:paraId="43631518">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本项目以20</w:t>
            </w:r>
            <w:r>
              <w:rPr>
                <w:rFonts w:hint="eastAsia"/>
                <w:bCs/>
                <w:color w:val="000000" w:themeColor="text1"/>
                <w:sz w:val="24"/>
                <w14:textFill>
                  <w14:solidFill>
                    <w14:schemeClr w14:val="tx1"/>
                  </w14:solidFill>
                </w14:textFill>
              </w:rPr>
              <w:t>23</w:t>
            </w:r>
            <w:r>
              <w:rPr>
                <w:bCs/>
                <w:color w:val="000000" w:themeColor="text1"/>
                <w:sz w:val="24"/>
                <w14:textFill>
                  <w14:solidFill>
                    <w14:schemeClr w14:val="tx1"/>
                  </w14:solidFill>
                </w14:textFill>
              </w:rPr>
              <w:t>年作为评价基准年，项目位于</w:t>
            </w:r>
            <w:r>
              <w:rPr>
                <w:rFonts w:hint="eastAsia"/>
                <w:bCs/>
                <w:color w:val="000000" w:themeColor="text1"/>
                <w:sz w:val="24"/>
                <w:lang w:val="en-US" w:eastAsia="zh-CN"/>
                <w14:textFill>
                  <w14:solidFill>
                    <w14:schemeClr w14:val="tx1"/>
                  </w14:solidFill>
                </w14:textFill>
              </w:rPr>
              <w:t>宝鸡</w:t>
            </w:r>
            <w:r>
              <w:rPr>
                <w:rFonts w:hint="eastAsia"/>
                <w:bCs/>
                <w:color w:val="000000" w:themeColor="text1"/>
                <w:sz w:val="24"/>
                <w14:textFill>
                  <w14:solidFill>
                    <w14:schemeClr w14:val="tx1"/>
                  </w14:solidFill>
                </w14:textFill>
              </w:rPr>
              <w:t>市</w:t>
            </w:r>
            <w:r>
              <w:rPr>
                <w:rFonts w:hint="eastAsia"/>
                <w:bCs/>
                <w:color w:val="000000" w:themeColor="text1"/>
                <w:sz w:val="24"/>
                <w:lang w:val="en-US" w:eastAsia="zh-CN"/>
                <w14:textFill>
                  <w14:solidFill>
                    <w14:schemeClr w14:val="tx1"/>
                  </w14:solidFill>
                </w14:textFill>
              </w:rPr>
              <w:t>陈仓区拓石</w:t>
            </w:r>
            <w:r>
              <w:rPr>
                <w:rFonts w:hint="eastAsia"/>
                <w:bCs/>
                <w:color w:val="000000" w:themeColor="text1"/>
                <w:sz w:val="24"/>
                <w14:textFill>
                  <w14:solidFill>
                    <w14:schemeClr w14:val="tx1"/>
                  </w14:solidFill>
                </w14:textFill>
              </w:rPr>
              <w:t>镇</w:t>
            </w:r>
            <w:r>
              <w:rPr>
                <w:bCs/>
                <w:color w:val="000000" w:themeColor="text1"/>
                <w:sz w:val="24"/>
                <w14:textFill>
                  <w14:solidFill>
                    <w14:schemeClr w14:val="tx1"/>
                  </w14:solidFill>
                </w14:textFill>
              </w:rPr>
              <w:t>，根据大气功能区划，本项目所在地为二类功能区，环境空气质量标准执行《环境空气质量标准》（GB3095-2012）及2018年修改单中的二级标准要求。</w:t>
            </w:r>
          </w:p>
          <w:p w14:paraId="00F08374">
            <w:pPr>
              <w:spacing w:line="360" w:lineRule="auto"/>
              <w:ind w:firstLine="480" w:firstLineChars="200"/>
              <w:rPr>
                <w:bCs/>
                <w:color w:val="000000" w:themeColor="text1"/>
                <w:sz w:val="24"/>
                <w14:textFill>
                  <w14:solidFill>
                    <w14:schemeClr w14:val="tx1"/>
                  </w14:solidFill>
                </w14:textFill>
              </w:rPr>
            </w:pPr>
            <w:r>
              <w:rPr>
                <w:rFonts w:hint="eastAsia"/>
                <w:color w:val="auto"/>
                <w:sz w:val="24"/>
                <w:lang w:val="en-US" w:eastAsia="zh-CN"/>
              </w:rPr>
              <w:t>引用</w:t>
            </w:r>
            <w:r>
              <w:rPr>
                <w:rFonts w:hint="eastAsia"/>
                <w:color w:val="auto"/>
                <w:sz w:val="24"/>
              </w:rPr>
              <w:t>《</w:t>
            </w:r>
            <w:r>
              <w:rPr>
                <w:rFonts w:hint="eastAsia"/>
                <w:color w:val="auto"/>
                <w:sz w:val="24"/>
                <w:lang w:val="en-US" w:eastAsia="zh-CN"/>
              </w:rPr>
              <w:t>宝鸡市2023年质量公报</w:t>
            </w:r>
            <w:r>
              <w:rPr>
                <w:rFonts w:hint="eastAsia"/>
                <w:color w:val="auto"/>
                <w:sz w:val="24"/>
              </w:rPr>
              <w:t>》中宝鸡</w:t>
            </w:r>
            <w:r>
              <w:rPr>
                <w:rFonts w:hint="eastAsia"/>
                <w:color w:val="auto"/>
                <w:sz w:val="24"/>
                <w:lang w:val="en-US" w:eastAsia="zh-CN"/>
              </w:rPr>
              <w:t>陈仓区数据</w:t>
            </w:r>
            <w:r>
              <w:rPr>
                <w:bCs/>
                <w:color w:val="000000" w:themeColor="text1"/>
                <w:sz w:val="24"/>
                <w14:textFill>
                  <w14:solidFill>
                    <w14:schemeClr w14:val="tx1"/>
                  </w14:solidFill>
                </w14:textFill>
              </w:rPr>
              <w:t>，项目所在区域空气质量状况统计见表3-</w:t>
            </w:r>
            <w:r>
              <w:rPr>
                <w:rFonts w:hint="eastAsia"/>
                <w:bCs/>
                <w:color w:val="000000" w:themeColor="text1"/>
                <w:sz w:val="24"/>
                <w:lang w:val="en-US" w:eastAsia="zh-CN"/>
                <w14:textFill>
                  <w14:solidFill>
                    <w14:schemeClr w14:val="tx1"/>
                  </w14:solidFill>
                </w14:textFill>
              </w:rPr>
              <w:t>4</w:t>
            </w:r>
            <w:r>
              <w:rPr>
                <w:bCs/>
                <w:color w:val="000000" w:themeColor="text1"/>
                <w:sz w:val="24"/>
                <w14:textFill>
                  <w14:solidFill>
                    <w14:schemeClr w14:val="tx1"/>
                  </w14:solidFill>
                </w14:textFill>
              </w:rPr>
              <w:t>。</w:t>
            </w:r>
          </w:p>
          <w:p w14:paraId="185A68E5">
            <w:pPr>
              <w:keepLines/>
              <w:widowControl/>
              <w:autoSpaceDE w:val="0"/>
              <w:autoSpaceDN w:val="0"/>
              <w:adjustRightInd w:val="0"/>
              <w:snapToGrid w:val="0"/>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表3</w:t>
            </w:r>
            <w:r>
              <w:rPr>
                <w:rFonts w:hint="eastAsia"/>
                <w:b/>
                <w:bCs/>
                <w:color w:val="000000" w:themeColor="text1"/>
                <w:kern w:val="0"/>
                <w:szCs w:val="21"/>
                <w14:textFill>
                  <w14:solidFill>
                    <w14:schemeClr w14:val="tx1"/>
                  </w14:solidFill>
                </w14:textFill>
              </w:rPr>
              <w:t>-</w:t>
            </w:r>
            <w:r>
              <w:rPr>
                <w:rFonts w:hint="eastAsia"/>
                <w:b/>
                <w:bCs/>
                <w:color w:val="000000" w:themeColor="text1"/>
                <w:kern w:val="0"/>
                <w:szCs w:val="21"/>
                <w:lang w:val="en-US" w:eastAsia="zh-CN"/>
                <w14:textFill>
                  <w14:solidFill>
                    <w14:schemeClr w14:val="tx1"/>
                  </w14:solidFill>
                </w14:textFill>
              </w:rPr>
              <w:t>4</w:t>
            </w:r>
            <w:r>
              <w:rPr>
                <w:b/>
                <w:bCs/>
                <w:color w:val="000000" w:themeColor="text1"/>
                <w:kern w:val="0"/>
                <w:szCs w:val="21"/>
                <w14:textFill>
                  <w14:solidFill>
                    <w14:schemeClr w14:val="tx1"/>
                  </w14:solidFill>
                </w14:textFill>
              </w:rPr>
              <w:t xml:space="preserve"> </w:t>
            </w:r>
            <w:r>
              <w:rPr>
                <w:rFonts w:hint="eastAsia"/>
                <w:b/>
                <w:bCs/>
                <w:color w:val="000000" w:themeColor="text1"/>
                <w:kern w:val="0"/>
                <w:szCs w:val="21"/>
                <w:lang w:val="en-US" w:eastAsia="zh-CN"/>
                <w14:textFill>
                  <w14:solidFill>
                    <w14:schemeClr w14:val="tx1"/>
                  </w14:solidFill>
                </w14:textFill>
              </w:rPr>
              <w:t xml:space="preserve"> </w:t>
            </w:r>
            <w:r>
              <w:rPr>
                <w:b/>
                <w:bCs/>
                <w:color w:val="000000" w:themeColor="text1"/>
                <w:kern w:val="0"/>
                <w:szCs w:val="21"/>
                <w14:textFill>
                  <w14:solidFill>
                    <w14:schemeClr w14:val="tx1"/>
                  </w14:solidFill>
                </w14:textFill>
              </w:rPr>
              <w:t>环境空气质量主要污染物项目浓度达标分析</w:t>
            </w:r>
          </w:p>
          <w:tbl>
            <w:tblPr>
              <w:tblStyle w:val="31"/>
              <w:tblW w:w="803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84"/>
              <w:gridCol w:w="2278"/>
              <w:gridCol w:w="1200"/>
              <w:gridCol w:w="1130"/>
              <w:gridCol w:w="1131"/>
              <w:gridCol w:w="1414"/>
            </w:tblGrid>
            <w:tr w14:paraId="4E3E70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884" w:type="dxa"/>
                  <w:vAlign w:val="center"/>
                </w:tcPr>
                <w:p w14:paraId="5F76DE20">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w:t>
                  </w:r>
                </w:p>
              </w:tc>
              <w:tc>
                <w:tcPr>
                  <w:tcW w:w="2278" w:type="dxa"/>
                  <w:vAlign w:val="center"/>
                </w:tcPr>
                <w:p w14:paraId="6E344FA8">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年评价指标</w:t>
                  </w:r>
                </w:p>
              </w:tc>
              <w:tc>
                <w:tcPr>
                  <w:tcW w:w="1200" w:type="dxa"/>
                  <w:vAlign w:val="center"/>
                </w:tcPr>
                <w:p w14:paraId="67E0DEA8">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现状浓度μg/m</w:t>
                  </w:r>
                  <w:r>
                    <w:rPr>
                      <w:b/>
                      <w:bCs/>
                      <w:color w:val="000000" w:themeColor="text1"/>
                      <w:szCs w:val="21"/>
                      <w:vertAlign w:val="superscript"/>
                      <w14:textFill>
                        <w14:solidFill>
                          <w14:schemeClr w14:val="tx1"/>
                        </w14:solidFill>
                      </w14:textFill>
                    </w:rPr>
                    <w:t>3</w:t>
                  </w:r>
                </w:p>
              </w:tc>
              <w:tc>
                <w:tcPr>
                  <w:tcW w:w="1130" w:type="dxa"/>
                  <w:vAlign w:val="center"/>
                </w:tcPr>
                <w:p w14:paraId="38CAD256">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标准值μg/m</w:t>
                  </w:r>
                  <w:r>
                    <w:rPr>
                      <w:b/>
                      <w:bCs/>
                      <w:color w:val="000000" w:themeColor="text1"/>
                      <w:szCs w:val="21"/>
                      <w:vertAlign w:val="superscript"/>
                      <w14:textFill>
                        <w14:solidFill>
                          <w14:schemeClr w14:val="tx1"/>
                        </w14:solidFill>
                      </w14:textFill>
                    </w:rPr>
                    <w:t>3</w:t>
                  </w:r>
                </w:p>
              </w:tc>
              <w:tc>
                <w:tcPr>
                  <w:tcW w:w="1131" w:type="dxa"/>
                  <w:vAlign w:val="center"/>
                </w:tcPr>
                <w:p w14:paraId="57F3F805">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占标率</w:t>
                  </w:r>
                </w:p>
                <w:p w14:paraId="457EBC4C">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p>
              </w:tc>
              <w:tc>
                <w:tcPr>
                  <w:tcW w:w="1414" w:type="dxa"/>
                  <w:vAlign w:val="center"/>
                </w:tcPr>
                <w:p w14:paraId="6EDDCE40">
                  <w:pPr>
                    <w:keepLines/>
                    <w:widowControl/>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达标情况</w:t>
                  </w:r>
                </w:p>
              </w:tc>
            </w:tr>
            <w:tr w14:paraId="68A17F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884" w:type="dxa"/>
                  <w:vAlign w:val="center"/>
                </w:tcPr>
                <w:p w14:paraId="4C756767">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2.5</w:t>
                  </w:r>
                </w:p>
              </w:tc>
              <w:tc>
                <w:tcPr>
                  <w:tcW w:w="2278" w:type="dxa"/>
                  <w:vAlign w:val="center"/>
                </w:tcPr>
                <w:p w14:paraId="4F0CA9FE">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200" w:type="dxa"/>
                  <w:vAlign w:val="center"/>
                </w:tcPr>
                <w:p w14:paraId="33E24B5E">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1130" w:type="dxa"/>
                  <w:vAlign w:val="center"/>
                </w:tcPr>
                <w:p w14:paraId="0B7223AD">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35</w:t>
                  </w:r>
                </w:p>
              </w:tc>
              <w:tc>
                <w:tcPr>
                  <w:tcW w:w="1131" w:type="dxa"/>
                  <w:vAlign w:val="center"/>
                </w:tcPr>
                <w:p w14:paraId="34CF651C">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77.1</w:t>
                  </w:r>
                </w:p>
              </w:tc>
              <w:tc>
                <w:tcPr>
                  <w:tcW w:w="1414" w:type="dxa"/>
                  <w:vAlign w:val="center"/>
                </w:tcPr>
                <w:p w14:paraId="1366C508">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147A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884" w:type="dxa"/>
                  <w:vAlign w:val="center"/>
                </w:tcPr>
                <w:p w14:paraId="16B56D88">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PM</w:t>
                  </w:r>
                  <w:r>
                    <w:rPr>
                      <w:color w:val="000000" w:themeColor="text1"/>
                      <w:szCs w:val="21"/>
                      <w:vertAlign w:val="subscript"/>
                      <w14:textFill>
                        <w14:solidFill>
                          <w14:schemeClr w14:val="tx1"/>
                        </w14:solidFill>
                      </w14:textFill>
                    </w:rPr>
                    <w:t>10</w:t>
                  </w:r>
                </w:p>
              </w:tc>
              <w:tc>
                <w:tcPr>
                  <w:tcW w:w="2278" w:type="dxa"/>
                  <w:vAlign w:val="center"/>
                </w:tcPr>
                <w:p w14:paraId="4937CA5B">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200" w:type="dxa"/>
                  <w:vAlign w:val="center"/>
                </w:tcPr>
                <w:p w14:paraId="7C5AD7A0">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82</w:t>
                  </w:r>
                </w:p>
              </w:tc>
              <w:tc>
                <w:tcPr>
                  <w:tcW w:w="1130" w:type="dxa"/>
                  <w:vAlign w:val="center"/>
                </w:tcPr>
                <w:p w14:paraId="440F1BC5">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70</w:t>
                  </w:r>
                </w:p>
              </w:tc>
              <w:tc>
                <w:tcPr>
                  <w:tcW w:w="1131" w:type="dxa"/>
                  <w:vAlign w:val="center"/>
                </w:tcPr>
                <w:p w14:paraId="12A93E25">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100.0</w:t>
                  </w:r>
                </w:p>
              </w:tc>
              <w:tc>
                <w:tcPr>
                  <w:tcW w:w="1414" w:type="dxa"/>
                  <w:vAlign w:val="center"/>
                </w:tcPr>
                <w:p w14:paraId="01C1C24C">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79D3A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884" w:type="dxa"/>
                  <w:vAlign w:val="center"/>
                </w:tcPr>
                <w:p w14:paraId="340E2E37">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2</w:t>
                  </w:r>
                </w:p>
              </w:tc>
              <w:tc>
                <w:tcPr>
                  <w:tcW w:w="2278" w:type="dxa"/>
                  <w:vAlign w:val="center"/>
                </w:tcPr>
                <w:p w14:paraId="1F0FCC18">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200" w:type="dxa"/>
                  <w:vAlign w:val="center"/>
                </w:tcPr>
                <w:p w14:paraId="3C156C6E">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p>
              </w:tc>
              <w:tc>
                <w:tcPr>
                  <w:tcW w:w="1130" w:type="dxa"/>
                  <w:vAlign w:val="center"/>
                </w:tcPr>
                <w:p w14:paraId="1CED8088">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60</w:t>
                  </w:r>
                </w:p>
              </w:tc>
              <w:tc>
                <w:tcPr>
                  <w:tcW w:w="1131" w:type="dxa"/>
                  <w:vAlign w:val="center"/>
                </w:tcPr>
                <w:p w14:paraId="5E68A4FD">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13.3</w:t>
                  </w:r>
                </w:p>
              </w:tc>
              <w:tc>
                <w:tcPr>
                  <w:tcW w:w="1414" w:type="dxa"/>
                  <w:vAlign w:val="center"/>
                </w:tcPr>
                <w:p w14:paraId="6F8E77F7">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8327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3" w:hRule="atLeast"/>
                <w:jc w:val="center"/>
              </w:trPr>
              <w:tc>
                <w:tcPr>
                  <w:tcW w:w="884" w:type="dxa"/>
                  <w:vAlign w:val="center"/>
                </w:tcPr>
                <w:p w14:paraId="75E60F9B">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NO</w:t>
                  </w:r>
                  <w:r>
                    <w:rPr>
                      <w:color w:val="000000" w:themeColor="text1"/>
                      <w:szCs w:val="21"/>
                      <w:vertAlign w:val="subscript"/>
                      <w14:textFill>
                        <w14:solidFill>
                          <w14:schemeClr w14:val="tx1"/>
                        </w14:solidFill>
                      </w14:textFill>
                    </w:rPr>
                    <w:t>2</w:t>
                  </w:r>
                </w:p>
              </w:tc>
              <w:tc>
                <w:tcPr>
                  <w:tcW w:w="2278" w:type="dxa"/>
                  <w:vAlign w:val="center"/>
                </w:tcPr>
                <w:p w14:paraId="15F1A98B">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年平均质量浓度</w:t>
                  </w:r>
                </w:p>
              </w:tc>
              <w:tc>
                <w:tcPr>
                  <w:tcW w:w="1200" w:type="dxa"/>
                  <w:vAlign w:val="center"/>
                </w:tcPr>
                <w:p w14:paraId="7301F343">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34</w:t>
                  </w:r>
                </w:p>
              </w:tc>
              <w:tc>
                <w:tcPr>
                  <w:tcW w:w="1130" w:type="dxa"/>
                  <w:vAlign w:val="center"/>
                </w:tcPr>
                <w:p w14:paraId="2CDE5344">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c>
                <w:tcPr>
                  <w:tcW w:w="1131" w:type="dxa"/>
                  <w:vAlign w:val="center"/>
                </w:tcPr>
                <w:p w14:paraId="682D3057">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75.0</w:t>
                  </w:r>
                </w:p>
              </w:tc>
              <w:tc>
                <w:tcPr>
                  <w:tcW w:w="1414" w:type="dxa"/>
                  <w:vAlign w:val="center"/>
                </w:tcPr>
                <w:p w14:paraId="28A4753D">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4F550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3" w:hRule="atLeast"/>
                <w:jc w:val="center"/>
              </w:trPr>
              <w:tc>
                <w:tcPr>
                  <w:tcW w:w="884" w:type="dxa"/>
                  <w:vAlign w:val="center"/>
                </w:tcPr>
                <w:p w14:paraId="528FC812">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w:t>
                  </w:r>
                </w:p>
              </w:tc>
              <w:tc>
                <w:tcPr>
                  <w:tcW w:w="2278" w:type="dxa"/>
                  <w:vAlign w:val="center"/>
                </w:tcPr>
                <w:p w14:paraId="70FB3846">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24小时平均浓度</w:t>
                  </w:r>
                  <w:r>
                    <w:rPr>
                      <w:rFonts w:hint="eastAsia"/>
                      <w:color w:val="000000" w:themeColor="text1"/>
                      <w:szCs w:val="21"/>
                      <w14:textFill>
                        <w14:solidFill>
                          <w14:schemeClr w14:val="tx1"/>
                        </w14:solidFill>
                      </w14:textFill>
                    </w:rPr>
                    <w:t>第95百分位数</w:t>
                  </w:r>
                </w:p>
              </w:tc>
              <w:tc>
                <w:tcPr>
                  <w:tcW w:w="1200" w:type="dxa"/>
                  <w:vAlign w:val="center"/>
                </w:tcPr>
                <w:p w14:paraId="70AAB82F">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1600</w:t>
                  </w:r>
                </w:p>
              </w:tc>
              <w:tc>
                <w:tcPr>
                  <w:tcW w:w="1130" w:type="dxa"/>
                  <w:vAlign w:val="center"/>
                </w:tcPr>
                <w:p w14:paraId="6068CC7F">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4000</w:t>
                  </w:r>
                </w:p>
              </w:tc>
              <w:tc>
                <w:tcPr>
                  <w:tcW w:w="1131" w:type="dxa"/>
                  <w:vAlign w:val="center"/>
                </w:tcPr>
                <w:p w14:paraId="2F7A13DB">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25.0</w:t>
                  </w:r>
                </w:p>
              </w:tc>
              <w:tc>
                <w:tcPr>
                  <w:tcW w:w="1414" w:type="dxa"/>
                  <w:vAlign w:val="center"/>
                </w:tcPr>
                <w:p w14:paraId="79588BBA">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3C86A2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66" w:hRule="atLeast"/>
                <w:jc w:val="center"/>
              </w:trPr>
              <w:tc>
                <w:tcPr>
                  <w:tcW w:w="884" w:type="dxa"/>
                  <w:vAlign w:val="center"/>
                </w:tcPr>
                <w:p w14:paraId="6213FCC4">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3</w:t>
                  </w:r>
                </w:p>
              </w:tc>
              <w:tc>
                <w:tcPr>
                  <w:tcW w:w="2278" w:type="dxa"/>
                  <w:vAlign w:val="center"/>
                </w:tcPr>
                <w:p w14:paraId="33D4C56B">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最大</w:t>
                  </w:r>
                  <w:r>
                    <w:rPr>
                      <w:color w:val="000000" w:themeColor="text1"/>
                      <w:szCs w:val="21"/>
                      <w14:textFill>
                        <w14:solidFill>
                          <w14:schemeClr w14:val="tx1"/>
                        </w14:solidFill>
                      </w14:textFill>
                    </w:rPr>
                    <w:t>8小时平均浓度</w:t>
                  </w:r>
                  <w:r>
                    <w:rPr>
                      <w:rFonts w:hint="eastAsia"/>
                      <w:color w:val="000000" w:themeColor="text1"/>
                      <w:szCs w:val="21"/>
                      <w14:textFill>
                        <w14:solidFill>
                          <w14:schemeClr w14:val="tx1"/>
                        </w14:solidFill>
                      </w14:textFill>
                    </w:rPr>
                    <w:t>第90百分位数</w:t>
                  </w:r>
                </w:p>
              </w:tc>
              <w:tc>
                <w:tcPr>
                  <w:tcW w:w="1200" w:type="dxa"/>
                  <w:vAlign w:val="center"/>
                </w:tcPr>
                <w:p w14:paraId="04A66806">
                  <w:pPr>
                    <w:keepLines/>
                    <w:widowControl/>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160</w:t>
                  </w:r>
                </w:p>
              </w:tc>
              <w:tc>
                <w:tcPr>
                  <w:tcW w:w="1130" w:type="dxa"/>
                  <w:vAlign w:val="center"/>
                </w:tcPr>
                <w:p w14:paraId="7EF172F6">
                  <w:pPr>
                    <w:keepLines/>
                    <w:widowControl/>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160</w:t>
                  </w:r>
                </w:p>
              </w:tc>
              <w:tc>
                <w:tcPr>
                  <w:tcW w:w="1131" w:type="dxa"/>
                  <w:vAlign w:val="center"/>
                </w:tcPr>
                <w:p w14:paraId="0FD43DD5">
                  <w:pPr>
                    <w:keepLines/>
                    <w:widowControl/>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1414" w:type="dxa"/>
                  <w:vAlign w:val="center"/>
                </w:tcPr>
                <w:p w14:paraId="5C54CE99">
                  <w:pPr>
                    <w:keepLines/>
                    <w:widowControl/>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bl>
          <w:p w14:paraId="141860FC">
            <w:pPr>
              <w:pStyle w:val="92"/>
              <w:keepNext w:val="0"/>
              <w:keepLines w:val="0"/>
              <w:pageBreakBefore w:val="0"/>
              <w:widowControl/>
              <w:kinsoku/>
              <w:wordWrap/>
              <w:overflowPunct/>
              <w:topLinePunct w:val="0"/>
              <w:autoSpaceDE/>
              <w:autoSpaceDN/>
              <w:bidi w:val="0"/>
              <w:adjustRightInd/>
              <w:snapToGrid/>
              <w:spacing w:before="157" w:beforeLines="50"/>
              <w:ind w:firstLine="480"/>
              <w:textAlignment w:val="auto"/>
              <w:rPr>
                <w:color w:val="000000" w:themeColor="text1"/>
                <w:kern w:val="2"/>
                <w14:textFill>
                  <w14:solidFill>
                    <w14:schemeClr w14:val="tx1"/>
                  </w14:solidFill>
                </w14:textFill>
              </w:rPr>
            </w:pPr>
            <w:r>
              <w:rPr>
                <w:color w:val="000000" w:themeColor="text1"/>
                <w:kern w:val="2"/>
                <w14:textFill>
                  <w14:solidFill>
                    <w14:schemeClr w14:val="tx1"/>
                  </w14:solidFill>
                </w14:textFill>
              </w:rPr>
              <w:t>由上述统计结果可以看出，项目所在区域PM</w:t>
            </w:r>
            <w:r>
              <w:rPr>
                <w:color w:val="000000" w:themeColor="text1"/>
                <w:kern w:val="2"/>
                <w:vertAlign w:val="subscript"/>
                <w14:textFill>
                  <w14:solidFill>
                    <w14:schemeClr w14:val="tx1"/>
                  </w14:solidFill>
                </w14:textFill>
              </w:rPr>
              <w:t>10</w:t>
            </w:r>
            <w:r>
              <w:rPr>
                <w:color w:val="000000" w:themeColor="text1"/>
                <w:kern w:val="2"/>
                <w14:textFill>
                  <w14:solidFill>
                    <w14:schemeClr w14:val="tx1"/>
                  </w14:solidFill>
                </w14:textFill>
              </w:rPr>
              <w:t>年平均质量浓度</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SO</w:t>
            </w:r>
            <w:r>
              <w:rPr>
                <w:color w:val="000000" w:themeColor="text1"/>
                <w:kern w:val="2"/>
                <w:vertAlign w:val="subscript"/>
                <w14:textFill>
                  <w14:solidFill>
                    <w14:schemeClr w14:val="tx1"/>
                  </w14:solidFill>
                </w14:textFill>
              </w:rPr>
              <w:t>2</w:t>
            </w:r>
            <w:r>
              <w:rPr>
                <w:color w:val="000000" w:themeColor="text1"/>
                <w:kern w:val="2"/>
                <w14:textFill>
                  <w14:solidFill>
                    <w14:schemeClr w14:val="tx1"/>
                  </w14:solidFill>
                </w14:textFill>
              </w:rPr>
              <w:t>年平均质量浓度</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NO</w:t>
            </w:r>
            <w:r>
              <w:rPr>
                <w:color w:val="000000" w:themeColor="text1"/>
                <w:kern w:val="2"/>
                <w:vertAlign w:val="subscript"/>
                <w14:textFill>
                  <w14:solidFill>
                    <w14:schemeClr w14:val="tx1"/>
                  </w14:solidFill>
                </w14:textFill>
              </w:rPr>
              <w:t>2</w:t>
            </w:r>
            <w:r>
              <w:rPr>
                <w:color w:val="000000" w:themeColor="text1"/>
                <w:kern w:val="2"/>
                <w14:textFill>
                  <w14:solidFill>
                    <w14:schemeClr w14:val="tx1"/>
                  </w14:solidFill>
                </w14:textFill>
              </w:rPr>
              <w:t>年平均质量浓度</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CO</w:t>
            </w:r>
            <w:r>
              <w:rPr>
                <w:rFonts w:hint="eastAsia"/>
                <w:color w:val="000000" w:themeColor="text1"/>
                <w:kern w:val="2"/>
                <w14:textFill>
                  <w14:solidFill>
                    <w14:schemeClr w14:val="tx1"/>
                  </w14:solidFill>
                </w14:textFill>
              </w:rPr>
              <w:t>24小时平均浓度</w:t>
            </w:r>
            <w:r>
              <w:rPr>
                <w:color w:val="000000" w:themeColor="text1"/>
                <w:kern w:val="2"/>
                <w14:textFill>
                  <w14:solidFill>
                    <w14:schemeClr w14:val="tx1"/>
                  </w14:solidFill>
                </w14:textFill>
              </w:rPr>
              <w:t>第95百分位</w:t>
            </w:r>
            <w:r>
              <w:rPr>
                <w:rFonts w:hint="eastAsia"/>
                <w:color w:val="000000" w:themeColor="text1"/>
                <w:kern w:val="2"/>
                <w14:textFill>
                  <w14:solidFill>
                    <w14:schemeClr w14:val="tx1"/>
                  </w14:solidFill>
                </w14:textFill>
              </w:rPr>
              <w:t>数和</w:t>
            </w:r>
            <w:r>
              <w:rPr>
                <w:color w:val="000000" w:themeColor="text1"/>
                <w:kern w:val="2"/>
                <w14:textFill>
                  <w14:solidFill>
                    <w14:schemeClr w14:val="tx1"/>
                  </w14:solidFill>
                </w14:textFill>
              </w:rPr>
              <w:t>O</w:t>
            </w:r>
            <w:r>
              <w:rPr>
                <w:color w:val="000000" w:themeColor="text1"/>
                <w:kern w:val="2"/>
                <w:vertAlign w:val="subscript"/>
                <w14:textFill>
                  <w14:solidFill>
                    <w14:schemeClr w14:val="tx1"/>
                  </w14:solidFill>
                </w14:textFill>
              </w:rPr>
              <w:t>3</w:t>
            </w:r>
            <w:r>
              <w:rPr>
                <w:rFonts w:hint="eastAsia"/>
                <w:color w:val="000000" w:themeColor="text1"/>
                <w:kern w:val="2"/>
                <w14:textFill>
                  <w14:solidFill>
                    <w14:schemeClr w14:val="tx1"/>
                  </w14:solidFill>
                </w14:textFill>
              </w:rPr>
              <w:t>最大8小时平均浓度第90百分位数</w:t>
            </w:r>
            <w:r>
              <w:rPr>
                <w:color w:val="000000" w:themeColor="text1"/>
                <w:kern w:val="2"/>
                <w14:textFill>
                  <w14:solidFill>
                    <w14:schemeClr w14:val="tx1"/>
                  </w14:solidFill>
                </w14:textFill>
              </w:rPr>
              <w:t>平均</w:t>
            </w:r>
            <w:r>
              <w:rPr>
                <w:rFonts w:hint="eastAsia"/>
                <w:color w:val="000000" w:themeColor="text1"/>
                <w:kern w:val="2"/>
                <w14:textFill>
                  <w14:solidFill>
                    <w14:schemeClr w14:val="tx1"/>
                  </w14:solidFill>
                </w14:textFill>
              </w:rPr>
              <w:t>浓度均满足</w:t>
            </w:r>
            <w:r>
              <w:rPr>
                <w:color w:val="000000" w:themeColor="text1"/>
                <w:kern w:val="2"/>
                <w14:textFill>
                  <w14:solidFill>
                    <w14:schemeClr w14:val="tx1"/>
                  </w14:solidFill>
                </w14:textFill>
              </w:rPr>
              <w:t>《环境空气质量标准》（GB3095-2012）中二类标准限值</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PM</w:t>
            </w:r>
            <w:r>
              <w:rPr>
                <w:color w:val="000000" w:themeColor="text1"/>
                <w:kern w:val="2"/>
                <w:vertAlign w:val="subscript"/>
                <w14:textFill>
                  <w14:solidFill>
                    <w14:schemeClr w14:val="tx1"/>
                  </w14:solidFill>
                </w14:textFill>
              </w:rPr>
              <w:t>2.5</w:t>
            </w:r>
            <w:r>
              <w:rPr>
                <w:color w:val="000000" w:themeColor="text1"/>
                <w:kern w:val="2"/>
                <w14:textFill>
                  <w14:solidFill>
                    <w14:schemeClr w14:val="tx1"/>
                  </w14:solidFill>
                </w14:textFill>
              </w:rPr>
              <w:t>年平均质量浓度</w:t>
            </w:r>
            <w:r>
              <w:rPr>
                <w:rFonts w:hint="eastAsia"/>
                <w:color w:val="000000" w:themeColor="text1"/>
                <w:kern w:val="2"/>
                <w:lang w:val="en-US" w:eastAsia="zh-CN"/>
                <w14:textFill>
                  <w14:solidFill>
                    <w14:schemeClr w14:val="tx1"/>
                  </w14:solidFill>
                </w14:textFill>
              </w:rPr>
              <w:t>不</w:t>
            </w:r>
            <w:r>
              <w:rPr>
                <w:rFonts w:hint="eastAsia"/>
                <w:color w:val="000000" w:themeColor="text1"/>
                <w:kern w:val="2"/>
                <w14:textFill>
                  <w14:solidFill>
                    <w14:schemeClr w14:val="tx1"/>
                  </w14:solidFill>
                </w14:textFill>
              </w:rPr>
              <w:t>满足</w:t>
            </w:r>
            <w:r>
              <w:rPr>
                <w:color w:val="000000" w:themeColor="text1"/>
                <w:kern w:val="2"/>
                <w14:textFill>
                  <w14:solidFill>
                    <w14:schemeClr w14:val="tx1"/>
                  </w14:solidFill>
                </w14:textFill>
              </w:rPr>
              <w:t>《环境空气质量标准》（GB3095-2012）中二类标准限</w:t>
            </w:r>
            <w:r>
              <w:rPr>
                <w:rFonts w:hint="eastAsia"/>
                <w:color w:val="000000" w:themeColor="text1"/>
                <w:kern w:val="2"/>
                <w14:textFill>
                  <w14:solidFill>
                    <w14:schemeClr w14:val="tx1"/>
                  </w14:solidFill>
                </w14:textFill>
              </w:rPr>
              <w:t>、</w:t>
            </w:r>
            <w:r>
              <w:rPr>
                <w:color w:val="000000" w:themeColor="text1"/>
                <w14:textFill>
                  <w14:solidFill>
                    <w14:schemeClr w14:val="tx1"/>
                  </w14:solidFill>
                </w14:textFill>
              </w:rPr>
              <w:t>因此项目所在区域</w:t>
            </w:r>
            <w:r>
              <w:rPr>
                <w:rFonts w:hint="eastAsia"/>
                <w:color w:val="000000" w:themeColor="text1"/>
                <w14:textFill>
                  <w14:solidFill>
                    <w14:schemeClr w14:val="tx1"/>
                  </w14:solidFill>
                </w14:textFill>
              </w:rPr>
              <w:t>大气环境质量</w:t>
            </w:r>
            <w:r>
              <w:rPr>
                <w:color w:val="000000" w:themeColor="text1"/>
                <w14:textFill>
                  <w14:solidFill>
                    <w14:schemeClr w14:val="tx1"/>
                  </w14:solidFill>
                </w14:textFill>
              </w:rPr>
              <w:t>属于</w:t>
            </w:r>
            <w:r>
              <w:rPr>
                <w:rFonts w:hint="eastAsia"/>
                <w:color w:val="000000" w:themeColor="text1"/>
                <w:lang w:val="en-US" w:eastAsia="zh-CN"/>
                <w14:textFill>
                  <w14:solidFill>
                    <w14:schemeClr w14:val="tx1"/>
                  </w14:solidFill>
                </w14:textFill>
              </w:rPr>
              <w:t>不</w:t>
            </w:r>
            <w:r>
              <w:rPr>
                <w:color w:val="000000" w:themeColor="text1"/>
                <w14:textFill>
                  <w14:solidFill>
                    <w14:schemeClr w14:val="tx1"/>
                  </w14:solidFill>
                </w14:textFill>
              </w:rPr>
              <w:t>达标区</w:t>
            </w:r>
            <w:r>
              <w:rPr>
                <w:color w:val="000000" w:themeColor="text1"/>
                <w:kern w:val="2"/>
                <w14:textFill>
                  <w14:solidFill>
                    <w14:schemeClr w14:val="tx1"/>
                  </w14:solidFill>
                </w14:textFill>
              </w:rPr>
              <w:t>。</w:t>
            </w:r>
          </w:p>
          <w:p w14:paraId="064D6D21">
            <w:pPr>
              <w:spacing w:line="360" w:lineRule="auto"/>
              <w:ind w:firstLine="482" w:firstLineChars="200"/>
              <w:rPr>
                <w:b/>
                <w:snapToGrid w:val="0"/>
                <w:color w:val="000000" w:themeColor="text1"/>
                <w:kern w:val="0"/>
                <w:sz w:val="24"/>
                <w14:textFill>
                  <w14:solidFill>
                    <w14:schemeClr w14:val="tx1"/>
                  </w14:solidFill>
                </w14:textFill>
              </w:rPr>
            </w:pPr>
            <w:r>
              <w:rPr>
                <w:rFonts w:hint="eastAsia"/>
                <w:b/>
                <w:snapToGrid w:val="0"/>
                <w:color w:val="000000" w:themeColor="text1"/>
                <w:kern w:val="0"/>
                <w:sz w:val="24"/>
                <w14:textFill>
                  <w14:solidFill>
                    <w14:schemeClr w14:val="tx1"/>
                  </w14:solidFill>
                </w14:textFill>
              </w:rPr>
              <w:t>3</w:t>
            </w:r>
            <w:r>
              <w:rPr>
                <w:b/>
                <w:snapToGrid w:val="0"/>
                <w:color w:val="000000" w:themeColor="text1"/>
                <w:kern w:val="0"/>
                <w:sz w:val="24"/>
                <w:lang w:val="en-GB"/>
                <w14:textFill>
                  <w14:solidFill>
                    <w14:schemeClr w14:val="tx1"/>
                  </w14:solidFill>
                </w14:textFill>
              </w:rPr>
              <w:t>、</w:t>
            </w:r>
            <w:r>
              <w:rPr>
                <w:rFonts w:hint="eastAsia"/>
                <w:b/>
                <w:snapToGrid w:val="0"/>
                <w:color w:val="000000" w:themeColor="text1"/>
                <w:kern w:val="0"/>
                <w:sz w:val="24"/>
                <w14:textFill>
                  <w14:solidFill>
                    <w14:schemeClr w14:val="tx1"/>
                  </w14:solidFill>
                </w14:textFill>
              </w:rPr>
              <w:t>声环境质量现状</w:t>
            </w:r>
          </w:p>
          <w:p w14:paraId="63604CB3">
            <w:pPr>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为了解项目区声环境质量现状，</w:t>
            </w: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委托</w:t>
            </w:r>
            <w:r>
              <w:rPr>
                <w:rFonts w:hint="eastAsia"/>
                <w:color w:val="000000" w:themeColor="text1"/>
                <w:sz w:val="24"/>
                <w14:textFill>
                  <w14:solidFill>
                    <w14:schemeClr w14:val="tx1"/>
                  </w14:solidFill>
                </w14:textFill>
              </w:rPr>
              <w:t>西安志诚辐射环境检测有限公</w:t>
            </w:r>
            <w:r>
              <w:rPr>
                <w:rFonts w:hint="default" w:ascii="Times New Roman" w:hAnsi="Times New Roman" w:cs="Times New Roman"/>
                <w:color w:val="000000" w:themeColor="text1"/>
                <w:sz w:val="24"/>
                <w14:textFill>
                  <w14:solidFill>
                    <w14:schemeClr w14:val="tx1"/>
                  </w14:solidFill>
                </w14:textFill>
              </w:rPr>
              <w:t>司对风</w:t>
            </w:r>
            <w:r>
              <w:rPr>
                <w:rFonts w:hint="default" w:ascii="Times New Roman" w:hAnsi="Times New Roman" w:cs="Times New Roman"/>
                <w:color w:val="auto"/>
                <w:sz w:val="24"/>
              </w:rPr>
              <w:t>机所在地500m范围内敏感点的声环境质量现状进行了监测。监测点位见附图五。</w:t>
            </w:r>
          </w:p>
          <w:p w14:paraId="308F0A89">
            <w:pPr>
              <w:spacing w:line="360" w:lineRule="auto"/>
              <w:ind w:firstLine="480" w:firstLineChars="200"/>
              <w:rPr>
                <w:rFonts w:hint="default" w:ascii="Times New Roman" w:hAnsi="Times New Roman" w:cs="Times New Roman"/>
                <w:bCs/>
                <w:snapToGrid w:val="0"/>
                <w:color w:val="000000" w:themeColor="text1"/>
                <w:kern w:val="0"/>
                <w:sz w:val="24"/>
                <w14:textFill>
                  <w14:solidFill>
                    <w14:schemeClr w14:val="tx1"/>
                  </w14:solidFill>
                </w14:textFill>
              </w:rPr>
            </w:pPr>
            <w:r>
              <w:rPr>
                <w:rFonts w:hint="default" w:ascii="Times New Roman" w:hAnsi="Times New Roman" w:cs="Times New Roman"/>
                <w:bCs/>
                <w:snapToGrid w:val="0"/>
                <w:color w:val="000000" w:themeColor="text1"/>
                <w:kern w:val="0"/>
                <w:sz w:val="24"/>
                <w14:textFill>
                  <w14:solidFill>
                    <w14:schemeClr w14:val="tx1"/>
                  </w14:solidFill>
                </w14:textFill>
              </w:rPr>
              <w:t>①</w:t>
            </w:r>
            <w:r>
              <w:rPr>
                <w:rFonts w:hint="default" w:ascii="Times New Roman" w:hAnsi="Times New Roman" w:cs="Times New Roman"/>
                <w:bCs/>
                <w:snapToGrid w:val="0"/>
                <w:color w:val="000000" w:themeColor="text1"/>
                <w:kern w:val="0"/>
                <w:sz w:val="24"/>
                <w:lang w:val="en-GB"/>
                <w14:textFill>
                  <w14:solidFill>
                    <w14:schemeClr w14:val="tx1"/>
                  </w14:solidFill>
                </w14:textFill>
              </w:rPr>
              <w:t>监测</w:t>
            </w:r>
            <w:r>
              <w:rPr>
                <w:rFonts w:hint="default" w:ascii="Times New Roman" w:hAnsi="Times New Roman" w:cs="Times New Roman"/>
                <w:bCs/>
                <w:snapToGrid w:val="0"/>
                <w:color w:val="auto"/>
                <w:kern w:val="0"/>
                <w:sz w:val="24"/>
                <w:lang w:val="en-GB"/>
              </w:rPr>
              <w:t>时间</w:t>
            </w:r>
            <w:r>
              <w:rPr>
                <w:rFonts w:hint="default" w:ascii="Times New Roman" w:hAnsi="Times New Roman" w:cs="Times New Roman"/>
                <w:bCs/>
                <w:snapToGrid w:val="0"/>
                <w:color w:val="auto"/>
                <w:kern w:val="0"/>
                <w:sz w:val="24"/>
                <w:lang w:val="en-GB" w:eastAsia="zh-CN"/>
              </w:rPr>
              <w:t>：</w:t>
            </w:r>
            <w:r>
              <w:rPr>
                <w:rFonts w:hint="default" w:ascii="Times New Roman" w:hAnsi="Times New Roman" w:cs="Times New Roman"/>
                <w:bCs/>
                <w:snapToGrid w:val="0"/>
                <w:color w:val="auto"/>
                <w:kern w:val="0"/>
                <w:sz w:val="24"/>
              </w:rPr>
              <w:t>2024年</w:t>
            </w:r>
            <w:r>
              <w:rPr>
                <w:rFonts w:hint="default" w:ascii="Times New Roman" w:hAnsi="Times New Roman" w:cs="Times New Roman"/>
                <w:bCs/>
                <w:snapToGrid w:val="0"/>
                <w:color w:val="auto"/>
                <w:kern w:val="0"/>
                <w:sz w:val="24"/>
                <w:lang w:val="en-US" w:eastAsia="zh-CN"/>
              </w:rPr>
              <w:t>12</w:t>
            </w:r>
            <w:r>
              <w:rPr>
                <w:rFonts w:hint="default" w:ascii="Times New Roman" w:hAnsi="Times New Roman" w:cs="Times New Roman"/>
                <w:bCs/>
                <w:snapToGrid w:val="0"/>
                <w:color w:val="auto"/>
                <w:kern w:val="0"/>
                <w:sz w:val="24"/>
              </w:rPr>
              <w:t>月</w:t>
            </w:r>
            <w:r>
              <w:rPr>
                <w:rFonts w:hint="eastAsia" w:ascii="Times New Roman" w:hAnsi="Times New Roman" w:cs="Times New Roman"/>
                <w:bCs/>
                <w:snapToGrid w:val="0"/>
                <w:color w:val="auto"/>
                <w:kern w:val="0"/>
                <w:sz w:val="24"/>
                <w:lang w:val="en-US" w:eastAsia="zh-CN"/>
              </w:rPr>
              <w:t>5</w:t>
            </w:r>
            <w:r>
              <w:rPr>
                <w:rFonts w:hint="default" w:ascii="Times New Roman" w:hAnsi="Times New Roman" w:cs="Times New Roman"/>
                <w:bCs/>
                <w:snapToGrid w:val="0"/>
                <w:color w:val="auto"/>
                <w:kern w:val="0"/>
                <w:sz w:val="24"/>
              </w:rPr>
              <w:t>日。</w:t>
            </w:r>
          </w:p>
          <w:p w14:paraId="18C91277">
            <w:pPr>
              <w:spacing w:line="360" w:lineRule="auto"/>
              <w:ind w:firstLine="480" w:firstLineChars="200"/>
              <w:rPr>
                <w:rFonts w:hint="default" w:ascii="Times New Roman" w:hAnsi="Times New Roman" w:cs="Times New Roman"/>
                <w:bCs/>
                <w:snapToGrid w:val="0"/>
                <w:color w:val="000000" w:themeColor="text1"/>
                <w:kern w:val="0"/>
                <w:sz w:val="24"/>
                <w14:textFill>
                  <w14:solidFill>
                    <w14:schemeClr w14:val="tx1"/>
                  </w14:solidFill>
                </w14:textFill>
              </w:rPr>
            </w:pPr>
            <w:r>
              <w:rPr>
                <w:rFonts w:hint="default" w:ascii="Times New Roman" w:hAnsi="Times New Roman" w:cs="Times New Roman"/>
                <w:bCs/>
                <w:snapToGrid w:val="0"/>
                <w:color w:val="000000" w:themeColor="text1"/>
                <w:kern w:val="0"/>
                <w:sz w:val="24"/>
                <w14:textFill>
                  <w14:solidFill>
                    <w14:schemeClr w14:val="tx1"/>
                  </w14:solidFill>
                </w14:textFill>
              </w:rPr>
              <w:t>②监测因子</w:t>
            </w:r>
            <w:r>
              <w:rPr>
                <w:rFonts w:hint="default" w:ascii="Times New Roman" w:hAnsi="Times New Roman" w:cs="Times New Roman"/>
                <w:bCs/>
                <w:snapToGrid w:val="0"/>
                <w:color w:val="000000" w:themeColor="text1"/>
                <w:kern w:val="0"/>
                <w:sz w:val="24"/>
                <w:lang w:eastAsia="zh-CN"/>
                <w14:textFill>
                  <w14:solidFill>
                    <w14:schemeClr w14:val="tx1"/>
                  </w14:solidFill>
                </w14:textFill>
              </w:rPr>
              <w:t>：</w:t>
            </w:r>
            <w:r>
              <w:rPr>
                <w:rFonts w:hint="default" w:ascii="Times New Roman" w:hAnsi="Times New Roman" w:cs="Times New Roman"/>
                <w:bCs/>
                <w:snapToGrid w:val="0"/>
                <w:color w:val="000000" w:themeColor="text1"/>
                <w:kern w:val="0"/>
                <w:sz w:val="24"/>
                <w14:textFill>
                  <w14:solidFill>
                    <w14:schemeClr w14:val="tx1"/>
                  </w14:solidFill>
                </w14:textFill>
              </w:rPr>
              <w:t>等效连续A声级。</w:t>
            </w:r>
          </w:p>
          <w:p w14:paraId="53703D3C">
            <w:pPr>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③监测频次</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监测1天，昼夜各一次。</w:t>
            </w:r>
          </w:p>
          <w:p w14:paraId="13EA1385">
            <w:pPr>
              <w:spacing w:line="360" w:lineRule="auto"/>
              <w:ind w:firstLine="480" w:firstLineChars="200"/>
              <w:contextualSpacing/>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fldChar w:fldCharType="begin"/>
            </w:r>
            <w:r>
              <w:rPr>
                <w:rFonts w:hint="default" w:ascii="Times New Roman" w:hAnsi="Times New Roman" w:cs="Times New Roman"/>
                <w:color w:val="000000" w:themeColor="text1"/>
                <w:sz w:val="24"/>
                <w14:textFill>
                  <w14:solidFill>
                    <w14:schemeClr w14:val="tx1"/>
                  </w14:solidFill>
                </w14:textFill>
              </w:rPr>
              <w:instrText xml:space="preserve"> = 4 \* GB3 \* MERGEFORMAT </w:instrText>
            </w:r>
            <w:r>
              <w:rPr>
                <w:rFonts w:hint="default" w:ascii="Times New Roman" w:hAnsi="Times New Roman" w:cs="Times New Roman"/>
                <w:color w:val="000000" w:themeColor="text1"/>
                <w:sz w:val="24"/>
                <w14:textFill>
                  <w14:solidFill>
                    <w14:schemeClr w14:val="tx1"/>
                  </w14:solidFill>
                </w14:textFill>
              </w:rPr>
              <w:fldChar w:fldCharType="separate"/>
            </w:r>
            <w:r>
              <w:rPr>
                <w:rFonts w:hint="default" w:ascii="Times New Roman" w:hAnsi="Times New Roman" w:cs="Times New Roman"/>
              </w:rPr>
              <w:t>④</w:t>
            </w:r>
            <w:r>
              <w:rPr>
                <w:rFonts w:hint="default" w:ascii="Times New Roman" w:hAnsi="Times New Roman"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14:textFill>
                  <w14:solidFill>
                    <w14:schemeClr w14:val="tx1"/>
                  </w14:solidFill>
                </w14:textFill>
              </w:rPr>
              <w:t>监测结果。</w:t>
            </w:r>
          </w:p>
          <w:p w14:paraId="15FB9E4D">
            <w:pPr>
              <w:spacing w:line="360" w:lineRule="auto"/>
              <w:ind w:firstLine="480" w:firstLineChars="200"/>
              <w:rPr>
                <w:bCs/>
                <w:snapToGrid w:val="0"/>
                <w:color w:val="000000" w:themeColor="text1"/>
                <w:kern w:val="0"/>
                <w:sz w:val="24"/>
                <w14:textFill>
                  <w14:solidFill>
                    <w14:schemeClr w14:val="tx1"/>
                  </w14:solidFill>
                </w14:textFill>
              </w:rPr>
            </w:pPr>
            <w:r>
              <w:rPr>
                <w:bCs/>
                <w:snapToGrid w:val="0"/>
                <w:color w:val="000000" w:themeColor="text1"/>
                <w:kern w:val="0"/>
                <w:sz w:val="24"/>
                <w14:textFill>
                  <w14:solidFill>
                    <w14:schemeClr w14:val="tx1"/>
                  </w14:solidFill>
                </w14:textFill>
              </w:rPr>
              <w:t>本次监测结果详见表</w:t>
            </w:r>
            <w:r>
              <w:rPr>
                <w:rFonts w:hint="eastAsia"/>
                <w:bCs/>
                <w:snapToGrid w:val="0"/>
                <w:color w:val="000000" w:themeColor="text1"/>
                <w:kern w:val="0"/>
                <w:sz w:val="24"/>
                <w14:textFill>
                  <w14:solidFill>
                    <w14:schemeClr w14:val="tx1"/>
                  </w14:solidFill>
                </w14:textFill>
              </w:rPr>
              <w:t>3-</w:t>
            </w:r>
            <w:r>
              <w:rPr>
                <w:rFonts w:hint="eastAsia"/>
                <w:bCs/>
                <w:snapToGrid w:val="0"/>
                <w:color w:val="000000" w:themeColor="text1"/>
                <w:kern w:val="0"/>
                <w:sz w:val="24"/>
                <w:lang w:val="en-US" w:eastAsia="zh-CN"/>
                <w14:textFill>
                  <w14:solidFill>
                    <w14:schemeClr w14:val="tx1"/>
                  </w14:solidFill>
                </w14:textFill>
              </w:rPr>
              <w:t>5</w:t>
            </w:r>
            <w:r>
              <w:rPr>
                <w:bCs/>
                <w:snapToGrid w:val="0"/>
                <w:color w:val="000000" w:themeColor="text1"/>
                <w:kern w:val="0"/>
                <w:sz w:val="24"/>
                <w14:textFill>
                  <w14:solidFill>
                    <w14:schemeClr w14:val="tx1"/>
                  </w14:solidFill>
                </w14:textFill>
              </w:rPr>
              <w:t>。</w:t>
            </w:r>
          </w:p>
          <w:p w14:paraId="70F4A04C">
            <w:pPr>
              <w:keepLines/>
              <w:widowControl/>
              <w:ind w:firstLine="482"/>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表3-</w:t>
            </w:r>
            <w:r>
              <w:rPr>
                <w:rFonts w:hint="eastAsia"/>
                <w:b/>
                <w:bCs/>
                <w:color w:val="000000" w:themeColor="text1"/>
                <w:szCs w:val="21"/>
                <w:lang w:val="en-US" w:eastAsia="zh-CN"/>
                <w14:textFill>
                  <w14:solidFill>
                    <w14:schemeClr w14:val="tx1"/>
                  </w14:solidFill>
                </w14:textFill>
              </w:rPr>
              <w:t xml:space="preserve">5  </w:t>
            </w:r>
            <w:r>
              <w:rPr>
                <w:b/>
                <w:bCs/>
                <w:color w:val="000000" w:themeColor="text1"/>
                <w:szCs w:val="21"/>
                <w14:textFill>
                  <w14:solidFill>
                    <w14:schemeClr w14:val="tx1"/>
                  </w14:solidFill>
                </w14:textFill>
              </w:rPr>
              <w:t xml:space="preserve">噪声监测结果一览表 </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单位：dB</w:t>
            </w: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w:t>
            </w:r>
          </w:p>
          <w:tbl>
            <w:tblPr>
              <w:tblStyle w:val="3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683"/>
              <w:gridCol w:w="2429"/>
              <w:gridCol w:w="1142"/>
              <w:gridCol w:w="1082"/>
              <w:gridCol w:w="962"/>
              <w:gridCol w:w="879"/>
            </w:tblGrid>
            <w:tr w14:paraId="5928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860" w:type="dxa"/>
                  <w:vMerge w:val="restart"/>
                  <w:vAlign w:val="center"/>
                </w:tcPr>
                <w:p w14:paraId="73B689E1">
                  <w:pPr>
                    <w:keepLines/>
                    <w:widowControl/>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监测时间</w:t>
                  </w:r>
                </w:p>
              </w:tc>
              <w:tc>
                <w:tcPr>
                  <w:tcW w:w="3112" w:type="dxa"/>
                  <w:gridSpan w:val="2"/>
                  <w:vMerge w:val="restart"/>
                  <w:vAlign w:val="center"/>
                </w:tcPr>
                <w:p w14:paraId="3CD469C2">
                  <w:pPr>
                    <w:keepLines/>
                    <w:widowControl/>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监测</w:t>
                  </w:r>
                  <w:r>
                    <w:rPr>
                      <w:b/>
                      <w:bCs/>
                      <w:color w:val="000000" w:themeColor="text1"/>
                      <w:szCs w:val="21"/>
                      <w14:textFill>
                        <w14:solidFill>
                          <w14:schemeClr w14:val="tx1"/>
                        </w14:solidFill>
                      </w14:textFill>
                    </w:rPr>
                    <w:t>点位</w:t>
                  </w:r>
                </w:p>
              </w:tc>
              <w:tc>
                <w:tcPr>
                  <w:tcW w:w="1142" w:type="dxa"/>
                  <w:vMerge w:val="restart"/>
                  <w:vAlign w:val="center"/>
                </w:tcPr>
                <w:p w14:paraId="3BEA1C68">
                  <w:pPr>
                    <w:keepLines/>
                    <w:widowControl/>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1082" w:type="dxa"/>
                  <w:vMerge w:val="restart"/>
                  <w:vAlign w:val="center"/>
                </w:tcPr>
                <w:p w14:paraId="1F508EF6">
                  <w:pPr>
                    <w:keepLines/>
                    <w:widowControl/>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c>
                <w:tcPr>
                  <w:tcW w:w="1841" w:type="dxa"/>
                  <w:gridSpan w:val="2"/>
                  <w:vAlign w:val="center"/>
                </w:tcPr>
                <w:p w14:paraId="70892A49">
                  <w:pPr>
                    <w:keepLines/>
                    <w:widowControl/>
                    <w:snapToGrid w:val="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执行标准</w:t>
                  </w:r>
                </w:p>
              </w:tc>
            </w:tr>
            <w:tr w14:paraId="0769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860" w:type="dxa"/>
                  <w:vMerge w:val="continue"/>
                  <w:vAlign w:val="center"/>
                </w:tcPr>
                <w:p w14:paraId="77008B6F">
                  <w:pPr>
                    <w:keepLines/>
                    <w:widowControl/>
                    <w:snapToGrid w:val="0"/>
                    <w:jc w:val="center"/>
                    <w:rPr>
                      <w:b/>
                      <w:bCs/>
                      <w:color w:val="000000" w:themeColor="text1"/>
                      <w14:textFill>
                        <w14:solidFill>
                          <w14:schemeClr w14:val="tx1"/>
                        </w14:solidFill>
                      </w14:textFill>
                    </w:rPr>
                  </w:pPr>
                </w:p>
              </w:tc>
              <w:tc>
                <w:tcPr>
                  <w:tcW w:w="3112" w:type="dxa"/>
                  <w:gridSpan w:val="2"/>
                  <w:vMerge w:val="continue"/>
                  <w:vAlign w:val="center"/>
                </w:tcPr>
                <w:p w14:paraId="6AF22725">
                  <w:pPr>
                    <w:keepLines/>
                    <w:widowControl/>
                    <w:snapToGrid w:val="0"/>
                    <w:jc w:val="center"/>
                    <w:rPr>
                      <w:b/>
                      <w:bCs/>
                      <w:color w:val="000000" w:themeColor="text1"/>
                      <w14:textFill>
                        <w14:solidFill>
                          <w14:schemeClr w14:val="tx1"/>
                        </w14:solidFill>
                      </w14:textFill>
                    </w:rPr>
                  </w:pPr>
                </w:p>
              </w:tc>
              <w:tc>
                <w:tcPr>
                  <w:tcW w:w="1142" w:type="dxa"/>
                  <w:vMerge w:val="continue"/>
                  <w:vAlign w:val="center"/>
                </w:tcPr>
                <w:p w14:paraId="66D4A02A">
                  <w:pPr>
                    <w:keepLines/>
                    <w:widowControl/>
                    <w:snapToGrid w:val="0"/>
                    <w:jc w:val="center"/>
                    <w:rPr>
                      <w:b/>
                      <w:bCs/>
                      <w:color w:val="000000" w:themeColor="text1"/>
                      <w14:textFill>
                        <w14:solidFill>
                          <w14:schemeClr w14:val="tx1"/>
                        </w14:solidFill>
                      </w14:textFill>
                    </w:rPr>
                  </w:pPr>
                </w:p>
              </w:tc>
              <w:tc>
                <w:tcPr>
                  <w:tcW w:w="1082" w:type="dxa"/>
                  <w:vMerge w:val="continue"/>
                  <w:vAlign w:val="center"/>
                </w:tcPr>
                <w:p w14:paraId="0611507D">
                  <w:pPr>
                    <w:keepLines/>
                    <w:widowControl/>
                    <w:snapToGrid w:val="0"/>
                    <w:jc w:val="center"/>
                    <w:rPr>
                      <w:b/>
                      <w:bCs/>
                      <w:color w:val="000000" w:themeColor="text1"/>
                      <w14:textFill>
                        <w14:solidFill>
                          <w14:schemeClr w14:val="tx1"/>
                        </w14:solidFill>
                      </w14:textFill>
                    </w:rPr>
                  </w:pPr>
                </w:p>
              </w:tc>
              <w:tc>
                <w:tcPr>
                  <w:tcW w:w="962" w:type="dxa"/>
                  <w:vAlign w:val="center"/>
                </w:tcPr>
                <w:p w14:paraId="61498E18">
                  <w:pPr>
                    <w:keepLines/>
                    <w:widowControl/>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879" w:type="dxa"/>
                  <w:vAlign w:val="center"/>
                </w:tcPr>
                <w:p w14:paraId="5DDD21E2">
                  <w:pPr>
                    <w:keepLines/>
                    <w:widowControl/>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14:paraId="5026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860" w:type="dxa"/>
                  <w:vAlign w:val="center"/>
                </w:tcPr>
                <w:p w14:paraId="7E5AA731">
                  <w:pPr>
                    <w:keepLines/>
                    <w:widowControl/>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风机</w:t>
                  </w:r>
                </w:p>
              </w:tc>
              <w:tc>
                <w:tcPr>
                  <w:tcW w:w="683" w:type="dxa"/>
                  <w:vAlign w:val="center"/>
                </w:tcPr>
                <w:p w14:paraId="76CD02ED">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2429" w:type="dxa"/>
                  <w:vAlign w:val="center"/>
                </w:tcPr>
                <w:p w14:paraId="31F62F51">
                  <w:pPr>
                    <w:jc w:val="center"/>
                    <w:rPr>
                      <w:color w:val="000000" w:themeColor="text1"/>
                      <w14:textFill>
                        <w14:solidFill>
                          <w14:schemeClr w14:val="tx1"/>
                        </w14:solidFill>
                      </w14:textFill>
                    </w:rPr>
                  </w:pPr>
                  <w:r>
                    <w:rPr>
                      <w:rFonts w:hint="default" w:ascii="Times New Roman" w:hAnsi="Times New Roman" w:eastAsia="宋体" w:cs="Times New Roman"/>
                      <w:b w:val="0"/>
                      <w:i w:val="0"/>
                      <w:iCs w:val="0"/>
                      <w:color w:val="000000"/>
                      <w:kern w:val="0"/>
                      <w:sz w:val="21"/>
                      <w:szCs w:val="21"/>
                      <w:u w:val="none"/>
                      <w:lang w:val="en-US" w:eastAsia="zh-CN" w:bidi="ar"/>
                    </w:rPr>
                    <w:t>X01</w:t>
                  </w:r>
                  <w:r>
                    <w:rPr>
                      <w:rFonts w:hint="eastAsia" w:ascii="Times New Roman" w:hAnsi="Times New Roman" w:eastAsia="宋体" w:cs="Times New Roman"/>
                      <w:b w:val="0"/>
                      <w:i w:val="0"/>
                      <w:iCs w:val="0"/>
                      <w:color w:val="000000"/>
                      <w:kern w:val="0"/>
                      <w:sz w:val="21"/>
                      <w:szCs w:val="21"/>
                      <w:u w:val="none"/>
                      <w:lang w:val="en-US" w:eastAsia="zh-CN" w:bidi="ar"/>
                    </w:rPr>
                    <w:t>西南侧上湾里村</w:t>
                  </w:r>
                </w:p>
              </w:tc>
              <w:tc>
                <w:tcPr>
                  <w:tcW w:w="1142" w:type="dxa"/>
                  <w:vAlign w:val="center"/>
                </w:tcPr>
                <w:p w14:paraId="4C81FB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Cs w:val="21"/>
                      <w14:textFill>
                        <w14:solidFill>
                          <w14:schemeClr w14:val="tx1"/>
                        </w14:solidFill>
                      </w14:textFill>
                    </w:rPr>
                  </w:pPr>
                  <w:r>
                    <w:rPr>
                      <w:rFonts w:hint="eastAsia" w:ascii="Times New Roman" w:hAnsi="Times New Roman" w:eastAsia="宋体" w:cs="Times New Roman"/>
                      <w:b w:val="0"/>
                      <w:i w:val="0"/>
                      <w:iCs w:val="0"/>
                      <w:color w:val="000000"/>
                      <w:kern w:val="0"/>
                      <w:sz w:val="21"/>
                      <w:szCs w:val="21"/>
                      <w:u w:val="none"/>
                      <w:lang w:val="en-US" w:eastAsia="zh-CN" w:bidi="ar"/>
                    </w:rPr>
                    <w:t>38</w:t>
                  </w:r>
                </w:p>
              </w:tc>
              <w:tc>
                <w:tcPr>
                  <w:tcW w:w="1082" w:type="dxa"/>
                  <w:vAlign w:val="center"/>
                </w:tcPr>
                <w:p w14:paraId="319D7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00" w:themeColor="text1"/>
                      <w:szCs w:val="21"/>
                      <w14:textFill>
                        <w14:solidFill>
                          <w14:schemeClr w14:val="tx1"/>
                        </w14:solidFill>
                      </w14:textFill>
                    </w:rPr>
                  </w:pPr>
                  <w:r>
                    <w:rPr>
                      <w:rFonts w:hint="eastAsia" w:ascii="Times New Roman" w:hAnsi="Times New Roman" w:eastAsia="宋体" w:cs="Times New Roman"/>
                      <w:b w:val="0"/>
                      <w:i w:val="0"/>
                      <w:iCs w:val="0"/>
                      <w:color w:val="000000"/>
                      <w:kern w:val="0"/>
                      <w:sz w:val="21"/>
                      <w:szCs w:val="21"/>
                      <w:u w:val="none"/>
                      <w:lang w:val="en-US" w:eastAsia="zh-CN" w:bidi="ar"/>
                    </w:rPr>
                    <w:t>37</w:t>
                  </w:r>
                </w:p>
              </w:tc>
              <w:tc>
                <w:tcPr>
                  <w:tcW w:w="962" w:type="dxa"/>
                  <w:vAlign w:val="center"/>
                </w:tcPr>
                <w:p w14:paraId="00C75C72">
                  <w:pPr>
                    <w:keepLines/>
                    <w:widowControl/>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55</w:t>
                  </w:r>
                </w:p>
              </w:tc>
              <w:tc>
                <w:tcPr>
                  <w:tcW w:w="879" w:type="dxa"/>
                  <w:vAlign w:val="center"/>
                </w:tcPr>
                <w:p w14:paraId="7B3234F6">
                  <w:pPr>
                    <w:keepLines/>
                    <w:widowControl/>
                    <w:jc w:val="center"/>
                    <w:rPr>
                      <w:bCs/>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5</w:t>
                  </w:r>
                </w:p>
              </w:tc>
            </w:tr>
          </w:tbl>
          <w:p w14:paraId="6A4EFD1D">
            <w:pPr>
              <w:adjustRightInd w:val="0"/>
              <w:snapToGrid w:val="0"/>
              <w:spacing w:line="360" w:lineRule="auto"/>
              <w:ind w:firstLine="480" w:firstLineChars="200"/>
              <w:rPr>
                <w:rFonts w:hint="eastAsia" w:eastAsia="宋体"/>
                <w:color w:val="000000" w:themeColor="text1"/>
                <w:sz w:val="24"/>
                <w:lang w:eastAsia="zh-CN"/>
                <w14:textFill>
                  <w14:solidFill>
                    <w14:schemeClr w14:val="tx1"/>
                  </w14:solidFill>
                </w14:textFill>
              </w:rPr>
            </w:pPr>
            <w:r>
              <w:rPr>
                <w:color w:val="000000" w:themeColor="text1"/>
                <w:sz w:val="24"/>
                <w14:textFill>
                  <w14:solidFill>
                    <w14:schemeClr w14:val="tx1"/>
                  </w14:solidFill>
                </w14:textFill>
              </w:rPr>
              <w:t>监测结果表明，项目所在</w:t>
            </w:r>
            <w:r>
              <w:rPr>
                <w:color w:val="auto"/>
                <w:sz w:val="24"/>
              </w:rPr>
              <w:t>地敏感点昼、夜间噪声均满足《声环境质量标准》（GB3096-2008）</w:t>
            </w:r>
            <w:r>
              <w:rPr>
                <w:rFonts w:hint="eastAsia"/>
                <w:color w:val="auto"/>
                <w:sz w:val="24"/>
                <w:lang w:val="en-US" w:eastAsia="zh-CN"/>
              </w:rPr>
              <w:t>1</w:t>
            </w:r>
            <w:r>
              <w:rPr>
                <w:color w:val="auto"/>
                <w:sz w:val="24"/>
              </w:rPr>
              <w:t>类标准要求。</w:t>
            </w:r>
            <w:r>
              <w:rPr>
                <w:rFonts w:hint="eastAsia"/>
                <w:color w:val="auto"/>
                <w:sz w:val="24"/>
              </w:rPr>
              <w:t>根据</w:t>
            </w:r>
            <w:r>
              <w:rPr>
                <w:rFonts w:hint="eastAsia"/>
                <w:color w:val="auto"/>
                <w:sz w:val="24"/>
                <w:lang w:val="en-US" w:eastAsia="zh-CN"/>
              </w:rPr>
              <w:t>企业提供项目周边住户搬迁证明，本项目</w:t>
            </w:r>
            <w:r>
              <w:rPr>
                <w:rFonts w:hint="eastAsia"/>
                <w:color w:val="auto"/>
                <w:sz w:val="24"/>
              </w:rPr>
              <w:t>拟用地周边房屋属2006年搬迁户废弃老旧宅基地</w:t>
            </w:r>
            <w:r>
              <w:rPr>
                <w:rFonts w:hint="eastAsia"/>
                <w:color w:val="auto"/>
                <w:sz w:val="24"/>
                <w:lang w:eastAsia="zh-CN"/>
              </w:rPr>
              <w:t>。</w:t>
            </w:r>
          </w:p>
        </w:tc>
      </w:tr>
      <w:tr w14:paraId="13B0E5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00" w:type="dxa"/>
            <w:shd w:val="clear" w:color="auto" w:fill="auto"/>
            <w:vAlign w:val="center"/>
          </w:tcPr>
          <w:p w14:paraId="450D8124">
            <w:pPr>
              <w:adjustRightInd w:val="0"/>
              <w:snapToGrid w:val="0"/>
              <w:jc w:val="center"/>
              <w:rPr>
                <w:bCs/>
                <w:color w:val="000000" w:themeColor="text1"/>
                <w:kern w:val="0"/>
                <w:szCs w:val="21"/>
                <w14:textFill>
                  <w14:solidFill>
                    <w14:schemeClr w14:val="tx1"/>
                  </w14:solidFill>
                </w14:textFill>
              </w:rPr>
            </w:pPr>
            <w:r>
              <w:rPr>
                <w:bCs/>
                <w:color w:val="000000" w:themeColor="text1"/>
                <w:sz w:val="24"/>
                <w14:textFill>
                  <w14:solidFill>
                    <w14:schemeClr w14:val="tx1"/>
                  </w14:solidFill>
                </w14:textFill>
              </w:rPr>
              <w:t>与项目有关的原有环境污染和生态破坏问题</w:t>
            </w:r>
          </w:p>
        </w:tc>
        <w:tc>
          <w:tcPr>
            <w:tcW w:w="8156" w:type="dxa"/>
            <w:shd w:val="clear" w:color="auto" w:fill="auto"/>
            <w:vAlign w:val="center"/>
          </w:tcPr>
          <w:p w14:paraId="32201420">
            <w:pPr>
              <w:pStyle w:val="97"/>
              <w:snapToGrid w:val="0"/>
              <w:ind w:firstLine="480"/>
              <w:rPr>
                <w:bCs/>
                <w:color w:val="000000" w:themeColor="text1"/>
                <w:sz w:val="21"/>
                <w:szCs w:val="21"/>
                <w14:textFill>
                  <w14:solidFill>
                    <w14:schemeClr w14:val="tx1"/>
                  </w14:solidFill>
                </w14:textFill>
              </w:rPr>
            </w:pPr>
            <w:r>
              <w:rPr>
                <w:bCs/>
                <w:color w:val="000000" w:themeColor="text1"/>
                <w14:textFill>
                  <w14:solidFill>
                    <w14:schemeClr w14:val="tx1"/>
                  </w14:solidFill>
                </w14:textFill>
              </w:rPr>
              <w:t>根据现状调查，项目尚未开工</w:t>
            </w:r>
            <w:r>
              <w:rPr>
                <w:rFonts w:hint="eastAsia"/>
                <w:bCs/>
                <w:color w:val="000000" w:themeColor="text1"/>
                <w14:textFill>
                  <w14:solidFill>
                    <w14:schemeClr w14:val="tx1"/>
                  </w14:solidFill>
                </w14:textFill>
              </w:rPr>
              <w:t>，故</w:t>
            </w:r>
            <w:r>
              <w:rPr>
                <w:bCs/>
                <w:color w:val="000000" w:themeColor="text1"/>
                <w14:textFill>
                  <w14:solidFill>
                    <w14:schemeClr w14:val="tx1"/>
                  </w14:solidFill>
                </w14:textFill>
              </w:rPr>
              <w:t>项目区不存在与项目有关的原有环境污染和生态破坏问题。</w:t>
            </w:r>
          </w:p>
        </w:tc>
      </w:tr>
      <w:tr w14:paraId="720E7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shd w:val="clear" w:color="auto" w:fill="auto"/>
            <w:vAlign w:val="center"/>
          </w:tcPr>
          <w:p w14:paraId="0460F2C3">
            <w:pPr>
              <w:adjustRightInd w:val="0"/>
              <w:snapToGrid w:val="0"/>
              <w:jc w:val="center"/>
              <w:rPr>
                <w:color w:val="000000" w:themeColor="text1"/>
                <w:kern w:val="0"/>
                <w:sz w:val="24"/>
                <w:highlight w:val="cyan"/>
                <w14:textFill>
                  <w14:solidFill>
                    <w14:schemeClr w14:val="tx1"/>
                  </w14:solidFill>
                </w14:textFill>
              </w:rPr>
            </w:pPr>
            <w:r>
              <w:rPr>
                <w:color w:val="000000" w:themeColor="text1"/>
                <w:kern w:val="0"/>
                <w:sz w:val="24"/>
                <w14:textFill>
                  <w14:solidFill>
                    <w14:schemeClr w14:val="tx1"/>
                  </w14:solidFill>
                </w14:textFill>
              </w:rPr>
              <w:t>生态环境保护目标</w:t>
            </w:r>
          </w:p>
        </w:tc>
        <w:tc>
          <w:tcPr>
            <w:tcW w:w="8156" w:type="dxa"/>
            <w:shd w:val="clear" w:color="auto" w:fill="auto"/>
            <w:vAlign w:val="center"/>
          </w:tcPr>
          <w:p w14:paraId="164DCA1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根据《建设项目环境影响评价技术导则 总纲》（HJ2.1-2016）、《环境影响评价技术导则 声环境》（HJ2.4-2021）、《环境影响评价技术导则 生态影响》（HJ19-2022），本项目调查范围如下：</w:t>
            </w:r>
          </w:p>
          <w:p w14:paraId="7C02A168">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①声环境影响调查范围：</w:t>
            </w:r>
            <w:r>
              <w:rPr>
                <w:rFonts w:hint="default" w:ascii="Times New Roman" w:hAnsi="Times New Roman" w:cs="Times New Roman"/>
                <w:color w:val="000000" w:themeColor="text1"/>
                <w:sz w:val="24"/>
                <w:lang w:val="en-US" w:eastAsia="zh-CN"/>
                <w14:textFill>
                  <w14:solidFill>
                    <w14:schemeClr w14:val="tx1"/>
                  </w14:solidFill>
                </w14:textFill>
              </w:rPr>
              <w:t>风机所在地为</w:t>
            </w:r>
            <w:r>
              <w:rPr>
                <w:rFonts w:hint="default" w:ascii="Times New Roman" w:hAnsi="Times New Roman" w:cs="Times New Roman"/>
                <w:color w:val="000000" w:themeColor="text1"/>
                <w:sz w:val="24"/>
                <w14:textFill>
                  <w14:solidFill>
                    <w14:schemeClr w14:val="tx1"/>
                  </w14:solidFill>
                </w14:textFill>
              </w:rPr>
              <w:t>500m</w:t>
            </w:r>
            <w:r>
              <w:rPr>
                <w:rFonts w:hint="eastAsia" w:cs="Times New Roman"/>
                <w:color w:val="000000" w:themeColor="text1"/>
                <w:sz w:val="24"/>
                <w:lang w:eastAsia="zh-CN"/>
                <w14:textFill>
                  <w14:solidFill>
                    <w14:schemeClr w14:val="tx1"/>
                  </w14:solidFill>
                </w14:textFill>
              </w:rPr>
              <w:t>，</w:t>
            </w:r>
            <w:r>
              <w:rPr>
                <w:rFonts w:hint="eastAsia"/>
                <w:color w:val="auto"/>
                <w:sz w:val="24"/>
              </w:rPr>
              <w:t>根据</w:t>
            </w:r>
            <w:r>
              <w:rPr>
                <w:rFonts w:hint="eastAsia"/>
                <w:color w:val="auto"/>
                <w:sz w:val="24"/>
                <w:lang w:val="en-US" w:eastAsia="zh-CN"/>
              </w:rPr>
              <w:t>企业提供项目周边住户搬迁证明，本项目</w:t>
            </w:r>
            <w:r>
              <w:rPr>
                <w:rFonts w:hint="eastAsia"/>
                <w:color w:val="auto"/>
                <w:sz w:val="24"/>
              </w:rPr>
              <w:t>拟用地周边</w:t>
            </w:r>
            <w:r>
              <w:rPr>
                <w:rFonts w:hint="eastAsia"/>
                <w:color w:val="auto"/>
                <w:sz w:val="24"/>
                <w:lang w:val="en-US" w:eastAsia="zh-CN"/>
              </w:rPr>
              <w:t>500m范围内</w:t>
            </w:r>
            <w:r>
              <w:rPr>
                <w:rFonts w:hint="eastAsia"/>
                <w:color w:val="auto"/>
                <w:sz w:val="24"/>
              </w:rPr>
              <w:t>房屋属2006年搬迁户废弃老旧宅基地</w:t>
            </w:r>
            <w:r>
              <w:rPr>
                <w:rFonts w:hint="eastAsia"/>
                <w:color w:val="auto"/>
                <w:sz w:val="24"/>
                <w:lang w:eastAsia="zh-CN"/>
              </w:rPr>
              <w:t>，</w:t>
            </w:r>
            <w:r>
              <w:rPr>
                <w:rFonts w:hint="eastAsia"/>
                <w:color w:val="auto"/>
                <w:sz w:val="24"/>
                <w:lang w:val="en-US" w:eastAsia="zh-CN"/>
              </w:rPr>
              <w:t>因此无声环境保护目标。</w:t>
            </w:r>
          </w:p>
          <w:p w14:paraId="26FDDA5B">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②生态环境调查范围：风电场外扩500m范围内。</w:t>
            </w:r>
          </w:p>
          <w:p w14:paraId="57D7379B">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现状调查，本次评价区范围内无国家公园、自然保护区、自然公园等自然保护地、世界自然遗产、生态保护红线等生态敏感区；无重要物种以及其他需要保护的物种、种群、生物群落及生态空间等生态环境保护目标。</w:t>
            </w:r>
          </w:p>
        </w:tc>
      </w:tr>
      <w:tr w14:paraId="6B3901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800" w:type="dxa"/>
            <w:tcMar>
              <w:left w:w="28" w:type="dxa"/>
              <w:right w:w="28" w:type="dxa"/>
            </w:tcMar>
            <w:vAlign w:val="center"/>
          </w:tcPr>
          <w:p w14:paraId="2F13D092">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评价</w:t>
            </w:r>
          </w:p>
          <w:p w14:paraId="26354A95">
            <w:pPr>
              <w:adjustRightInd w:val="0"/>
              <w:snapToGrid w:val="0"/>
              <w:jc w:val="center"/>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标准</w:t>
            </w:r>
          </w:p>
        </w:tc>
        <w:tc>
          <w:tcPr>
            <w:tcW w:w="8156" w:type="dxa"/>
            <w:vAlign w:val="center"/>
          </w:tcPr>
          <w:p w14:paraId="657AEBED">
            <w:pPr>
              <w:adjustRightInd w:val="0"/>
              <w:snapToGrid w:val="0"/>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1、环境质量标准</w:t>
            </w:r>
          </w:p>
          <w:p w14:paraId="37B9CCF9">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1 \* GB2 \* MERGEFORMAT </w:instrText>
            </w:r>
            <w:r>
              <w:rPr>
                <w:rFonts w:eastAsiaTheme="minorEastAsia"/>
                <w:color w:val="000000" w:themeColor="text1"/>
                <w:sz w:val="24"/>
                <w14:textFill>
                  <w14:solidFill>
                    <w14:schemeClr w14:val="tx1"/>
                  </w14:solidFill>
                </w14:textFill>
              </w:rPr>
              <w:fldChar w:fldCharType="separate"/>
            </w:r>
            <w:r>
              <w:t>⑴</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环境空气执行《环境空气质量标准》（GB3095-2012）及修改单中二级标准；</w:t>
            </w:r>
          </w:p>
          <w:p w14:paraId="6DF9392E">
            <w:pPr>
              <w:adjustRightInd w:val="0"/>
              <w:snapToGrid w:val="0"/>
              <w:spacing w:line="360" w:lineRule="auto"/>
              <w:ind w:firstLine="480" w:firstLineChars="200"/>
              <w:rPr>
                <w:rFonts w:eastAsiaTheme="minorEastAsia"/>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2 \* GB2 \* MERGEFORMAT </w:instrText>
            </w:r>
            <w:r>
              <w:rPr>
                <w:rFonts w:eastAsiaTheme="minorEastAsia"/>
                <w:color w:val="000000" w:themeColor="text1"/>
                <w:sz w:val="24"/>
                <w14:textFill>
                  <w14:solidFill>
                    <w14:schemeClr w14:val="tx1"/>
                  </w14:solidFill>
                </w14:textFill>
              </w:rPr>
              <w:fldChar w:fldCharType="separate"/>
            </w:r>
            <w:r>
              <w:t>⑵</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声环境执行《声环境质量标准》（GB3096-2008）中</w:t>
            </w:r>
            <w:r>
              <w:rPr>
                <w:rFonts w:hint="eastAsia" w:eastAsiaTheme="minorEastAsia"/>
                <w:color w:val="0000FF"/>
                <w:sz w:val="24"/>
                <w:lang w:val="en-US" w:eastAsia="zh-CN"/>
              </w:rPr>
              <w:t>1</w:t>
            </w:r>
            <w:r>
              <w:rPr>
                <w:rFonts w:eastAsiaTheme="minorEastAsia"/>
                <w:color w:val="000000" w:themeColor="text1"/>
                <w:sz w:val="24"/>
                <w14:textFill>
                  <w14:solidFill>
                    <w14:schemeClr w14:val="tx1"/>
                  </w14:solidFill>
                </w14:textFill>
              </w:rPr>
              <w:t>类标准；</w:t>
            </w:r>
          </w:p>
          <w:p w14:paraId="0D1399EB">
            <w:pPr>
              <w:adjustRightInd w:val="0"/>
              <w:snapToGrid w:val="0"/>
              <w:spacing w:line="360" w:lineRule="auto"/>
              <w:ind w:firstLine="482" w:firstLineChars="200"/>
              <w:rPr>
                <w:rFonts w:eastAsiaTheme="minorEastAsia"/>
                <w:b/>
                <w:bCs/>
                <w:color w:val="000000" w:themeColor="text1"/>
                <w:sz w:val="24"/>
                <w14:textFill>
                  <w14:solidFill>
                    <w14:schemeClr w14:val="tx1"/>
                  </w14:solidFill>
                </w14:textFill>
              </w:rPr>
            </w:pPr>
            <w:r>
              <w:rPr>
                <w:rFonts w:eastAsiaTheme="minorEastAsia"/>
                <w:b/>
                <w:bCs/>
                <w:color w:val="000000" w:themeColor="text1"/>
                <w:sz w:val="24"/>
                <w14:textFill>
                  <w14:solidFill>
                    <w14:schemeClr w14:val="tx1"/>
                  </w14:solidFill>
                </w14:textFill>
              </w:rPr>
              <w:t>2、污染物排放标准</w:t>
            </w:r>
          </w:p>
          <w:p w14:paraId="440477C1">
            <w:pPr>
              <w:spacing w:line="360" w:lineRule="auto"/>
              <w:ind w:firstLine="480" w:firstLineChars="200"/>
              <w:rPr>
                <w:color w:val="000000" w:themeColor="text1"/>
                <w:sz w:val="24"/>
                <w14:textFill>
                  <w14:solidFill>
                    <w14:schemeClr w14:val="tx1"/>
                  </w14:solidFill>
                </w14:textFill>
              </w:rPr>
            </w:pPr>
            <w:r>
              <w:rPr>
                <w:rFonts w:eastAsiaTheme="minorEastAsia"/>
                <w:color w:val="000000" w:themeColor="text1"/>
                <w:sz w:val="24"/>
                <w14:textFill>
                  <w14:solidFill>
                    <w14:schemeClr w14:val="tx1"/>
                  </w14:solidFill>
                </w14:textFill>
              </w:rPr>
              <w:fldChar w:fldCharType="begin"/>
            </w:r>
            <w:r>
              <w:rPr>
                <w:rFonts w:eastAsiaTheme="minorEastAsia"/>
                <w:color w:val="000000" w:themeColor="text1"/>
                <w:sz w:val="24"/>
                <w14:textFill>
                  <w14:solidFill>
                    <w14:schemeClr w14:val="tx1"/>
                  </w14:solidFill>
                </w14:textFill>
              </w:rPr>
              <w:instrText xml:space="preserve"> = 1 \* GB2 \* MERGEFORMAT </w:instrText>
            </w:r>
            <w:r>
              <w:rPr>
                <w:rFonts w:eastAsiaTheme="minorEastAsia"/>
                <w:color w:val="000000" w:themeColor="text1"/>
                <w:sz w:val="24"/>
                <w14:textFill>
                  <w14:solidFill>
                    <w14:schemeClr w14:val="tx1"/>
                  </w14:solidFill>
                </w14:textFill>
              </w:rPr>
              <w:fldChar w:fldCharType="separate"/>
            </w:r>
            <w:r>
              <w:t>⑴</w:t>
            </w:r>
            <w:r>
              <w:rPr>
                <w:rFonts w:eastAsiaTheme="minorEastAsia"/>
                <w:color w:val="000000" w:themeColor="text1"/>
                <w:sz w:val="24"/>
                <w14:textFill>
                  <w14:solidFill>
                    <w14:schemeClr w14:val="tx1"/>
                  </w14:solidFill>
                </w14:textFill>
              </w:rPr>
              <w:fldChar w:fldCharType="end"/>
            </w:r>
            <w:r>
              <w:rPr>
                <w:rFonts w:eastAsiaTheme="minorEastAsia"/>
                <w:color w:val="000000" w:themeColor="text1"/>
                <w:sz w:val="24"/>
                <w14:textFill>
                  <w14:solidFill>
                    <w14:schemeClr w14:val="tx1"/>
                  </w14:solidFill>
                </w14:textFill>
              </w:rPr>
              <w:t>施工期扬尘执行《施工场界扬尘排放限值》（DB61/1078-2017）中表1中的浓度限值，焊接烟尘执行《大气污染物综合排放标准》表2中二级标准和无组织排放监控浓度限值</w:t>
            </w:r>
            <w:r>
              <w:rPr>
                <w:rFonts w:hint="eastAsia"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非道路移动机械尾气排放执行《非道路移动机械用柴油</w:t>
            </w:r>
            <w:r>
              <w:rPr>
                <w:rFonts w:hint="eastAsia"/>
                <w:color w:val="000000" w:themeColor="text1"/>
                <w:sz w:val="24"/>
                <w14:textFill>
                  <w14:solidFill>
                    <w14:schemeClr w14:val="tx1"/>
                  </w14:solidFill>
                </w14:textFill>
              </w:rPr>
              <w:t>机械</w:t>
            </w:r>
            <w:r>
              <w:rPr>
                <w:color w:val="000000" w:themeColor="text1"/>
                <w:sz w:val="24"/>
                <w14:textFill>
                  <w14:solidFill>
                    <w14:schemeClr w14:val="tx1"/>
                  </w14:solidFill>
                </w14:textFill>
              </w:rPr>
              <w:t>排气</w:t>
            </w:r>
            <w:r>
              <w:rPr>
                <w:rFonts w:hint="eastAsia"/>
                <w:color w:val="000000" w:themeColor="text1"/>
                <w:sz w:val="24"/>
                <w14:textFill>
                  <w14:solidFill>
                    <w14:schemeClr w14:val="tx1"/>
                  </w14:solidFill>
                </w14:textFill>
              </w:rPr>
              <w:t>烟度</w:t>
            </w:r>
            <w:r>
              <w:rPr>
                <w:color w:val="000000" w:themeColor="text1"/>
                <w:sz w:val="24"/>
                <w14:textFill>
                  <w14:solidFill>
                    <w14:schemeClr w14:val="tx1"/>
                  </w14:solidFill>
                </w14:textFill>
              </w:rPr>
              <w:t>限值及测量方法》</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w:t>
            </w:r>
            <w:r>
              <w:rPr>
                <w:rFonts w:hint="eastAsia"/>
                <w:color w:val="000000" w:themeColor="text1"/>
                <w:sz w:val="24"/>
                <w14:textFill>
                  <w14:solidFill>
                    <w14:schemeClr w14:val="tx1"/>
                  </w14:solidFill>
                </w14:textFill>
              </w:rPr>
              <w:t>36886</w:t>
            </w:r>
            <w:r>
              <w:rPr>
                <w:color w:val="000000" w:themeColor="text1"/>
                <w:sz w:val="24"/>
                <w14:textFill>
                  <w14:solidFill>
                    <w14:schemeClr w14:val="tx1"/>
                  </w14:solidFill>
                </w14:textFill>
              </w:rPr>
              <w:t>-201</w:t>
            </w:r>
            <w:r>
              <w:rPr>
                <w:rFonts w:hint="eastAsia"/>
                <w:color w:val="000000" w:themeColor="text1"/>
                <w:sz w:val="24"/>
                <w14:textFill>
                  <w14:solidFill>
                    <w14:schemeClr w14:val="tx1"/>
                  </w14:solidFill>
                </w14:textFill>
              </w:rPr>
              <w:t>8）</w:t>
            </w:r>
            <w:r>
              <w:rPr>
                <w:color w:val="000000" w:themeColor="text1"/>
                <w:sz w:val="24"/>
                <w14:textFill>
                  <w14:solidFill>
                    <w14:schemeClr w14:val="tx1"/>
                  </w14:solidFill>
                </w14:textFill>
              </w:rPr>
              <w:t>、《非道路柴油移动机械污染物排放控制技术要求》</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HJ1014-2020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中有关要求。</w:t>
            </w:r>
          </w:p>
          <w:p w14:paraId="540BD0F0">
            <w:pPr>
              <w:jc w:val="center"/>
              <w:rPr>
                <w:b/>
                <w:color w:val="auto"/>
                <w:kern w:val="24"/>
                <w:szCs w:val="21"/>
              </w:rPr>
            </w:pPr>
            <w:r>
              <w:rPr>
                <w:b/>
                <w:color w:val="auto"/>
                <w:kern w:val="24"/>
                <w:szCs w:val="21"/>
              </w:rPr>
              <w:t>表3-</w:t>
            </w:r>
            <w:r>
              <w:rPr>
                <w:rFonts w:hint="eastAsia"/>
                <w:b/>
                <w:color w:val="auto"/>
                <w:kern w:val="24"/>
                <w:szCs w:val="21"/>
                <w:lang w:val="en-US" w:eastAsia="zh-CN"/>
              </w:rPr>
              <w:t>6</w:t>
            </w:r>
            <w:r>
              <w:rPr>
                <w:b/>
                <w:color w:val="auto"/>
                <w:kern w:val="24"/>
                <w:szCs w:val="21"/>
              </w:rPr>
              <w:t xml:space="preserve">    废气排放标准</w:t>
            </w:r>
          </w:p>
          <w:tbl>
            <w:tblPr>
              <w:tblStyle w:val="31"/>
              <w:tblW w:w="793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542"/>
              <w:gridCol w:w="1123"/>
              <w:gridCol w:w="1968"/>
              <w:gridCol w:w="2734"/>
              <w:gridCol w:w="791"/>
              <w:gridCol w:w="780"/>
            </w:tblGrid>
            <w:tr w14:paraId="4DF0E0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25" w:hRule="atLeast"/>
                <w:jc w:val="center"/>
              </w:trPr>
              <w:tc>
                <w:tcPr>
                  <w:tcW w:w="542" w:type="dxa"/>
                  <w:vMerge w:val="restart"/>
                  <w:noWrap w:val="0"/>
                  <w:vAlign w:val="center"/>
                </w:tcPr>
                <w:p w14:paraId="07A30296">
                  <w:pPr>
                    <w:adjustRightInd w:val="0"/>
                    <w:snapToGrid w:val="0"/>
                    <w:spacing w:line="200" w:lineRule="atLeast"/>
                    <w:jc w:val="center"/>
                    <w:rPr>
                      <w:b w:val="0"/>
                      <w:bCs/>
                      <w:color w:val="auto"/>
                      <w:szCs w:val="21"/>
                    </w:rPr>
                  </w:pPr>
                  <w:r>
                    <w:rPr>
                      <w:b w:val="0"/>
                      <w:bCs/>
                      <w:color w:val="auto"/>
                      <w:szCs w:val="21"/>
                    </w:rPr>
                    <w:t>污染物</w:t>
                  </w:r>
                </w:p>
              </w:tc>
              <w:tc>
                <w:tcPr>
                  <w:tcW w:w="1123" w:type="dxa"/>
                  <w:vMerge w:val="restart"/>
                  <w:noWrap w:val="0"/>
                  <w:vAlign w:val="center"/>
                </w:tcPr>
                <w:p w14:paraId="5F56DD52">
                  <w:pPr>
                    <w:adjustRightInd w:val="0"/>
                    <w:snapToGrid w:val="0"/>
                    <w:spacing w:line="220" w:lineRule="atLeast"/>
                    <w:jc w:val="center"/>
                    <w:rPr>
                      <w:b w:val="0"/>
                      <w:bCs/>
                      <w:color w:val="auto"/>
                      <w:szCs w:val="21"/>
                    </w:rPr>
                  </w:pPr>
                  <w:r>
                    <w:rPr>
                      <w:b w:val="0"/>
                      <w:bCs/>
                      <w:color w:val="auto"/>
                      <w:szCs w:val="21"/>
                    </w:rPr>
                    <w:t>项目阶段</w:t>
                  </w:r>
                </w:p>
              </w:tc>
              <w:tc>
                <w:tcPr>
                  <w:tcW w:w="1968" w:type="dxa"/>
                  <w:vMerge w:val="restart"/>
                  <w:noWrap w:val="0"/>
                  <w:vAlign w:val="center"/>
                </w:tcPr>
                <w:p w14:paraId="54701824">
                  <w:pPr>
                    <w:adjustRightInd w:val="0"/>
                    <w:snapToGrid w:val="0"/>
                    <w:spacing w:line="220" w:lineRule="atLeast"/>
                    <w:jc w:val="center"/>
                    <w:rPr>
                      <w:b w:val="0"/>
                      <w:bCs/>
                      <w:color w:val="auto"/>
                      <w:szCs w:val="21"/>
                    </w:rPr>
                  </w:pPr>
                  <w:r>
                    <w:rPr>
                      <w:b w:val="0"/>
                      <w:bCs/>
                      <w:color w:val="auto"/>
                      <w:szCs w:val="21"/>
                    </w:rPr>
                    <w:t>标准名称</w:t>
                  </w:r>
                </w:p>
              </w:tc>
              <w:tc>
                <w:tcPr>
                  <w:tcW w:w="2734" w:type="dxa"/>
                  <w:vMerge w:val="restart"/>
                  <w:noWrap w:val="0"/>
                  <w:vAlign w:val="center"/>
                </w:tcPr>
                <w:p w14:paraId="786EEA68">
                  <w:pPr>
                    <w:adjustRightInd w:val="0"/>
                    <w:snapToGrid w:val="0"/>
                    <w:spacing w:line="220" w:lineRule="atLeast"/>
                    <w:jc w:val="center"/>
                    <w:rPr>
                      <w:b w:val="0"/>
                      <w:bCs/>
                      <w:color w:val="auto"/>
                      <w:szCs w:val="21"/>
                    </w:rPr>
                  </w:pPr>
                  <w:r>
                    <w:rPr>
                      <w:rFonts w:hint="eastAsia"/>
                      <w:b w:val="0"/>
                      <w:bCs/>
                      <w:color w:val="auto"/>
                      <w:szCs w:val="21"/>
                    </w:rPr>
                    <w:t>阶段/规模</w:t>
                  </w:r>
                </w:p>
              </w:tc>
              <w:tc>
                <w:tcPr>
                  <w:tcW w:w="1571" w:type="dxa"/>
                  <w:gridSpan w:val="2"/>
                  <w:noWrap w:val="0"/>
                  <w:vAlign w:val="center"/>
                </w:tcPr>
                <w:p w14:paraId="0254EC0F">
                  <w:pPr>
                    <w:adjustRightInd w:val="0"/>
                    <w:snapToGrid w:val="0"/>
                    <w:spacing w:line="220" w:lineRule="atLeast"/>
                    <w:jc w:val="center"/>
                    <w:rPr>
                      <w:b w:val="0"/>
                      <w:bCs/>
                      <w:color w:val="auto"/>
                      <w:szCs w:val="21"/>
                    </w:rPr>
                  </w:pPr>
                  <w:r>
                    <w:rPr>
                      <w:b w:val="0"/>
                      <w:bCs/>
                      <w:color w:val="auto"/>
                      <w:szCs w:val="21"/>
                    </w:rPr>
                    <w:t>标准值（mg/m</w:t>
                  </w:r>
                  <w:r>
                    <w:rPr>
                      <w:b w:val="0"/>
                      <w:bCs/>
                      <w:color w:val="auto"/>
                      <w:szCs w:val="21"/>
                      <w:vertAlign w:val="superscript"/>
                    </w:rPr>
                    <w:t>3</w:t>
                  </w:r>
                  <w:r>
                    <w:rPr>
                      <w:b w:val="0"/>
                      <w:bCs/>
                      <w:color w:val="auto"/>
                      <w:szCs w:val="21"/>
                    </w:rPr>
                    <w:t>）</w:t>
                  </w:r>
                </w:p>
              </w:tc>
            </w:tr>
            <w:tr w14:paraId="232BE9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27" w:hRule="atLeast"/>
                <w:jc w:val="center"/>
              </w:trPr>
              <w:tc>
                <w:tcPr>
                  <w:tcW w:w="542" w:type="dxa"/>
                  <w:vMerge w:val="continue"/>
                  <w:noWrap w:val="0"/>
                  <w:vAlign w:val="center"/>
                </w:tcPr>
                <w:p w14:paraId="7EDEC154">
                  <w:pPr>
                    <w:adjustRightInd w:val="0"/>
                    <w:snapToGrid w:val="0"/>
                    <w:spacing w:line="220" w:lineRule="atLeast"/>
                    <w:jc w:val="center"/>
                    <w:rPr>
                      <w:b w:val="0"/>
                      <w:bCs/>
                      <w:color w:val="auto"/>
                      <w:szCs w:val="21"/>
                    </w:rPr>
                  </w:pPr>
                </w:p>
              </w:tc>
              <w:tc>
                <w:tcPr>
                  <w:tcW w:w="1123" w:type="dxa"/>
                  <w:vMerge w:val="continue"/>
                  <w:noWrap w:val="0"/>
                  <w:vAlign w:val="center"/>
                </w:tcPr>
                <w:p w14:paraId="0EFDDCAE">
                  <w:pPr>
                    <w:widowControl/>
                    <w:adjustRightInd w:val="0"/>
                    <w:snapToGrid w:val="0"/>
                    <w:spacing w:line="220" w:lineRule="atLeast"/>
                    <w:jc w:val="center"/>
                    <w:rPr>
                      <w:b w:val="0"/>
                      <w:bCs/>
                      <w:color w:val="auto"/>
                      <w:szCs w:val="21"/>
                    </w:rPr>
                  </w:pPr>
                </w:p>
              </w:tc>
              <w:tc>
                <w:tcPr>
                  <w:tcW w:w="1968" w:type="dxa"/>
                  <w:vMerge w:val="continue"/>
                  <w:noWrap w:val="0"/>
                  <w:vAlign w:val="center"/>
                </w:tcPr>
                <w:p w14:paraId="383DD054">
                  <w:pPr>
                    <w:widowControl/>
                    <w:adjustRightInd w:val="0"/>
                    <w:snapToGrid w:val="0"/>
                    <w:spacing w:line="220" w:lineRule="atLeast"/>
                    <w:jc w:val="center"/>
                    <w:rPr>
                      <w:b w:val="0"/>
                      <w:bCs/>
                      <w:color w:val="auto"/>
                      <w:szCs w:val="21"/>
                    </w:rPr>
                  </w:pPr>
                </w:p>
              </w:tc>
              <w:tc>
                <w:tcPr>
                  <w:tcW w:w="2734" w:type="dxa"/>
                  <w:vMerge w:val="continue"/>
                  <w:noWrap w:val="0"/>
                  <w:vAlign w:val="center"/>
                </w:tcPr>
                <w:p w14:paraId="6F8875EB">
                  <w:pPr>
                    <w:widowControl/>
                    <w:adjustRightInd w:val="0"/>
                    <w:snapToGrid w:val="0"/>
                    <w:spacing w:line="220" w:lineRule="atLeast"/>
                    <w:jc w:val="center"/>
                    <w:rPr>
                      <w:b w:val="0"/>
                      <w:bCs/>
                      <w:color w:val="auto"/>
                      <w:szCs w:val="21"/>
                    </w:rPr>
                  </w:pPr>
                </w:p>
              </w:tc>
              <w:tc>
                <w:tcPr>
                  <w:tcW w:w="791" w:type="dxa"/>
                  <w:noWrap w:val="0"/>
                  <w:vAlign w:val="center"/>
                </w:tcPr>
                <w:p w14:paraId="56425B0A">
                  <w:pPr>
                    <w:adjustRightInd w:val="0"/>
                    <w:snapToGrid w:val="0"/>
                    <w:spacing w:line="220" w:lineRule="atLeast"/>
                    <w:jc w:val="center"/>
                    <w:rPr>
                      <w:b w:val="0"/>
                      <w:bCs/>
                      <w:color w:val="auto"/>
                      <w:szCs w:val="21"/>
                    </w:rPr>
                  </w:pPr>
                  <w:r>
                    <w:rPr>
                      <w:b w:val="0"/>
                      <w:bCs/>
                      <w:color w:val="auto"/>
                      <w:szCs w:val="21"/>
                    </w:rPr>
                    <w:t>项目</w:t>
                  </w:r>
                </w:p>
              </w:tc>
              <w:tc>
                <w:tcPr>
                  <w:tcW w:w="780" w:type="dxa"/>
                  <w:noWrap w:val="0"/>
                  <w:vAlign w:val="center"/>
                </w:tcPr>
                <w:p w14:paraId="18F159D6">
                  <w:pPr>
                    <w:adjustRightInd w:val="0"/>
                    <w:snapToGrid w:val="0"/>
                    <w:spacing w:line="220" w:lineRule="atLeast"/>
                    <w:jc w:val="center"/>
                    <w:rPr>
                      <w:b w:val="0"/>
                      <w:bCs/>
                      <w:color w:val="auto"/>
                      <w:szCs w:val="21"/>
                    </w:rPr>
                  </w:pPr>
                  <w:r>
                    <w:rPr>
                      <w:b w:val="0"/>
                      <w:bCs/>
                      <w:color w:val="auto"/>
                      <w:szCs w:val="21"/>
                    </w:rPr>
                    <w:t>限值</w:t>
                  </w:r>
                </w:p>
              </w:tc>
            </w:tr>
            <w:tr w14:paraId="099205E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27" w:hRule="atLeast"/>
                <w:jc w:val="center"/>
              </w:trPr>
              <w:tc>
                <w:tcPr>
                  <w:tcW w:w="542" w:type="dxa"/>
                  <w:vMerge w:val="restart"/>
                  <w:noWrap w:val="0"/>
                  <w:vAlign w:val="center"/>
                </w:tcPr>
                <w:p w14:paraId="73F85577">
                  <w:pPr>
                    <w:adjustRightInd w:val="0"/>
                    <w:snapToGrid w:val="0"/>
                    <w:jc w:val="center"/>
                    <w:rPr>
                      <w:b w:val="0"/>
                      <w:bCs/>
                      <w:color w:val="auto"/>
                      <w:szCs w:val="21"/>
                    </w:rPr>
                  </w:pPr>
                  <w:r>
                    <w:rPr>
                      <w:b w:val="0"/>
                      <w:bCs/>
                      <w:color w:val="auto"/>
                      <w:szCs w:val="21"/>
                    </w:rPr>
                    <w:t>废气</w:t>
                  </w:r>
                </w:p>
              </w:tc>
              <w:tc>
                <w:tcPr>
                  <w:tcW w:w="1123" w:type="dxa"/>
                  <w:vMerge w:val="restart"/>
                  <w:noWrap w:val="0"/>
                  <w:vAlign w:val="center"/>
                </w:tcPr>
                <w:p w14:paraId="4971E0E7">
                  <w:pPr>
                    <w:adjustRightInd w:val="0"/>
                    <w:snapToGrid w:val="0"/>
                    <w:jc w:val="center"/>
                    <w:rPr>
                      <w:b w:val="0"/>
                      <w:bCs/>
                      <w:color w:val="auto"/>
                      <w:szCs w:val="21"/>
                    </w:rPr>
                  </w:pPr>
                  <w:r>
                    <w:rPr>
                      <w:b w:val="0"/>
                      <w:bCs/>
                      <w:color w:val="auto"/>
                      <w:szCs w:val="21"/>
                    </w:rPr>
                    <w:t>施工期</w:t>
                  </w:r>
                </w:p>
              </w:tc>
              <w:tc>
                <w:tcPr>
                  <w:tcW w:w="1968" w:type="dxa"/>
                  <w:vMerge w:val="restart"/>
                  <w:noWrap w:val="0"/>
                  <w:vAlign w:val="center"/>
                </w:tcPr>
                <w:p w14:paraId="0C217AF1">
                  <w:pPr>
                    <w:adjustRightInd w:val="0"/>
                    <w:snapToGrid w:val="0"/>
                    <w:jc w:val="center"/>
                    <w:rPr>
                      <w:b w:val="0"/>
                      <w:bCs/>
                      <w:color w:val="auto"/>
                      <w:szCs w:val="21"/>
                    </w:rPr>
                  </w:pPr>
                  <w:r>
                    <w:rPr>
                      <w:b w:val="0"/>
                      <w:bCs/>
                      <w:color w:val="auto"/>
                      <w:szCs w:val="21"/>
                    </w:rPr>
                    <w:t>《施工场界扬尘排放限值》DB61/1078-2017</w:t>
                  </w:r>
                </w:p>
              </w:tc>
              <w:tc>
                <w:tcPr>
                  <w:tcW w:w="2734" w:type="dxa"/>
                  <w:noWrap w:val="0"/>
                  <w:vAlign w:val="center"/>
                </w:tcPr>
                <w:p w14:paraId="79F38D40">
                  <w:pPr>
                    <w:adjustRightInd w:val="0"/>
                    <w:snapToGrid w:val="0"/>
                    <w:jc w:val="center"/>
                    <w:rPr>
                      <w:b w:val="0"/>
                      <w:bCs/>
                      <w:color w:val="auto"/>
                      <w:szCs w:val="21"/>
                    </w:rPr>
                  </w:pPr>
                  <w:r>
                    <w:rPr>
                      <w:b w:val="0"/>
                      <w:bCs/>
                      <w:color w:val="auto"/>
                      <w:szCs w:val="21"/>
                    </w:rPr>
                    <w:t>拆除、土方及地基处理工程</w:t>
                  </w:r>
                </w:p>
              </w:tc>
              <w:tc>
                <w:tcPr>
                  <w:tcW w:w="791" w:type="dxa"/>
                  <w:vMerge w:val="restart"/>
                  <w:noWrap w:val="0"/>
                  <w:vAlign w:val="center"/>
                </w:tcPr>
                <w:p w14:paraId="4325A796">
                  <w:pPr>
                    <w:adjustRightInd w:val="0"/>
                    <w:snapToGrid w:val="0"/>
                    <w:jc w:val="center"/>
                    <w:rPr>
                      <w:b w:val="0"/>
                      <w:bCs/>
                      <w:color w:val="auto"/>
                      <w:szCs w:val="21"/>
                    </w:rPr>
                  </w:pPr>
                  <w:r>
                    <w:rPr>
                      <w:b w:val="0"/>
                      <w:bCs/>
                      <w:color w:val="auto"/>
                      <w:szCs w:val="21"/>
                    </w:rPr>
                    <w:t>TSP</w:t>
                  </w:r>
                </w:p>
              </w:tc>
              <w:tc>
                <w:tcPr>
                  <w:tcW w:w="780" w:type="dxa"/>
                  <w:noWrap w:val="0"/>
                  <w:vAlign w:val="center"/>
                </w:tcPr>
                <w:p w14:paraId="4BB0978D">
                  <w:pPr>
                    <w:widowControl/>
                    <w:adjustRightInd w:val="0"/>
                    <w:snapToGrid w:val="0"/>
                    <w:jc w:val="center"/>
                    <w:rPr>
                      <w:b w:val="0"/>
                      <w:bCs/>
                      <w:color w:val="auto"/>
                      <w:szCs w:val="21"/>
                    </w:rPr>
                  </w:pPr>
                  <w:r>
                    <w:rPr>
                      <w:b w:val="0"/>
                      <w:bCs/>
                      <w:color w:val="auto"/>
                      <w:szCs w:val="21"/>
                    </w:rPr>
                    <w:t>≤0.8</w:t>
                  </w:r>
                </w:p>
              </w:tc>
            </w:tr>
            <w:tr w14:paraId="02E461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232" w:hRule="atLeast"/>
                <w:jc w:val="center"/>
              </w:trPr>
              <w:tc>
                <w:tcPr>
                  <w:tcW w:w="542" w:type="dxa"/>
                  <w:vMerge w:val="continue"/>
                  <w:noWrap w:val="0"/>
                  <w:vAlign w:val="center"/>
                </w:tcPr>
                <w:p w14:paraId="352E522D">
                  <w:pPr>
                    <w:adjustRightInd w:val="0"/>
                    <w:snapToGrid w:val="0"/>
                    <w:jc w:val="center"/>
                    <w:rPr>
                      <w:b w:val="0"/>
                      <w:bCs/>
                      <w:color w:val="auto"/>
                      <w:szCs w:val="21"/>
                    </w:rPr>
                  </w:pPr>
                </w:p>
              </w:tc>
              <w:tc>
                <w:tcPr>
                  <w:tcW w:w="1123" w:type="dxa"/>
                  <w:vMerge w:val="continue"/>
                  <w:noWrap w:val="0"/>
                  <w:vAlign w:val="center"/>
                </w:tcPr>
                <w:p w14:paraId="17E2040F">
                  <w:pPr>
                    <w:adjustRightInd w:val="0"/>
                    <w:snapToGrid w:val="0"/>
                    <w:jc w:val="center"/>
                    <w:rPr>
                      <w:b w:val="0"/>
                      <w:bCs/>
                      <w:color w:val="auto"/>
                      <w:szCs w:val="21"/>
                    </w:rPr>
                  </w:pPr>
                </w:p>
              </w:tc>
              <w:tc>
                <w:tcPr>
                  <w:tcW w:w="1968" w:type="dxa"/>
                  <w:vMerge w:val="continue"/>
                  <w:noWrap w:val="0"/>
                  <w:vAlign w:val="center"/>
                </w:tcPr>
                <w:p w14:paraId="68BBCE50">
                  <w:pPr>
                    <w:adjustRightInd w:val="0"/>
                    <w:snapToGrid w:val="0"/>
                    <w:jc w:val="center"/>
                    <w:rPr>
                      <w:b w:val="0"/>
                      <w:bCs/>
                      <w:color w:val="auto"/>
                      <w:szCs w:val="21"/>
                    </w:rPr>
                  </w:pPr>
                </w:p>
              </w:tc>
              <w:tc>
                <w:tcPr>
                  <w:tcW w:w="2734" w:type="dxa"/>
                  <w:noWrap w:val="0"/>
                  <w:vAlign w:val="center"/>
                </w:tcPr>
                <w:p w14:paraId="6EAAC861">
                  <w:pPr>
                    <w:adjustRightInd w:val="0"/>
                    <w:snapToGrid w:val="0"/>
                    <w:jc w:val="center"/>
                    <w:rPr>
                      <w:b w:val="0"/>
                      <w:bCs/>
                      <w:color w:val="auto"/>
                      <w:szCs w:val="21"/>
                    </w:rPr>
                  </w:pPr>
                  <w:r>
                    <w:rPr>
                      <w:b w:val="0"/>
                      <w:bCs/>
                      <w:color w:val="auto"/>
                      <w:szCs w:val="21"/>
                    </w:rPr>
                    <w:t>基础、主体结构及装饰工程</w:t>
                  </w:r>
                </w:p>
              </w:tc>
              <w:tc>
                <w:tcPr>
                  <w:tcW w:w="791" w:type="dxa"/>
                  <w:vMerge w:val="continue"/>
                  <w:noWrap w:val="0"/>
                  <w:vAlign w:val="center"/>
                </w:tcPr>
                <w:p w14:paraId="68E3BCB7">
                  <w:pPr>
                    <w:adjustRightInd w:val="0"/>
                    <w:snapToGrid w:val="0"/>
                    <w:jc w:val="center"/>
                    <w:rPr>
                      <w:b w:val="0"/>
                      <w:bCs/>
                      <w:color w:val="auto"/>
                      <w:szCs w:val="21"/>
                    </w:rPr>
                  </w:pPr>
                </w:p>
              </w:tc>
              <w:tc>
                <w:tcPr>
                  <w:tcW w:w="780" w:type="dxa"/>
                  <w:noWrap w:val="0"/>
                  <w:vAlign w:val="center"/>
                </w:tcPr>
                <w:p w14:paraId="3E391BB2">
                  <w:pPr>
                    <w:widowControl/>
                    <w:adjustRightInd w:val="0"/>
                    <w:snapToGrid w:val="0"/>
                    <w:jc w:val="center"/>
                    <w:rPr>
                      <w:b w:val="0"/>
                      <w:bCs/>
                      <w:color w:val="auto"/>
                      <w:szCs w:val="21"/>
                    </w:rPr>
                  </w:pPr>
                  <w:r>
                    <w:rPr>
                      <w:b w:val="0"/>
                      <w:bCs/>
                      <w:color w:val="auto"/>
                      <w:szCs w:val="21"/>
                    </w:rPr>
                    <w:t>≤0.7</w:t>
                  </w:r>
                </w:p>
              </w:tc>
            </w:tr>
          </w:tbl>
          <w:p w14:paraId="3D6EBF53">
            <w:pPr>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14:textFill>
                  <w14:solidFill>
                    <w14:schemeClr w14:val="tx1"/>
                  </w14:solidFill>
                </w14:textFill>
              </w:rPr>
              <w:instrText xml:space="preserve"> = 2 \* GB2 \* MERGEFORMAT </w:instrTex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separate"/>
            </w:r>
            <w:r>
              <w:rPr>
                <w:rFonts w:hint="default" w:ascii="Times New Roman" w:hAnsi="Times New Roman" w:cs="Times New Roman"/>
                <w:sz w:val="24"/>
                <w:szCs w:val="24"/>
              </w:rPr>
              <w:t>⑵</w: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14:textFill>
                  <w14:solidFill>
                    <w14:schemeClr w14:val="tx1"/>
                  </w14:solidFill>
                </w14:textFill>
              </w:rPr>
              <w:t>施工废水设置临时简易沉淀池，</w:t>
            </w:r>
            <w:r>
              <w:rPr>
                <w:rFonts w:hint="default" w:ascii="Times New Roman" w:hAnsi="Times New Roman" w:cs="Times New Roman" w:eastAsiaTheme="minorEastAsia"/>
                <w:color w:val="auto"/>
                <w:sz w:val="24"/>
                <w:szCs w:val="24"/>
              </w:rPr>
              <w:t>经沉淀池沉淀后全部回用，无废水排放，施工人员食宿依托附近村庄，无生活污水产生；</w:t>
            </w:r>
            <w:r>
              <w:rPr>
                <w:rFonts w:hint="default" w:ascii="Times New Roman" w:hAnsi="Times New Roman" w:cs="Times New Roman" w:eastAsiaTheme="minorEastAsia"/>
                <w:color w:val="000000" w:themeColor="text1"/>
                <w:sz w:val="24"/>
                <w:szCs w:val="24"/>
                <w14:textFill>
                  <w14:solidFill>
                    <w14:schemeClr w14:val="tx1"/>
                  </w14:solidFill>
                </w14:textFill>
              </w:rPr>
              <w:t>运营期风电场内无废水产生与排放，工作人员生活污水纳入升压站管理，不在本次评价范围内。</w:t>
            </w:r>
          </w:p>
          <w:p w14:paraId="29F27710">
            <w:pPr>
              <w:spacing w:line="360" w:lineRule="auto"/>
              <w:ind w:firstLine="480" w:firstLineChars="200"/>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14:textFill>
                  <w14:solidFill>
                    <w14:schemeClr w14:val="tx1"/>
                  </w14:solidFill>
                </w14:textFill>
              </w:rPr>
              <w:instrText xml:space="preserve"> = 3 \* GB2 \* MERGEFORMAT </w:instrTex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separate"/>
            </w:r>
            <w:r>
              <w:rPr>
                <w:rFonts w:hint="default" w:ascii="Times New Roman" w:hAnsi="Times New Roman" w:cs="Times New Roman"/>
                <w:sz w:val="24"/>
                <w:szCs w:val="24"/>
              </w:rPr>
              <w:t>⑶</w: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14:textFill>
                  <w14:solidFill>
                    <w14:schemeClr w14:val="tx1"/>
                  </w14:solidFill>
                </w14:textFill>
              </w:rPr>
              <w:t>施工期噪声排放执行《建筑施工厂界环境噪声排放标准》（GB12523-2011）限值；运营期风电场噪声排放执行《声环境质量标准》（GB 3096-2008）中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类标准。</w:t>
            </w:r>
          </w:p>
          <w:p w14:paraId="7185430D">
            <w:pPr>
              <w:jc w:val="center"/>
              <w:rPr>
                <w:b/>
                <w:color w:val="auto"/>
                <w:kern w:val="24"/>
                <w:szCs w:val="21"/>
              </w:rPr>
            </w:pPr>
            <w:r>
              <w:rPr>
                <w:b/>
                <w:color w:val="auto"/>
                <w:kern w:val="24"/>
                <w:szCs w:val="21"/>
              </w:rPr>
              <w:t>表3-</w:t>
            </w:r>
            <w:r>
              <w:rPr>
                <w:rFonts w:hint="eastAsia"/>
                <w:b/>
                <w:color w:val="auto"/>
                <w:kern w:val="24"/>
                <w:szCs w:val="21"/>
                <w:lang w:val="en-US" w:eastAsia="zh-CN"/>
              </w:rPr>
              <w:t>7</w:t>
            </w:r>
            <w:r>
              <w:rPr>
                <w:b/>
                <w:color w:val="auto"/>
                <w:kern w:val="24"/>
                <w:szCs w:val="21"/>
              </w:rPr>
              <w:t xml:space="preserve">    </w:t>
            </w:r>
            <w:r>
              <w:rPr>
                <w:rFonts w:hint="eastAsia"/>
                <w:b/>
                <w:color w:val="auto"/>
                <w:kern w:val="24"/>
                <w:szCs w:val="21"/>
              </w:rPr>
              <w:t>噪声排放标准</w:t>
            </w:r>
          </w:p>
          <w:tbl>
            <w:tblPr>
              <w:tblStyle w:val="31"/>
              <w:tblW w:w="494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152"/>
              <w:gridCol w:w="1170"/>
              <w:gridCol w:w="1513"/>
            </w:tblGrid>
            <w:tr w14:paraId="1853B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288" w:type="pct"/>
                  <w:vMerge w:val="restart"/>
                  <w:noWrap w:val="0"/>
                  <w:vAlign w:val="center"/>
                </w:tcPr>
                <w:p w14:paraId="0091BCEC">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w:t>
                  </w:r>
                </w:p>
              </w:tc>
              <w:tc>
                <w:tcPr>
                  <w:tcW w:w="1711" w:type="pct"/>
                  <w:gridSpan w:val="2"/>
                  <w:noWrap w:val="0"/>
                  <w:vAlign w:val="center"/>
                </w:tcPr>
                <w:p w14:paraId="63BEEAC7">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标准限值（单位dB（A））</w:t>
                  </w:r>
                </w:p>
              </w:tc>
            </w:tr>
            <w:tr w14:paraId="4FCF6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288" w:type="pct"/>
                  <w:vMerge w:val="continue"/>
                  <w:noWrap w:val="0"/>
                  <w:vAlign w:val="center"/>
                </w:tcPr>
                <w:p w14:paraId="3F72F25C">
                  <w:pPr>
                    <w:jc w:val="center"/>
                    <w:rPr>
                      <w:rFonts w:hint="default" w:ascii="Times New Roman" w:hAnsi="Times New Roman" w:eastAsia="宋体" w:cs="Times New Roman"/>
                      <w:b w:val="0"/>
                      <w:bCs/>
                      <w:color w:val="auto"/>
                      <w:sz w:val="21"/>
                      <w:szCs w:val="21"/>
                    </w:rPr>
                  </w:pPr>
                </w:p>
              </w:tc>
              <w:tc>
                <w:tcPr>
                  <w:tcW w:w="746" w:type="pct"/>
                  <w:noWrap w:val="0"/>
                  <w:vAlign w:val="center"/>
                </w:tcPr>
                <w:p w14:paraId="68D681DB">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昼间</w:t>
                  </w:r>
                </w:p>
              </w:tc>
              <w:tc>
                <w:tcPr>
                  <w:tcW w:w="965" w:type="pct"/>
                  <w:noWrap w:val="0"/>
                  <w:vAlign w:val="center"/>
                </w:tcPr>
                <w:p w14:paraId="6D26C1B2">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夜间</w:t>
                  </w:r>
                </w:p>
              </w:tc>
            </w:tr>
            <w:tr w14:paraId="516E5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288" w:type="pct"/>
                  <w:noWrap w:val="0"/>
                  <w:vAlign w:val="center"/>
                </w:tcPr>
                <w:p w14:paraId="0167E11E">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《建筑施工场界环境噪声排放标准》（GB12523-2011）</w:t>
                  </w:r>
                </w:p>
              </w:tc>
              <w:tc>
                <w:tcPr>
                  <w:tcW w:w="746" w:type="pct"/>
                  <w:noWrap w:val="0"/>
                  <w:vAlign w:val="center"/>
                </w:tcPr>
                <w:p w14:paraId="455E1471">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70</w:t>
                  </w:r>
                </w:p>
              </w:tc>
              <w:tc>
                <w:tcPr>
                  <w:tcW w:w="965" w:type="pct"/>
                  <w:noWrap w:val="0"/>
                  <w:vAlign w:val="center"/>
                </w:tcPr>
                <w:p w14:paraId="33219BC6">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55</w:t>
                  </w:r>
                </w:p>
              </w:tc>
            </w:tr>
            <w:tr w14:paraId="4785C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288" w:type="pct"/>
                  <w:noWrap w:val="0"/>
                  <w:vAlign w:val="center"/>
                </w:tcPr>
                <w:p w14:paraId="2EFC2376">
                  <w:pPr>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《工业企业厂界环境噪声排放标准》（GB12348-2008）中</w:t>
                  </w:r>
                  <w:r>
                    <w:rPr>
                      <w:rFonts w:hint="default" w:ascii="Times New Roman" w:hAnsi="Times New Roman" w:eastAsia="宋体"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rPr>
                    <w:t>类标准</w:t>
                  </w:r>
                </w:p>
              </w:tc>
              <w:tc>
                <w:tcPr>
                  <w:tcW w:w="746" w:type="pct"/>
                  <w:noWrap w:val="0"/>
                  <w:vAlign w:val="center"/>
                </w:tcPr>
                <w:p w14:paraId="05CD4DA5">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55</w:t>
                  </w:r>
                </w:p>
              </w:tc>
              <w:tc>
                <w:tcPr>
                  <w:tcW w:w="965" w:type="pct"/>
                  <w:noWrap w:val="0"/>
                  <w:vAlign w:val="center"/>
                </w:tcPr>
                <w:p w14:paraId="5750774C">
                  <w:pPr>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45</w:t>
                  </w:r>
                </w:p>
              </w:tc>
            </w:tr>
          </w:tbl>
          <w:p w14:paraId="55CE6D0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begin"/>
            </w:r>
            <w:r>
              <w:rPr>
                <w:rFonts w:hint="default" w:ascii="Times New Roman" w:hAnsi="Times New Roman" w:cs="Times New Roman" w:eastAsiaTheme="minorEastAsia"/>
                <w:color w:val="000000" w:themeColor="text1"/>
                <w:sz w:val="24"/>
                <w:szCs w:val="24"/>
                <w14:textFill>
                  <w14:solidFill>
                    <w14:schemeClr w14:val="tx1"/>
                  </w14:solidFill>
                </w14:textFill>
              </w:rPr>
              <w:instrText xml:space="preserve"> = 4 \* GB2 \* MERGEFORMAT </w:instrTex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separate"/>
            </w:r>
            <w:r>
              <w:rPr>
                <w:rFonts w:hint="default" w:ascii="Times New Roman" w:hAnsi="Times New Roman" w:cs="Times New Roman"/>
                <w:sz w:val="24"/>
                <w:szCs w:val="24"/>
              </w:rPr>
              <w:t>⑷</w:t>
            </w:r>
            <w:r>
              <w:rPr>
                <w:rFonts w:hint="default" w:ascii="Times New Roman" w:hAnsi="Times New Roman" w:cs="Times New Roman" w:eastAsiaTheme="minorEastAsia"/>
                <w:color w:val="000000" w:themeColor="text1"/>
                <w:sz w:val="24"/>
                <w:szCs w:val="24"/>
                <w14:textFill>
                  <w14:solidFill>
                    <w14:schemeClr w14:val="tx1"/>
                  </w14:solidFill>
                </w14:textFill>
              </w:rPr>
              <w:fldChar w:fldCharType="end"/>
            </w:r>
            <w:r>
              <w:rPr>
                <w:rFonts w:hint="default" w:ascii="Times New Roman" w:hAnsi="Times New Roman" w:cs="Times New Roman" w:eastAsiaTheme="minorEastAsia"/>
                <w:color w:val="000000" w:themeColor="text1"/>
                <w:sz w:val="24"/>
                <w:szCs w:val="24"/>
                <w14:textFill>
                  <w14:solidFill>
                    <w14:schemeClr w14:val="tx1"/>
                  </w14:solidFill>
                </w14:textFill>
              </w:rPr>
              <w:t>一般固体废物执行《一般工业固体废物贮存和填埋污染控制标准》（GB18599-2020）；危险废物贮存执行《危险废物贮存污染控制标准》（GB18597-2023）中相关规定。</w:t>
            </w:r>
          </w:p>
        </w:tc>
      </w:tr>
      <w:tr w14:paraId="29AAF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509DCE6">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其他</w:t>
            </w:r>
          </w:p>
        </w:tc>
        <w:tc>
          <w:tcPr>
            <w:tcW w:w="8156" w:type="dxa"/>
            <w:vAlign w:val="center"/>
          </w:tcPr>
          <w:p w14:paraId="5B4964C0">
            <w:pPr>
              <w:adjustRightInd w:val="0"/>
              <w:snapToGrid w:val="0"/>
              <w:spacing w:line="360" w:lineRule="auto"/>
              <w:ind w:firstLine="480" w:firstLineChars="200"/>
              <w:rPr>
                <w:color w:val="000000" w:themeColor="text1"/>
                <w:sz w:val="24"/>
                <w:lang w:val="en-GB"/>
                <w14:textFill>
                  <w14:solidFill>
                    <w14:schemeClr w14:val="tx1"/>
                  </w14:solidFill>
                </w14:textFill>
              </w:rPr>
            </w:pPr>
            <w:r>
              <w:rPr>
                <w:rFonts w:hint="eastAsia"/>
                <w:color w:val="auto"/>
                <w:sz w:val="24"/>
              </w:rPr>
              <w:t>本</w:t>
            </w:r>
            <w:r>
              <w:rPr>
                <w:color w:val="auto"/>
                <w:sz w:val="24"/>
              </w:rPr>
              <w:t>项目废水不外排，</w:t>
            </w:r>
            <w:r>
              <w:rPr>
                <w:rFonts w:hint="eastAsia"/>
                <w:color w:val="auto"/>
                <w:sz w:val="24"/>
              </w:rPr>
              <w:t>运营期无废气产生</w:t>
            </w:r>
            <w:r>
              <w:rPr>
                <w:color w:val="auto"/>
                <w:sz w:val="24"/>
              </w:rPr>
              <w:t>，</w:t>
            </w:r>
            <w:r>
              <w:rPr>
                <w:rFonts w:hint="eastAsia"/>
                <w:color w:val="auto"/>
                <w:sz w:val="24"/>
              </w:rPr>
              <w:t>不涉及总量控制指标，</w:t>
            </w:r>
            <w:r>
              <w:rPr>
                <w:color w:val="auto"/>
                <w:sz w:val="24"/>
              </w:rPr>
              <w:t>因此不设置环境总量控制指标要求。</w:t>
            </w:r>
          </w:p>
        </w:tc>
      </w:tr>
    </w:tbl>
    <w:p w14:paraId="1FF366A6">
      <w:pPr>
        <w:pStyle w:val="26"/>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r>
        <w:rPr>
          <w:rFonts w:ascii="Times New Roman" w:hAnsi="Times New Roman" w:eastAsia="黑体"/>
          <w:snapToGrid w:val="0"/>
          <w:color w:val="000000" w:themeColor="text1"/>
          <w:sz w:val="30"/>
          <w:szCs w:val="30"/>
          <w14:textFill>
            <w14:solidFill>
              <w14:schemeClr w14:val="tx1"/>
            </w14:solidFill>
          </w14:textFill>
        </w:rPr>
        <w:t>四、</w:t>
      </w:r>
      <w:r>
        <w:rPr>
          <w:rFonts w:hint="eastAsia" w:ascii="Times New Roman" w:hAnsi="Times New Roman" w:eastAsia="黑体"/>
          <w:snapToGrid w:val="0"/>
          <w:color w:val="000000" w:themeColor="text1"/>
          <w:sz w:val="30"/>
          <w:szCs w:val="30"/>
          <w14:textFill>
            <w14:solidFill>
              <w14:schemeClr w14:val="tx1"/>
            </w14:solidFill>
          </w14:textFill>
        </w:rPr>
        <w:t>生态环境影响分析</w:t>
      </w:r>
    </w:p>
    <w:tbl>
      <w:tblPr>
        <w:tblStyle w:val="31"/>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6"/>
        <w:gridCol w:w="8158"/>
      </w:tblGrid>
      <w:tr w14:paraId="2CFDC7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80" w:hRule="atLeast"/>
          <w:jc w:val="center"/>
        </w:trPr>
        <w:tc>
          <w:tcPr>
            <w:tcW w:w="766" w:type="dxa"/>
            <w:tcMar>
              <w:left w:w="28" w:type="dxa"/>
              <w:right w:w="28" w:type="dxa"/>
            </w:tcMar>
            <w:vAlign w:val="center"/>
          </w:tcPr>
          <w:p w14:paraId="57B5AD78">
            <w:pPr>
              <w:pStyle w:val="26"/>
              <w:adjustRightInd w:val="0"/>
              <w:snapToGrid w:val="0"/>
              <w:spacing w:before="0" w:beforeAutospacing="0" w:after="0" w:afterAutospacing="0"/>
              <w:jc w:val="center"/>
              <w:rPr>
                <w:rFonts w:ascii="Times New Roman" w:hAnsi="Times New Roman"/>
                <w:color w:val="000000" w:themeColor="text1"/>
                <w:kern w:val="2"/>
                <w:szCs w:val="24"/>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施工</w:t>
            </w:r>
          </w:p>
          <w:p w14:paraId="6FCCB327">
            <w:pPr>
              <w:pStyle w:val="26"/>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Cs w:val="24"/>
                <w14:textFill>
                  <w14:solidFill>
                    <w14:schemeClr w14:val="tx1"/>
                  </w14:solidFill>
                </w14:textFill>
              </w:rPr>
              <w:t>期</w:t>
            </w:r>
            <w:r>
              <w:rPr>
                <w:rFonts w:hint="eastAsia" w:ascii="Times New Roman" w:hAnsi="Times New Roman"/>
                <w:color w:val="000000" w:themeColor="text1"/>
                <w:kern w:val="2"/>
                <w:szCs w:val="24"/>
                <w14:textFill>
                  <w14:solidFill>
                    <w14:schemeClr w14:val="tx1"/>
                  </w14:solidFill>
                </w14:textFill>
              </w:rPr>
              <w:t>生态环境影响分析</w:t>
            </w:r>
          </w:p>
        </w:tc>
        <w:tc>
          <w:tcPr>
            <w:tcW w:w="8158" w:type="dxa"/>
            <w:vAlign w:val="center"/>
          </w:tcPr>
          <w:p w14:paraId="1B01C1DA">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bCs/>
                <w:color w:val="000000" w:themeColor="text1"/>
                <w:sz w:val="24"/>
                <w14:textFill>
                  <w14:solidFill>
                    <w14:schemeClr w14:val="tx1"/>
                  </w14:solidFill>
                </w14:textFill>
              </w:rPr>
            </w:pPr>
            <w:r>
              <w:rPr>
                <w:color w:val="000000" w:themeColor="text1"/>
                <w:sz w:val="24"/>
                <w14:textFill>
                  <w14:solidFill>
                    <w14:schemeClr w14:val="tx1"/>
                  </w14:solidFill>
                </w14:textFill>
              </w:rPr>
              <w:t>施工期</w:t>
            </w:r>
            <w:r>
              <w:rPr>
                <w:color w:val="000000" w:themeColor="text1"/>
                <w:spacing w:val="-5"/>
                <w:sz w:val="24"/>
                <w14:textFill>
                  <w14:solidFill>
                    <w14:schemeClr w14:val="tx1"/>
                  </w14:solidFill>
                </w14:textFill>
              </w:rPr>
              <w:t>主要为风电场主体工程，包括风电机组基础、箱变基础开挖、浇筑</w:t>
            </w:r>
            <w:r>
              <w:rPr>
                <w:rFonts w:hint="eastAsia"/>
                <w:color w:val="000000" w:themeColor="text1"/>
                <w:spacing w:val="-5"/>
                <w:sz w:val="24"/>
                <w14:textFill>
                  <w14:solidFill>
                    <w14:schemeClr w14:val="tx1"/>
                  </w14:solidFill>
                </w14:textFill>
              </w:rPr>
              <w:t>、</w:t>
            </w:r>
            <w:r>
              <w:rPr>
                <w:color w:val="000000" w:themeColor="text1"/>
                <w:spacing w:val="-5"/>
                <w:sz w:val="24"/>
                <w14:textFill>
                  <w14:solidFill>
                    <w14:schemeClr w14:val="tx1"/>
                  </w14:solidFill>
                </w14:textFill>
              </w:rPr>
              <w:t>设</w:t>
            </w:r>
            <w:r>
              <w:rPr>
                <w:color w:val="000000" w:themeColor="text1"/>
                <w:spacing w:val="-7"/>
                <w:sz w:val="24"/>
                <w14:textFill>
                  <w14:solidFill>
                    <w14:schemeClr w14:val="tx1"/>
                  </w14:solidFill>
                </w14:textFill>
              </w:rPr>
              <w:t>备安装</w:t>
            </w:r>
            <w:r>
              <w:rPr>
                <w:rFonts w:hint="eastAsia"/>
                <w:color w:val="000000" w:themeColor="text1"/>
                <w:spacing w:val="-7"/>
                <w:sz w:val="24"/>
                <w14:textFill>
                  <w14:solidFill>
                    <w14:schemeClr w14:val="tx1"/>
                  </w14:solidFill>
                </w14:textFill>
              </w:rPr>
              <w:t>、</w:t>
            </w:r>
            <w:r>
              <w:rPr>
                <w:color w:val="000000" w:themeColor="text1"/>
                <w:spacing w:val="-7"/>
                <w:sz w:val="24"/>
                <w14:textFill>
                  <w14:solidFill>
                    <w14:schemeClr w14:val="tx1"/>
                  </w14:solidFill>
                </w14:textFill>
              </w:rPr>
              <w:t>施工检修道路的修建等，此外还有临时性工程的建设，</w:t>
            </w:r>
            <w:r>
              <w:rPr>
                <w:rFonts w:hint="eastAsia"/>
                <w:color w:val="000000" w:themeColor="text1"/>
                <w:spacing w:val="-7"/>
                <w:sz w:val="24"/>
                <w14:textFill>
                  <w14:solidFill>
                    <w14:schemeClr w14:val="tx1"/>
                  </w14:solidFill>
                </w14:textFill>
              </w:rPr>
              <w:t>集</w:t>
            </w:r>
            <w:r>
              <w:rPr>
                <w:color w:val="000000" w:themeColor="text1"/>
                <w:spacing w:val="-7"/>
                <w:sz w:val="24"/>
                <w14:textFill>
                  <w14:solidFill>
                    <w14:schemeClr w14:val="tx1"/>
                  </w14:solidFill>
                </w14:textFill>
              </w:rPr>
              <w:t>电线路的架</w:t>
            </w:r>
            <w:r>
              <w:rPr>
                <w:color w:val="000000" w:themeColor="text1"/>
                <w:spacing w:val="-4"/>
                <w:sz w:val="24"/>
                <w14:textFill>
                  <w14:solidFill>
                    <w14:schemeClr w14:val="tx1"/>
                  </w14:solidFill>
                </w14:textFill>
              </w:rPr>
              <w:t>设等工程</w:t>
            </w:r>
            <w:r>
              <w:rPr>
                <w:rFonts w:hint="eastAsia"/>
                <w:color w:val="000000" w:themeColor="text1"/>
                <w:spacing w:val="-4"/>
                <w:sz w:val="24"/>
                <w14:textFill>
                  <w14:solidFill>
                    <w14:schemeClr w14:val="tx1"/>
                  </w14:solidFill>
                </w14:textFill>
              </w:rPr>
              <w:t>。</w:t>
            </w:r>
            <w:r>
              <w:rPr>
                <w:bCs/>
                <w:color w:val="000000" w:themeColor="text1"/>
                <w:sz w:val="24"/>
                <w14:textFill>
                  <w14:solidFill>
                    <w14:schemeClr w14:val="tx1"/>
                  </w14:solidFill>
                </w14:textFill>
              </w:rPr>
              <w:t>施工期</w:t>
            </w:r>
            <w:r>
              <w:rPr>
                <w:rFonts w:hint="eastAsia"/>
                <w:bCs/>
                <w:color w:val="000000" w:themeColor="text1"/>
                <w:sz w:val="24"/>
                <w14:textFill>
                  <w14:solidFill>
                    <w14:schemeClr w14:val="tx1"/>
                  </w14:solidFill>
                </w14:textFill>
              </w:rPr>
              <w:t>工艺流程及</w:t>
            </w:r>
            <w:r>
              <w:rPr>
                <w:bCs/>
                <w:color w:val="000000" w:themeColor="text1"/>
                <w:sz w:val="24"/>
                <w14:textFill>
                  <w14:solidFill>
                    <w14:schemeClr w14:val="tx1"/>
                  </w14:solidFill>
                </w14:textFill>
              </w:rPr>
              <w:t>产污环节见图4-1。</w:t>
            </w:r>
          </w:p>
          <w:p w14:paraId="2D768437">
            <w:pPr>
              <w:pStyle w:val="30"/>
              <w:spacing w:after="0" w:line="360" w:lineRule="auto"/>
              <w:ind w:left="0" w:leftChars="0" w:firstLine="0"/>
              <w:jc w:val="center"/>
              <w:rPr>
                <w:rFonts w:eastAsiaTheme="minorEastAsia"/>
                <w:b/>
                <w:bCs/>
                <w:color w:val="000000" w:themeColor="text1"/>
                <w:kern w:val="2"/>
                <w:sz w:val="21"/>
                <w:szCs w:val="21"/>
                <w14:textFill>
                  <w14:solidFill>
                    <w14:schemeClr w14:val="tx1"/>
                  </w14:solidFill>
                </w14:textFill>
              </w:rPr>
            </w:pPr>
            <w:r>
              <w:rPr>
                <w:rFonts w:hint="eastAsia"/>
                <w:color w:val="000000" w:themeColor="text1"/>
                <w:kern w:val="2"/>
                <w:szCs w:val="24"/>
                <w14:textFill>
                  <w14:solidFill>
                    <w14:schemeClr w14:val="tx1"/>
                  </w14:solidFill>
                </w14:textFill>
              </w:rPr>
              <w:object>
                <v:shape id="_x0000_i1025" o:spt="75" type="#_x0000_t75" style="height:207.65pt;width:402.85pt;" o:ole="t" filled="f" o:preferrelative="t" stroked="f" coordsize="21600,21600">
                  <v:path/>
                  <v:fill on="f" focussize="0,0"/>
                  <v:stroke on="f"/>
                  <v:imagedata r:id="rId19" cropleft="24785f" croptop="2707f" cropright="18682f" cropbottom="50188f" o:title=""/>
                  <o:lock v:ext="edit" aspectratio="f"/>
                  <w10:wrap type="none"/>
                  <w10:anchorlock/>
                </v:shape>
                <o:OLEObject Type="Embed" ProgID="Visio.Drawing.11" ShapeID="_x0000_i1025" DrawAspect="Content" ObjectID="_1468075725" r:id="rId18">
                  <o:LockedField>false</o:LockedField>
                </o:OLEObject>
              </w:object>
            </w:r>
            <w:r>
              <w:rPr>
                <w:rFonts w:eastAsiaTheme="minorEastAsia"/>
                <w:b/>
                <w:bCs/>
                <w:color w:val="000000" w:themeColor="text1"/>
                <w:kern w:val="2"/>
                <w:sz w:val="21"/>
                <w:szCs w:val="21"/>
                <w14:textFill>
                  <w14:solidFill>
                    <w14:schemeClr w14:val="tx1"/>
                  </w14:solidFill>
                </w14:textFill>
              </w:rPr>
              <w:t xml:space="preserve">图4-1 </w:t>
            </w:r>
            <w:r>
              <w:rPr>
                <w:rFonts w:hint="eastAsia" w:eastAsiaTheme="minorEastAsia"/>
                <w:b/>
                <w:bCs/>
                <w:color w:val="000000" w:themeColor="text1"/>
                <w:kern w:val="2"/>
                <w:sz w:val="21"/>
                <w:szCs w:val="21"/>
                <w:lang w:val="en-US" w:eastAsia="zh-CN"/>
                <w14:textFill>
                  <w14:solidFill>
                    <w14:schemeClr w14:val="tx1"/>
                  </w14:solidFill>
                </w14:textFill>
              </w:rPr>
              <w:t>风机</w:t>
            </w:r>
            <w:r>
              <w:rPr>
                <w:rFonts w:eastAsiaTheme="minorEastAsia"/>
                <w:b/>
                <w:bCs/>
                <w:color w:val="000000" w:themeColor="text1"/>
                <w:kern w:val="2"/>
                <w:sz w:val="21"/>
                <w:szCs w:val="21"/>
                <w14:textFill>
                  <w14:solidFill>
                    <w14:schemeClr w14:val="tx1"/>
                  </w14:solidFill>
                </w14:textFill>
              </w:rPr>
              <w:t>施工期工艺流程及产污环节图</w:t>
            </w:r>
          </w:p>
          <w:p w14:paraId="36BAF86A">
            <w:pPr>
              <w:adjustRightInd w:val="0"/>
              <w:snapToGrid w:val="0"/>
              <w:spacing w:line="360" w:lineRule="auto"/>
              <w:ind w:firstLine="465" w:firstLineChars="193"/>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1、生态环境影响分析</w:t>
            </w:r>
          </w:p>
          <w:p w14:paraId="3DD8CA7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生态环境影响主要集中在施工期间，施工过程中进行土石方的填挖，包括风电机组基础施工、公用设施的施工、风电场内道路的修建、临时便道修建等工程，不仅需要动用土石方，而且有大量的施工机械及人员活动。</w:t>
            </w:r>
          </w:p>
          <w:p w14:paraId="40DBBD1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施工期对区域生态环境的影响主要表现在</w:t>
            </w:r>
            <w:r>
              <w:rPr>
                <w:rFonts w:hint="eastAsia"/>
                <w:color w:val="000000" w:themeColor="text1"/>
                <w:sz w:val="24"/>
                <w14:textFill>
                  <w14:solidFill>
                    <w14:schemeClr w14:val="tx1"/>
                  </w14:solidFill>
                </w14:textFill>
              </w:rPr>
              <w:t>临时占地及施工对地表的扰动影响、对</w:t>
            </w:r>
            <w:r>
              <w:rPr>
                <w:color w:val="000000" w:themeColor="text1"/>
                <w:sz w:val="24"/>
                <w14:textFill>
                  <w14:solidFill>
                    <w14:schemeClr w14:val="tx1"/>
                  </w14:solidFill>
                </w14:textFill>
              </w:rPr>
              <w:t>地表植被的破坏</w:t>
            </w:r>
            <w:r>
              <w:rPr>
                <w:rFonts w:hint="eastAsia"/>
                <w:color w:val="000000" w:themeColor="text1"/>
                <w:sz w:val="24"/>
                <w14:textFill>
                  <w14:solidFill>
                    <w14:schemeClr w14:val="tx1"/>
                  </w14:solidFill>
                </w14:textFill>
              </w:rPr>
              <w:t>以及取弃土</w:t>
            </w:r>
            <w:r>
              <w:rPr>
                <w:color w:val="000000" w:themeColor="text1"/>
                <w:sz w:val="24"/>
                <w14:textFill>
                  <w14:solidFill>
                    <w14:schemeClr w14:val="tx1"/>
                  </w14:solidFill>
                </w14:textFill>
              </w:rPr>
              <w:t>可能造成土壤的侵蚀及水土流失</w:t>
            </w:r>
            <w:r>
              <w:rPr>
                <w:rFonts w:hint="eastAsia"/>
                <w:color w:val="000000" w:themeColor="text1"/>
                <w:sz w:val="24"/>
                <w14:textFill>
                  <w14:solidFill>
                    <w14:schemeClr w14:val="tx1"/>
                  </w14:solidFill>
                </w14:textFill>
              </w:rPr>
              <w:t>等，</w:t>
            </w:r>
            <w:r>
              <w:rPr>
                <w:color w:val="000000" w:themeColor="text1"/>
                <w:sz w:val="24"/>
                <w14:textFill>
                  <w14:solidFill>
                    <w14:schemeClr w14:val="tx1"/>
                  </w14:solidFill>
                </w14:textFill>
              </w:rPr>
              <w:t>施工噪声对当地野生动物及鸟类栖息环境的影响。</w:t>
            </w:r>
          </w:p>
          <w:p w14:paraId="48F1622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土地占用对土地利用结构的影响</w:t>
            </w:r>
          </w:p>
          <w:p w14:paraId="6F508E9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临时占地对植被以及动物生境产生影响，施工活动对动物产生惊扰影响，从整体上影响评价范围生态系统，本项目施工活动相对于整个评价范围，占地较少，对整个生态系统功能、类型、结构、过程等产生影响较小。</w:t>
            </w:r>
          </w:p>
          <w:p w14:paraId="007A6DA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永久占地包括风机基础、</w:t>
            </w:r>
            <w:r>
              <w:rPr>
                <w:rFonts w:hint="eastAsia"/>
                <w:color w:val="000000" w:themeColor="text1"/>
                <w:sz w:val="24"/>
                <w14:textFill>
                  <w14:solidFill>
                    <w14:schemeClr w14:val="tx1"/>
                  </w14:solidFill>
                </w14:textFill>
              </w:rPr>
              <w:t>箱变基础</w:t>
            </w:r>
            <w:r>
              <w:rPr>
                <w:color w:val="000000" w:themeColor="text1"/>
                <w:sz w:val="24"/>
                <w14:textFill>
                  <w14:solidFill>
                    <w14:schemeClr w14:val="tx1"/>
                  </w14:solidFill>
                </w14:textFill>
              </w:rPr>
              <w:t>占地。</w:t>
            </w:r>
            <w:r>
              <w:rPr>
                <w:rFonts w:hint="default" w:ascii="Times New Roman" w:hAnsi="Times New Roman" w:cs="Times New Roman"/>
                <w:color w:val="auto"/>
                <w:sz w:val="24"/>
              </w:rPr>
              <w:t>永久占地面积为</w:t>
            </w:r>
            <w:r>
              <w:rPr>
                <w:rFonts w:hint="default" w:ascii="Times New Roman" w:hAnsi="Times New Roman" w:cs="Times New Roman"/>
                <w:color w:val="auto"/>
                <w:sz w:val="24"/>
                <w:lang w:val="en-US" w:eastAsia="zh-CN"/>
              </w:rPr>
              <w:t>5096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，除永久占地外，临时占地包括风机安装平台、临时施工道路和施工临建区占地等，临时占地面积为</w:t>
            </w:r>
            <w:r>
              <w:rPr>
                <w:rFonts w:hint="default" w:ascii="Times New Roman" w:hAnsi="Times New Roman" w:cs="Times New Roman"/>
                <w:color w:val="auto"/>
                <w:sz w:val="24"/>
                <w:lang w:val="en-US" w:eastAsia="zh-CN"/>
              </w:rPr>
              <w:t>489942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，但施</w:t>
            </w:r>
            <w:r>
              <w:rPr>
                <w:color w:val="000000" w:themeColor="text1"/>
                <w:sz w:val="24"/>
                <w14:textFill>
                  <w14:solidFill>
                    <w14:schemeClr w14:val="tx1"/>
                  </w14:solidFill>
                </w14:textFill>
              </w:rPr>
              <w:t>工结束后，经采取植被恢复保护措施后，该临时占地一般在2</w:t>
            </w:r>
            <w:r>
              <w:rPr>
                <w:color w:val="000000" w:themeColor="text1"/>
                <w:sz w:val="24"/>
                <w:lang w:val="zh-CN"/>
                <w14:textFill>
                  <w14:solidFill>
                    <w14:schemeClr w14:val="tx1"/>
                  </w14:solidFill>
                </w14:textFill>
              </w:rPr>
              <w:t>～</w:t>
            </w:r>
            <w:r>
              <w:rPr>
                <w:color w:val="000000" w:themeColor="text1"/>
                <w:sz w:val="24"/>
                <w14:textFill>
                  <w14:solidFill>
                    <w14:schemeClr w14:val="tx1"/>
                  </w14:solidFill>
                </w14:textFill>
              </w:rPr>
              <w:t>3年内基本可</w:t>
            </w:r>
            <w:r>
              <w:rPr>
                <w:rFonts w:hint="eastAsia"/>
                <w:color w:val="000000" w:themeColor="text1"/>
                <w:sz w:val="24"/>
                <w14:textFill>
                  <w14:solidFill>
                    <w14:schemeClr w14:val="tx1"/>
                  </w14:solidFill>
                </w14:textFill>
              </w:rPr>
              <w:t>部分</w:t>
            </w:r>
            <w:r>
              <w:rPr>
                <w:color w:val="000000" w:themeColor="text1"/>
                <w:sz w:val="24"/>
                <w14:textFill>
                  <w14:solidFill>
                    <w14:schemeClr w14:val="tx1"/>
                  </w14:solidFill>
                </w14:textFill>
              </w:rPr>
              <w:t>恢复原有土地利用功能</w:t>
            </w:r>
            <w:r>
              <w:rPr>
                <w:rFonts w:hint="eastAsia"/>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尽可能造地复垦，不能复垦的要绿化</w:t>
            </w:r>
            <w:r>
              <w:rPr>
                <w:color w:val="000000" w:themeColor="text1"/>
                <w:sz w:val="24"/>
                <w14:textFill>
                  <w14:solidFill>
                    <w14:schemeClr w14:val="tx1"/>
                  </w14:solidFill>
                </w14:textFill>
              </w:rPr>
              <w:t>。因此，本项目施工期对土地利用影响</w:t>
            </w:r>
            <w:r>
              <w:rPr>
                <w:rFonts w:hint="eastAsia"/>
                <w:color w:val="000000" w:themeColor="text1"/>
                <w:sz w:val="24"/>
                <w14:textFill>
                  <w14:solidFill>
                    <w14:schemeClr w14:val="tx1"/>
                  </w14:solidFill>
                </w14:textFill>
              </w:rPr>
              <w:t>较小</w:t>
            </w:r>
            <w:r>
              <w:rPr>
                <w:color w:val="000000" w:themeColor="text1"/>
                <w:sz w:val="24"/>
                <w14:textFill>
                  <w14:solidFill>
                    <w14:schemeClr w14:val="tx1"/>
                  </w14:solidFill>
                </w14:textFill>
              </w:rPr>
              <w:t>。</w:t>
            </w:r>
          </w:p>
          <w:p w14:paraId="73CD67D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施工期对植被的影响分析</w:t>
            </w:r>
          </w:p>
          <w:p w14:paraId="2A14E06C">
            <w:pPr>
              <w:spacing w:line="360" w:lineRule="auto"/>
              <w:ind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本项目建设对植被的影响主要集中在风机基础</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进场道路加宽、场内道路等施工过程中，表现为地表开挖造成植被破坏、埋压等。此外，风电场</w:t>
            </w:r>
            <w:r>
              <w:rPr>
                <w:rFonts w:hint="eastAsia"/>
                <w:color w:val="000000" w:themeColor="text1"/>
                <w:sz w:val="24"/>
                <w14:textFill>
                  <w14:solidFill>
                    <w14:schemeClr w14:val="tx1"/>
                  </w14:solidFill>
                </w14:textFill>
              </w:rPr>
              <w:t>施工期吊装场地、施工道路及施工临建场地</w:t>
            </w:r>
            <w:r>
              <w:rPr>
                <w:color w:val="000000" w:themeColor="text1"/>
                <w:sz w:val="24"/>
                <w14:textFill>
                  <w14:solidFill>
                    <w14:schemeClr w14:val="tx1"/>
                  </w14:solidFill>
                </w14:textFill>
              </w:rPr>
              <w:t>等临时</w:t>
            </w:r>
            <w:r>
              <w:rPr>
                <w:rFonts w:hint="eastAsia"/>
                <w:color w:val="000000" w:themeColor="text1"/>
                <w:sz w:val="24"/>
                <w14:textFill>
                  <w14:solidFill>
                    <w14:schemeClr w14:val="tx1"/>
                  </w14:solidFill>
                </w14:textFill>
              </w:rPr>
              <w:t>工程</w:t>
            </w:r>
            <w:r>
              <w:rPr>
                <w:color w:val="000000" w:themeColor="text1"/>
                <w:sz w:val="24"/>
                <w14:textFill>
                  <w14:solidFill>
                    <w14:schemeClr w14:val="tx1"/>
                  </w14:solidFill>
                </w14:textFill>
              </w:rPr>
              <w:t>也需要占地，破坏地表植被。施工过程中，施工范围内的植物地上部分与根系均被铲除，同时还伤及附近植物的根系；施工带内植被由于挖掘出的土方堆放、人员践踏、施工车辆和机械碾压等，会造成地上部分破坏甚至去除，但根系仍然保留。这些将会造成施工区域植被的破坏，影响区域内植被覆盖度及植物群落组成和数量分布，使区域植被生产能力降低。</w:t>
            </w:r>
            <w:r>
              <w:rPr>
                <w:snapToGrid w:val="0"/>
                <w:color w:val="000000" w:themeColor="text1"/>
                <w:kern w:val="0"/>
                <w:sz w:val="24"/>
                <w14:textFill>
                  <w14:solidFill>
                    <w14:schemeClr w14:val="tx1"/>
                  </w14:solidFill>
                </w14:textFill>
              </w:rPr>
              <w:t>但对临时占地而言，这种影响是短期的、可逆的，施工结束后，经过2</w:t>
            </w: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3年的时间可以恢复</w:t>
            </w:r>
            <w:r>
              <w:rPr>
                <w:rFonts w:hint="eastAsia"/>
                <w:snapToGrid w:val="0"/>
                <w:color w:val="000000" w:themeColor="text1"/>
                <w:kern w:val="0"/>
                <w:sz w:val="24"/>
                <w14:textFill>
                  <w14:solidFill>
                    <w14:schemeClr w14:val="tx1"/>
                  </w14:solidFill>
                </w14:textFill>
              </w:rPr>
              <w:t>植被，</w:t>
            </w:r>
            <w:r>
              <w:rPr>
                <w:color w:val="000000" w:themeColor="text1"/>
                <w:sz w:val="24"/>
                <w14:textFill>
                  <w14:solidFill>
                    <w14:schemeClr w14:val="tx1"/>
                  </w14:solidFill>
                </w14:textFill>
              </w:rPr>
              <w:t>因此，本项目施工期对</w:t>
            </w:r>
            <w:r>
              <w:rPr>
                <w:rFonts w:hint="eastAsia"/>
                <w:color w:val="000000" w:themeColor="text1"/>
                <w:sz w:val="24"/>
                <w14:textFill>
                  <w14:solidFill>
                    <w14:schemeClr w14:val="tx1"/>
                  </w14:solidFill>
                </w14:textFill>
              </w:rPr>
              <w:t>植被的</w:t>
            </w:r>
            <w:r>
              <w:rPr>
                <w:color w:val="000000" w:themeColor="text1"/>
                <w:sz w:val="24"/>
                <w14:textFill>
                  <w14:solidFill>
                    <w14:schemeClr w14:val="tx1"/>
                  </w14:solidFill>
                </w14:textFill>
              </w:rPr>
              <w:t>影响</w:t>
            </w:r>
            <w:r>
              <w:rPr>
                <w:rFonts w:hint="eastAsia"/>
                <w:color w:val="000000" w:themeColor="text1"/>
                <w:sz w:val="24"/>
                <w14:textFill>
                  <w14:solidFill>
                    <w14:schemeClr w14:val="tx1"/>
                  </w14:solidFill>
                </w14:textFill>
              </w:rPr>
              <w:t>较小</w:t>
            </w:r>
            <w:r>
              <w:rPr>
                <w:snapToGrid w:val="0"/>
                <w:color w:val="000000" w:themeColor="text1"/>
                <w:kern w:val="0"/>
                <w:sz w:val="24"/>
                <w14:textFill>
                  <w14:solidFill>
                    <w14:schemeClr w14:val="tx1"/>
                  </w14:solidFill>
                </w14:textFill>
              </w:rPr>
              <w:t>。</w:t>
            </w:r>
          </w:p>
          <w:p w14:paraId="7DF25B4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GB2 \* MERGEFORMAT </w:instrText>
            </w:r>
            <w:r>
              <w:rPr>
                <w:color w:val="000000" w:themeColor="text1"/>
                <w:sz w:val="24"/>
                <w14:textFill>
                  <w14:solidFill>
                    <w14:schemeClr w14:val="tx1"/>
                  </w14:solidFill>
                </w14:textFill>
              </w:rPr>
              <w:fldChar w:fldCharType="separate"/>
            </w:r>
            <w:r>
              <w:t>⑶</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施工期对土壤的影响分析</w:t>
            </w:r>
          </w:p>
          <w:p w14:paraId="55A4E75F">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本项目建设对土壤的影响主要是占地对原有土壤结构的影响，其次是对土壤环境的影响。</w:t>
            </w:r>
          </w:p>
          <w:p w14:paraId="324CF810">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对土壤结构的</w:t>
            </w:r>
            <w:r>
              <w:rPr>
                <w:color w:val="000000" w:themeColor="text1"/>
                <w:sz w:val="24"/>
                <w14:textFill>
                  <w14:solidFill>
                    <w14:schemeClr w14:val="tx1"/>
                  </w14:solidFill>
                </w14:textFill>
              </w:rPr>
              <w:t>影响</w:t>
            </w:r>
            <w:r>
              <w:rPr>
                <w:snapToGrid w:val="0"/>
                <w:color w:val="000000" w:themeColor="text1"/>
                <w:kern w:val="0"/>
                <w:sz w:val="24"/>
                <w14:textFill>
                  <w14:solidFill>
                    <w14:schemeClr w14:val="tx1"/>
                  </w14:solidFill>
                </w14:textFill>
              </w:rPr>
              <w:t>主要集中在</w:t>
            </w:r>
            <w:r>
              <w:rPr>
                <w:rFonts w:hint="eastAsia"/>
                <w:snapToGrid w:val="0"/>
                <w:color w:val="000000" w:themeColor="text1"/>
                <w:kern w:val="0"/>
                <w:sz w:val="24"/>
                <w14:textFill>
                  <w14:solidFill>
                    <w14:schemeClr w14:val="tx1"/>
                  </w14:solidFill>
                </w14:textFill>
              </w:rPr>
              <w:t>基础</w:t>
            </w:r>
            <w:r>
              <w:rPr>
                <w:snapToGrid w:val="0"/>
                <w:color w:val="000000" w:themeColor="text1"/>
                <w:kern w:val="0"/>
                <w:sz w:val="24"/>
                <w14:textFill>
                  <w14:solidFill>
                    <w14:schemeClr w14:val="tx1"/>
                  </w14:solidFill>
                </w14:textFill>
              </w:rPr>
              <w:t>开挖、回填过程中。工程在施工时进行开挖、堆放、回填、人工踩踏、机械设备夯实或碾压等施工操作，这些物理过程对土壤的最大影响是破坏土壤结构、扰乱土壤耕作层。土壤结构是经过较长的历史时期形成的，一旦遭到破坏，短期内难以恢复。在施工过程中，对土壤耕作层的影响最为严重。但对临时占地而言，这种影响是短期的、可逆的，施工结束后，经过2</w:t>
            </w:r>
            <w:r>
              <w:rPr>
                <w:rFonts w:hint="eastAsia"/>
                <w:snapToGrid w:val="0"/>
                <w:color w:val="000000" w:themeColor="text1"/>
                <w:kern w:val="0"/>
                <w:sz w:val="24"/>
                <w14:textFill>
                  <w14:solidFill>
                    <w14:schemeClr w14:val="tx1"/>
                  </w14:solidFill>
                </w14:textFill>
              </w:rPr>
              <w:t>～</w:t>
            </w:r>
            <w:r>
              <w:rPr>
                <w:snapToGrid w:val="0"/>
                <w:color w:val="000000" w:themeColor="text1"/>
                <w:kern w:val="0"/>
                <w:sz w:val="24"/>
                <w14:textFill>
                  <w14:solidFill>
                    <w14:schemeClr w14:val="tx1"/>
                  </w14:solidFill>
                </w14:textFill>
              </w:rPr>
              <w:t>3年的时间可以恢复</w:t>
            </w:r>
            <w:r>
              <w:rPr>
                <w:rFonts w:hint="eastAsia"/>
                <w:snapToGrid w:val="0"/>
                <w:color w:val="000000" w:themeColor="text1"/>
                <w:kern w:val="0"/>
                <w:sz w:val="24"/>
                <w14:textFill>
                  <w14:solidFill>
                    <w14:schemeClr w14:val="tx1"/>
                  </w14:solidFill>
                </w14:textFill>
              </w:rPr>
              <w:t>，</w:t>
            </w:r>
            <w:r>
              <w:rPr>
                <w:color w:val="000000" w:themeColor="text1"/>
                <w:sz w:val="24"/>
                <w14:textFill>
                  <w14:solidFill>
                    <w14:schemeClr w14:val="tx1"/>
                  </w14:solidFill>
                </w14:textFill>
              </w:rPr>
              <w:t>因此，本项目施工期对</w:t>
            </w:r>
            <w:r>
              <w:rPr>
                <w:rFonts w:hint="eastAsia"/>
                <w:color w:val="000000" w:themeColor="text1"/>
                <w:sz w:val="24"/>
                <w14:textFill>
                  <w14:solidFill>
                    <w14:schemeClr w14:val="tx1"/>
                  </w14:solidFill>
                </w14:textFill>
              </w:rPr>
              <w:t>土壤的</w:t>
            </w:r>
            <w:r>
              <w:rPr>
                <w:color w:val="000000" w:themeColor="text1"/>
                <w:sz w:val="24"/>
                <w14:textFill>
                  <w14:solidFill>
                    <w14:schemeClr w14:val="tx1"/>
                  </w14:solidFill>
                </w14:textFill>
              </w:rPr>
              <w:t>影响</w:t>
            </w:r>
            <w:r>
              <w:rPr>
                <w:rFonts w:hint="eastAsia"/>
                <w:color w:val="000000" w:themeColor="text1"/>
                <w:sz w:val="24"/>
                <w14:textFill>
                  <w14:solidFill>
                    <w14:schemeClr w14:val="tx1"/>
                  </w14:solidFill>
                </w14:textFill>
              </w:rPr>
              <w:t>较小</w:t>
            </w:r>
            <w:r>
              <w:rPr>
                <w:snapToGrid w:val="0"/>
                <w:color w:val="000000" w:themeColor="text1"/>
                <w:kern w:val="0"/>
                <w:sz w:val="24"/>
                <w14:textFill>
                  <w14:solidFill>
                    <w14:schemeClr w14:val="tx1"/>
                  </w14:solidFill>
                </w14:textFill>
              </w:rPr>
              <w:t>。</w:t>
            </w:r>
          </w:p>
          <w:p w14:paraId="4DD53B6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GB2 \* MERGEFORMAT </w:instrText>
            </w:r>
            <w:r>
              <w:rPr>
                <w:color w:val="000000" w:themeColor="text1"/>
                <w:sz w:val="24"/>
                <w14:textFill>
                  <w14:solidFill>
                    <w14:schemeClr w14:val="tx1"/>
                  </w14:solidFill>
                </w14:textFill>
              </w:rPr>
              <w:fldChar w:fldCharType="separate"/>
            </w:r>
            <w:r>
              <w:t>⑷</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施工期对野生动物的影响分析</w:t>
            </w:r>
          </w:p>
          <w:p w14:paraId="0854C41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机械噪声和人类活动噪声是影响野生动物的主要因素，各种施工机械如运输车辆、推土机、振捣棒等均可能产生较强的噪声，虽然这些施工机械属非连续性间歇排放，但由于噪声源相对集中，且多为裸露声源，故其辐射范围和影响程度较大。预计在施工期，本区的野生动物</w:t>
            </w:r>
            <w:r>
              <w:rPr>
                <w:rFonts w:hint="eastAsia"/>
                <w:color w:val="000000" w:themeColor="text1"/>
                <w:sz w:val="24"/>
                <w14:textFill>
                  <w14:solidFill>
                    <w14:schemeClr w14:val="tx1"/>
                  </w14:solidFill>
                </w14:textFill>
              </w:rPr>
              <w:t>和鸟类</w:t>
            </w:r>
            <w:r>
              <w:rPr>
                <w:color w:val="000000" w:themeColor="text1"/>
                <w:sz w:val="24"/>
                <w14:textFill>
                  <w14:solidFill>
                    <w14:schemeClr w14:val="tx1"/>
                  </w14:solidFill>
                </w14:textFill>
              </w:rPr>
              <w:t>都将产生规避反应，远离这一地区，其栖息和繁殖环境需要相对的安静，因此本</w:t>
            </w:r>
            <w:r>
              <w:rPr>
                <w:rFonts w:hint="eastAsia"/>
                <w:color w:val="000000" w:themeColor="text1"/>
                <w:sz w:val="24"/>
                <w14:textFill>
                  <w14:solidFill>
                    <w14:schemeClr w14:val="tx1"/>
                  </w14:solidFill>
                </w14:textFill>
              </w:rPr>
              <w:t>项目施工期的建设对野生动物和</w:t>
            </w:r>
            <w:r>
              <w:rPr>
                <w:color w:val="000000" w:themeColor="text1"/>
                <w:sz w:val="24"/>
                <w14:textFill>
                  <w14:solidFill>
                    <w14:schemeClr w14:val="tx1"/>
                  </w14:solidFill>
                </w14:textFill>
              </w:rPr>
              <w:t>鸟类</w:t>
            </w:r>
            <w:r>
              <w:rPr>
                <w:rFonts w:hint="eastAsia"/>
                <w:color w:val="000000" w:themeColor="text1"/>
                <w:sz w:val="24"/>
                <w14:textFill>
                  <w14:solidFill>
                    <w14:schemeClr w14:val="tx1"/>
                  </w14:solidFill>
                </w14:textFill>
              </w:rPr>
              <w:t>会产生</w:t>
            </w:r>
            <w:r>
              <w:rPr>
                <w:color w:val="000000" w:themeColor="text1"/>
                <w:sz w:val="24"/>
                <w14:textFill>
                  <w14:solidFill>
                    <w14:schemeClr w14:val="tx1"/>
                  </w14:solidFill>
                </w14:textFill>
              </w:rPr>
              <w:t>一定</w:t>
            </w:r>
            <w:r>
              <w:rPr>
                <w:rFonts w:hint="eastAsia"/>
                <w:color w:val="000000" w:themeColor="text1"/>
                <w:sz w:val="24"/>
                <w14:textFill>
                  <w14:solidFill>
                    <w14:schemeClr w14:val="tx1"/>
                  </w14:solidFill>
                </w14:textFill>
              </w:rPr>
              <w:t>的</w:t>
            </w:r>
            <w:r>
              <w:rPr>
                <w:color w:val="000000" w:themeColor="text1"/>
                <w:sz w:val="24"/>
                <w14:textFill>
                  <w14:solidFill>
                    <w14:schemeClr w14:val="tx1"/>
                  </w14:solidFill>
                </w14:textFill>
              </w:rPr>
              <w:t>影响。</w:t>
            </w:r>
            <w:r>
              <w:rPr>
                <w:rFonts w:hint="eastAsia"/>
                <w:color w:val="000000" w:themeColor="text1"/>
                <w:sz w:val="24"/>
                <w14:textFill>
                  <w14:solidFill>
                    <w14:schemeClr w14:val="tx1"/>
                  </w14:solidFill>
                </w14:textFill>
              </w:rPr>
              <w:t>但是这种影响是短期的、可逆的，施工结束后，其影响可以明显降低或者基本消除，因此</w:t>
            </w:r>
            <w:r>
              <w:rPr>
                <w:color w:val="000000" w:themeColor="text1"/>
                <w:sz w:val="24"/>
                <w14:textFill>
                  <w14:solidFill>
                    <w14:schemeClr w14:val="tx1"/>
                  </w14:solidFill>
                </w14:textFill>
              </w:rPr>
              <w:t>本项目施工期对</w:t>
            </w:r>
            <w:r>
              <w:rPr>
                <w:rFonts w:hint="eastAsia"/>
                <w:color w:val="000000" w:themeColor="text1"/>
                <w:sz w:val="24"/>
                <w14:textFill>
                  <w14:solidFill>
                    <w14:schemeClr w14:val="tx1"/>
                  </w14:solidFill>
                </w14:textFill>
              </w:rPr>
              <w:t>野生动物的</w:t>
            </w:r>
            <w:r>
              <w:rPr>
                <w:color w:val="000000" w:themeColor="text1"/>
                <w:sz w:val="24"/>
                <w14:textFill>
                  <w14:solidFill>
                    <w14:schemeClr w14:val="tx1"/>
                  </w14:solidFill>
                </w14:textFill>
              </w:rPr>
              <w:t>影响</w:t>
            </w:r>
            <w:r>
              <w:rPr>
                <w:rFonts w:hint="eastAsia"/>
                <w:color w:val="000000" w:themeColor="text1"/>
                <w:sz w:val="24"/>
                <w14:textFill>
                  <w14:solidFill>
                    <w14:schemeClr w14:val="tx1"/>
                  </w14:solidFill>
                </w14:textFill>
              </w:rPr>
              <w:t>较小。</w:t>
            </w:r>
          </w:p>
          <w:p w14:paraId="36F3B93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GB2 \* MERGEFORMAT </w:instrText>
            </w:r>
            <w:r>
              <w:rPr>
                <w:color w:val="000000" w:themeColor="text1"/>
                <w:sz w:val="24"/>
                <w14:textFill>
                  <w14:solidFill>
                    <w14:schemeClr w14:val="tx1"/>
                  </w14:solidFill>
                </w14:textFill>
              </w:rPr>
              <w:fldChar w:fldCharType="separate"/>
            </w:r>
            <w:r>
              <w:t>⑸</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施工期对水土流失影响分析</w:t>
            </w:r>
          </w:p>
          <w:p w14:paraId="3F154D6B">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①主体工程</w:t>
            </w:r>
          </w:p>
          <w:p w14:paraId="2F47E4ED">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主要产生水土流失时段为土建施工期间，土建施工期主要包括场地平整、塔基开挖等。根据施工特点，场地平整、塔基开挖等工程在施工过程中将造成对原地表开挖、扰动和再塑，使地表植被遭到破坏，失去原有固土和防冲能力，易造成水土流失。</w:t>
            </w:r>
          </w:p>
          <w:p w14:paraId="742636E1">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②临时施工道路</w:t>
            </w:r>
          </w:p>
          <w:p w14:paraId="79144D52">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新的施工便道开辟会有临时堆料的占地行为，对堆占地范围内的植被和地表土壤造成一定程度的破坏，为水土流失的发生和加剧创造条件。</w:t>
            </w:r>
          </w:p>
          <w:p w14:paraId="1AE73F1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③临时堆土区</w:t>
            </w:r>
          </w:p>
          <w:p w14:paraId="346C62B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在主体工程建设过程中，存在建筑材料及土方需要临时堆放，对原地表进行了扰动。</w:t>
            </w:r>
            <w:r>
              <w:rPr>
                <w:rFonts w:hint="eastAsia"/>
                <w:color w:val="000000" w:themeColor="text1"/>
                <w:sz w:val="24"/>
                <w14:textFill>
                  <w14:solidFill>
                    <w14:schemeClr w14:val="tx1"/>
                  </w14:solidFill>
                </w14:textFill>
              </w:rPr>
              <w:t>施工过程中，</w:t>
            </w:r>
            <w:r>
              <w:rPr>
                <w:color w:val="000000" w:themeColor="text1"/>
                <w:sz w:val="24"/>
                <w14:textFill>
                  <w14:solidFill>
                    <w14:schemeClr w14:val="tx1"/>
                  </w14:solidFill>
                </w14:textFill>
              </w:rPr>
              <w:t>对于临时堆放的土体</w:t>
            </w:r>
            <w:r>
              <w:rPr>
                <w:rFonts w:hint="eastAsia"/>
                <w:color w:val="000000" w:themeColor="text1"/>
                <w:sz w:val="24"/>
                <w14:textFill>
                  <w14:solidFill>
                    <w14:schemeClr w14:val="tx1"/>
                  </w14:solidFill>
                </w14:textFill>
              </w:rPr>
              <w:t>及时</w:t>
            </w:r>
            <w:r>
              <w:rPr>
                <w:color w:val="000000" w:themeColor="text1"/>
                <w:sz w:val="24"/>
                <w14:textFill>
                  <w14:solidFill>
                    <w14:schemeClr w14:val="tx1"/>
                  </w14:solidFill>
                </w14:textFill>
              </w:rPr>
              <w:t>采取临时性的水土流失防护措施，</w:t>
            </w:r>
            <w:r>
              <w:rPr>
                <w:rFonts w:hint="eastAsia"/>
                <w:color w:val="000000" w:themeColor="text1"/>
                <w:sz w:val="24"/>
                <w14:textFill>
                  <w14:solidFill>
                    <w14:schemeClr w14:val="tx1"/>
                  </w14:solidFill>
                </w14:textFill>
              </w:rPr>
              <w:t>减少</w:t>
            </w:r>
            <w:r>
              <w:rPr>
                <w:color w:val="000000" w:themeColor="text1"/>
                <w:sz w:val="24"/>
                <w14:textFill>
                  <w14:solidFill>
                    <w14:schemeClr w14:val="tx1"/>
                  </w14:solidFill>
                </w14:textFill>
              </w:rPr>
              <w:t>水土流失</w:t>
            </w:r>
            <w:r>
              <w:rPr>
                <w:rFonts w:hint="eastAsia"/>
                <w:color w:val="000000" w:themeColor="text1"/>
                <w:sz w:val="24"/>
                <w14:textFill>
                  <w14:solidFill>
                    <w14:schemeClr w14:val="tx1"/>
                  </w14:solidFill>
                </w14:textFill>
              </w:rPr>
              <w:t>。</w:t>
            </w:r>
          </w:p>
          <w:p w14:paraId="3D1509DC">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④检修</w:t>
            </w:r>
            <w:r>
              <w:rPr>
                <w:rFonts w:hint="eastAsia"/>
                <w:color w:val="000000" w:themeColor="text1"/>
                <w:sz w:val="24"/>
                <w14:textFill>
                  <w14:solidFill>
                    <w14:schemeClr w14:val="tx1"/>
                  </w14:solidFill>
                </w14:textFill>
              </w:rPr>
              <w:t>道路</w:t>
            </w:r>
          </w:p>
          <w:p w14:paraId="6B2819E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检修</w:t>
            </w:r>
            <w:r>
              <w:rPr>
                <w:rFonts w:hint="eastAsia"/>
                <w:color w:val="000000" w:themeColor="text1"/>
                <w:sz w:val="24"/>
                <w14:textFill>
                  <w14:solidFill>
                    <w14:schemeClr w14:val="tx1"/>
                  </w14:solidFill>
                </w14:textFill>
              </w:rPr>
              <w:t>道</w:t>
            </w:r>
            <w:r>
              <w:rPr>
                <w:color w:val="000000" w:themeColor="text1"/>
                <w:sz w:val="24"/>
                <w14:textFill>
                  <w14:solidFill>
                    <w14:schemeClr w14:val="tx1"/>
                  </w14:solidFill>
                </w14:textFill>
              </w:rPr>
              <w:t>路</w:t>
            </w:r>
            <w:r>
              <w:rPr>
                <w:rFonts w:hint="eastAsia"/>
                <w:color w:val="000000" w:themeColor="text1"/>
                <w:sz w:val="24"/>
                <w14:textFill>
                  <w14:solidFill>
                    <w14:schemeClr w14:val="tx1"/>
                  </w14:solidFill>
                </w14:textFill>
              </w:rPr>
              <w:t>采用</w:t>
            </w:r>
            <w:r>
              <w:rPr>
                <w:color w:val="000000" w:themeColor="text1"/>
                <w:sz w:val="24"/>
                <w14:textFill>
                  <w14:solidFill>
                    <w14:schemeClr w14:val="tx1"/>
                  </w14:solidFill>
                </w14:textFill>
              </w:rPr>
              <w:t>泥结碎石路面，道路两侧设排水沟。在建设过程中，开挖排水沟、路基会对原有植被造成一定程度破坏，易造成水土流失。</w:t>
            </w:r>
          </w:p>
          <w:p w14:paraId="7C76C314">
            <w:pPr>
              <w:adjustRightInd w:val="0"/>
              <w:snapToGrid w:val="0"/>
              <w:spacing w:line="360" w:lineRule="auto"/>
              <w:ind w:firstLine="465" w:firstLineChars="193"/>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2、大气环境影响分析</w:t>
            </w:r>
          </w:p>
          <w:p w14:paraId="7326C262">
            <w:pPr>
              <w:pStyle w:val="88"/>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w:t>
            </w:r>
            <w:r>
              <w:rPr>
                <w:color w:val="000000" w:themeColor="text1"/>
                <w:sz w:val="24"/>
                <w14:textFill>
                  <w14:solidFill>
                    <w14:schemeClr w14:val="tx1"/>
                  </w14:solidFill>
                </w14:textFill>
              </w:rPr>
              <w:t>废气主要为平整场地、</w:t>
            </w:r>
            <w:r>
              <w:rPr>
                <w:rFonts w:hint="eastAsia"/>
                <w:color w:val="000000" w:themeColor="text1"/>
                <w:sz w:val="24"/>
                <w14:textFill>
                  <w14:solidFill>
                    <w14:schemeClr w14:val="tx1"/>
                  </w14:solidFill>
                </w14:textFill>
              </w:rPr>
              <w:t>地基</w:t>
            </w:r>
            <w:r>
              <w:rPr>
                <w:color w:val="000000" w:themeColor="text1"/>
                <w:sz w:val="24"/>
                <w14:textFill>
                  <w14:solidFill>
                    <w14:schemeClr w14:val="tx1"/>
                  </w14:solidFill>
                </w14:textFill>
              </w:rPr>
              <w:t>开挖、物料堆放以及车辆行驶产生的施工扬尘、施工机械和运输车辆排放的尾气。</w:t>
            </w:r>
          </w:p>
          <w:p w14:paraId="30FC2E00">
            <w:pPr>
              <w:pStyle w:val="98"/>
              <w:ind w:left="0" w:firstLine="480" w:firstLineChars="200"/>
              <w:rPr>
                <w:rFonts w:hAnsi="Times New Roman"/>
                <w:color w:val="000000" w:themeColor="text1"/>
                <w14:textFill>
                  <w14:solidFill>
                    <w14:schemeClr w14:val="tx1"/>
                  </w14:solidFill>
                </w14:textFill>
              </w:rPr>
            </w:pPr>
            <w:r>
              <w:rPr>
                <w:rFonts w:hAnsi="Times New Roman"/>
                <w:color w:val="000000" w:themeColor="text1"/>
                <w14:textFill>
                  <w14:solidFill>
                    <w14:schemeClr w14:val="tx1"/>
                  </w14:solidFill>
                </w14:textFill>
              </w:rPr>
              <w:fldChar w:fldCharType="begin"/>
            </w:r>
            <w:r>
              <w:rPr>
                <w:rFonts w:hAnsi="Times New Roman"/>
                <w:color w:val="000000" w:themeColor="text1"/>
                <w14:textFill>
                  <w14:solidFill>
                    <w14:schemeClr w14:val="tx1"/>
                  </w14:solidFill>
                </w14:textFill>
              </w:rPr>
              <w:instrText xml:space="preserve"> = 1 \* GB2 \* MERGEFORMAT </w:instrText>
            </w:r>
            <w:r>
              <w:rPr>
                <w:rFonts w:hAnsi="Times New Roman"/>
                <w:color w:val="000000" w:themeColor="text1"/>
                <w14:textFill>
                  <w14:solidFill>
                    <w14:schemeClr w14:val="tx1"/>
                  </w14:solidFill>
                </w14:textFill>
              </w:rPr>
              <w:fldChar w:fldCharType="separate"/>
            </w:r>
            <w:r>
              <w:t>⑴</w:t>
            </w:r>
            <w:r>
              <w:rPr>
                <w:rFonts w:hAnsi="Times New Roman"/>
                <w:color w:val="000000" w:themeColor="text1"/>
                <w14:textFill>
                  <w14:solidFill>
                    <w14:schemeClr w14:val="tx1"/>
                  </w14:solidFill>
                </w14:textFill>
              </w:rPr>
              <w:fldChar w:fldCharType="end"/>
            </w:r>
            <w:r>
              <w:rPr>
                <w:rFonts w:hAnsi="Times New Roman"/>
                <w:color w:val="000000" w:themeColor="text1"/>
                <w14:textFill>
                  <w14:solidFill>
                    <w14:schemeClr w14:val="tx1"/>
                  </w14:solidFill>
                </w14:textFill>
              </w:rPr>
              <w:t>施工扬尘</w:t>
            </w:r>
          </w:p>
          <w:p w14:paraId="557D8E5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施工期装运土石方以及建筑材料堆放等过程产生的扬尘，属无组织排放。施工扬尘是施工活动的一个重要污染源，也是基建活动中人们十分关注的问题。该项目的扬尘主要来自：</w:t>
            </w:r>
          </w:p>
          <w:p w14:paraId="4CCA7F5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①土方的挖掘扬尘及现场堆放扬尘；</w:t>
            </w:r>
          </w:p>
          <w:p w14:paraId="0F84F1D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②建筑材料（水泥、砂子、石子等）的现场搬运及堆放扬尘；</w:t>
            </w:r>
          </w:p>
          <w:p w14:paraId="7A3FBEB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③施工垃圾的清理及堆放扬尘；</w:t>
            </w:r>
          </w:p>
          <w:p w14:paraId="7A856AD8">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④施工过程来往车辆产生的扬尘。</w:t>
            </w:r>
          </w:p>
          <w:p w14:paraId="6B60C8F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施工期扬尘影响是暂时的，随着施工的完成，这些影响也将消失，且施工扬尘可达到《施工场界扬尘排放限值》（DB61/1078-2017）表1中的浓度限值，因此采取本环评提出的防尘措施后，施工扬尘对环境的影响很小。</w:t>
            </w:r>
          </w:p>
          <w:p w14:paraId="7B0BA11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施工机械及车辆</w:t>
            </w:r>
            <w:r>
              <w:rPr>
                <w:color w:val="000000" w:themeColor="text1"/>
                <w:sz w:val="24"/>
                <w14:textFill>
                  <w14:solidFill>
                    <w14:schemeClr w14:val="tx1"/>
                  </w14:solidFill>
                </w14:textFill>
              </w:rPr>
              <w:t>尾气</w:t>
            </w:r>
          </w:p>
          <w:p w14:paraId="08301A6C">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施工废气主要为运输车队、施工机械（推土机、吊车等）等机动车辆运行时排放的尾气</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废气中主要污染因子为</w:t>
            </w:r>
            <w:r>
              <w:rPr>
                <w:rFonts w:hint="eastAsia"/>
                <w:color w:val="000000" w:themeColor="text1"/>
                <w:sz w:val="24"/>
                <w14:textFill>
                  <w14:solidFill>
                    <w14:schemeClr w14:val="tx1"/>
                  </w14:solidFill>
                </w14:textFill>
              </w:rPr>
              <w:t>N</w:t>
            </w:r>
            <w:r>
              <w:rPr>
                <w:color w:val="000000" w:themeColor="text1"/>
                <w:sz w:val="24"/>
                <w14:textFill>
                  <w14:solidFill>
                    <w14:schemeClr w14:val="tx1"/>
                  </w14:solidFill>
                </w14:textFill>
              </w:rPr>
              <w:t>O</w:t>
            </w:r>
            <w:r>
              <w:rPr>
                <w:color w:val="000000" w:themeColor="text1"/>
                <w:sz w:val="24"/>
                <w:vertAlign w:val="subscript"/>
                <w14:textFill>
                  <w14:solidFill>
                    <w14:schemeClr w14:val="tx1"/>
                  </w14:solidFill>
                </w14:textFill>
              </w:rPr>
              <w:t>X</w:t>
            </w:r>
            <w:r>
              <w:rPr>
                <w:color w:val="000000" w:themeColor="text1"/>
                <w:sz w:val="24"/>
                <w14:textFill>
                  <w14:solidFill>
                    <w14:schemeClr w14:val="tx1"/>
                  </w14:solidFill>
                </w14:textFill>
              </w:rPr>
              <w:t>、CO等</w:t>
            </w:r>
            <w:r>
              <w:rPr>
                <w:rFonts w:hint="eastAsia"/>
                <w:color w:val="000000" w:themeColor="text1"/>
                <w:sz w:val="24"/>
                <w14:textFill>
                  <w14:solidFill>
                    <w14:schemeClr w14:val="tx1"/>
                  </w14:solidFill>
                </w14:textFill>
              </w:rPr>
              <w:t>。</w:t>
            </w:r>
          </w:p>
          <w:p w14:paraId="387248B9">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本项目施工期运输车辆、施工机械尾气产生量较小，属间断性、分散性排放，对周围环境影响较小。</w:t>
            </w:r>
          </w:p>
          <w:p w14:paraId="135CB07C">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3、水环境影响分析</w:t>
            </w:r>
          </w:p>
          <w:p w14:paraId="65EB3F44">
            <w:pPr>
              <w:pStyle w:val="99"/>
              <w:adjustRightInd/>
              <w:snapToGrid/>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fldChar w:fldCharType="begin"/>
            </w:r>
            <w:r>
              <w:rPr>
                <w:rFonts w:ascii="Times New Roman" w:hAnsi="Times New Roman"/>
                <w:color w:val="000000" w:themeColor="text1"/>
                <w:szCs w:val="24"/>
                <w14:textFill>
                  <w14:solidFill>
                    <w14:schemeClr w14:val="tx1"/>
                  </w14:solidFill>
                </w14:textFill>
              </w:rPr>
              <w:instrText xml:space="preserve"> = 1 \* GB2 \* MERGEFORMAT </w:instrText>
            </w:r>
            <w:r>
              <w:rPr>
                <w:rFonts w:ascii="Times New Roman" w:hAnsi="Times New Roman"/>
                <w:color w:val="000000" w:themeColor="text1"/>
                <w:szCs w:val="24"/>
                <w14:textFill>
                  <w14:solidFill>
                    <w14:schemeClr w14:val="tx1"/>
                  </w14:solidFill>
                </w14:textFill>
              </w:rPr>
              <w:fldChar w:fldCharType="separate"/>
            </w:r>
            <w:r>
              <w:t>⑴</w:t>
            </w:r>
            <w:r>
              <w:rPr>
                <w:rFonts w:ascii="Times New Roman" w:hAnsi="Times New Roman"/>
                <w:color w:val="000000" w:themeColor="text1"/>
                <w:szCs w:val="24"/>
                <w14:textFill>
                  <w14:solidFill>
                    <w14:schemeClr w14:val="tx1"/>
                  </w14:solidFill>
                </w14:textFill>
              </w:rPr>
              <w:fldChar w:fldCharType="end"/>
            </w:r>
            <w:r>
              <w:rPr>
                <w:rFonts w:ascii="Times New Roman" w:hAnsi="Times New Roman"/>
                <w:color w:val="000000" w:themeColor="text1"/>
                <w:szCs w:val="24"/>
                <w14:textFill>
                  <w14:solidFill>
                    <w14:schemeClr w14:val="tx1"/>
                  </w14:solidFill>
                </w14:textFill>
              </w:rPr>
              <w:t>施工废水</w:t>
            </w:r>
          </w:p>
          <w:p w14:paraId="0CE6F2B7">
            <w:pPr>
              <w:pStyle w:val="99"/>
              <w:adjustRightInd/>
              <w:snapToGrid/>
              <w:ind w:firstLine="480"/>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施工期用水主要为混凝土结构养护和施工机械及运输车辆冲洗等生产</w:t>
            </w:r>
            <w:r>
              <w:rPr>
                <w:rFonts w:hint="eastAsia" w:ascii="Times New Roman" w:hAnsi="Times New Roman"/>
                <w:color w:val="000000" w:themeColor="text1"/>
                <w:szCs w:val="24"/>
                <w14:textFill>
                  <w14:solidFill>
                    <w14:schemeClr w14:val="tx1"/>
                  </w14:solidFill>
                </w14:textFill>
              </w:rPr>
              <w:t>用水</w:t>
            </w:r>
            <w:r>
              <w:rPr>
                <w:rFonts w:ascii="Times New Roman" w:hAnsi="Times New Roman"/>
                <w:color w:val="000000" w:themeColor="text1"/>
                <w:szCs w:val="24"/>
                <w14:textFill>
                  <w14:solidFill>
                    <w14:schemeClr w14:val="tx1"/>
                  </w14:solidFill>
                </w14:textFill>
              </w:rPr>
              <w:t>，施工废水主要是在上述施工过程中产生的含有泥浆或砂石的工程废水，该部分废水中主要污染物为SS。</w:t>
            </w:r>
            <w:r>
              <w:rPr>
                <w:rFonts w:hint="eastAsia" w:ascii="Times New Roman" w:hAnsi="Times New Roman"/>
                <w:color w:val="000000" w:themeColor="text1"/>
                <w:szCs w:val="24"/>
                <w14:textFill>
                  <w14:solidFill>
                    <w14:schemeClr w14:val="tx1"/>
                  </w14:solidFill>
                </w14:textFill>
              </w:rPr>
              <w:t>施工废水经沉淀池沉淀后回用，无废水排放，对周围环境影响较小。</w:t>
            </w:r>
          </w:p>
          <w:p w14:paraId="12FA163F">
            <w:pPr>
              <w:pStyle w:val="99"/>
              <w:adjustRightInd/>
              <w:snapToGrid/>
              <w:ind w:firstLine="468"/>
              <w:rPr>
                <w:rFonts w:ascii="Times New Roman" w:hAnsi="Times New Roman"/>
                <w:color w:val="000000" w:themeColor="text1"/>
                <w:spacing w:val="-3"/>
                <w:szCs w:val="24"/>
                <w14:textFill>
                  <w14:solidFill>
                    <w14:schemeClr w14:val="tx1"/>
                  </w14:solidFill>
                </w14:textFill>
              </w:rPr>
            </w:pPr>
            <w:r>
              <w:rPr>
                <w:rFonts w:ascii="Times New Roman" w:hAnsi="Times New Roman"/>
                <w:color w:val="000000" w:themeColor="text1"/>
                <w:spacing w:val="-3"/>
                <w:szCs w:val="24"/>
                <w14:textFill>
                  <w14:solidFill>
                    <w14:schemeClr w14:val="tx1"/>
                  </w14:solidFill>
                </w14:textFill>
              </w:rPr>
              <w:fldChar w:fldCharType="begin"/>
            </w:r>
            <w:r>
              <w:rPr>
                <w:rFonts w:ascii="Times New Roman" w:hAnsi="Times New Roman"/>
                <w:color w:val="000000" w:themeColor="text1"/>
                <w:spacing w:val="-3"/>
                <w:szCs w:val="24"/>
                <w14:textFill>
                  <w14:solidFill>
                    <w14:schemeClr w14:val="tx1"/>
                  </w14:solidFill>
                </w14:textFill>
              </w:rPr>
              <w:instrText xml:space="preserve"> = 2 \* GB2 \* MERGEFORMAT </w:instrText>
            </w:r>
            <w:r>
              <w:rPr>
                <w:rFonts w:ascii="Times New Roman" w:hAnsi="Times New Roman"/>
                <w:color w:val="000000" w:themeColor="text1"/>
                <w:spacing w:val="-3"/>
                <w:szCs w:val="24"/>
                <w14:textFill>
                  <w14:solidFill>
                    <w14:schemeClr w14:val="tx1"/>
                  </w14:solidFill>
                </w14:textFill>
              </w:rPr>
              <w:fldChar w:fldCharType="separate"/>
            </w:r>
            <w:r>
              <w:t>⑵</w:t>
            </w:r>
            <w:r>
              <w:rPr>
                <w:rFonts w:ascii="Times New Roman" w:hAnsi="Times New Roman"/>
                <w:color w:val="000000" w:themeColor="text1"/>
                <w:spacing w:val="-3"/>
                <w:szCs w:val="24"/>
                <w14:textFill>
                  <w14:solidFill>
                    <w14:schemeClr w14:val="tx1"/>
                  </w14:solidFill>
                </w14:textFill>
              </w:rPr>
              <w:fldChar w:fldCharType="end"/>
            </w:r>
            <w:r>
              <w:rPr>
                <w:rFonts w:ascii="Times New Roman" w:hAnsi="Times New Roman"/>
                <w:color w:val="000000" w:themeColor="text1"/>
                <w:spacing w:val="-3"/>
                <w:szCs w:val="24"/>
                <w14:textFill>
                  <w14:solidFill>
                    <w14:schemeClr w14:val="tx1"/>
                  </w14:solidFill>
                </w14:textFill>
              </w:rPr>
              <w:t>生活污水</w:t>
            </w:r>
          </w:p>
          <w:p w14:paraId="1F343878">
            <w:pPr>
              <w:pStyle w:val="74"/>
              <w:spacing w:line="360" w:lineRule="auto"/>
              <w:ind w:firstLine="468" w:firstLineChars="200"/>
              <w:rPr>
                <w:rFonts w:ascii="Times New Roman" w:hAnsi="Times New Roman" w:cs="Times New Roman"/>
                <w:color w:val="000000" w:themeColor="text1"/>
                <w:spacing w:val="-3"/>
                <w:sz w:val="24"/>
                <w14:textFill>
                  <w14:solidFill>
                    <w14:schemeClr w14:val="tx1"/>
                  </w14:solidFill>
                </w14:textFill>
              </w:rPr>
            </w:pPr>
            <w:r>
              <w:rPr>
                <w:rFonts w:hint="eastAsia" w:ascii="Times New Roman" w:hAnsi="Times New Roman" w:cs="Times New Roman"/>
                <w:color w:val="000000" w:themeColor="text1"/>
                <w:spacing w:val="-3"/>
                <w:sz w:val="24"/>
                <w14:textFill>
                  <w14:solidFill>
                    <w14:schemeClr w14:val="tx1"/>
                  </w14:solidFill>
                </w14:textFill>
              </w:rPr>
              <w:t>施工人员食宿依托附近村庄，无生活污水产生，对周围环境影响较小。</w:t>
            </w:r>
          </w:p>
          <w:p w14:paraId="3167154F">
            <w:pPr>
              <w:adjustRightInd w:val="0"/>
              <w:snapToGrid w:val="0"/>
              <w:spacing w:line="360" w:lineRule="auto"/>
              <w:ind w:firstLine="482" w:firstLineChars="200"/>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4、噪声影响分析</w:t>
            </w:r>
          </w:p>
          <w:p w14:paraId="505BF529">
            <w:pPr>
              <w:adjustRightInd w:val="0"/>
              <w:snapToGrid w:val="0"/>
              <w:spacing w:line="360" w:lineRule="auto"/>
              <w:ind w:firstLine="480" w:firstLineChars="200"/>
              <w:rPr>
                <w:color w:val="auto"/>
                <w:kern w:val="0"/>
                <w:sz w:val="24"/>
                <w:szCs w:val="20"/>
              </w:rPr>
            </w:pPr>
            <w:r>
              <w:rPr>
                <w:color w:val="000000" w:themeColor="text1"/>
                <w:kern w:val="0"/>
                <w:sz w:val="24"/>
                <w14:textFill>
                  <w14:solidFill>
                    <w14:schemeClr w14:val="tx1"/>
                  </w14:solidFill>
                </w14:textFill>
              </w:rPr>
              <w:t>施工期噪声主要为挖掘机、起重机、振捣器、钢筋切断机</w:t>
            </w:r>
            <w:r>
              <w:rPr>
                <w:rFonts w:hint="eastAsia"/>
                <w:color w:val="000000" w:themeColor="text1"/>
                <w:kern w:val="0"/>
                <w:sz w:val="24"/>
                <w:lang w:eastAsia="zh-CN"/>
                <w14:textFill>
                  <w14:solidFill>
                    <w14:schemeClr w14:val="tx1"/>
                  </w14:solidFill>
                </w14:textFill>
              </w:rPr>
              <w:t>、</w:t>
            </w:r>
            <w:r>
              <w:rPr>
                <w:rFonts w:hint="eastAsia"/>
                <w:color w:val="000000" w:themeColor="text1"/>
                <w:kern w:val="0"/>
                <w:sz w:val="24"/>
                <w:lang w:val="en-US" w:eastAsia="zh-CN"/>
                <w14:textFill>
                  <w14:solidFill>
                    <w14:schemeClr w14:val="tx1"/>
                  </w14:solidFill>
                </w14:textFill>
              </w:rPr>
              <w:t>手电钻</w:t>
            </w:r>
            <w:r>
              <w:rPr>
                <w:color w:val="000000" w:themeColor="text1"/>
                <w:kern w:val="0"/>
                <w:sz w:val="24"/>
                <w14:textFill>
                  <w14:solidFill>
                    <w14:schemeClr w14:val="tx1"/>
                  </w14:solidFill>
                </w14:textFill>
              </w:rPr>
              <w:t>、运输车辆等</w:t>
            </w:r>
            <w:r>
              <w:rPr>
                <w:rFonts w:hint="eastAsia"/>
                <w:color w:val="000000" w:themeColor="text1"/>
                <w:kern w:val="0"/>
                <w:sz w:val="24"/>
                <w14:textFill>
                  <w14:solidFill>
                    <w14:schemeClr w14:val="tx1"/>
                  </w14:solidFill>
                </w14:textFill>
              </w:rPr>
              <w:t>产生的机械噪声，</w:t>
            </w:r>
            <w:r>
              <w:rPr>
                <w:color w:val="000000" w:themeColor="text1"/>
                <w:kern w:val="0"/>
                <w:sz w:val="24"/>
                <w14:textFill>
                  <w14:solidFill>
                    <w14:schemeClr w14:val="tx1"/>
                  </w14:solidFill>
                </w14:textFill>
              </w:rPr>
              <w:t>执行《建筑施工场界</w:t>
            </w:r>
            <w:r>
              <w:rPr>
                <w:rFonts w:hint="eastAsia"/>
                <w:color w:val="000000" w:themeColor="text1"/>
                <w:kern w:val="0"/>
                <w:sz w:val="24"/>
                <w14:textFill>
                  <w14:solidFill>
                    <w14:schemeClr w14:val="tx1"/>
                  </w14:solidFill>
                </w14:textFill>
              </w:rPr>
              <w:t>环境</w:t>
            </w:r>
            <w:r>
              <w:rPr>
                <w:color w:val="000000" w:themeColor="text1"/>
                <w:kern w:val="0"/>
                <w:sz w:val="24"/>
                <w14:textFill>
                  <w14:solidFill>
                    <w14:schemeClr w14:val="tx1"/>
                  </w14:solidFill>
                </w14:textFill>
              </w:rPr>
              <w:t>噪声</w:t>
            </w:r>
            <w:r>
              <w:rPr>
                <w:rFonts w:hint="eastAsia"/>
                <w:color w:val="000000" w:themeColor="text1"/>
                <w:kern w:val="0"/>
                <w:sz w:val="24"/>
                <w14:textFill>
                  <w14:solidFill>
                    <w14:schemeClr w14:val="tx1"/>
                  </w14:solidFill>
                </w14:textFill>
              </w:rPr>
              <w:t>排放标准</w:t>
            </w:r>
            <w:r>
              <w:rPr>
                <w:color w:val="000000" w:themeColor="text1"/>
                <w:kern w:val="0"/>
                <w:sz w:val="24"/>
                <w14:textFill>
                  <w14:solidFill>
                    <w14:schemeClr w14:val="tx1"/>
                  </w14:solidFill>
                </w14:textFill>
              </w:rPr>
              <w:t>》（GB12523-2011）</w:t>
            </w:r>
            <w:r>
              <w:rPr>
                <w:rFonts w:hint="eastAsia"/>
                <w:color w:val="000000" w:themeColor="text1"/>
                <w:kern w:val="0"/>
                <w:sz w:val="24"/>
                <w14:textFill>
                  <w14:solidFill>
                    <w14:schemeClr w14:val="tx1"/>
                  </w14:solidFill>
                </w14:textFill>
              </w:rPr>
              <w:t>。</w:t>
            </w:r>
            <w:r>
              <w:rPr>
                <w:color w:val="auto"/>
                <w:kern w:val="0"/>
                <w:sz w:val="24"/>
                <w:szCs w:val="20"/>
              </w:rPr>
              <w:t>建筑施工机械及其噪声级见表4-1。</w:t>
            </w:r>
          </w:p>
          <w:p w14:paraId="1800E085">
            <w:pPr>
              <w:jc w:val="center"/>
              <w:rPr>
                <w:rFonts w:hint="eastAsia" w:ascii="宋体" w:hAnsi="宋体" w:eastAsia="宋体" w:cs="宋体"/>
                <w:b w:val="0"/>
                <w:bCs w:val="0"/>
                <w:color w:val="auto"/>
                <w:sz w:val="21"/>
                <w:szCs w:val="21"/>
              </w:rPr>
            </w:pPr>
          </w:p>
          <w:p w14:paraId="4C3439DD">
            <w:pPr>
              <w:jc w:val="center"/>
              <w:rPr>
                <w:b/>
                <w:bCs/>
                <w:color w:val="auto"/>
                <w:szCs w:val="21"/>
              </w:rPr>
            </w:pPr>
            <w:r>
              <w:rPr>
                <w:rFonts w:hint="eastAsia" w:ascii="宋体" w:hAnsi="宋体" w:eastAsia="宋体" w:cs="宋体"/>
                <w:b w:val="0"/>
                <w:bCs w:val="0"/>
                <w:color w:val="auto"/>
                <w:sz w:val="21"/>
                <w:szCs w:val="21"/>
              </w:rPr>
              <w:t>表4-1    主要施工机械设备的噪声声级    单位：dB（A）</w:t>
            </w:r>
          </w:p>
          <w:tbl>
            <w:tblPr>
              <w:tblStyle w:val="31"/>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732"/>
              <w:gridCol w:w="2000"/>
              <w:gridCol w:w="1751"/>
              <w:gridCol w:w="2151"/>
            </w:tblGrid>
            <w:tr w14:paraId="37CB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noWrap w:val="0"/>
                  <w:vAlign w:val="center"/>
                </w:tcPr>
                <w:p w14:paraId="332F032D">
                  <w:pPr>
                    <w:adjustRightInd w:val="0"/>
                    <w:snapToGrid w:val="0"/>
                    <w:jc w:val="center"/>
                    <w:rPr>
                      <w:b w:val="0"/>
                      <w:bCs/>
                      <w:color w:val="auto"/>
                      <w:szCs w:val="21"/>
                    </w:rPr>
                  </w:pPr>
                  <w:r>
                    <w:rPr>
                      <w:b w:val="0"/>
                      <w:bCs/>
                      <w:color w:val="auto"/>
                      <w:szCs w:val="21"/>
                    </w:rPr>
                    <w:t>施工阶段</w:t>
                  </w:r>
                </w:p>
              </w:tc>
              <w:tc>
                <w:tcPr>
                  <w:tcW w:w="1309" w:type="pct"/>
                  <w:noWrap w:val="0"/>
                  <w:vAlign w:val="center"/>
                </w:tcPr>
                <w:p w14:paraId="0AD0655C">
                  <w:pPr>
                    <w:adjustRightInd w:val="0"/>
                    <w:snapToGrid w:val="0"/>
                    <w:jc w:val="center"/>
                    <w:rPr>
                      <w:b w:val="0"/>
                      <w:bCs/>
                      <w:color w:val="auto"/>
                      <w:szCs w:val="21"/>
                    </w:rPr>
                  </w:pPr>
                  <w:r>
                    <w:rPr>
                      <w:b w:val="0"/>
                      <w:bCs/>
                      <w:color w:val="auto"/>
                      <w:szCs w:val="21"/>
                    </w:rPr>
                    <w:t>设备名称</w:t>
                  </w:r>
                </w:p>
              </w:tc>
              <w:tc>
                <w:tcPr>
                  <w:tcW w:w="1146" w:type="pct"/>
                  <w:noWrap w:val="0"/>
                  <w:vAlign w:val="center"/>
                </w:tcPr>
                <w:p w14:paraId="4435CDCD">
                  <w:pPr>
                    <w:adjustRightInd w:val="0"/>
                    <w:snapToGrid w:val="0"/>
                    <w:jc w:val="center"/>
                    <w:rPr>
                      <w:b w:val="0"/>
                      <w:bCs/>
                      <w:color w:val="auto"/>
                      <w:szCs w:val="21"/>
                    </w:rPr>
                  </w:pPr>
                  <w:r>
                    <w:rPr>
                      <w:b w:val="0"/>
                      <w:bCs/>
                      <w:color w:val="auto"/>
                      <w:szCs w:val="21"/>
                    </w:rPr>
                    <w:t>声级dB(A)</w:t>
                  </w:r>
                </w:p>
              </w:tc>
              <w:tc>
                <w:tcPr>
                  <w:tcW w:w="1408" w:type="pct"/>
                  <w:noWrap w:val="0"/>
                  <w:vAlign w:val="center"/>
                </w:tcPr>
                <w:p w14:paraId="77B5FDB4">
                  <w:pPr>
                    <w:adjustRightInd w:val="0"/>
                    <w:snapToGrid w:val="0"/>
                    <w:jc w:val="center"/>
                    <w:rPr>
                      <w:rFonts w:hint="eastAsia" w:eastAsia="宋体"/>
                      <w:b w:val="0"/>
                      <w:bCs/>
                      <w:color w:val="auto"/>
                      <w:szCs w:val="21"/>
                      <w:lang w:eastAsia="zh-CN"/>
                    </w:rPr>
                  </w:pPr>
                  <w:r>
                    <w:rPr>
                      <w:b w:val="0"/>
                      <w:bCs/>
                      <w:color w:val="auto"/>
                      <w:szCs w:val="21"/>
                    </w:rPr>
                    <w:t>测点距声源距离</w:t>
                  </w:r>
                  <w:r>
                    <w:rPr>
                      <w:rFonts w:hint="eastAsia"/>
                      <w:b w:val="0"/>
                      <w:bCs/>
                      <w:color w:val="auto"/>
                      <w:szCs w:val="21"/>
                      <w:lang w:eastAsia="zh-CN"/>
                    </w:rPr>
                    <w:t>（</w:t>
                  </w:r>
                  <w:r>
                    <w:rPr>
                      <w:b w:val="0"/>
                      <w:bCs/>
                      <w:color w:val="auto"/>
                      <w:szCs w:val="21"/>
                    </w:rPr>
                    <w:t>m</w:t>
                  </w:r>
                  <w:r>
                    <w:rPr>
                      <w:rFonts w:hint="eastAsia"/>
                      <w:b w:val="0"/>
                      <w:bCs/>
                      <w:color w:val="auto"/>
                      <w:szCs w:val="21"/>
                      <w:lang w:eastAsia="zh-CN"/>
                    </w:rPr>
                    <w:t>）</w:t>
                  </w:r>
                </w:p>
              </w:tc>
            </w:tr>
            <w:tr w14:paraId="76B0F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restart"/>
                  <w:noWrap w:val="0"/>
                  <w:vAlign w:val="center"/>
                </w:tcPr>
                <w:p w14:paraId="0764FC81">
                  <w:pPr>
                    <w:adjustRightInd w:val="0"/>
                    <w:snapToGrid w:val="0"/>
                    <w:jc w:val="center"/>
                    <w:rPr>
                      <w:b w:val="0"/>
                      <w:bCs/>
                      <w:color w:val="auto"/>
                      <w:szCs w:val="21"/>
                    </w:rPr>
                  </w:pPr>
                  <w:r>
                    <w:rPr>
                      <w:rFonts w:hint="eastAsia"/>
                      <w:b w:val="0"/>
                      <w:bCs/>
                      <w:color w:val="auto"/>
                      <w:szCs w:val="21"/>
                    </w:rPr>
                    <w:t>拆除</w:t>
                  </w:r>
                  <w:r>
                    <w:rPr>
                      <w:b w:val="0"/>
                      <w:bCs/>
                      <w:color w:val="auto"/>
                      <w:szCs w:val="21"/>
                    </w:rPr>
                    <w:t>、土石方阶段</w:t>
                  </w:r>
                </w:p>
              </w:tc>
              <w:tc>
                <w:tcPr>
                  <w:tcW w:w="1309" w:type="pct"/>
                  <w:noWrap w:val="0"/>
                  <w:vAlign w:val="center"/>
                </w:tcPr>
                <w:p w14:paraId="2653D234">
                  <w:pPr>
                    <w:adjustRightInd w:val="0"/>
                    <w:snapToGrid w:val="0"/>
                    <w:jc w:val="center"/>
                    <w:textAlignment w:val="center"/>
                    <w:rPr>
                      <w:b w:val="0"/>
                      <w:bCs/>
                      <w:color w:val="auto"/>
                      <w:szCs w:val="21"/>
                    </w:rPr>
                  </w:pPr>
                  <w:r>
                    <w:rPr>
                      <w:b w:val="0"/>
                      <w:bCs/>
                      <w:color w:val="auto"/>
                      <w:szCs w:val="21"/>
                    </w:rPr>
                    <w:t>轮式装载机</w:t>
                  </w:r>
                </w:p>
              </w:tc>
              <w:tc>
                <w:tcPr>
                  <w:tcW w:w="1146" w:type="pct"/>
                  <w:noWrap w:val="0"/>
                  <w:vAlign w:val="center"/>
                </w:tcPr>
                <w:p w14:paraId="78919E06">
                  <w:pPr>
                    <w:adjustRightInd w:val="0"/>
                    <w:snapToGrid w:val="0"/>
                    <w:jc w:val="center"/>
                    <w:textAlignment w:val="center"/>
                    <w:rPr>
                      <w:b w:val="0"/>
                      <w:bCs/>
                      <w:color w:val="auto"/>
                      <w:szCs w:val="21"/>
                    </w:rPr>
                  </w:pPr>
                  <w:r>
                    <w:rPr>
                      <w:b w:val="0"/>
                      <w:bCs/>
                      <w:color w:val="auto"/>
                      <w:szCs w:val="21"/>
                    </w:rPr>
                    <w:t>90～95</w:t>
                  </w:r>
                </w:p>
              </w:tc>
              <w:tc>
                <w:tcPr>
                  <w:tcW w:w="1408" w:type="pct"/>
                  <w:noWrap w:val="0"/>
                  <w:vAlign w:val="center"/>
                </w:tcPr>
                <w:p w14:paraId="1BEDF583">
                  <w:pPr>
                    <w:adjustRightInd w:val="0"/>
                    <w:snapToGrid w:val="0"/>
                    <w:jc w:val="center"/>
                    <w:textAlignment w:val="center"/>
                    <w:rPr>
                      <w:b w:val="0"/>
                      <w:bCs/>
                      <w:color w:val="auto"/>
                      <w:szCs w:val="21"/>
                    </w:rPr>
                  </w:pPr>
                  <w:r>
                    <w:rPr>
                      <w:b w:val="0"/>
                      <w:bCs/>
                      <w:color w:val="auto"/>
                      <w:szCs w:val="21"/>
                    </w:rPr>
                    <w:t>5</w:t>
                  </w:r>
                </w:p>
              </w:tc>
            </w:tr>
            <w:tr w14:paraId="49CA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4E4C80CF">
                  <w:pPr>
                    <w:adjustRightInd w:val="0"/>
                    <w:snapToGrid w:val="0"/>
                    <w:jc w:val="center"/>
                    <w:rPr>
                      <w:b w:val="0"/>
                      <w:bCs/>
                      <w:color w:val="auto"/>
                      <w:szCs w:val="21"/>
                    </w:rPr>
                  </w:pPr>
                </w:p>
              </w:tc>
              <w:tc>
                <w:tcPr>
                  <w:tcW w:w="1309" w:type="pct"/>
                  <w:noWrap w:val="0"/>
                  <w:vAlign w:val="center"/>
                </w:tcPr>
                <w:p w14:paraId="60F7177D">
                  <w:pPr>
                    <w:widowControl/>
                    <w:adjustRightInd w:val="0"/>
                    <w:snapToGrid w:val="0"/>
                    <w:jc w:val="center"/>
                    <w:textAlignment w:val="center"/>
                    <w:rPr>
                      <w:b w:val="0"/>
                      <w:bCs/>
                      <w:color w:val="auto"/>
                      <w:szCs w:val="21"/>
                    </w:rPr>
                  </w:pPr>
                  <w:r>
                    <w:rPr>
                      <w:b w:val="0"/>
                      <w:bCs/>
                      <w:color w:val="auto"/>
                      <w:szCs w:val="21"/>
                    </w:rPr>
                    <w:t>挖掘机</w:t>
                  </w:r>
                </w:p>
              </w:tc>
              <w:tc>
                <w:tcPr>
                  <w:tcW w:w="1146" w:type="pct"/>
                  <w:noWrap w:val="0"/>
                  <w:vAlign w:val="center"/>
                </w:tcPr>
                <w:p w14:paraId="1E2E5BF5">
                  <w:pPr>
                    <w:widowControl/>
                    <w:adjustRightInd w:val="0"/>
                    <w:snapToGrid w:val="0"/>
                    <w:jc w:val="center"/>
                    <w:textAlignment w:val="center"/>
                    <w:rPr>
                      <w:b w:val="0"/>
                      <w:bCs/>
                      <w:color w:val="auto"/>
                      <w:szCs w:val="21"/>
                    </w:rPr>
                  </w:pPr>
                  <w:r>
                    <w:rPr>
                      <w:b w:val="0"/>
                      <w:bCs/>
                      <w:color w:val="auto"/>
                      <w:szCs w:val="21"/>
                    </w:rPr>
                    <w:t>80～86</w:t>
                  </w:r>
                </w:p>
              </w:tc>
              <w:tc>
                <w:tcPr>
                  <w:tcW w:w="1408" w:type="pct"/>
                  <w:noWrap w:val="0"/>
                  <w:vAlign w:val="center"/>
                </w:tcPr>
                <w:p w14:paraId="20B13027">
                  <w:pPr>
                    <w:widowControl/>
                    <w:adjustRightInd w:val="0"/>
                    <w:snapToGrid w:val="0"/>
                    <w:jc w:val="center"/>
                    <w:textAlignment w:val="center"/>
                    <w:rPr>
                      <w:b w:val="0"/>
                      <w:bCs/>
                      <w:color w:val="auto"/>
                      <w:szCs w:val="21"/>
                    </w:rPr>
                  </w:pPr>
                  <w:r>
                    <w:rPr>
                      <w:b w:val="0"/>
                      <w:bCs/>
                      <w:color w:val="auto"/>
                      <w:szCs w:val="21"/>
                    </w:rPr>
                    <w:t>5</w:t>
                  </w:r>
                </w:p>
              </w:tc>
            </w:tr>
            <w:tr w14:paraId="2564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57CEB693">
                  <w:pPr>
                    <w:adjustRightInd w:val="0"/>
                    <w:snapToGrid w:val="0"/>
                    <w:jc w:val="center"/>
                    <w:rPr>
                      <w:b w:val="0"/>
                      <w:bCs/>
                      <w:color w:val="auto"/>
                      <w:szCs w:val="21"/>
                    </w:rPr>
                  </w:pPr>
                </w:p>
              </w:tc>
              <w:tc>
                <w:tcPr>
                  <w:tcW w:w="1309" w:type="pct"/>
                  <w:noWrap w:val="0"/>
                  <w:vAlign w:val="center"/>
                </w:tcPr>
                <w:p w14:paraId="686235F0">
                  <w:pPr>
                    <w:widowControl/>
                    <w:adjustRightInd w:val="0"/>
                    <w:snapToGrid w:val="0"/>
                    <w:jc w:val="center"/>
                    <w:textAlignment w:val="center"/>
                    <w:rPr>
                      <w:b w:val="0"/>
                      <w:bCs/>
                      <w:color w:val="auto"/>
                      <w:szCs w:val="21"/>
                    </w:rPr>
                  </w:pPr>
                  <w:r>
                    <w:rPr>
                      <w:rFonts w:hint="eastAsia"/>
                      <w:b w:val="0"/>
                      <w:bCs/>
                      <w:color w:val="auto"/>
                      <w:szCs w:val="21"/>
                    </w:rPr>
                    <w:t>推土机</w:t>
                  </w:r>
                </w:p>
              </w:tc>
              <w:tc>
                <w:tcPr>
                  <w:tcW w:w="1146" w:type="pct"/>
                  <w:noWrap w:val="0"/>
                  <w:vAlign w:val="center"/>
                </w:tcPr>
                <w:p w14:paraId="647CCDD8">
                  <w:pPr>
                    <w:widowControl/>
                    <w:adjustRightInd w:val="0"/>
                    <w:snapToGrid w:val="0"/>
                    <w:jc w:val="center"/>
                    <w:textAlignment w:val="center"/>
                    <w:rPr>
                      <w:b w:val="0"/>
                      <w:bCs/>
                      <w:color w:val="auto"/>
                      <w:szCs w:val="21"/>
                    </w:rPr>
                  </w:pPr>
                  <w:r>
                    <w:rPr>
                      <w:b w:val="0"/>
                      <w:bCs/>
                      <w:color w:val="auto"/>
                      <w:szCs w:val="21"/>
                    </w:rPr>
                    <w:t>83～88</w:t>
                  </w:r>
                </w:p>
              </w:tc>
              <w:tc>
                <w:tcPr>
                  <w:tcW w:w="1408" w:type="pct"/>
                  <w:noWrap w:val="0"/>
                  <w:vAlign w:val="center"/>
                </w:tcPr>
                <w:p w14:paraId="56C05DE7">
                  <w:pPr>
                    <w:widowControl/>
                    <w:adjustRightInd w:val="0"/>
                    <w:snapToGrid w:val="0"/>
                    <w:jc w:val="center"/>
                    <w:textAlignment w:val="center"/>
                    <w:rPr>
                      <w:b w:val="0"/>
                      <w:bCs/>
                      <w:color w:val="auto"/>
                      <w:szCs w:val="21"/>
                    </w:rPr>
                  </w:pPr>
                  <w:r>
                    <w:rPr>
                      <w:b w:val="0"/>
                      <w:bCs/>
                      <w:color w:val="auto"/>
                      <w:szCs w:val="21"/>
                    </w:rPr>
                    <w:t>5</w:t>
                  </w:r>
                </w:p>
              </w:tc>
            </w:tr>
            <w:tr w14:paraId="181F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restart"/>
                  <w:noWrap w:val="0"/>
                  <w:vAlign w:val="center"/>
                </w:tcPr>
                <w:p w14:paraId="2BD2BA34">
                  <w:pPr>
                    <w:adjustRightInd w:val="0"/>
                    <w:snapToGrid w:val="0"/>
                    <w:jc w:val="center"/>
                    <w:rPr>
                      <w:b w:val="0"/>
                      <w:bCs/>
                      <w:color w:val="auto"/>
                      <w:szCs w:val="21"/>
                    </w:rPr>
                  </w:pPr>
                  <w:r>
                    <w:rPr>
                      <w:b w:val="0"/>
                      <w:bCs/>
                      <w:color w:val="auto"/>
                      <w:szCs w:val="21"/>
                    </w:rPr>
                    <w:t>基础、结构施工阶段</w:t>
                  </w:r>
                </w:p>
              </w:tc>
              <w:tc>
                <w:tcPr>
                  <w:tcW w:w="1309" w:type="pct"/>
                  <w:noWrap w:val="0"/>
                  <w:vAlign w:val="center"/>
                </w:tcPr>
                <w:p w14:paraId="2DE845B8">
                  <w:pPr>
                    <w:adjustRightInd w:val="0"/>
                    <w:snapToGrid w:val="0"/>
                    <w:jc w:val="center"/>
                    <w:textAlignment w:val="center"/>
                    <w:rPr>
                      <w:b w:val="0"/>
                      <w:bCs/>
                      <w:color w:val="auto"/>
                      <w:szCs w:val="21"/>
                    </w:rPr>
                  </w:pPr>
                  <w:r>
                    <w:rPr>
                      <w:b w:val="0"/>
                      <w:bCs/>
                      <w:color w:val="auto"/>
                      <w:szCs w:val="21"/>
                    </w:rPr>
                    <w:t>混凝土振捣器</w:t>
                  </w:r>
                </w:p>
              </w:tc>
              <w:tc>
                <w:tcPr>
                  <w:tcW w:w="1146" w:type="pct"/>
                  <w:noWrap w:val="0"/>
                  <w:vAlign w:val="center"/>
                </w:tcPr>
                <w:p w14:paraId="3D7EE03B">
                  <w:pPr>
                    <w:adjustRightInd w:val="0"/>
                    <w:snapToGrid w:val="0"/>
                    <w:jc w:val="center"/>
                    <w:rPr>
                      <w:b w:val="0"/>
                      <w:bCs/>
                      <w:color w:val="auto"/>
                      <w:szCs w:val="21"/>
                    </w:rPr>
                  </w:pPr>
                  <w:r>
                    <w:rPr>
                      <w:b w:val="0"/>
                      <w:bCs/>
                      <w:color w:val="auto"/>
                      <w:szCs w:val="21"/>
                    </w:rPr>
                    <w:t>80～88</w:t>
                  </w:r>
                </w:p>
              </w:tc>
              <w:tc>
                <w:tcPr>
                  <w:tcW w:w="1408" w:type="pct"/>
                  <w:noWrap w:val="0"/>
                  <w:vAlign w:val="center"/>
                </w:tcPr>
                <w:p w14:paraId="497C019A">
                  <w:pPr>
                    <w:adjustRightInd w:val="0"/>
                    <w:snapToGrid w:val="0"/>
                    <w:jc w:val="center"/>
                    <w:rPr>
                      <w:b w:val="0"/>
                      <w:bCs/>
                      <w:color w:val="auto"/>
                      <w:szCs w:val="21"/>
                    </w:rPr>
                  </w:pPr>
                  <w:r>
                    <w:rPr>
                      <w:b w:val="0"/>
                      <w:bCs/>
                      <w:color w:val="auto"/>
                      <w:szCs w:val="21"/>
                    </w:rPr>
                    <w:t>5</w:t>
                  </w:r>
                </w:p>
              </w:tc>
            </w:tr>
            <w:tr w14:paraId="0EED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22AB00DF">
                  <w:pPr>
                    <w:adjustRightInd w:val="0"/>
                    <w:snapToGrid w:val="0"/>
                    <w:jc w:val="center"/>
                    <w:rPr>
                      <w:b w:val="0"/>
                      <w:bCs/>
                      <w:color w:val="auto"/>
                      <w:szCs w:val="21"/>
                    </w:rPr>
                  </w:pPr>
                </w:p>
              </w:tc>
              <w:tc>
                <w:tcPr>
                  <w:tcW w:w="1309" w:type="pct"/>
                  <w:noWrap w:val="0"/>
                  <w:vAlign w:val="center"/>
                </w:tcPr>
                <w:p w14:paraId="79AD57D2">
                  <w:pPr>
                    <w:widowControl/>
                    <w:adjustRightInd w:val="0"/>
                    <w:snapToGrid w:val="0"/>
                    <w:jc w:val="center"/>
                    <w:textAlignment w:val="center"/>
                    <w:rPr>
                      <w:b w:val="0"/>
                      <w:bCs/>
                      <w:color w:val="auto"/>
                      <w:szCs w:val="21"/>
                    </w:rPr>
                  </w:pPr>
                  <w:r>
                    <w:rPr>
                      <w:b w:val="0"/>
                      <w:bCs/>
                      <w:color w:val="auto"/>
                      <w:szCs w:val="21"/>
                    </w:rPr>
                    <w:t>混凝土输送泵</w:t>
                  </w:r>
                </w:p>
              </w:tc>
              <w:tc>
                <w:tcPr>
                  <w:tcW w:w="1146" w:type="pct"/>
                  <w:noWrap w:val="0"/>
                  <w:vAlign w:val="center"/>
                </w:tcPr>
                <w:p w14:paraId="670803C5">
                  <w:pPr>
                    <w:adjustRightInd w:val="0"/>
                    <w:snapToGrid w:val="0"/>
                    <w:jc w:val="center"/>
                    <w:rPr>
                      <w:b w:val="0"/>
                      <w:bCs/>
                      <w:color w:val="auto"/>
                      <w:szCs w:val="21"/>
                    </w:rPr>
                  </w:pPr>
                  <w:r>
                    <w:rPr>
                      <w:b w:val="0"/>
                      <w:bCs/>
                      <w:color w:val="auto"/>
                      <w:szCs w:val="21"/>
                    </w:rPr>
                    <w:t>88～95</w:t>
                  </w:r>
                </w:p>
              </w:tc>
              <w:tc>
                <w:tcPr>
                  <w:tcW w:w="1408" w:type="pct"/>
                  <w:noWrap w:val="0"/>
                  <w:vAlign w:val="center"/>
                </w:tcPr>
                <w:p w14:paraId="23EA5C03">
                  <w:pPr>
                    <w:adjustRightInd w:val="0"/>
                    <w:snapToGrid w:val="0"/>
                    <w:jc w:val="center"/>
                    <w:rPr>
                      <w:b w:val="0"/>
                      <w:bCs/>
                      <w:color w:val="auto"/>
                      <w:szCs w:val="21"/>
                    </w:rPr>
                  </w:pPr>
                  <w:r>
                    <w:rPr>
                      <w:b w:val="0"/>
                      <w:bCs/>
                      <w:color w:val="auto"/>
                      <w:szCs w:val="21"/>
                    </w:rPr>
                    <w:t>5</w:t>
                  </w:r>
                </w:p>
              </w:tc>
            </w:tr>
            <w:tr w14:paraId="0550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294938C7">
                  <w:pPr>
                    <w:adjustRightInd w:val="0"/>
                    <w:snapToGrid w:val="0"/>
                    <w:jc w:val="center"/>
                    <w:rPr>
                      <w:b w:val="0"/>
                      <w:bCs/>
                      <w:color w:val="auto"/>
                      <w:szCs w:val="21"/>
                    </w:rPr>
                  </w:pPr>
                </w:p>
              </w:tc>
              <w:tc>
                <w:tcPr>
                  <w:tcW w:w="1309" w:type="pct"/>
                  <w:noWrap w:val="0"/>
                  <w:vAlign w:val="center"/>
                </w:tcPr>
                <w:p w14:paraId="7F95C008">
                  <w:pPr>
                    <w:adjustRightInd w:val="0"/>
                    <w:snapToGrid w:val="0"/>
                    <w:jc w:val="center"/>
                    <w:rPr>
                      <w:b w:val="0"/>
                      <w:bCs/>
                      <w:color w:val="auto"/>
                      <w:szCs w:val="21"/>
                    </w:rPr>
                  </w:pPr>
                  <w:r>
                    <w:rPr>
                      <w:b w:val="0"/>
                      <w:bCs/>
                      <w:color w:val="auto"/>
                      <w:szCs w:val="21"/>
                    </w:rPr>
                    <w:t>重型运输车</w:t>
                  </w:r>
                </w:p>
              </w:tc>
              <w:tc>
                <w:tcPr>
                  <w:tcW w:w="1146" w:type="pct"/>
                  <w:noWrap w:val="0"/>
                  <w:vAlign w:val="center"/>
                </w:tcPr>
                <w:p w14:paraId="40785A30">
                  <w:pPr>
                    <w:widowControl/>
                    <w:adjustRightInd w:val="0"/>
                    <w:snapToGrid w:val="0"/>
                    <w:jc w:val="center"/>
                    <w:textAlignment w:val="center"/>
                    <w:rPr>
                      <w:b w:val="0"/>
                      <w:bCs/>
                      <w:color w:val="auto"/>
                      <w:szCs w:val="21"/>
                    </w:rPr>
                  </w:pPr>
                  <w:r>
                    <w:rPr>
                      <w:b w:val="0"/>
                      <w:bCs/>
                      <w:color w:val="auto"/>
                      <w:szCs w:val="21"/>
                    </w:rPr>
                    <w:t>82～90</w:t>
                  </w:r>
                </w:p>
              </w:tc>
              <w:tc>
                <w:tcPr>
                  <w:tcW w:w="1408" w:type="pct"/>
                  <w:noWrap w:val="0"/>
                  <w:vAlign w:val="center"/>
                </w:tcPr>
                <w:p w14:paraId="44CB7426">
                  <w:pPr>
                    <w:widowControl/>
                    <w:adjustRightInd w:val="0"/>
                    <w:snapToGrid w:val="0"/>
                    <w:jc w:val="center"/>
                    <w:textAlignment w:val="center"/>
                    <w:rPr>
                      <w:b w:val="0"/>
                      <w:bCs/>
                      <w:color w:val="auto"/>
                      <w:szCs w:val="21"/>
                    </w:rPr>
                  </w:pPr>
                  <w:r>
                    <w:rPr>
                      <w:b w:val="0"/>
                      <w:bCs/>
                      <w:color w:val="auto"/>
                      <w:szCs w:val="21"/>
                    </w:rPr>
                    <w:t>5</w:t>
                  </w:r>
                </w:p>
              </w:tc>
            </w:tr>
            <w:tr w14:paraId="28BAB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restart"/>
                  <w:noWrap w:val="0"/>
                  <w:vAlign w:val="center"/>
                </w:tcPr>
                <w:p w14:paraId="37171DB1">
                  <w:pPr>
                    <w:jc w:val="center"/>
                    <w:rPr>
                      <w:b w:val="0"/>
                      <w:bCs/>
                      <w:color w:val="auto"/>
                      <w:szCs w:val="21"/>
                    </w:rPr>
                  </w:pPr>
                  <w:r>
                    <w:rPr>
                      <w:b w:val="0"/>
                      <w:bCs/>
                      <w:color w:val="auto"/>
                      <w:szCs w:val="21"/>
                    </w:rPr>
                    <w:t>设备安装阶段</w:t>
                  </w:r>
                </w:p>
              </w:tc>
              <w:tc>
                <w:tcPr>
                  <w:tcW w:w="1309" w:type="pct"/>
                  <w:noWrap w:val="0"/>
                  <w:vAlign w:val="center"/>
                </w:tcPr>
                <w:p w14:paraId="579A7554">
                  <w:pPr>
                    <w:widowControl/>
                    <w:adjustRightInd w:val="0"/>
                    <w:snapToGrid w:val="0"/>
                    <w:jc w:val="center"/>
                    <w:textAlignment w:val="center"/>
                    <w:rPr>
                      <w:b w:val="0"/>
                      <w:bCs/>
                      <w:color w:val="auto"/>
                      <w:szCs w:val="21"/>
                    </w:rPr>
                  </w:pPr>
                  <w:r>
                    <w:rPr>
                      <w:rFonts w:hint="eastAsia"/>
                      <w:b w:val="0"/>
                      <w:bCs/>
                      <w:color w:val="auto"/>
                      <w:szCs w:val="21"/>
                    </w:rPr>
                    <w:t>牵张机</w:t>
                  </w:r>
                </w:p>
              </w:tc>
              <w:tc>
                <w:tcPr>
                  <w:tcW w:w="1146" w:type="pct"/>
                  <w:noWrap w:val="0"/>
                  <w:vAlign w:val="center"/>
                </w:tcPr>
                <w:p w14:paraId="1ADB24BC">
                  <w:pPr>
                    <w:jc w:val="center"/>
                    <w:rPr>
                      <w:b w:val="0"/>
                      <w:bCs/>
                      <w:color w:val="auto"/>
                      <w:szCs w:val="21"/>
                    </w:rPr>
                  </w:pPr>
                  <w:r>
                    <w:rPr>
                      <w:b w:val="0"/>
                      <w:bCs/>
                      <w:color w:val="auto"/>
                      <w:szCs w:val="21"/>
                    </w:rPr>
                    <w:t>≤70</w:t>
                  </w:r>
                </w:p>
              </w:tc>
              <w:tc>
                <w:tcPr>
                  <w:tcW w:w="1408" w:type="pct"/>
                  <w:noWrap w:val="0"/>
                  <w:vAlign w:val="center"/>
                </w:tcPr>
                <w:p w14:paraId="7C8332AF">
                  <w:pPr>
                    <w:widowControl/>
                    <w:adjustRightInd w:val="0"/>
                    <w:snapToGrid w:val="0"/>
                    <w:jc w:val="center"/>
                    <w:textAlignment w:val="center"/>
                    <w:rPr>
                      <w:b w:val="0"/>
                      <w:bCs/>
                      <w:color w:val="auto"/>
                      <w:szCs w:val="21"/>
                    </w:rPr>
                  </w:pPr>
                  <w:r>
                    <w:rPr>
                      <w:b w:val="0"/>
                      <w:bCs/>
                      <w:color w:val="auto"/>
                      <w:szCs w:val="21"/>
                    </w:rPr>
                    <w:t>1</w:t>
                  </w:r>
                </w:p>
              </w:tc>
            </w:tr>
            <w:tr w14:paraId="0B84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01A23AD6">
                  <w:pPr>
                    <w:jc w:val="center"/>
                    <w:rPr>
                      <w:b w:val="0"/>
                      <w:bCs/>
                      <w:color w:val="auto"/>
                      <w:szCs w:val="21"/>
                    </w:rPr>
                  </w:pPr>
                </w:p>
              </w:tc>
              <w:tc>
                <w:tcPr>
                  <w:tcW w:w="1309" w:type="pct"/>
                  <w:noWrap w:val="0"/>
                  <w:vAlign w:val="center"/>
                </w:tcPr>
                <w:p w14:paraId="1C8E579E">
                  <w:pPr>
                    <w:widowControl/>
                    <w:adjustRightInd w:val="0"/>
                    <w:snapToGrid w:val="0"/>
                    <w:jc w:val="center"/>
                    <w:textAlignment w:val="center"/>
                    <w:rPr>
                      <w:b w:val="0"/>
                      <w:bCs/>
                      <w:color w:val="auto"/>
                      <w:szCs w:val="21"/>
                    </w:rPr>
                  </w:pPr>
                  <w:r>
                    <w:rPr>
                      <w:b w:val="0"/>
                      <w:bCs/>
                      <w:color w:val="auto"/>
                      <w:szCs w:val="21"/>
                    </w:rPr>
                    <w:t>电焊机</w:t>
                  </w:r>
                </w:p>
              </w:tc>
              <w:tc>
                <w:tcPr>
                  <w:tcW w:w="1146" w:type="pct"/>
                  <w:noWrap w:val="0"/>
                  <w:vAlign w:val="center"/>
                </w:tcPr>
                <w:p w14:paraId="6B295F16">
                  <w:pPr>
                    <w:jc w:val="center"/>
                    <w:rPr>
                      <w:b w:val="0"/>
                      <w:bCs/>
                      <w:color w:val="auto"/>
                      <w:szCs w:val="21"/>
                    </w:rPr>
                  </w:pPr>
                  <w:r>
                    <w:rPr>
                      <w:b w:val="0"/>
                      <w:bCs/>
                      <w:color w:val="auto"/>
                      <w:szCs w:val="21"/>
                    </w:rPr>
                    <w:t>90～95</w:t>
                  </w:r>
                </w:p>
              </w:tc>
              <w:tc>
                <w:tcPr>
                  <w:tcW w:w="1408" w:type="pct"/>
                  <w:noWrap w:val="0"/>
                  <w:vAlign w:val="center"/>
                </w:tcPr>
                <w:p w14:paraId="19599C06">
                  <w:pPr>
                    <w:widowControl/>
                    <w:adjustRightInd w:val="0"/>
                    <w:snapToGrid w:val="0"/>
                    <w:jc w:val="center"/>
                    <w:textAlignment w:val="center"/>
                    <w:rPr>
                      <w:b w:val="0"/>
                      <w:bCs/>
                      <w:color w:val="auto"/>
                      <w:szCs w:val="21"/>
                    </w:rPr>
                  </w:pPr>
                  <w:r>
                    <w:rPr>
                      <w:b w:val="0"/>
                      <w:bCs/>
                      <w:color w:val="auto"/>
                      <w:szCs w:val="21"/>
                    </w:rPr>
                    <w:t>1</w:t>
                  </w:r>
                </w:p>
              </w:tc>
            </w:tr>
            <w:tr w14:paraId="1B8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37E33143">
                  <w:pPr>
                    <w:jc w:val="center"/>
                    <w:rPr>
                      <w:b w:val="0"/>
                      <w:bCs/>
                      <w:color w:val="auto"/>
                      <w:szCs w:val="21"/>
                    </w:rPr>
                  </w:pPr>
                </w:p>
              </w:tc>
              <w:tc>
                <w:tcPr>
                  <w:tcW w:w="1309" w:type="pct"/>
                  <w:noWrap w:val="0"/>
                  <w:vAlign w:val="center"/>
                </w:tcPr>
                <w:p w14:paraId="73125612">
                  <w:pPr>
                    <w:widowControl/>
                    <w:adjustRightInd w:val="0"/>
                    <w:snapToGrid w:val="0"/>
                    <w:jc w:val="center"/>
                    <w:textAlignment w:val="center"/>
                    <w:rPr>
                      <w:b w:val="0"/>
                      <w:bCs/>
                      <w:color w:val="auto"/>
                      <w:szCs w:val="21"/>
                    </w:rPr>
                  </w:pPr>
                  <w:r>
                    <w:rPr>
                      <w:b w:val="0"/>
                      <w:bCs/>
                      <w:color w:val="auto"/>
                      <w:szCs w:val="21"/>
                    </w:rPr>
                    <w:t>角磨机</w:t>
                  </w:r>
                </w:p>
              </w:tc>
              <w:tc>
                <w:tcPr>
                  <w:tcW w:w="1146" w:type="pct"/>
                  <w:noWrap w:val="0"/>
                  <w:vAlign w:val="center"/>
                </w:tcPr>
                <w:p w14:paraId="49000E50">
                  <w:pPr>
                    <w:jc w:val="center"/>
                    <w:rPr>
                      <w:b w:val="0"/>
                      <w:bCs/>
                      <w:color w:val="auto"/>
                      <w:szCs w:val="21"/>
                    </w:rPr>
                  </w:pPr>
                  <w:r>
                    <w:rPr>
                      <w:b w:val="0"/>
                      <w:bCs/>
                      <w:color w:val="auto"/>
                      <w:szCs w:val="21"/>
                    </w:rPr>
                    <w:t>90～96</w:t>
                  </w:r>
                </w:p>
              </w:tc>
              <w:tc>
                <w:tcPr>
                  <w:tcW w:w="1408" w:type="pct"/>
                  <w:noWrap w:val="0"/>
                  <w:vAlign w:val="center"/>
                </w:tcPr>
                <w:p w14:paraId="23CA4976">
                  <w:pPr>
                    <w:widowControl/>
                    <w:adjustRightInd w:val="0"/>
                    <w:snapToGrid w:val="0"/>
                    <w:jc w:val="center"/>
                    <w:textAlignment w:val="center"/>
                    <w:rPr>
                      <w:b w:val="0"/>
                      <w:bCs/>
                      <w:color w:val="auto"/>
                      <w:szCs w:val="21"/>
                    </w:rPr>
                  </w:pPr>
                  <w:r>
                    <w:rPr>
                      <w:b w:val="0"/>
                      <w:bCs/>
                      <w:color w:val="auto"/>
                      <w:szCs w:val="21"/>
                    </w:rPr>
                    <w:t>1</w:t>
                  </w:r>
                </w:p>
              </w:tc>
            </w:tr>
            <w:tr w14:paraId="0027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7" w:hRule="atLeast"/>
                <w:jc w:val="center"/>
              </w:trPr>
              <w:tc>
                <w:tcPr>
                  <w:tcW w:w="1134" w:type="pct"/>
                  <w:vMerge w:val="continue"/>
                  <w:noWrap w:val="0"/>
                  <w:vAlign w:val="center"/>
                </w:tcPr>
                <w:p w14:paraId="5A05BC27">
                  <w:pPr>
                    <w:jc w:val="center"/>
                    <w:rPr>
                      <w:b w:val="0"/>
                      <w:bCs/>
                      <w:color w:val="auto"/>
                      <w:szCs w:val="21"/>
                    </w:rPr>
                  </w:pPr>
                </w:p>
              </w:tc>
              <w:tc>
                <w:tcPr>
                  <w:tcW w:w="1309" w:type="pct"/>
                  <w:noWrap w:val="0"/>
                  <w:vAlign w:val="center"/>
                </w:tcPr>
                <w:p w14:paraId="391CC11E">
                  <w:pPr>
                    <w:widowControl/>
                    <w:adjustRightInd w:val="0"/>
                    <w:snapToGrid w:val="0"/>
                    <w:jc w:val="center"/>
                    <w:textAlignment w:val="center"/>
                    <w:rPr>
                      <w:b w:val="0"/>
                      <w:bCs/>
                      <w:color w:val="auto"/>
                      <w:szCs w:val="21"/>
                    </w:rPr>
                  </w:pPr>
                  <w:r>
                    <w:rPr>
                      <w:b w:val="0"/>
                      <w:bCs/>
                      <w:color w:val="auto"/>
                      <w:szCs w:val="21"/>
                    </w:rPr>
                    <w:t>手电钻</w:t>
                  </w:r>
                </w:p>
              </w:tc>
              <w:tc>
                <w:tcPr>
                  <w:tcW w:w="1146" w:type="pct"/>
                  <w:noWrap w:val="0"/>
                  <w:vAlign w:val="center"/>
                </w:tcPr>
                <w:p w14:paraId="1FB793CE">
                  <w:pPr>
                    <w:widowControl/>
                    <w:adjustRightInd w:val="0"/>
                    <w:snapToGrid w:val="0"/>
                    <w:jc w:val="center"/>
                    <w:textAlignment w:val="center"/>
                    <w:rPr>
                      <w:b w:val="0"/>
                      <w:bCs/>
                      <w:color w:val="auto"/>
                      <w:szCs w:val="21"/>
                    </w:rPr>
                  </w:pPr>
                  <w:r>
                    <w:rPr>
                      <w:b w:val="0"/>
                      <w:bCs/>
                      <w:color w:val="auto"/>
                      <w:szCs w:val="21"/>
                    </w:rPr>
                    <w:t>85～90</w:t>
                  </w:r>
                </w:p>
              </w:tc>
              <w:tc>
                <w:tcPr>
                  <w:tcW w:w="1408" w:type="pct"/>
                  <w:noWrap w:val="0"/>
                  <w:vAlign w:val="center"/>
                </w:tcPr>
                <w:p w14:paraId="37212EC6">
                  <w:pPr>
                    <w:jc w:val="center"/>
                    <w:rPr>
                      <w:b w:val="0"/>
                      <w:bCs/>
                      <w:color w:val="auto"/>
                      <w:szCs w:val="21"/>
                    </w:rPr>
                  </w:pPr>
                  <w:r>
                    <w:rPr>
                      <w:b w:val="0"/>
                      <w:bCs/>
                      <w:color w:val="auto"/>
                      <w:szCs w:val="21"/>
                    </w:rPr>
                    <w:t>1</w:t>
                  </w:r>
                </w:p>
              </w:tc>
            </w:tr>
          </w:tbl>
          <w:p w14:paraId="78399D51">
            <w:pPr>
              <w:adjustRightInd w:val="0"/>
              <w:spacing w:line="360" w:lineRule="auto"/>
              <w:ind w:firstLine="482"/>
              <w:rPr>
                <w:bCs/>
                <w:color w:val="auto"/>
                <w:sz w:val="24"/>
                <w:szCs w:val="20"/>
              </w:rPr>
            </w:pPr>
            <w:r>
              <w:rPr>
                <w:bCs/>
                <w:color w:val="auto"/>
                <w:sz w:val="24"/>
                <w:szCs w:val="20"/>
              </w:rPr>
              <w:t>施工期一般为露天作业，声源较高，由于施工场地内机械设备大多属于移动声源，要准确预测施工场地各场界噪声值较困难。施工机械噪声可近似点声源处理，为了反映施工机械噪声对环境的影响，利用距离传播衰减模式预测施工机械噪声距离厂界处的噪声值，公式为：</w:t>
            </w:r>
          </w:p>
          <w:p w14:paraId="448B6389">
            <w:pPr>
              <w:adjustRightInd w:val="0"/>
              <w:spacing w:line="360" w:lineRule="auto"/>
              <w:ind w:firstLine="1200" w:firstLineChars="500"/>
              <w:rPr>
                <w:bCs/>
                <w:color w:val="auto"/>
                <w:sz w:val="24"/>
                <w:szCs w:val="20"/>
              </w:rPr>
            </w:pPr>
            <w:r>
              <w:rPr>
                <w:bCs/>
                <w:color w:val="auto"/>
                <w:sz w:val="24"/>
                <w:szCs w:val="20"/>
              </w:rPr>
              <w:t>Lp=Lp</w:t>
            </w:r>
            <w:r>
              <w:rPr>
                <w:bCs/>
                <w:color w:val="auto"/>
                <w:sz w:val="24"/>
                <w:szCs w:val="20"/>
                <w:vertAlign w:val="subscript"/>
              </w:rPr>
              <w:t>0</w:t>
            </w:r>
            <w:r>
              <w:rPr>
                <w:bCs/>
                <w:color w:val="auto"/>
                <w:sz w:val="24"/>
                <w:szCs w:val="20"/>
              </w:rPr>
              <w:t>-20lg(r/r</w:t>
            </w:r>
            <w:r>
              <w:rPr>
                <w:bCs/>
                <w:color w:val="auto"/>
                <w:sz w:val="24"/>
                <w:szCs w:val="20"/>
                <w:vertAlign w:val="subscript"/>
              </w:rPr>
              <w:t>0</w:t>
            </w:r>
            <w:r>
              <w:rPr>
                <w:bCs/>
                <w:color w:val="auto"/>
                <w:sz w:val="24"/>
                <w:szCs w:val="20"/>
              </w:rPr>
              <w:t>)</w:t>
            </w:r>
          </w:p>
          <w:p w14:paraId="332A0AC7">
            <w:pPr>
              <w:adjustRightInd w:val="0"/>
              <w:spacing w:line="360" w:lineRule="auto"/>
              <w:ind w:firstLine="480"/>
              <w:rPr>
                <w:bCs/>
                <w:color w:val="auto"/>
                <w:sz w:val="24"/>
                <w:szCs w:val="20"/>
              </w:rPr>
            </w:pPr>
            <w:r>
              <w:rPr>
                <w:bCs/>
                <w:color w:val="auto"/>
                <w:sz w:val="24"/>
                <w:szCs w:val="20"/>
              </w:rPr>
              <w:t>式中：Lp—预测点声压级，dB(A)；</w:t>
            </w:r>
          </w:p>
          <w:p w14:paraId="67FDA28F">
            <w:pPr>
              <w:adjustRightInd w:val="0"/>
              <w:spacing w:line="360" w:lineRule="auto"/>
              <w:ind w:firstLine="1200" w:firstLineChars="500"/>
              <w:rPr>
                <w:bCs/>
                <w:color w:val="auto"/>
                <w:sz w:val="24"/>
                <w:szCs w:val="20"/>
              </w:rPr>
            </w:pPr>
            <w:r>
              <w:rPr>
                <w:bCs/>
                <w:color w:val="auto"/>
                <w:sz w:val="24"/>
                <w:szCs w:val="20"/>
              </w:rPr>
              <w:t>Lp</w:t>
            </w:r>
            <w:r>
              <w:rPr>
                <w:bCs/>
                <w:color w:val="auto"/>
                <w:sz w:val="24"/>
                <w:szCs w:val="20"/>
                <w:vertAlign w:val="subscript"/>
              </w:rPr>
              <w:t>0</w:t>
            </w:r>
            <w:r>
              <w:rPr>
                <w:bCs/>
                <w:color w:val="auto"/>
                <w:sz w:val="24"/>
                <w:szCs w:val="20"/>
              </w:rPr>
              <w:t>—已知参考点声级，dB(A)；</w:t>
            </w:r>
          </w:p>
          <w:p w14:paraId="3F14E0D7">
            <w:pPr>
              <w:adjustRightInd w:val="0"/>
              <w:spacing w:line="360" w:lineRule="auto"/>
              <w:ind w:firstLine="1200" w:firstLineChars="500"/>
              <w:rPr>
                <w:bCs/>
                <w:color w:val="auto"/>
                <w:sz w:val="24"/>
                <w:szCs w:val="20"/>
              </w:rPr>
            </w:pPr>
            <w:r>
              <w:rPr>
                <w:bCs/>
                <w:color w:val="auto"/>
                <w:sz w:val="24"/>
                <w:szCs w:val="20"/>
              </w:rPr>
              <w:t>r—预测点至声源设备距离，m；</w:t>
            </w:r>
          </w:p>
          <w:p w14:paraId="447E810F">
            <w:pPr>
              <w:adjustRightInd w:val="0"/>
              <w:spacing w:line="360" w:lineRule="auto"/>
              <w:ind w:firstLine="1200" w:firstLineChars="500"/>
              <w:rPr>
                <w:bCs/>
                <w:color w:val="auto"/>
                <w:sz w:val="24"/>
                <w:szCs w:val="20"/>
              </w:rPr>
            </w:pPr>
            <w:r>
              <w:rPr>
                <w:bCs/>
                <w:color w:val="auto"/>
                <w:sz w:val="24"/>
                <w:szCs w:val="20"/>
              </w:rPr>
              <w:t>r</w:t>
            </w:r>
            <w:r>
              <w:rPr>
                <w:bCs/>
                <w:color w:val="auto"/>
                <w:sz w:val="24"/>
                <w:szCs w:val="20"/>
                <w:vertAlign w:val="subscript"/>
              </w:rPr>
              <w:t>0</w:t>
            </w:r>
            <w:r>
              <w:rPr>
                <w:bCs/>
                <w:color w:val="auto"/>
                <w:sz w:val="24"/>
                <w:szCs w:val="20"/>
              </w:rPr>
              <w:t>—已知参考点到声源距离，m。</w:t>
            </w:r>
          </w:p>
          <w:p w14:paraId="28A1FB3C">
            <w:pPr>
              <w:adjustRightInd w:val="0"/>
              <w:spacing w:line="360" w:lineRule="auto"/>
              <w:ind w:firstLine="480"/>
              <w:rPr>
                <w:color w:val="000000" w:themeColor="text1"/>
                <w:sz w:val="24"/>
                <w14:textFill>
                  <w14:solidFill>
                    <w14:schemeClr w14:val="tx1"/>
                  </w14:solidFill>
                </w14:textFill>
              </w:rPr>
            </w:pPr>
            <w:r>
              <w:rPr>
                <w:bCs/>
                <w:color w:val="auto"/>
                <w:sz w:val="24"/>
                <w:szCs w:val="20"/>
              </w:rPr>
              <w:t>根据上述公式，预测结果见表4-2所示</w:t>
            </w:r>
            <w:r>
              <w:rPr>
                <w:color w:val="000000" w:themeColor="text1"/>
                <w:sz w:val="24"/>
                <w14:textFill>
                  <w14:solidFill>
                    <w14:schemeClr w14:val="tx1"/>
                  </w14:solidFill>
                </w14:textFill>
              </w:rPr>
              <w:t>。</w:t>
            </w:r>
          </w:p>
          <w:p w14:paraId="512C1A1F">
            <w:pPr>
              <w:jc w:val="center"/>
              <w:rPr>
                <w:b/>
                <w:bCs/>
                <w:color w:val="auto"/>
                <w:sz w:val="21"/>
                <w:szCs w:val="21"/>
              </w:rPr>
            </w:pPr>
            <w:r>
              <w:rPr>
                <w:b/>
                <w:bCs/>
                <w:color w:val="auto"/>
                <w:sz w:val="21"/>
                <w:szCs w:val="21"/>
              </w:rPr>
              <w:t>表4-2    施工机械环境噪声影响预测结果</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441"/>
              <w:gridCol w:w="441"/>
              <w:gridCol w:w="441"/>
              <w:gridCol w:w="441"/>
              <w:gridCol w:w="441"/>
              <w:gridCol w:w="441"/>
              <w:gridCol w:w="441"/>
              <w:gridCol w:w="441"/>
              <w:gridCol w:w="441"/>
              <w:gridCol w:w="443"/>
              <w:gridCol w:w="460"/>
              <w:gridCol w:w="460"/>
              <w:gridCol w:w="461"/>
              <w:gridCol w:w="461"/>
              <w:gridCol w:w="460"/>
            </w:tblGrid>
            <w:tr w14:paraId="2B50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restart"/>
                  <w:noWrap w:val="0"/>
                  <w:tcMar>
                    <w:left w:w="68" w:type="dxa"/>
                    <w:right w:w="68" w:type="dxa"/>
                  </w:tcMar>
                  <w:vAlign w:val="center"/>
                </w:tcPr>
                <w:p w14:paraId="4F0DB24D">
                  <w:pPr>
                    <w:adjustRightInd w:val="0"/>
                    <w:snapToGrid w:val="0"/>
                    <w:jc w:val="center"/>
                    <w:rPr>
                      <w:b w:val="0"/>
                      <w:bCs w:val="0"/>
                      <w:color w:val="auto"/>
                      <w:sz w:val="21"/>
                      <w:szCs w:val="21"/>
                    </w:rPr>
                  </w:pPr>
                  <w:r>
                    <w:rPr>
                      <w:b w:val="0"/>
                      <w:bCs w:val="0"/>
                      <w:color w:val="auto"/>
                      <w:sz w:val="21"/>
                      <w:szCs w:val="21"/>
                    </w:rPr>
                    <w:t>噪声源</w:t>
                  </w:r>
                </w:p>
              </w:tc>
              <w:tc>
                <w:tcPr>
                  <w:tcW w:w="4230" w:type="pct"/>
                  <w:gridSpan w:val="15"/>
                  <w:noWrap w:val="0"/>
                  <w:tcMar>
                    <w:left w:w="68" w:type="dxa"/>
                    <w:right w:w="68" w:type="dxa"/>
                  </w:tcMar>
                  <w:vAlign w:val="center"/>
                </w:tcPr>
                <w:p w14:paraId="735DA6E4">
                  <w:pPr>
                    <w:adjustRightInd w:val="0"/>
                    <w:snapToGrid w:val="0"/>
                    <w:jc w:val="center"/>
                    <w:rPr>
                      <w:b w:val="0"/>
                      <w:bCs w:val="0"/>
                      <w:color w:val="auto"/>
                      <w:sz w:val="21"/>
                      <w:szCs w:val="21"/>
                    </w:rPr>
                  </w:pPr>
                  <w:r>
                    <w:rPr>
                      <w:b w:val="0"/>
                      <w:bCs w:val="0"/>
                      <w:color w:val="auto"/>
                      <w:sz w:val="21"/>
                      <w:szCs w:val="21"/>
                    </w:rPr>
                    <w:t>距噪声源不同距离（m）噪声贡献值</w:t>
                  </w:r>
                </w:p>
              </w:tc>
            </w:tr>
            <w:tr w14:paraId="5991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vMerge w:val="continue"/>
                  <w:noWrap w:val="0"/>
                  <w:tcMar>
                    <w:left w:w="68" w:type="dxa"/>
                    <w:right w:w="68" w:type="dxa"/>
                  </w:tcMar>
                  <w:vAlign w:val="center"/>
                </w:tcPr>
                <w:p w14:paraId="1AAD2D73">
                  <w:pPr>
                    <w:adjustRightInd w:val="0"/>
                    <w:snapToGrid w:val="0"/>
                    <w:jc w:val="center"/>
                    <w:rPr>
                      <w:b w:val="0"/>
                      <w:bCs w:val="0"/>
                      <w:color w:val="auto"/>
                      <w:sz w:val="21"/>
                      <w:szCs w:val="21"/>
                    </w:rPr>
                  </w:pPr>
                </w:p>
              </w:tc>
              <w:tc>
                <w:tcPr>
                  <w:tcW w:w="278" w:type="pct"/>
                  <w:noWrap w:val="0"/>
                  <w:tcMar>
                    <w:left w:w="68" w:type="dxa"/>
                    <w:right w:w="68" w:type="dxa"/>
                  </w:tcMar>
                  <w:vAlign w:val="center"/>
                </w:tcPr>
                <w:p w14:paraId="048FB223">
                  <w:pPr>
                    <w:adjustRightInd w:val="0"/>
                    <w:snapToGrid w:val="0"/>
                    <w:jc w:val="center"/>
                    <w:rPr>
                      <w:b w:val="0"/>
                      <w:bCs w:val="0"/>
                      <w:color w:val="auto"/>
                      <w:sz w:val="21"/>
                      <w:szCs w:val="21"/>
                    </w:rPr>
                  </w:pPr>
                  <w:r>
                    <w:rPr>
                      <w:b w:val="0"/>
                      <w:bCs w:val="0"/>
                      <w:color w:val="auto"/>
                      <w:sz w:val="21"/>
                      <w:szCs w:val="21"/>
                    </w:rPr>
                    <w:t>5</w:t>
                  </w:r>
                </w:p>
              </w:tc>
              <w:tc>
                <w:tcPr>
                  <w:tcW w:w="278" w:type="pct"/>
                  <w:noWrap w:val="0"/>
                  <w:tcMar>
                    <w:left w:w="68" w:type="dxa"/>
                    <w:right w:w="68" w:type="dxa"/>
                  </w:tcMar>
                  <w:vAlign w:val="center"/>
                </w:tcPr>
                <w:p w14:paraId="24D47624">
                  <w:pPr>
                    <w:adjustRightInd w:val="0"/>
                    <w:snapToGrid w:val="0"/>
                    <w:jc w:val="center"/>
                    <w:rPr>
                      <w:b w:val="0"/>
                      <w:bCs w:val="0"/>
                      <w:color w:val="auto"/>
                      <w:sz w:val="21"/>
                      <w:szCs w:val="21"/>
                    </w:rPr>
                  </w:pPr>
                  <w:r>
                    <w:rPr>
                      <w:b w:val="0"/>
                      <w:bCs w:val="0"/>
                      <w:color w:val="auto"/>
                      <w:sz w:val="21"/>
                      <w:szCs w:val="21"/>
                    </w:rPr>
                    <w:t>10</w:t>
                  </w:r>
                </w:p>
              </w:tc>
              <w:tc>
                <w:tcPr>
                  <w:tcW w:w="278" w:type="pct"/>
                  <w:noWrap w:val="0"/>
                  <w:tcMar>
                    <w:left w:w="68" w:type="dxa"/>
                    <w:right w:w="68" w:type="dxa"/>
                  </w:tcMar>
                  <w:vAlign w:val="center"/>
                </w:tcPr>
                <w:p w14:paraId="7E569566">
                  <w:pPr>
                    <w:adjustRightInd w:val="0"/>
                    <w:snapToGrid w:val="0"/>
                    <w:jc w:val="center"/>
                    <w:rPr>
                      <w:b w:val="0"/>
                      <w:bCs w:val="0"/>
                      <w:color w:val="auto"/>
                      <w:sz w:val="21"/>
                      <w:szCs w:val="21"/>
                    </w:rPr>
                  </w:pPr>
                  <w:r>
                    <w:rPr>
                      <w:b w:val="0"/>
                      <w:bCs w:val="0"/>
                      <w:color w:val="auto"/>
                      <w:sz w:val="21"/>
                      <w:szCs w:val="21"/>
                    </w:rPr>
                    <w:t>20</w:t>
                  </w:r>
                </w:p>
              </w:tc>
              <w:tc>
                <w:tcPr>
                  <w:tcW w:w="278" w:type="pct"/>
                  <w:noWrap w:val="0"/>
                  <w:tcMar>
                    <w:left w:w="68" w:type="dxa"/>
                    <w:right w:w="68" w:type="dxa"/>
                  </w:tcMar>
                  <w:vAlign w:val="center"/>
                </w:tcPr>
                <w:p w14:paraId="01E062B6">
                  <w:pPr>
                    <w:adjustRightInd w:val="0"/>
                    <w:snapToGrid w:val="0"/>
                    <w:jc w:val="center"/>
                    <w:rPr>
                      <w:b w:val="0"/>
                      <w:bCs w:val="0"/>
                      <w:color w:val="auto"/>
                      <w:sz w:val="21"/>
                      <w:szCs w:val="21"/>
                    </w:rPr>
                  </w:pPr>
                  <w:r>
                    <w:rPr>
                      <w:b w:val="0"/>
                      <w:bCs w:val="0"/>
                      <w:color w:val="auto"/>
                      <w:sz w:val="21"/>
                      <w:szCs w:val="21"/>
                    </w:rPr>
                    <w:t>30</w:t>
                  </w:r>
                </w:p>
              </w:tc>
              <w:tc>
                <w:tcPr>
                  <w:tcW w:w="278" w:type="pct"/>
                  <w:noWrap w:val="0"/>
                  <w:tcMar>
                    <w:left w:w="68" w:type="dxa"/>
                    <w:right w:w="68" w:type="dxa"/>
                  </w:tcMar>
                  <w:vAlign w:val="center"/>
                </w:tcPr>
                <w:p w14:paraId="51FAFFB9">
                  <w:pPr>
                    <w:adjustRightInd w:val="0"/>
                    <w:snapToGrid w:val="0"/>
                    <w:jc w:val="center"/>
                    <w:rPr>
                      <w:b w:val="0"/>
                      <w:bCs w:val="0"/>
                      <w:color w:val="auto"/>
                      <w:sz w:val="21"/>
                      <w:szCs w:val="21"/>
                    </w:rPr>
                  </w:pPr>
                  <w:r>
                    <w:rPr>
                      <w:b w:val="0"/>
                      <w:bCs w:val="0"/>
                      <w:color w:val="auto"/>
                      <w:sz w:val="21"/>
                      <w:szCs w:val="21"/>
                    </w:rPr>
                    <w:t>40</w:t>
                  </w:r>
                </w:p>
              </w:tc>
              <w:tc>
                <w:tcPr>
                  <w:tcW w:w="278" w:type="pct"/>
                  <w:noWrap w:val="0"/>
                  <w:tcMar>
                    <w:left w:w="68" w:type="dxa"/>
                    <w:right w:w="68" w:type="dxa"/>
                  </w:tcMar>
                  <w:vAlign w:val="center"/>
                </w:tcPr>
                <w:p w14:paraId="487C2E1F">
                  <w:pPr>
                    <w:adjustRightInd w:val="0"/>
                    <w:snapToGrid w:val="0"/>
                    <w:jc w:val="center"/>
                    <w:rPr>
                      <w:b w:val="0"/>
                      <w:bCs w:val="0"/>
                      <w:color w:val="auto"/>
                      <w:sz w:val="21"/>
                      <w:szCs w:val="21"/>
                    </w:rPr>
                  </w:pPr>
                  <w:r>
                    <w:rPr>
                      <w:b w:val="0"/>
                      <w:bCs w:val="0"/>
                      <w:color w:val="auto"/>
                      <w:sz w:val="21"/>
                      <w:szCs w:val="21"/>
                    </w:rPr>
                    <w:t>50</w:t>
                  </w:r>
                </w:p>
              </w:tc>
              <w:tc>
                <w:tcPr>
                  <w:tcW w:w="278" w:type="pct"/>
                  <w:noWrap w:val="0"/>
                  <w:tcMar>
                    <w:left w:w="68" w:type="dxa"/>
                    <w:right w:w="68" w:type="dxa"/>
                  </w:tcMar>
                  <w:vAlign w:val="center"/>
                </w:tcPr>
                <w:p w14:paraId="096217B8">
                  <w:pPr>
                    <w:adjustRightInd w:val="0"/>
                    <w:snapToGrid w:val="0"/>
                    <w:jc w:val="center"/>
                    <w:rPr>
                      <w:b w:val="0"/>
                      <w:bCs w:val="0"/>
                      <w:color w:val="auto"/>
                      <w:sz w:val="21"/>
                      <w:szCs w:val="21"/>
                    </w:rPr>
                  </w:pPr>
                  <w:r>
                    <w:rPr>
                      <w:b w:val="0"/>
                      <w:bCs w:val="0"/>
                      <w:color w:val="auto"/>
                      <w:sz w:val="21"/>
                      <w:szCs w:val="21"/>
                    </w:rPr>
                    <w:t>60</w:t>
                  </w:r>
                </w:p>
              </w:tc>
              <w:tc>
                <w:tcPr>
                  <w:tcW w:w="278" w:type="pct"/>
                  <w:noWrap w:val="0"/>
                  <w:tcMar>
                    <w:left w:w="68" w:type="dxa"/>
                    <w:right w:w="68" w:type="dxa"/>
                  </w:tcMar>
                  <w:vAlign w:val="center"/>
                </w:tcPr>
                <w:p w14:paraId="16A064F6">
                  <w:pPr>
                    <w:adjustRightInd w:val="0"/>
                    <w:snapToGrid w:val="0"/>
                    <w:jc w:val="center"/>
                    <w:rPr>
                      <w:b w:val="0"/>
                      <w:bCs w:val="0"/>
                      <w:color w:val="auto"/>
                      <w:sz w:val="21"/>
                      <w:szCs w:val="21"/>
                    </w:rPr>
                  </w:pPr>
                  <w:r>
                    <w:rPr>
                      <w:b w:val="0"/>
                      <w:bCs w:val="0"/>
                      <w:color w:val="auto"/>
                      <w:sz w:val="21"/>
                      <w:szCs w:val="21"/>
                    </w:rPr>
                    <w:t>70</w:t>
                  </w:r>
                </w:p>
              </w:tc>
              <w:tc>
                <w:tcPr>
                  <w:tcW w:w="278" w:type="pct"/>
                  <w:noWrap w:val="0"/>
                  <w:tcMar>
                    <w:left w:w="68" w:type="dxa"/>
                    <w:right w:w="68" w:type="dxa"/>
                  </w:tcMar>
                  <w:vAlign w:val="center"/>
                </w:tcPr>
                <w:p w14:paraId="56C78EA6">
                  <w:pPr>
                    <w:adjustRightInd w:val="0"/>
                    <w:snapToGrid w:val="0"/>
                    <w:jc w:val="center"/>
                    <w:rPr>
                      <w:b w:val="0"/>
                      <w:bCs w:val="0"/>
                      <w:color w:val="auto"/>
                      <w:sz w:val="21"/>
                      <w:szCs w:val="21"/>
                    </w:rPr>
                  </w:pPr>
                  <w:r>
                    <w:rPr>
                      <w:b w:val="0"/>
                      <w:bCs w:val="0"/>
                      <w:color w:val="auto"/>
                      <w:sz w:val="21"/>
                      <w:szCs w:val="21"/>
                    </w:rPr>
                    <w:t>80</w:t>
                  </w:r>
                </w:p>
              </w:tc>
              <w:tc>
                <w:tcPr>
                  <w:tcW w:w="279" w:type="pct"/>
                  <w:noWrap w:val="0"/>
                  <w:tcMar>
                    <w:left w:w="68" w:type="dxa"/>
                    <w:right w:w="68" w:type="dxa"/>
                  </w:tcMar>
                  <w:vAlign w:val="center"/>
                </w:tcPr>
                <w:p w14:paraId="7F6607F5">
                  <w:pPr>
                    <w:adjustRightInd w:val="0"/>
                    <w:snapToGrid w:val="0"/>
                    <w:jc w:val="center"/>
                    <w:rPr>
                      <w:b w:val="0"/>
                      <w:bCs w:val="0"/>
                      <w:color w:val="auto"/>
                      <w:sz w:val="21"/>
                      <w:szCs w:val="21"/>
                    </w:rPr>
                  </w:pPr>
                  <w:r>
                    <w:rPr>
                      <w:b w:val="0"/>
                      <w:bCs w:val="0"/>
                      <w:color w:val="auto"/>
                      <w:sz w:val="21"/>
                      <w:szCs w:val="21"/>
                    </w:rPr>
                    <w:t>90</w:t>
                  </w:r>
                </w:p>
              </w:tc>
              <w:tc>
                <w:tcPr>
                  <w:tcW w:w="290" w:type="pct"/>
                  <w:noWrap w:val="0"/>
                  <w:tcMar>
                    <w:left w:w="68" w:type="dxa"/>
                    <w:right w:w="68" w:type="dxa"/>
                  </w:tcMar>
                  <w:vAlign w:val="center"/>
                </w:tcPr>
                <w:p w14:paraId="2FA4A726">
                  <w:pPr>
                    <w:adjustRightInd w:val="0"/>
                    <w:snapToGrid w:val="0"/>
                    <w:jc w:val="center"/>
                    <w:rPr>
                      <w:b w:val="0"/>
                      <w:bCs w:val="0"/>
                      <w:color w:val="auto"/>
                      <w:sz w:val="21"/>
                      <w:szCs w:val="21"/>
                    </w:rPr>
                  </w:pPr>
                  <w:r>
                    <w:rPr>
                      <w:b w:val="0"/>
                      <w:bCs w:val="0"/>
                      <w:color w:val="auto"/>
                      <w:sz w:val="21"/>
                      <w:szCs w:val="21"/>
                    </w:rPr>
                    <w:t>100</w:t>
                  </w:r>
                </w:p>
              </w:tc>
              <w:tc>
                <w:tcPr>
                  <w:tcW w:w="290" w:type="pct"/>
                  <w:noWrap w:val="0"/>
                  <w:tcMar>
                    <w:left w:w="68" w:type="dxa"/>
                    <w:right w:w="68" w:type="dxa"/>
                  </w:tcMar>
                  <w:vAlign w:val="center"/>
                </w:tcPr>
                <w:p w14:paraId="60C98364">
                  <w:pPr>
                    <w:adjustRightInd w:val="0"/>
                    <w:snapToGrid w:val="0"/>
                    <w:jc w:val="center"/>
                    <w:rPr>
                      <w:b w:val="0"/>
                      <w:bCs w:val="0"/>
                      <w:color w:val="auto"/>
                      <w:sz w:val="21"/>
                      <w:szCs w:val="21"/>
                    </w:rPr>
                  </w:pPr>
                  <w:r>
                    <w:rPr>
                      <w:b w:val="0"/>
                      <w:bCs w:val="0"/>
                      <w:color w:val="auto"/>
                      <w:sz w:val="21"/>
                      <w:szCs w:val="21"/>
                    </w:rPr>
                    <w:t>150</w:t>
                  </w:r>
                </w:p>
              </w:tc>
              <w:tc>
                <w:tcPr>
                  <w:tcW w:w="290" w:type="pct"/>
                  <w:noWrap w:val="0"/>
                  <w:tcMar>
                    <w:left w:w="68" w:type="dxa"/>
                    <w:right w:w="68" w:type="dxa"/>
                  </w:tcMar>
                  <w:vAlign w:val="center"/>
                </w:tcPr>
                <w:p w14:paraId="4C27496F">
                  <w:pPr>
                    <w:adjustRightInd w:val="0"/>
                    <w:snapToGrid w:val="0"/>
                    <w:jc w:val="center"/>
                    <w:rPr>
                      <w:b w:val="0"/>
                      <w:bCs w:val="0"/>
                      <w:color w:val="auto"/>
                      <w:sz w:val="21"/>
                      <w:szCs w:val="21"/>
                    </w:rPr>
                  </w:pPr>
                  <w:r>
                    <w:rPr>
                      <w:b w:val="0"/>
                      <w:bCs w:val="0"/>
                      <w:color w:val="auto"/>
                      <w:sz w:val="21"/>
                      <w:szCs w:val="21"/>
                    </w:rPr>
                    <w:t>200</w:t>
                  </w:r>
                </w:p>
              </w:tc>
              <w:tc>
                <w:tcPr>
                  <w:tcW w:w="290" w:type="pct"/>
                  <w:noWrap w:val="0"/>
                  <w:tcMar>
                    <w:left w:w="68" w:type="dxa"/>
                    <w:right w:w="68" w:type="dxa"/>
                  </w:tcMar>
                  <w:vAlign w:val="center"/>
                </w:tcPr>
                <w:p w14:paraId="7BC6332C">
                  <w:pPr>
                    <w:widowControl/>
                    <w:jc w:val="center"/>
                    <w:rPr>
                      <w:b w:val="0"/>
                      <w:bCs w:val="0"/>
                      <w:color w:val="auto"/>
                      <w:sz w:val="21"/>
                      <w:szCs w:val="21"/>
                    </w:rPr>
                  </w:pPr>
                  <w:r>
                    <w:rPr>
                      <w:rFonts w:hint="eastAsia"/>
                      <w:b w:val="0"/>
                      <w:bCs w:val="0"/>
                      <w:color w:val="auto"/>
                      <w:sz w:val="21"/>
                      <w:szCs w:val="21"/>
                    </w:rPr>
                    <w:t>300</w:t>
                  </w:r>
                </w:p>
              </w:tc>
              <w:tc>
                <w:tcPr>
                  <w:tcW w:w="290" w:type="pct"/>
                  <w:noWrap w:val="0"/>
                  <w:tcMar>
                    <w:left w:w="68" w:type="dxa"/>
                    <w:right w:w="68" w:type="dxa"/>
                  </w:tcMar>
                  <w:vAlign w:val="center"/>
                </w:tcPr>
                <w:p w14:paraId="2EE6DCBB">
                  <w:pPr>
                    <w:widowControl/>
                    <w:jc w:val="center"/>
                    <w:rPr>
                      <w:b w:val="0"/>
                      <w:bCs w:val="0"/>
                      <w:color w:val="auto"/>
                      <w:sz w:val="21"/>
                      <w:szCs w:val="21"/>
                    </w:rPr>
                  </w:pPr>
                  <w:r>
                    <w:rPr>
                      <w:rFonts w:hint="eastAsia"/>
                      <w:b w:val="0"/>
                      <w:bCs w:val="0"/>
                      <w:color w:val="auto"/>
                      <w:sz w:val="21"/>
                      <w:szCs w:val="21"/>
                    </w:rPr>
                    <w:t>500</w:t>
                  </w:r>
                </w:p>
              </w:tc>
            </w:tr>
            <w:tr w14:paraId="7EC1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78376539">
                  <w:pPr>
                    <w:adjustRightInd w:val="0"/>
                    <w:snapToGrid w:val="0"/>
                    <w:jc w:val="center"/>
                    <w:rPr>
                      <w:b w:val="0"/>
                      <w:bCs w:val="0"/>
                      <w:color w:val="auto"/>
                      <w:sz w:val="21"/>
                      <w:szCs w:val="21"/>
                    </w:rPr>
                  </w:pPr>
                  <w:r>
                    <w:rPr>
                      <w:b w:val="0"/>
                      <w:bCs w:val="0"/>
                      <w:color w:val="auto"/>
                      <w:sz w:val="21"/>
                      <w:szCs w:val="21"/>
                    </w:rPr>
                    <w:t>轮式装载机</w:t>
                  </w:r>
                </w:p>
              </w:tc>
              <w:tc>
                <w:tcPr>
                  <w:tcW w:w="278" w:type="pct"/>
                  <w:noWrap w:val="0"/>
                  <w:tcMar>
                    <w:left w:w="68" w:type="dxa"/>
                    <w:right w:w="68" w:type="dxa"/>
                  </w:tcMar>
                  <w:vAlign w:val="center"/>
                </w:tcPr>
                <w:p w14:paraId="56A957E7">
                  <w:pPr>
                    <w:adjustRightInd w:val="0"/>
                    <w:snapToGrid w:val="0"/>
                    <w:jc w:val="center"/>
                    <w:rPr>
                      <w:b w:val="0"/>
                      <w:bCs w:val="0"/>
                      <w:color w:val="auto"/>
                      <w:sz w:val="21"/>
                      <w:szCs w:val="21"/>
                    </w:rPr>
                  </w:pPr>
                  <w:r>
                    <w:rPr>
                      <w:rFonts w:hint="eastAsia"/>
                      <w:b w:val="0"/>
                      <w:bCs w:val="0"/>
                      <w:color w:val="auto"/>
                      <w:sz w:val="21"/>
                      <w:szCs w:val="21"/>
                    </w:rPr>
                    <w:t>95</w:t>
                  </w:r>
                </w:p>
              </w:tc>
              <w:tc>
                <w:tcPr>
                  <w:tcW w:w="278" w:type="pct"/>
                  <w:noWrap w:val="0"/>
                  <w:tcMar>
                    <w:left w:w="68" w:type="dxa"/>
                    <w:right w:w="68" w:type="dxa"/>
                  </w:tcMar>
                  <w:vAlign w:val="center"/>
                </w:tcPr>
                <w:p w14:paraId="51221035">
                  <w:pPr>
                    <w:adjustRightInd w:val="0"/>
                    <w:snapToGrid w:val="0"/>
                    <w:jc w:val="center"/>
                    <w:rPr>
                      <w:b w:val="0"/>
                      <w:bCs w:val="0"/>
                      <w:color w:val="auto"/>
                      <w:sz w:val="21"/>
                      <w:szCs w:val="21"/>
                    </w:rPr>
                  </w:pPr>
                  <w:r>
                    <w:rPr>
                      <w:rFonts w:hint="eastAsia"/>
                      <w:b w:val="0"/>
                      <w:bCs w:val="0"/>
                      <w:color w:val="auto"/>
                      <w:sz w:val="21"/>
                      <w:szCs w:val="21"/>
                    </w:rPr>
                    <w:t>89</w:t>
                  </w:r>
                </w:p>
              </w:tc>
              <w:tc>
                <w:tcPr>
                  <w:tcW w:w="278" w:type="pct"/>
                  <w:noWrap w:val="0"/>
                  <w:tcMar>
                    <w:left w:w="68" w:type="dxa"/>
                    <w:right w:w="68" w:type="dxa"/>
                  </w:tcMar>
                  <w:vAlign w:val="center"/>
                </w:tcPr>
                <w:p w14:paraId="1919D347">
                  <w:pPr>
                    <w:adjustRightInd w:val="0"/>
                    <w:snapToGrid w:val="0"/>
                    <w:jc w:val="center"/>
                    <w:rPr>
                      <w:b w:val="0"/>
                      <w:bCs w:val="0"/>
                      <w:color w:val="auto"/>
                      <w:sz w:val="21"/>
                      <w:szCs w:val="21"/>
                    </w:rPr>
                  </w:pPr>
                  <w:r>
                    <w:rPr>
                      <w:rFonts w:hint="eastAsia"/>
                      <w:b w:val="0"/>
                      <w:bCs w:val="0"/>
                      <w:color w:val="auto"/>
                      <w:sz w:val="21"/>
                      <w:szCs w:val="21"/>
                    </w:rPr>
                    <w:t>83</w:t>
                  </w:r>
                </w:p>
              </w:tc>
              <w:tc>
                <w:tcPr>
                  <w:tcW w:w="278" w:type="pct"/>
                  <w:noWrap w:val="0"/>
                  <w:tcMar>
                    <w:left w:w="68" w:type="dxa"/>
                    <w:right w:w="68" w:type="dxa"/>
                  </w:tcMar>
                  <w:vAlign w:val="center"/>
                </w:tcPr>
                <w:p w14:paraId="011FC311">
                  <w:pPr>
                    <w:adjustRightInd w:val="0"/>
                    <w:snapToGrid w:val="0"/>
                    <w:jc w:val="center"/>
                    <w:rPr>
                      <w:b w:val="0"/>
                      <w:bCs w:val="0"/>
                      <w:color w:val="auto"/>
                      <w:sz w:val="21"/>
                      <w:szCs w:val="21"/>
                    </w:rPr>
                  </w:pPr>
                  <w:r>
                    <w:rPr>
                      <w:rFonts w:hint="eastAsia"/>
                      <w:b w:val="0"/>
                      <w:bCs w:val="0"/>
                      <w:color w:val="auto"/>
                      <w:sz w:val="21"/>
                      <w:szCs w:val="21"/>
                    </w:rPr>
                    <w:t>79</w:t>
                  </w:r>
                </w:p>
              </w:tc>
              <w:tc>
                <w:tcPr>
                  <w:tcW w:w="278" w:type="pct"/>
                  <w:noWrap w:val="0"/>
                  <w:tcMar>
                    <w:left w:w="68" w:type="dxa"/>
                    <w:right w:w="68" w:type="dxa"/>
                  </w:tcMar>
                  <w:vAlign w:val="center"/>
                </w:tcPr>
                <w:p w14:paraId="2238DCDD">
                  <w:pPr>
                    <w:adjustRightInd w:val="0"/>
                    <w:snapToGrid w:val="0"/>
                    <w:jc w:val="center"/>
                    <w:rPr>
                      <w:b w:val="0"/>
                      <w:bCs w:val="0"/>
                      <w:color w:val="auto"/>
                      <w:sz w:val="21"/>
                      <w:szCs w:val="21"/>
                    </w:rPr>
                  </w:pPr>
                  <w:r>
                    <w:rPr>
                      <w:rFonts w:hint="eastAsia"/>
                      <w:b w:val="0"/>
                      <w:bCs w:val="0"/>
                      <w:color w:val="auto"/>
                      <w:sz w:val="21"/>
                      <w:szCs w:val="21"/>
                    </w:rPr>
                    <w:t>77</w:t>
                  </w:r>
                </w:p>
              </w:tc>
              <w:tc>
                <w:tcPr>
                  <w:tcW w:w="278" w:type="pct"/>
                  <w:noWrap w:val="0"/>
                  <w:tcMar>
                    <w:left w:w="68" w:type="dxa"/>
                    <w:right w:w="68" w:type="dxa"/>
                  </w:tcMar>
                  <w:vAlign w:val="center"/>
                </w:tcPr>
                <w:p w14:paraId="2843219A">
                  <w:pPr>
                    <w:adjustRightInd w:val="0"/>
                    <w:snapToGrid w:val="0"/>
                    <w:jc w:val="center"/>
                    <w:rPr>
                      <w:b w:val="0"/>
                      <w:bCs w:val="0"/>
                      <w:color w:val="auto"/>
                      <w:sz w:val="21"/>
                      <w:szCs w:val="21"/>
                    </w:rPr>
                  </w:pPr>
                  <w:r>
                    <w:rPr>
                      <w:rFonts w:hint="eastAsia"/>
                      <w:b w:val="0"/>
                      <w:bCs w:val="0"/>
                      <w:color w:val="auto"/>
                      <w:sz w:val="21"/>
                      <w:szCs w:val="21"/>
                    </w:rPr>
                    <w:t>75</w:t>
                  </w:r>
                </w:p>
              </w:tc>
              <w:tc>
                <w:tcPr>
                  <w:tcW w:w="278" w:type="pct"/>
                  <w:noWrap w:val="0"/>
                  <w:tcMar>
                    <w:left w:w="68" w:type="dxa"/>
                    <w:right w:w="68" w:type="dxa"/>
                  </w:tcMar>
                  <w:vAlign w:val="center"/>
                </w:tcPr>
                <w:p w14:paraId="04087AED">
                  <w:pPr>
                    <w:adjustRightInd w:val="0"/>
                    <w:snapToGrid w:val="0"/>
                    <w:jc w:val="center"/>
                    <w:rPr>
                      <w:b w:val="0"/>
                      <w:bCs w:val="0"/>
                      <w:color w:val="auto"/>
                      <w:sz w:val="21"/>
                      <w:szCs w:val="21"/>
                    </w:rPr>
                  </w:pPr>
                  <w:r>
                    <w:rPr>
                      <w:rFonts w:hint="eastAsia"/>
                      <w:b w:val="0"/>
                      <w:bCs w:val="0"/>
                      <w:color w:val="auto"/>
                      <w:sz w:val="21"/>
                      <w:szCs w:val="21"/>
                    </w:rPr>
                    <w:t>73</w:t>
                  </w:r>
                </w:p>
              </w:tc>
              <w:tc>
                <w:tcPr>
                  <w:tcW w:w="278" w:type="pct"/>
                  <w:noWrap w:val="0"/>
                  <w:tcMar>
                    <w:left w:w="68" w:type="dxa"/>
                    <w:right w:w="68" w:type="dxa"/>
                  </w:tcMar>
                  <w:vAlign w:val="center"/>
                </w:tcPr>
                <w:p w14:paraId="253A3CB8">
                  <w:pPr>
                    <w:adjustRightInd w:val="0"/>
                    <w:snapToGrid w:val="0"/>
                    <w:jc w:val="center"/>
                    <w:rPr>
                      <w:b w:val="0"/>
                      <w:bCs w:val="0"/>
                      <w:color w:val="auto"/>
                      <w:sz w:val="21"/>
                      <w:szCs w:val="21"/>
                    </w:rPr>
                  </w:pPr>
                  <w:r>
                    <w:rPr>
                      <w:rFonts w:hint="eastAsia"/>
                      <w:b w:val="0"/>
                      <w:bCs w:val="0"/>
                      <w:color w:val="auto"/>
                      <w:sz w:val="21"/>
                      <w:szCs w:val="21"/>
                    </w:rPr>
                    <w:t>72</w:t>
                  </w:r>
                </w:p>
              </w:tc>
              <w:tc>
                <w:tcPr>
                  <w:tcW w:w="278" w:type="pct"/>
                  <w:noWrap w:val="0"/>
                  <w:tcMar>
                    <w:left w:w="68" w:type="dxa"/>
                    <w:right w:w="68" w:type="dxa"/>
                  </w:tcMar>
                  <w:vAlign w:val="center"/>
                </w:tcPr>
                <w:p w14:paraId="32606115">
                  <w:pPr>
                    <w:adjustRightInd w:val="0"/>
                    <w:snapToGrid w:val="0"/>
                    <w:jc w:val="center"/>
                    <w:rPr>
                      <w:b w:val="0"/>
                      <w:bCs w:val="0"/>
                      <w:color w:val="auto"/>
                      <w:sz w:val="21"/>
                      <w:szCs w:val="21"/>
                    </w:rPr>
                  </w:pPr>
                  <w:r>
                    <w:rPr>
                      <w:rFonts w:hint="eastAsia"/>
                      <w:b w:val="0"/>
                      <w:bCs w:val="0"/>
                      <w:color w:val="auto"/>
                      <w:sz w:val="21"/>
                      <w:szCs w:val="21"/>
                    </w:rPr>
                    <w:t>71</w:t>
                  </w:r>
                </w:p>
              </w:tc>
              <w:tc>
                <w:tcPr>
                  <w:tcW w:w="279" w:type="pct"/>
                  <w:noWrap w:val="0"/>
                  <w:tcMar>
                    <w:left w:w="68" w:type="dxa"/>
                    <w:right w:w="68" w:type="dxa"/>
                  </w:tcMar>
                  <w:vAlign w:val="center"/>
                </w:tcPr>
                <w:p w14:paraId="0EAA965C">
                  <w:pPr>
                    <w:adjustRightInd w:val="0"/>
                    <w:snapToGrid w:val="0"/>
                    <w:jc w:val="center"/>
                    <w:rPr>
                      <w:b w:val="0"/>
                      <w:bCs w:val="0"/>
                      <w:color w:val="auto"/>
                      <w:sz w:val="21"/>
                      <w:szCs w:val="21"/>
                    </w:rPr>
                  </w:pPr>
                  <w:r>
                    <w:rPr>
                      <w:rFonts w:hint="eastAsia"/>
                      <w:b w:val="0"/>
                      <w:bCs w:val="0"/>
                      <w:color w:val="auto"/>
                      <w:sz w:val="21"/>
                      <w:szCs w:val="21"/>
                    </w:rPr>
                    <w:t>70</w:t>
                  </w:r>
                </w:p>
              </w:tc>
              <w:tc>
                <w:tcPr>
                  <w:tcW w:w="290" w:type="pct"/>
                  <w:noWrap w:val="0"/>
                  <w:tcMar>
                    <w:left w:w="68" w:type="dxa"/>
                    <w:right w:w="68" w:type="dxa"/>
                  </w:tcMar>
                  <w:vAlign w:val="center"/>
                </w:tcPr>
                <w:p w14:paraId="1EA2588D">
                  <w:pPr>
                    <w:adjustRightInd w:val="0"/>
                    <w:snapToGrid w:val="0"/>
                    <w:jc w:val="center"/>
                    <w:rPr>
                      <w:b w:val="0"/>
                      <w:bCs w:val="0"/>
                      <w:color w:val="auto"/>
                      <w:sz w:val="21"/>
                      <w:szCs w:val="21"/>
                    </w:rPr>
                  </w:pPr>
                  <w:r>
                    <w:rPr>
                      <w:rFonts w:hint="eastAsia"/>
                      <w:b w:val="0"/>
                      <w:bCs w:val="0"/>
                      <w:color w:val="auto"/>
                      <w:sz w:val="21"/>
                      <w:szCs w:val="21"/>
                    </w:rPr>
                    <w:t>69</w:t>
                  </w:r>
                </w:p>
              </w:tc>
              <w:tc>
                <w:tcPr>
                  <w:tcW w:w="290" w:type="pct"/>
                  <w:noWrap w:val="0"/>
                  <w:tcMar>
                    <w:left w:w="68" w:type="dxa"/>
                    <w:right w:w="68" w:type="dxa"/>
                  </w:tcMar>
                  <w:vAlign w:val="center"/>
                </w:tcPr>
                <w:p w14:paraId="5B04180C">
                  <w:pPr>
                    <w:adjustRightInd w:val="0"/>
                    <w:snapToGrid w:val="0"/>
                    <w:jc w:val="center"/>
                    <w:rPr>
                      <w:b w:val="0"/>
                      <w:bCs w:val="0"/>
                      <w:color w:val="auto"/>
                      <w:sz w:val="21"/>
                      <w:szCs w:val="21"/>
                    </w:rPr>
                  </w:pPr>
                  <w:r>
                    <w:rPr>
                      <w:rFonts w:hint="eastAsia"/>
                      <w:b w:val="0"/>
                      <w:bCs w:val="0"/>
                      <w:color w:val="auto"/>
                      <w:sz w:val="21"/>
                      <w:szCs w:val="21"/>
                    </w:rPr>
                    <w:t>65</w:t>
                  </w:r>
                </w:p>
              </w:tc>
              <w:tc>
                <w:tcPr>
                  <w:tcW w:w="290" w:type="pct"/>
                  <w:noWrap w:val="0"/>
                  <w:tcMar>
                    <w:left w:w="68" w:type="dxa"/>
                    <w:right w:w="68" w:type="dxa"/>
                  </w:tcMar>
                  <w:vAlign w:val="center"/>
                </w:tcPr>
                <w:p w14:paraId="50AA48F3">
                  <w:pPr>
                    <w:adjustRightInd w:val="0"/>
                    <w:snapToGrid w:val="0"/>
                    <w:jc w:val="center"/>
                    <w:rPr>
                      <w:b w:val="0"/>
                      <w:bCs w:val="0"/>
                      <w:color w:val="auto"/>
                      <w:sz w:val="21"/>
                      <w:szCs w:val="21"/>
                    </w:rPr>
                  </w:pPr>
                  <w:r>
                    <w:rPr>
                      <w:rFonts w:hint="eastAsia"/>
                      <w:b w:val="0"/>
                      <w:bCs w:val="0"/>
                      <w:color w:val="auto"/>
                      <w:sz w:val="21"/>
                      <w:szCs w:val="21"/>
                    </w:rPr>
                    <w:t>63</w:t>
                  </w:r>
                </w:p>
              </w:tc>
              <w:tc>
                <w:tcPr>
                  <w:tcW w:w="290" w:type="pct"/>
                  <w:noWrap w:val="0"/>
                  <w:tcMar>
                    <w:left w:w="68" w:type="dxa"/>
                    <w:right w:w="68" w:type="dxa"/>
                  </w:tcMar>
                  <w:vAlign w:val="center"/>
                </w:tcPr>
                <w:p w14:paraId="42B7786F">
                  <w:pPr>
                    <w:widowControl/>
                    <w:jc w:val="center"/>
                    <w:rPr>
                      <w:b w:val="0"/>
                      <w:bCs w:val="0"/>
                      <w:color w:val="auto"/>
                      <w:sz w:val="21"/>
                      <w:szCs w:val="21"/>
                    </w:rPr>
                  </w:pPr>
                  <w:r>
                    <w:rPr>
                      <w:rFonts w:hint="eastAsia"/>
                      <w:b w:val="0"/>
                      <w:bCs w:val="0"/>
                      <w:color w:val="auto"/>
                      <w:sz w:val="21"/>
                      <w:szCs w:val="21"/>
                    </w:rPr>
                    <w:t>59</w:t>
                  </w:r>
                </w:p>
              </w:tc>
              <w:tc>
                <w:tcPr>
                  <w:tcW w:w="290" w:type="pct"/>
                  <w:noWrap w:val="0"/>
                  <w:tcMar>
                    <w:left w:w="68" w:type="dxa"/>
                    <w:right w:w="68" w:type="dxa"/>
                  </w:tcMar>
                  <w:vAlign w:val="center"/>
                </w:tcPr>
                <w:p w14:paraId="54031230">
                  <w:pPr>
                    <w:widowControl/>
                    <w:jc w:val="center"/>
                    <w:rPr>
                      <w:b w:val="0"/>
                      <w:bCs w:val="0"/>
                      <w:color w:val="auto"/>
                      <w:sz w:val="21"/>
                      <w:szCs w:val="21"/>
                    </w:rPr>
                  </w:pPr>
                  <w:r>
                    <w:rPr>
                      <w:rFonts w:hint="eastAsia"/>
                      <w:b w:val="0"/>
                      <w:bCs w:val="0"/>
                      <w:color w:val="auto"/>
                      <w:sz w:val="21"/>
                      <w:szCs w:val="21"/>
                    </w:rPr>
                    <w:t>55</w:t>
                  </w:r>
                </w:p>
              </w:tc>
            </w:tr>
            <w:tr w14:paraId="2F67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4E75F0CC">
                  <w:pPr>
                    <w:adjustRightInd w:val="0"/>
                    <w:snapToGrid w:val="0"/>
                    <w:jc w:val="center"/>
                    <w:rPr>
                      <w:b w:val="0"/>
                      <w:bCs w:val="0"/>
                      <w:color w:val="auto"/>
                      <w:sz w:val="21"/>
                      <w:szCs w:val="21"/>
                    </w:rPr>
                  </w:pPr>
                  <w:r>
                    <w:rPr>
                      <w:b w:val="0"/>
                      <w:bCs w:val="0"/>
                      <w:color w:val="auto"/>
                      <w:sz w:val="21"/>
                      <w:szCs w:val="21"/>
                    </w:rPr>
                    <w:t>挖掘机</w:t>
                  </w:r>
                </w:p>
              </w:tc>
              <w:tc>
                <w:tcPr>
                  <w:tcW w:w="278" w:type="pct"/>
                  <w:noWrap w:val="0"/>
                  <w:tcMar>
                    <w:left w:w="68" w:type="dxa"/>
                    <w:right w:w="68" w:type="dxa"/>
                  </w:tcMar>
                  <w:vAlign w:val="center"/>
                </w:tcPr>
                <w:p w14:paraId="541596C8">
                  <w:pPr>
                    <w:adjustRightInd w:val="0"/>
                    <w:snapToGrid w:val="0"/>
                    <w:jc w:val="center"/>
                    <w:rPr>
                      <w:b w:val="0"/>
                      <w:bCs w:val="0"/>
                      <w:color w:val="auto"/>
                      <w:sz w:val="21"/>
                      <w:szCs w:val="21"/>
                    </w:rPr>
                  </w:pPr>
                  <w:r>
                    <w:rPr>
                      <w:rFonts w:hint="eastAsia"/>
                      <w:b w:val="0"/>
                      <w:bCs w:val="0"/>
                      <w:color w:val="auto"/>
                      <w:sz w:val="21"/>
                      <w:szCs w:val="21"/>
                    </w:rPr>
                    <w:t>86</w:t>
                  </w:r>
                </w:p>
              </w:tc>
              <w:tc>
                <w:tcPr>
                  <w:tcW w:w="278" w:type="pct"/>
                  <w:noWrap w:val="0"/>
                  <w:tcMar>
                    <w:left w:w="68" w:type="dxa"/>
                    <w:right w:w="68" w:type="dxa"/>
                  </w:tcMar>
                  <w:vAlign w:val="center"/>
                </w:tcPr>
                <w:p w14:paraId="5EEBEEEB">
                  <w:pPr>
                    <w:adjustRightInd w:val="0"/>
                    <w:snapToGrid w:val="0"/>
                    <w:jc w:val="center"/>
                    <w:rPr>
                      <w:b w:val="0"/>
                      <w:bCs w:val="0"/>
                      <w:color w:val="auto"/>
                      <w:sz w:val="21"/>
                      <w:szCs w:val="21"/>
                    </w:rPr>
                  </w:pPr>
                  <w:r>
                    <w:rPr>
                      <w:rFonts w:hint="eastAsia"/>
                      <w:b w:val="0"/>
                      <w:bCs w:val="0"/>
                      <w:color w:val="auto"/>
                      <w:sz w:val="21"/>
                      <w:szCs w:val="21"/>
                    </w:rPr>
                    <w:t>80</w:t>
                  </w:r>
                </w:p>
              </w:tc>
              <w:tc>
                <w:tcPr>
                  <w:tcW w:w="278" w:type="pct"/>
                  <w:noWrap w:val="0"/>
                  <w:tcMar>
                    <w:left w:w="68" w:type="dxa"/>
                    <w:right w:w="68" w:type="dxa"/>
                  </w:tcMar>
                  <w:vAlign w:val="center"/>
                </w:tcPr>
                <w:p w14:paraId="4706D663">
                  <w:pPr>
                    <w:adjustRightInd w:val="0"/>
                    <w:snapToGrid w:val="0"/>
                    <w:jc w:val="center"/>
                    <w:rPr>
                      <w:b w:val="0"/>
                      <w:bCs w:val="0"/>
                      <w:color w:val="auto"/>
                      <w:sz w:val="21"/>
                      <w:szCs w:val="21"/>
                    </w:rPr>
                  </w:pPr>
                  <w:r>
                    <w:rPr>
                      <w:rFonts w:hint="eastAsia"/>
                      <w:b w:val="0"/>
                      <w:bCs w:val="0"/>
                      <w:color w:val="auto"/>
                      <w:sz w:val="21"/>
                      <w:szCs w:val="21"/>
                    </w:rPr>
                    <w:t>74</w:t>
                  </w:r>
                </w:p>
              </w:tc>
              <w:tc>
                <w:tcPr>
                  <w:tcW w:w="278" w:type="pct"/>
                  <w:noWrap w:val="0"/>
                  <w:tcMar>
                    <w:left w:w="68" w:type="dxa"/>
                    <w:right w:w="68" w:type="dxa"/>
                  </w:tcMar>
                  <w:vAlign w:val="center"/>
                </w:tcPr>
                <w:p w14:paraId="034DA1C2">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5E9C426F">
                  <w:pPr>
                    <w:adjustRightInd w:val="0"/>
                    <w:snapToGrid w:val="0"/>
                    <w:jc w:val="center"/>
                    <w:rPr>
                      <w:b w:val="0"/>
                      <w:bCs w:val="0"/>
                      <w:color w:val="auto"/>
                      <w:sz w:val="21"/>
                      <w:szCs w:val="21"/>
                    </w:rPr>
                  </w:pPr>
                  <w:r>
                    <w:rPr>
                      <w:rFonts w:hint="eastAsia"/>
                      <w:b w:val="0"/>
                      <w:bCs w:val="0"/>
                      <w:color w:val="auto"/>
                      <w:sz w:val="21"/>
                      <w:szCs w:val="21"/>
                    </w:rPr>
                    <w:t>68</w:t>
                  </w:r>
                </w:p>
              </w:tc>
              <w:tc>
                <w:tcPr>
                  <w:tcW w:w="278" w:type="pct"/>
                  <w:noWrap w:val="0"/>
                  <w:tcMar>
                    <w:left w:w="68" w:type="dxa"/>
                    <w:right w:w="68" w:type="dxa"/>
                  </w:tcMar>
                  <w:vAlign w:val="center"/>
                </w:tcPr>
                <w:p w14:paraId="7720B6E6">
                  <w:pPr>
                    <w:adjustRightInd w:val="0"/>
                    <w:snapToGrid w:val="0"/>
                    <w:jc w:val="center"/>
                    <w:rPr>
                      <w:b w:val="0"/>
                      <w:bCs w:val="0"/>
                      <w:color w:val="auto"/>
                      <w:sz w:val="21"/>
                      <w:szCs w:val="21"/>
                    </w:rPr>
                  </w:pPr>
                  <w:r>
                    <w:rPr>
                      <w:rFonts w:hint="eastAsia"/>
                      <w:b w:val="0"/>
                      <w:bCs w:val="0"/>
                      <w:color w:val="auto"/>
                      <w:sz w:val="21"/>
                      <w:szCs w:val="21"/>
                    </w:rPr>
                    <w:t>66</w:t>
                  </w:r>
                </w:p>
              </w:tc>
              <w:tc>
                <w:tcPr>
                  <w:tcW w:w="278" w:type="pct"/>
                  <w:noWrap w:val="0"/>
                  <w:tcMar>
                    <w:left w:w="68" w:type="dxa"/>
                    <w:right w:w="68" w:type="dxa"/>
                  </w:tcMar>
                  <w:vAlign w:val="center"/>
                </w:tcPr>
                <w:p w14:paraId="7B1FDA93">
                  <w:pPr>
                    <w:adjustRightInd w:val="0"/>
                    <w:snapToGrid w:val="0"/>
                    <w:jc w:val="center"/>
                    <w:rPr>
                      <w:b w:val="0"/>
                      <w:bCs w:val="0"/>
                      <w:color w:val="auto"/>
                      <w:sz w:val="21"/>
                      <w:szCs w:val="21"/>
                    </w:rPr>
                  </w:pPr>
                  <w:r>
                    <w:rPr>
                      <w:rFonts w:hint="eastAsia"/>
                      <w:b w:val="0"/>
                      <w:bCs w:val="0"/>
                      <w:color w:val="auto"/>
                      <w:sz w:val="21"/>
                      <w:szCs w:val="21"/>
                    </w:rPr>
                    <w:t>64</w:t>
                  </w:r>
                </w:p>
              </w:tc>
              <w:tc>
                <w:tcPr>
                  <w:tcW w:w="278" w:type="pct"/>
                  <w:noWrap w:val="0"/>
                  <w:tcMar>
                    <w:left w:w="68" w:type="dxa"/>
                    <w:right w:w="68" w:type="dxa"/>
                  </w:tcMar>
                  <w:vAlign w:val="center"/>
                </w:tcPr>
                <w:p w14:paraId="28FBE52B">
                  <w:pPr>
                    <w:adjustRightInd w:val="0"/>
                    <w:snapToGrid w:val="0"/>
                    <w:jc w:val="center"/>
                    <w:rPr>
                      <w:b w:val="0"/>
                      <w:bCs w:val="0"/>
                      <w:color w:val="auto"/>
                      <w:sz w:val="21"/>
                      <w:szCs w:val="21"/>
                    </w:rPr>
                  </w:pPr>
                  <w:r>
                    <w:rPr>
                      <w:rFonts w:hint="eastAsia"/>
                      <w:b w:val="0"/>
                      <w:bCs w:val="0"/>
                      <w:color w:val="auto"/>
                      <w:sz w:val="21"/>
                      <w:szCs w:val="21"/>
                    </w:rPr>
                    <w:t>63</w:t>
                  </w:r>
                </w:p>
              </w:tc>
              <w:tc>
                <w:tcPr>
                  <w:tcW w:w="278" w:type="pct"/>
                  <w:noWrap w:val="0"/>
                  <w:tcMar>
                    <w:left w:w="68" w:type="dxa"/>
                    <w:right w:w="68" w:type="dxa"/>
                  </w:tcMar>
                  <w:vAlign w:val="center"/>
                </w:tcPr>
                <w:p w14:paraId="2D89ECF5">
                  <w:pPr>
                    <w:adjustRightInd w:val="0"/>
                    <w:snapToGrid w:val="0"/>
                    <w:jc w:val="center"/>
                    <w:rPr>
                      <w:b w:val="0"/>
                      <w:bCs w:val="0"/>
                      <w:color w:val="auto"/>
                      <w:sz w:val="21"/>
                      <w:szCs w:val="21"/>
                    </w:rPr>
                  </w:pPr>
                  <w:r>
                    <w:rPr>
                      <w:rFonts w:hint="eastAsia"/>
                      <w:b w:val="0"/>
                      <w:bCs w:val="0"/>
                      <w:color w:val="auto"/>
                      <w:sz w:val="21"/>
                      <w:szCs w:val="21"/>
                    </w:rPr>
                    <w:t>62</w:t>
                  </w:r>
                </w:p>
              </w:tc>
              <w:tc>
                <w:tcPr>
                  <w:tcW w:w="279" w:type="pct"/>
                  <w:noWrap w:val="0"/>
                  <w:tcMar>
                    <w:left w:w="68" w:type="dxa"/>
                    <w:right w:w="68" w:type="dxa"/>
                  </w:tcMar>
                  <w:vAlign w:val="center"/>
                </w:tcPr>
                <w:p w14:paraId="0F1C9CFD">
                  <w:pPr>
                    <w:adjustRightInd w:val="0"/>
                    <w:snapToGrid w:val="0"/>
                    <w:jc w:val="center"/>
                    <w:rPr>
                      <w:b w:val="0"/>
                      <w:bCs w:val="0"/>
                      <w:color w:val="auto"/>
                      <w:sz w:val="21"/>
                      <w:szCs w:val="21"/>
                    </w:rPr>
                  </w:pPr>
                  <w:r>
                    <w:rPr>
                      <w:rFonts w:hint="eastAsia"/>
                      <w:b w:val="0"/>
                      <w:bCs w:val="0"/>
                      <w:color w:val="auto"/>
                      <w:sz w:val="21"/>
                      <w:szCs w:val="21"/>
                    </w:rPr>
                    <w:t>61</w:t>
                  </w:r>
                </w:p>
              </w:tc>
              <w:tc>
                <w:tcPr>
                  <w:tcW w:w="290" w:type="pct"/>
                  <w:noWrap w:val="0"/>
                  <w:tcMar>
                    <w:left w:w="68" w:type="dxa"/>
                    <w:right w:w="68" w:type="dxa"/>
                  </w:tcMar>
                  <w:vAlign w:val="center"/>
                </w:tcPr>
                <w:p w14:paraId="50A7F406">
                  <w:pPr>
                    <w:adjustRightInd w:val="0"/>
                    <w:snapToGrid w:val="0"/>
                    <w:jc w:val="center"/>
                    <w:rPr>
                      <w:b w:val="0"/>
                      <w:bCs w:val="0"/>
                      <w:color w:val="auto"/>
                      <w:sz w:val="21"/>
                      <w:szCs w:val="21"/>
                    </w:rPr>
                  </w:pPr>
                  <w:r>
                    <w:rPr>
                      <w:rFonts w:hint="eastAsia"/>
                      <w:b w:val="0"/>
                      <w:bCs w:val="0"/>
                      <w:color w:val="auto"/>
                      <w:sz w:val="21"/>
                      <w:szCs w:val="21"/>
                    </w:rPr>
                    <w:t>60</w:t>
                  </w:r>
                </w:p>
              </w:tc>
              <w:tc>
                <w:tcPr>
                  <w:tcW w:w="290" w:type="pct"/>
                  <w:noWrap w:val="0"/>
                  <w:tcMar>
                    <w:left w:w="68" w:type="dxa"/>
                    <w:right w:w="68" w:type="dxa"/>
                  </w:tcMar>
                  <w:vAlign w:val="center"/>
                </w:tcPr>
                <w:p w14:paraId="696EC6BD">
                  <w:pPr>
                    <w:adjustRightInd w:val="0"/>
                    <w:snapToGrid w:val="0"/>
                    <w:jc w:val="center"/>
                    <w:rPr>
                      <w:b w:val="0"/>
                      <w:bCs w:val="0"/>
                      <w:color w:val="auto"/>
                      <w:sz w:val="21"/>
                      <w:szCs w:val="21"/>
                    </w:rPr>
                  </w:pPr>
                  <w:r>
                    <w:rPr>
                      <w:rFonts w:hint="eastAsia"/>
                      <w:b w:val="0"/>
                      <w:bCs w:val="0"/>
                      <w:color w:val="auto"/>
                      <w:sz w:val="21"/>
                      <w:szCs w:val="21"/>
                    </w:rPr>
                    <w:t>56</w:t>
                  </w:r>
                </w:p>
              </w:tc>
              <w:tc>
                <w:tcPr>
                  <w:tcW w:w="290" w:type="pct"/>
                  <w:noWrap w:val="0"/>
                  <w:tcMar>
                    <w:left w:w="68" w:type="dxa"/>
                    <w:right w:w="68" w:type="dxa"/>
                  </w:tcMar>
                  <w:vAlign w:val="center"/>
                </w:tcPr>
                <w:p w14:paraId="6CF53757">
                  <w:pPr>
                    <w:adjustRightInd w:val="0"/>
                    <w:snapToGrid w:val="0"/>
                    <w:jc w:val="center"/>
                    <w:rPr>
                      <w:b w:val="0"/>
                      <w:bCs w:val="0"/>
                      <w:color w:val="auto"/>
                      <w:sz w:val="21"/>
                      <w:szCs w:val="21"/>
                    </w:rPr>
                  </w:pPr>
                  <w:r>
                    <w:rPr>
                      <w:rFonts w:hint="eastAsia"/>
                      <w:b w:val="0"/>
                      <w:bCs w:val="0"/>
                      <w:color w:val="auto"/>
                      <w:sz w:val="21"/>
                      <w:szCs w:val="21"/>
                    </w:rPr>
                    <w:t>54</w:t>
                  </w:r>
                </w:p>
              </w:tc>
              <w:tc>
                <w:tcPr>
                  <w:tcW w:w="290" w:type="pct"/>
                  <w:noWrap w:val="0"/>
                  <w:tcMar>
                    <w:left w:w="68" w:type="dxa"/>
                    <w:right w:w="68" w:type="dxa"/>
                  </w:tcMar>
                  <w:vAlign w:val="center"/>
                </w:tcPr>
                <w:p w14:paraId="0A287DC5">
                  <w:pPr>
                    <w:widowControl/>
                    <w:jc w:val="center"/>
                    <w:rPr>
                      <w:b w:val="0"/>
                      <w:bCs w:val="0"/>
                      <w:color w:val="auto"/>
                      <w:sz w:val="21"/>
                      <w:szCs w:val="21"/>
                    </w:rPr>
                  </w:pPr>
                  <w:r>
                    <w:rPr>
                      <w:rFonts w:hint="eastAsia"/>
                      <w:b w:val="0"/>
                      <w:bCs w:val="0"/>
                      <w:color w:val="auto"/>
                      <w:sz w:val="21"/>
                      <w:szCs w:val="21"/>
                    </w:rPr>
                    <w:t>50</w:t>
                  </w:r>
                </w:p>
              </w:tc>
              <w:tc>
                <w:tcPr>
                  <w:tcW w:w="290" w:type="pct"/>
                  <w:noWrap w:val="0"/>
                  <w:tcMar>
                    <w:left w:w="68" w:type="dxa"/>
                    <w:right w:w="68" w:type="dxa"/>
                  </w:tcMar>
                  <w:vAlign w:val="center"/>
                </w:tcPr>
                <w:p w14:paraId="183E1B0A">
                  <w:pPr>
                    <w:widowControl/>
                    <w:jc w:val="center"/>
                    <w:rPr>
                      <w:b w:val="0"/>
                      <w:bCs w:val="0"/>
                      <w:color w:val="auto"/>
                      <w:sz w:val="21"/>
                      <w:szCs w:val="21"/>
                    </w:rPr>
                  </w:pPr>
                  <w:r>
                    <w:rPr>
                      <w:rFonts w:hint="eastAsia"/>
                      <w:b w:val="0"/>
                      <w:bCs w:val="0"/>
                      <w:color w:val="auto"/>
                      <w:sz w:val="21"/>
                      <w:szCs w:val="21"/>
                    </w:rPr>
                    <w:t>46</w:t>
                  </w:r>
                </w:p>
              </w:tc>
            </w:tr>
            <w:tr w14:paraId="0378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2D94F419">
                  <w:pPr>
                    <w:adjustRightInd w:val="0"/>
                    <w:snapToGrid w:val="0"/>
                    <w:jc w:val="center"/>
                    <w:rPr>
                      <w:b w:val="0"/>
                      <w:bCs w:val="0"/>
                      <w:color w:val="auto"/>
                      <w:sz w:val="21"/>
                      <w:szCs w:val="21"/>
                    </w:rPr>
                  </w:pPr>
                  <w:r>
                    <w:rPr>
                      <w:rFonts w:hint="eastAsia"/>
                      <w:b w:val="0"/>
                      <w:bCs w:val="0"/>
                      <w:color w:val="auto"/>
                      <w:sz w:val="21"/>
                      <w:szCs w:val="21"/>
                    </w:rPr>
                    <w:t>推土机</w:t>
                  </w:r>
                </w:p>
              </w:tc>
              <w:tc>
                <w:tcPr>
                  <w:tcW w:w="278" w:type="pct"/>
                  <w:noWrap w:val="0"/>
                  <w:tcMar>
                    <w:left w:w="68" w:type="dxa"/>
                    <w:right w:w="68" w:type="dxa"/>
                  </w:tcMar>
                  <w:vAlign w:val="center"/>
                </w:tcPr>
                <w:p w14:paraId="75CF1ED0">
                  <w:pPr>
                    <w:adjustRightInd w:val="0"/>
                    <w:snapToGrid w:val="0"/>
                    <w:jc w:val="center"/>
                    <w:rPr>
                      <w:b w:val="0"/>
                      <w:bCs w:val="0"/>
                      <w:color w:val="auto"/>
                      <w:sz w:val="21"/>
                      <w:szCs w:val="21"/>
                    </w:rPr>
                  </w:pPr>
                  <w:r>
                    <w:rPr>
                      <w:rFonts w:hint="eastAsia"/>
                      <w:b w:val="0"/>
                      <w:bCs w:val="0"/>
                      <w:color w:val="auto"/>
                      <w:sz w:val="21"/>
                      <w:szCs w:val="21"/>
                    </w:rPr>
                    <w:t>88</w:t>
                  </w:r>
                </w:p>
              </w:tc>
              <w:tc>
                <w:tcPr>
                  <w:tcW w:w="278" w:type="pct"/>
                  <w:noWrap w:val="0"/>
                  <w:tcMar>
                    <w:left w:w="68" w:type="dxa"/>
                    <w:right w:w="68" w:type="dxa"/>
                  </w:tcMar>
                  <w:vAlign w:val="center"/>
                </w:tcPr>
                <w:p w14:paraId="6B3AD6AD">
                  <w:pPr>
                    <w:adjustRightInd w:val="0"/>
                    <w:snapToGrid w:val="0"/>
                    <w:jc w:val="center"/>
                    <w:rPr>
                      <w:b w:val="0"/>
                      <w:bCs w:val="0"/>
                      <w:color w:val="auto"/>
                      <w:sz w:val="21"/>
                      <w:szCs w:val="21"/>
                    </w:rPr>
                  </w:pPr>
                  <w:r>
                    <w:rPr>
                      <w:rFonts w:hint="eastAsia"/>
                      <w:b w:val="0"/>
                      <w:bCs w:val="0"/>
                      <w:color w:val="auto"/>
                      <w:sz w:val="21"/>
                      <w:szCs w:val="21"/>
                    </w:rPr>
                    <w:t>82</w:t>
                  </w:r>
                </w:p>
              </w:tc>
              <w:tc>
                <w:tcPr>
                  <w:tcW w:w="278" w:type="pct"/>
                  <w:noWrap w:val="0"/>
                  <w:tcMar>
                    <w:left w:w="68" w:type="dxa"/>
                    <w:right w:w="68" w:type="dxa"/>
                  </w:tcMar>
                  <w:vAlign w:val="center"/>
                </w:tcPr>
                <w:p w14:paraId="6EE4C85D">
                  <w:pPr>
                    <w:adjustRightInd w:val="0"/>
                    <w:snapToGrid w:val="0"/>
                    <w:jc w:val="center"/>
                    <w:rPr>
                      <w:b w:val="0"/>
                      <w:bCs w:val="0"/>
                      <w:color w:val="auto"/>
                      <w:sz w:val="21"/>
                      <w:szCs w:val="21"/>
                    </w:rPr>
                  </w:pPr>
                  <w:r>
                    <w:rPr>
                      <w:rFonts w:hint="eastAsia"/>
                      <w:b w:val="0"/>
                      <w:bCs w:val="0"/>
                      <w:color w:val="auto"/>
                      <w:sz w:val="21"/>
                      <w:szCs w:val="21"/>
                    </w:rPr>
                    <w:t>76</w:t>
                  </w:r>
                </w:p>
              </w:tc>
              <w:tc>
                <w:tcPr>
                  <w:tcW w:w="278" w:type="pct"/>
                  <w:noWrap w:val="0"/>
                  <w:tcMar>
                    <w:left w:w="68" w:type="dxa"/>
                    <w:right w:w="68" w:type="dxa"/>
                  </w:tcMar>
                  <w:vAlign w:val="center"/>
                </w:tcPr>
                <w:p w14:paraId="045981FB">
                  <w:pPr>
                    <w:adjustRightInd w:val="0"/>
                    <w:snapToGrid w:val="0"/>
                    <w:jc w:val="center"/>
                    <w:rPr>
                      <w:b w:val="0"/>
                      <w:bCs w:val="0"/>
                      <w:color w:val="auto"/>
                      <w:sz w:val="21"/>
                      <w:szCs w:val="21"/>
                    </w:rPr>
                  </w:pPr>
                  <w:r>
                    <w:rPr>
                      <w:rFonts w:hint="eastAsia"/>
                      <w:b w:val="0"/>
                      <w:bCs w:val="0"/>
                      <w:color w:val="auto"/>
                      <w:sz w:val="21"/>
                      <w:szCs w:val="21"/>
                    </w:rPr>
                    <w:t>72</w:t>
                  </w:r>
                </w:p>
              </w:tc>
              <w:tc>
                <w:tcPr>
                  <w:tcW w:w="278" w:type="pct"/>
                  <w:noWrap w:val="0"/>
                  <w:tcMar>
                    <w:left w:w="68" w:type="dxa"/>
                    <w:right w:w="68" w:type="dxa"/>
                  </w:tcMar>
                  <w:vAlign w:val="center"/>
                </w:tcPr>
                <w:p w14:paraId="6BE9656D">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7A597847">
                  <w:pPr>
                    <w:adjustRightInd w:val="0"/>
                    <w:snapToGrid w:val="0"/>
                    <w:jc w:val="center"/>
                    <w:rPr>
                      <w:b w:val="0"/>
                      <w:bCs w:val="0"/>
                      <w:color w:val="auto"/>
                      <w:sz w:val="21"/>
                      <w:szCs w:val="21"/>
                    </w:rPr>
                  </w:pPr>
                  <w:r>
                    <w:rPr>
                      <w:rFonts w:hint="eastAsia"/>
                      <w:b w:val="0"/>
                      <w:bCs w:val="0"/>
                      <w:color w:val="auto"/>
                      <w:sz w:val="21"/>
                      <w:szCs w:val="21"/>
                    </w:rPr>
                    <w:t>68</w:t>
                  </w:r>
                </w:p>
              </w:tc>
              <w:tc>
                <w:tcPr>
                  <w:tcW w:w="278" w:type="pct"/>
                  <w:noWrap w:val="0"/>
                  <w:tcMar>
                    <w:left w:w="68" w:type="dxa"/>
                    <w:right w:w="68" w:type="dxa"/>
                  </w:tcMar>
                  <w:vAlign w:val="center"/>
                </w:tcPr>
                <w:p w14:paraId="6E6F7B4F">
                  <w:pPr>
                    <w:adjustRightInd w:val="0"/>
                    <w:snapToGrid w:val="0"/>
                    <w:jc w:val="center"/>
                    <w:rPr>
                      <w:b w:val="0"/>
                      <w:bCs w:val="0"/>
                      <w:color w:val="auto"/>
                      <w:sz w:val="21"/>
                      <w:szCs w:val="21"/>
                    </w:rPr>
                  </w:pPr>
                  <w:r>
                    <w:rPr>
                      <w:rFonts w:hint="eastAsia"/>
                      <w:b w:val="0"/>
                      <w:bCs w:val="0"/>
                      <w:color w:val="auto"/>
                      <w:sz w:val="21"/>
                      <w:szCs w:val="21"/>
                    </w:rPr>
                    <w:t>66</w:t>
                  </w:r>
                </w:p>
              </w:tc>
              <w:tc>
                <w:tcPr>
                  <w:tcW w:w="278" w:type="pct"/>
                  <w:noWrap w:val="0"/>
                  <w:tcMar>
                    <w:left w:w="68" w:type="dxa"/>
                    <w:right w:w="68" w:type="dxa"/>
                  </w:tcMar>
                  <w:vAlign w:val="center"/>
                </w:tcPr>
                <w:p w14:paraId="54AB0A99">
                  <w:pPr>
                    <w:adjustRightInd w:val="0"/>
                    <w:snapToGrid w:val="0"/>
                    <w:jc w:val="center"/>
                    <w:rPr>
                      <w:b w:val="0"/>
                      <w:bCs w:val="0"/>
                      <w:color w:val="auto"/>
                      <w:sz w:val="21"/>
                      <w:szCs w:val="21"/>
                    </w:rPr>
                  </w:pPr>
                  <w:r>
                    <w:rPr>
                      <w:rFonts w:hint="eastAsia"/>
                      <w:b w:val="0"/>
                      <w:bCs w:val="0"/>
                      <w:color w:val="auto"/>
                      <w:sz w:val="21"/>
                      <w:szCs w:val="21"/>
                    </w:rPr>
                    <w:t>65</w:t>
                  </w:r>
                </w:p>
              </w:tc>
              <w:tc>
                <w:tcPr>
                  <w:tcW w:w="278" w:type="pct"/>
                  <w:noWrap w:val="0"/>
                  <w:tcMar>
                    <w:left w:w="68" w:type="dxa"/>
                    <w:right w:w="68" w:type="dxa"/>
                  </w:tcMar>
                  <w:vAlign w:val="center"/>
                </w:tcPr>
                <w:p w14:paraId="58BD3686">
                  <w:pPr>
                    <w:adjustRightInd w:val="0"/>
                    <w:snapToGrid w:val="0"/>
                    <w:jc w:val="center"/>
                    <w:rPr>
                      <w:b w:val="0"/>
                      <w:bCs w:val="0"/>
                      <w:color w:val="auto"/>
                      <w:sz w:val="21"/>
                      <w:szCs w:val="21"/>
                    </w:rPr>
                  </w:pPr>
                  <w:r>
                    <w:rPr>
                      <w:rFonts w:hint="eastAsia"/>
                      <w:b w:val="0"/>
                      <w:bCs w:val="0"/>
                      <w:color w:val="auto"/>
                      <w:sz w:val="21"/>
                      <w:szCs w:val="21"/>
                    </w:rPr>
                    <w:t>64</w:t>
                  </w:r>
                </w:p>
              </w:tc>
              <w:tc>
                <w:tcPr>
                  <w:tcW w:w="279" w:type="pct"/>
                  <w:noWrap w:val="0"/>
                  <w:tcMar>
                    <w:left w:w="68" w:type="dxa"/>
                    <w:right w:w="68" w:type="dxa"/>
                  </w:tcMar>
                  <w:vAlign w:val="center"/>
                </w:tcPr>
                <w:p w14:paraId="77A9D57C">
                  <w:pPr>
                    <w:adjustRightInd w:val="0"/>
                    <w:snapToGrid w:val="0"/>
                    <w:jc w:val="center"/>
                    <w:rPr>
                      <w:b w:val="0"/>
                      <w:bCs w:val="0"/>
                      <w:color w:val="auto"/>
                      <w:sz w:val="21"/>
                      <w:szCs w:val="21"/>
                    </w:rPr>
                  </w:pPr>
                  <w:r>
                    <w:rPr>
                      <w:rFonts w:hint="eastAsia"/>
                      <w:b w:val="0"/>
                      <w:bCs w:val="0"/>
                      <w:color w:val="auto"/>
                      <w:sz w:val="21"/>
                      <w:szCs w:val="21"/>
                    </w:rPr>
                    <w:t>63</w:t>
                  </w:r>
                </w:p>
              </w:tc>
              <w:tc>
                <w:tcPr>
                  <w:tcW w:w="290" w:type="pct"/>
                  <w:noWrap w:val="0"/>
                  <w:tcMar>
                    <w:left w:w="68" w:type="dxa"/>
                    <w:right w:w="68" w:type="dxa"/>
                  </w:tcMar>
                  <w:vAlign w:val="center"/>
                </w:tcPr>
                <w:p w14:paraId="635B0DE2">
                  <w:pPr>
                    <w:adjustRightInd w:val="0"/>
                    <w:snapToGrid w:val="0"/>
                    <w:jc w:val="center"/>
                    <w:rPr>
                      <w:b w:val="0"/>
                      <w:bCs w:val="0"/>
                      <w:color w:val="auto"/>
                      <w:sz w:val="21"/>
                      <w:szCs w:val="21"/>
                    </w:rPr>
                  </w:pPr>
                  <w:r>
                    <w:rPr>
                      <w:rFonts w:hint="eastAsia"/>
                      <w:b w:val="0"/>
                      <w:bCs w:val="0"/>
                      <w:color w:val="auto"/>
                      <w:sz w:val="21"/>
                      <w:szCs w:val="21"/>
                    </w:rPr>
                    <w:t>62</w:t>
                  </w:r>
                </w:p>
              </w:tc>
              <w:tc>
                <w:tcPr>
                  <w:tcW w:w="290" w:type="pct"/>
                  <w:noWrap w:val="0"/>
                  <w:tcMar>
                    <w:left w:w="68" w:type="dxa"/>
                    <w:right w:w="68" w:type="dxa"/>
                  </w:tcMar>
                  <w:vAlign w:val="center"/>
                </w:tcPr>
                <w:p w14:paraId="2CDE333C">
                  <w:pPr>
                    <w:adjustRightInd w:val="0"/>
                    <w:snapToGrid w:val="0"/>
                    <w:jc w:val="center"/>
                    <w:rPr>
                      <w:b w:val="0"/>
                      <w:bCs w:val="0"/>
                      <w:color w:val="auto"/>
                      <w:sz w:val="21"/>
                      <w:szCs w:val="21"/>
                    </w:rPr>
                  </w:pPr>
                  <w:r>
                    <w:rPr>
                      <w:rFonts w:hint="eastAsia"/>
                      <w:b w:val="0"/>
                      <w:bCs w:val="0"/>
                      <w:color w:val="auto"/>
                      <w:sz w:val="21"/>
                      <w:szCs w:val="21"/>
                    </w:rPr>
                    <w:t>58</w:t>
                  </w:r>
                </w:p>
              </w:tc>
              <w:tc>
                <w:tcPr>
                  <w:tcW w:w="290" w:type="pct"/>
                  <w:noWrap w:val="0"/>
                  <w:tcMar>
                    <w:left w:w="68" w:type="dxa"/>
                    <w:right w:w="68" w:type="dxa"/>
                  </w:tcMar>
                  <w:vAlign w:val="center"/>
                </w:tcPr>
                <w:p w14:paraId="69CE4003">
                  <w:pPr>
                    <w:adjustRightInd w:val="0"/>
                    <w:snapToGrid w:val="0"/>
                    <w:jc w:val="center"/>
                    <w:rPr>
                      <w:b w:val="0"/>
                      <w:bCs w:val="0"/>
                      <w:color w:val="auto"/>
                      <w:sz w:val="21"/>
                      <w:szCs w:val="21"/>
                    </w:rPr>
                  </w:pPr>
                  <w:r>
                    <w:rPr>
                      <w:rFonts w:hint="eastAsia"/>
                      <w:b w:val="0"/>
                      <w:bCs w:val="0"/>
                      <w:color w:val="auto"/>
                      <w:sz w:val="21"/>
                      <w:szCs w:val="21"/>
                    </w:rPr>
                    <w:t>56</w:t>
                  </w:r>
                </w:p>
              </w:tc>
              <w:tc>
                <w:tcPr>
                  <w:tcW w:w="290" w:type="pct"/>
                  <w:noWrap w:val="0"/>
                  <w:tcMar>
                    <w:left w:w="68" w:type="dxa"/>
                    <w:right w:w="68" w:type="dxa"/>
                  </w:tcMar>
                  <w:vAlign w:val="center"/>
                </w:tcPr>
                <w:p w14:paraId="4416A6B6">
                  <w:pPr>
                    <w:widowControl/>
                    <w:jc w:val="center"/>
                    <w:rPr>
                      <w:b w:val="0"/>
                      <w:bCs w:val="0"/>
                      <w:color w:val="auto"/>
                      <w:sz w:val="21"/>
                      <w:szCs w:val="21"/>
                    </w:rPr>
                  </w:pPr>
                  <w:r>
                    <w:rPr>
                      <w:rFonts w:hint="eastAsia"/>
                      <w:b w:val="0"/>
                      <w:bCs w:val="0"/>
                      <w:color w:val="auto"/>
                      <w:sz w:val="21"/>
                      <w:szCs w:val="21"/>
                    </w:rPr>
                    <w:t>52</w:t>
                  </w:r>
                </w:p>
              </w:tc>
              <w:tc>
                <w:tcPr>
                  <w:tcW w:w="290" w:type="pct"/>
                  <w:noWrap w:val="0"/>
                  <w:tcMar>
                    <w:left w:w="68" w:type="dxa"/>
                    <w:right w:w="68" w:type="dxa"/>
                  </w:tcMar>
                  <w:vAlign w:val="center"/>
                </w:tcPr>
                <w:p w14:paraId="5BD16ADF">
                  <w:pPr>
                    <w:widowControl/>
                    <w:jc w:val="center"/>
                    <w:rPr>
                      <w:b w:val="0"/>
                      <w:bCs w:val="0"/>
                      <w:color w:val="auto"/>
                      <w:sz w:val="21"/>
                      <w:szCs w:val="21"/>
                    </w:rPr>
                  </w:pPr>
                  <w:r>
                    <w:rPr>
                      <w:rFonts w:hint="eastAsia"/>
                      <w:b w:val="0"/>
                      <w:bCs w:val="0"/>
                      <w:color w:val="auto"/>
                      <w:sz w:val="21"/>
                      <w:szCs w:val="21"/>
                    </w:rPr>
                    <w:t>48</w:t>
                  </w:r>
                </w:p>
              </w:tc>
            </w:tr>
            <w:tr w14:paraId="57A5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595C3F57">
                  <w:pPr>
                    <w:adjustRightInd w:val="0"/>
                    <w:snapToGrid w:val="0"/>
                    <w:jc w:val="center"/>
                    <w:rPr>
                      <w:b w:val="0"/>
                      <w:bCs w:val="0"/>
                      <w:color w:val="auto"/>
                      <w:sz w:val="21"/>
                      <w:szCs w:val="21"/>
                    </w:rPr>
                  </w:pPr>
                  <w:r>
                    <w:rPr>
                      <w:b w:val="0"/>
                      <w:bCs w:val="0"/>
                      <w:color w:val="auto"/>
                      <w:sz w:val="21"/>
                      <w:szCs w:val="21"/>
                    </w:rPr>
                    <w:t>混凝土振捣器</w:t>
                  </w:r>
                </w:p>
              </w:tc>
              <w:tc>
                <w:tcPr>
                  <w:tcW w:w="278" w:type="pct"/>
                  <w:noWrap w:val="0"/>
                  <w:tcMar>
                    <w:left w:w="68" w:type="dxa"/>
                    <w:right w:w="68" w:type="dxa"/>
                  </w:tcMar>
                  <w:vAlign w:val="center"/>
                </w:tcPr>
                <w:p w14:paraId="49A70760">
                  <w:pPr>
                    <w:adjustRightInd w:val="0"/>
                    <w:snapToGrid w:val="0"/>
                    <w:jc w:val="center"/>
                    <w:rPr>
                      <w:b w:val="0"/>
                      <w:bCs w:val="0"/>
                      <w:color w:val="auto"/>
                      <w:sz w:val="21"/>
                      <w:szCs w:val="21"/>
                    </w:rPr>
                  </w:pPr>
                  <w:r>
                    <w:rPr>
                      <w:rFonts w:hint="eastAsia"/>
                      <w:b w:val="0"/>
                      <w:bCs w:val="0"/>
                      <w:color w:val="auto"/>
                      <w:sz w:val="21"/>
                      <w:szCs w:val="21"/>
                    </w:rPr>
                    <w:t>88</w:t>
                  </w:r>
                </w:p>
              </w:tc>
              <w:tc>
                <w:tcPr>
                  <w:tcW w:w="278" w:type="pct"/>
                  <w:noWrap w:val="0"/>
                  <w:tcMar>
                    <w:left w:w="68" w:type="dxa"/>
                    <w:right w:w="68" w:type="dxa"/>
                  </w:tcMar>
                  <w:vAlign w:val="center"/>
                </w:tcPr>
                <w:p w14:paraId="301D79E1">
                  <w:pPr>
                    <w:adjustRightInd w:val="0"/>
                    <w:snapToGrid w:val="0"/>
                    <w:jc w:val="center"/>
                    <w:rPr>
                      <w:b w:val="0"/>
                      <w:bCs w:val="0"/>
                      <w:color w:val="auto"/>
                      <w:sz w:val="21"/>
                      <w:szCs w:val="21"/>
                    </w:rPr>
                  </w:pPr>
                  <w:r>
                    <w:rPr>
                      <w:rFonts w:hint="eastAsia"/>
                      <w:b w:val="0"/>
                      <w:bCs w:val="0"/>
                      <w:color w:val="auto"/>
                      <w:sz w:val="21"/>
                      <w:szCs w:val="21"/>
                    </w:rPr>
                    <w:t>82</w:t>
                  </w:r>
                </w:p>
              </w:tc>
              <w:tc>
                <w:tcPr>
                  <w:tcW w:w="278" w:type="pct"/>
                  <w:noWrap w:val="0"/>
                  <w:tcMar>
                    <w:left w:w="68" w:type="dxa"/>
                    <w:right w:w="68" w:type="dxa"/>
                  </w:tcMar>
                  <w:vAlign w:val="center"/>
                </w:tcPr>
                <w:p w14:paraId="24D231C7">
                  <w:pPr>
                    <w:adjustRightInd w:val="0"/>
                    <w:snapToGrid w:val="0"/>
                    <w:jc w:val="center"/>
                    <w:rPr>
                      <w:b w:val="0"/>
                      <w:bCs w:val="0"/>
                      <w:color w:val="auto"/>
                      <w:sz w:val="21"/>
                      <w:szCs w:val="21"/>
                    </w:rPr>
                  </w:pPr>
                  <w:r>
                    <w:rPr>
                      <w:rFonts w:hint="eastAsia"/>
                      <w:b w:val="0"/>
                      <w:bCs w:val="0"/>
                      <w:color w:val="auto"/>
                      <w:sz w:val="21"/>
                      <w:szCs w:val="21"/>
                    </w:rPr>
                    <w:t>76</w:t>
                  </w:r>
                </w:p>
              </w:tc>
              <w:tc>
                <w:tcPr>
                  <w:tcW w:w="278" w:type="pct"/>
                  <w:noWrap w:val="0"/>
                  <w:tcMar>
                    <w:left w:w="68" w:type="dxa"/>
                    <w:right w:w="68" w:type="dxa"/>
                  </w:tcMar>
                  <w:vAlign w:val="center"/>
                </w:tcPr>
                <w:p w14:paraId="33B5AA7D">
                  <w:pPr>
                    <w:adjustRightInd w:val="0"/>
                    <w:snapToGrid w:val="0"/>
                    <w:jc w:val="center"/>
                    <w:rPr>
                      <w:b w:val="0"/>
                      <w:bCs w:val="0"/>
                      <w:color w:val="auto"/>
                      <w:sz w:val="21"/>
                      <w:szCs w:val="21"/>
                    </w:rPr>
                  </w:pPr>
                  <w:r>
                    <w:rPr>
                      <w:rFonts w:hint="eastAsia"/>
                      <w:b w:val="0"/>
                      <w:bCs w:val="0"/>
                      <w:color w:val="auto"/>
                      <w:sz w:val="21"/>
                      <w:szCs w:val="21"/>
                    </w:rPr>
                    <w:t>72</w:t>
                  </w:r>
                </w:p>
              </w:tc>
              <w:tc>
                <w:tcPr>
                  <w:tcW w:w="278" w:type="pct"/>
                  <w:noWrap w:val="0"/>
                  <w:tcMar>
                    <w:left w:w="68" w:type="dxa"/>
                    <w:right w:w="68" w:type="dxa"/>
                  </w:tcMar>
                  <w:vAlign w:val="center"/>
                </w:tcPr>
                <w:p w14:paraId="12AA2CB6">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2ABFF793">
                  <w:pPr>
                    <w:adjustRightInd w:val="0"/>
                    <w:snapToGrid w:val="0"/>
                    <w:jc w:val="center"/>
                    <w:rPr>
                      <w:b w:val="0"/>
                      <w:bCs w:val="0"/>
                      <w:color w:val="auto"/>
                      <w:sz w:val="21"/>
                      <w:szCs w:val="21"/>
                    </w:rPr>
                  </w:pPr>
                  <w:r>
                    <w:rPr>
                      <w:rFonts w:hint="eastAsia"/>
                      <w:b w:val="0"/>
                      <w:bCs w:val="0"/>
                      <w:color w:val="auto"/>
                      <w:sz w:val="21"/>
                      <w:szCs w:val="21"/>
                    </w:rPr>
                    <w:t>68</w:t>
                  </w:r>
                </w:p>
              </w:tc>
              <w:tc>
                <w:tcPr>
                  <w:tcW w:w="278" w:type="pct"/>
                  <w:noWrap w:val="0"/>
                  <w:tcMar>
                    <w:left w:w="68" w:type="dxa"/>
                    <w:right w:w="68" w:type="dxa"/>
                  </w:tcMar>
                  <w:vAlign w:val="center"/>
                </w:tcPr>
                <w:p w14:paraId="47B44C2B">
                  <w:pPr>
                    <w:adjustRightInd w:val="0"/>
                    <w:snapToGrid w:val="0"/>
                    <w:jc w:val="center"/>
                    <w:rPr>
                      <w:b w:val="0"/>
                      <w:bCs w:val="0"/>
                      <w:color w:val="auto"/>
                      <w:sz w:val="21"/>
                      <w:szCs w:val="21"/>
                    </w:rPr>
                  </w:pPr>
                  <w:r>
                    <w:rPr>
                      <w:rFonts w:hint="eastAsia"/>
                      <w:b w:val="0"/>
                      <w:bCs w:val="0"/>
                      <w:color w:val="auto"/>
                      <w:sz w:val="21"/>
                      <w:szCs w:val="21"/>
                    </w:rPr>
                    <w:t>66</w:t>
                  </w:r>
                </w:p>
              </w:tc>
              <w:tc>
                <w:tcPr>
                  <w:tcW w:w="278" w:type="pct"/>
                  <w:noWrap w:val="0"/>
                  <w:tcMar>
                    <w:left w:w="68" w:type="dxa"/>
                    <w:right w:w="68" w:type="dxa"/>
                  </w:tcMar>
                  <w:vAlign w:val="center"/>
                </w:tcPr>
                <w:p w14:paraId="4D0622F7">
                  <w:pPr>
                    <w:adjustRightInd w:val="0"/>
                    <w:snapToGrid w:val="0"/>
                    <w:jc w:val="center"/>
                    <w:rPr>
                      <w:b w:val="0"/>
                      <w:bCs w:val="0"/>
                      <w:color w:val="auto"/>
                      <w:sz w:val="21"/>
                      <w:szCs w:val="21"/>
                    </w:rPr>
                  </w:pPr>
                  <w:r>
                    <w:rPr>
                      <w:rFonts w:hint="eastAsia"/>
                      <w:b w:val="0"/>
                      <w:bCs w:val="0"/>
                      <w:color w:val="auto"/>
                      <w:sz w:val="21"/>
                      <w:szCs w:val="21"/>
                    </w:rPr>
                    <w:t>65</w:t>
                  </w:r>
                </w:p>
              </w:tc>
              <w:tc>
                <w:tcPr>
                  <w:tcW w:w="278" w:type="pct"/>
                  <w:noWrap w:val="0"/>
                  <w:tcMar>
                    <w:left w:w="68" w:type="dxa"/>
                    <w:right w:w="68" w:type="dxa"/>
                  </w:tcMar>
                  <w:vAlign w:val="center"/>
                </w:tcPr>
                <w:p w14:paraId="39DA07C2">
                  <w:pPr>
                    <w:adjustRightInd w:val="0"/>
                    <w:snapToGrid w:val="0"/>
                    <w:jc w:val="center"/>
                    <w:rPr>
                      <w:b w:val="0"/>
                      <w:bCs w:val="0"/>
                      <w:color w:val="auto"/>
                      <w:sz w:val="21"/>
                      <w:szCs w:val="21"/>
                    </w:rPr>
                  </w:pPr>
                  <w:r>
                    <w:rPr>
                      <w:rFonts w:hint="eastAsia"/>
                      <w:b w:val="0"/>
                      <w:bCs w:val="0"/>
                      <w:color w:val="auto"/>
                      <w:sz w:val="21"/>
                      <w:szCs w:val="21"/>
                    </w:rPr>
                    <w:t>64</w:t>
                  </w:r>
                </w:p>
              </w:tc>
              <w:tc>
                <w:tcPr>
                  <w:tcW w:w="279" w:type="pct"/>
                  <w:noWrap w:val="0"/>
                  <w:tcMar>
                    <w:left w:w="68" w:type="dxa"/>
                    <w:right w:w="68" w:type="dxa"/>
                  </w:tcMar>
                  <w:vAlign w:val="center"/>
                </w:tcPr>
                <w:p w14:paraId="4F2DBD22">
                  <w:pPr>
                    <w:adjustRightInd w:val="0"/>
                    <w:snapToGrid w:val="0"/>
                    <w:jc w:val="center"/>
                    <w:rPr>
                      <w:b w:val="0"/>
                      <w:bCs w:val="0"/>
                      <w:color w:val="auto"/>
                      <w:sz w:val="21"/>
                      <w:szCs w:val="21"/>
                    </w:rPr>
                  </w:pPr>
                  <w:r>
                    <w:rPr>
                      <w:rFonts w:hint="eastAsia"/>
                      <w:b w:val="0"/>
                      <w:bCs w:val="0"/>
                      <w:color w:val="auto"/>
                      <w:sz w:val="21"/>
                      <w:szCs w:val="21"/>
                    </w:rPr>
                    <w:t>63</w:t>
                  </w:r>
                </w:p>
              </w:tc>
              <w:tc>
                <w:tcPr>
                  <w:tcW w:w="290" w:type="pct"/>
                  <w:noWrap w:val="0"/>
                  <w:tcMar>
                    <w:left w:w="68" w:type="dxa"/>
                    <w:right w:w="68" w:type="dxa"/>
                  </w:tcMar>
                  <w:vAlign w:val="center"/>
                </w:tcPr>
                <w:p w14:paraId="402FF9EC">
                  <w:pPr>
                    <w:adjustRightInd w:val="0"/>
                    <w:snapToGrid w:val="0"/>
                    <w:jc w:val="center"/>
                    <w:rPr>
                      <w:b w:val="0"/>
                      <w:bCs w:val="0"/>
                      <w:color w:val="auto"/>
                      <w:sz w:val="21"/>
                      <w:szCs w:val="21"/>
                    </w:rPr>
                  </w:pPr>
                  <w:r>
                    <w:rPr>
                      <w:rFonts w:hint="eastAsia"/>
                      <w:b w:val="0"/>
                      <w:bCs w:val="0"/>
                      <w:color w:val="auto"/>
                      <w:sz w:val="21"/>
                      <w:szCs w:val="21"/>
                    </w:rPr>
                    <w:t>62</w:t>
                  </w:r>
                </w:p>
              </w:tc>
              <w:tc>
                <w:tcPr>
                  <w:tcW w:w="290" w:type="pct"/>
                  <w:noWrap w:val="0"/>
                  <w:tcMar>
                    <w:left w:w="68" w:type="dxa"/>
                    <w:right w:w="68" w:type="dxa"/>
                  </w:tcMar>
                  <w:vAlign w:val="center"/>
                </w:tcPr>
                <w:p w14:paraId="3FE48668">
                  <w:pPr>
                    <w:adjustRightInd w:val="0"/>
                    <w:snapToGrid w:val="0"/>
                    <w:jc w:val="center"/>
                    <w:rPr>
                      <w:b w:val="0"/>
                      <w:bCs w:val="0"/>
                      <w:color w:val="auto"/>
                      <w:sz w:val="21"/>
                      <w:szCs w:val="21"/>
                    </w:rPr>
                  </w:pPr>
                  <w:r>
                    <w:rPr>
                      <w:rFonts w:hint="eastAsia"/>
                      <w:b w:val="0"/>
                      <w:bCs w:val="0"/>
                      <w:color w:val="auto"/>
                      <w:sz w:val="21"/>
                      <w:szCs w:val="21"/>
                    </w:rPr>
                    <w:t>58</w:t>
                  </w:r>
                </w:p>
              </w:tc>
              <w:tc>
                <w:tcPr>
                  <w:tcW w:w="290" w:type="pct"/>
                  <w:noWrap w:val="0"/>
                  <w:tcMar>
                    <w:left w:w="68" w:type="dxa"/>
                    <w:right w:w="68" w:type="dxa"/>
                  </w:tcMar>
                  <w:vAlign w:val="center"/>
                </w:tcPr>
                <w:p w14:paraId="6588673E">
                  <w:pPr>
                    <w:adjustRightInd w:val="0"/>
                    <w:snapToGrid w:val="0"/>
                    <w:jc w:val="center"/>
                    <w:rPr>
                      <w:b w:val="0"/>
                      <w:bCs w:val="0"/>
                      <w:color w:val="auto"/>
                      <w:sz w:val="21"/>
                      <w:szCs w:val="21"/>
                    </w:rPr>
                  </w:pPr>
                  <w:r>
                    <w:rPr>
                      <w:rFonts w:hint="eastAsia"/>
                      <w:b w:val="0"/>
                      <w:bCs w:val="0"/>
                      <w:color w:val="auto"/>
                      <w:sz w:val="21"/>
                      <w:szCs w:val="21"/>
                    </w:rPr>
                    <w:t>56</w:t>
                  </w:r>
                </w:p>
              </w:tc>
              <w:tc>
                <w:tcPr>
                  <w:tcW w:w="290" w:type="pct"/>
                  <w:noWrap w:val="0"/>
                  <w:tcMar>
                    <w:left w:w="68" w:type="dxa"/>
                    <w:right w:w="68" w:type="dxa"/>
                  </w:tcMar>
                  <w:vAlign w:val="center"/>
                </w:tcPr>
                <w:p w14:paraId="7070E79C">
                  <w:pPr>
                    <w:widowControl/>
                    <w:jc w:val="center"/>
                    <w:rPr>
                      <w:b w:val="0"/>
                      <w:bCs w:val="0"/>
                      <w:color w:val="auto"/>
                      <w:sz w:val="21"/>
                      <w:szCs w:val="21"/>
                    </w:rPr>
                  </w:pPr>
                  <w:r>
                    <w:rPr>
                      <w:rFonts w:hint="eastAsia"/>
                      <w:b w:val="0"/>
                      <w:bCs w:val="0"/>
                      <w:color w:val="auto"/>
                      <w:sz w:val="21"/>
                      <w:szCs w:val="21"/>
                    </w:rPr>
                    <w:t>52</w:t>
                  </w:r>
                </w:p>
              </w:tc>
              <w:tc>
                <w:tcPr>
                  <w:tcW w:w="290" w:type="pct"/>
                  <w:noWrap w:val="0"/>
                  <w:tcMar>
                    <w:left w:w="68" w:type="dxa"/>
                    <w:right w:w="68" w:type="dxa"/>
                  </w:tcMar>
                  <w:vAlign w:val="center"/>
                </w:tcPr>
                <w:p w14:paraId="78AE517A">
                  <w:pPr>
                    <w:widowControl/>
                    <w:jc w:val="center"/>
                    <w:rPr>
                      <w:b w:val="0"/>
                      <w:bCs w:val="0"/>
                      <w:color w:val="auto"/>
                      <w:sz w:val="21"/>
                      <w:szCs w:val="21"/>
                    </w:rPr>
                  </w:pPr>
                  <w:r>
                    <w:rPr>
                      <w:rFonts w:hint="eastAsia"/>
                      <w:b w:val="0"/>
                      <w:bCs w:val="0"/>
                      <w:color w:val="auto"/>
                      <w:sz w:val="21"/>
                      <w:szCs w:val="21"/>
                    </w:rPr>
                    <w:t>48</w:t>
                  </w:r>
                </w:p>
              </w:tc>
            </w:tr>
            <w:tr w14:paraId="3A1A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311FCEF9">
                  <w:pPr>
                    <w:adjustRightInd w:val="0"/>
                    <w:snapToGrid w:val="0"/>
                    <w:jc w:val="center"/>
                    <w:rPr>
                      <w:b w:val="0"/>
                      <w:bCs w:val="0"/>
                      <w:color w:val="auto"/>
                      <w:sz w:val="21"/>
                      <w:szCs w:val="21"/>
                    </w:rPr>
                  </w:pPr>
                  <w:r>
                    <w:rPr>
                      <w:b w:val="0"/>
                      <w:bCs w:val="0"/>
                      <w:color w:val="auto"/>
                      <w:sz w:val="21"/>
                      <w:szCs w:val="21"/>
                    </w:rPr>
                    <w:t>重型运输车</w:t>
                  </w:r>
                </w:p>
              </w:tc>
              <w:tc>
                <w:tcPr>
                  <w:tcW w:w="278" w:type="pct"/>
                  <w:noWrap w:val="0"/>
                  <w:tcMar>
                    <w:left w:w="68" w:type="dxa"/>
                    <w:right w:w="68" w:type="dxa"/>
                  </w:tcMar>
                  <w:vAlign w:val="center"/>
                </w:tcPr>
                <w:p w14:paraId="5B366D8D">
                  <w:pPr>
                    <w:adjustRightInd w:val="0"/>
                    <w:snapToGrid w:val="0"/>
                    <w:jc w:val="center"/>
                    <w:rPr>
                      <w:b w:val="0"/>
                      <w:bCs w:val="0"/>
                      <w:color w:val="auto"/>
                      <w:sz w:val="21"/>
                      <w:szCs w:val="21"/>
                    </w:rPr>
                  </w:pPr>
                  <w:r>
                    <w:rPr>
                      <w:rFonts w:hint="eastAsia"/>
                      <w:b w:val="0"/>
                      <w:bCs w:val="0"/>
                      <w:color w:val="auto"/>
                      <w:sz w:val="21"/>
                      <w:szCs w:val="21"/>
                    </w:rPr>
                    <w:t>90</w:t>
                  </w:r>
                </w:p>
              </w:tc>
              <w:tc>
                <w:tcPr>
                  <w:tcW w:w="278" w:type="pct"/>
                  <w:noWrap w:val="0"/>
                  <w:tcMar>
                    <w:left w:w="68" w:type="dxa"/>
                    <w:right w:w="68" w:type="dxa"/>
                  </w:tcMar>
                  <w:vAlign w:val="center"/>
                </w:tcPr>
                <w:p w14:paraId="164E2498">
                  <w:pPr>
                    <w:adjustRightInd w:val="0"/>
                    <w:snapToGrid w:val="0"/>
                    <w:jc w:val="center"/>
                    <w:rPr>
                      <w:b w:val="0"/>
                      <w:bCs w:val="0"/>
                      <w:color w:val="auto"/>
                      <w:sz w:val="21"/>
                      <w:szCs w:val="21"/>
                    </w:rPr>
                  </w:pPr>
                  <w:r>
                    <w:rPr>
                      <w:rFonts w:hint="eastAsia"/>
                      <w:b w:val="0"/>
                      <w:bCs w:val="0"/>
                      <w:color w:val="auto"/>
                      <w:sz w:val="21"/>
                      <w:szCs w:val="21"/>
                    </w:rPr>
                    <w:t>84</w:t>
                  </w:r>
                </w:p>
              </w:tc>
              <w:tc>
                <w:tcPr>
                  <w:tcW w:w="278" w:type="pct"/>
                  <w:noWrap w:val="0"/>
                  <w:tcMar>
                    <w:left w:w="68" w:type="dxa"/>
                    <w:right w:w="68" w:type="dxa"/>
                  </w:tcMar>
                  <w:vAlign w:val="center"/>
                </w:tcPr>
                <w:p w14:paraId="0F225636">
                  <w:pPr>
                    <w:adjustRightInd w:val="0"/>
                    <w:snapToGrid w:val="0"/>
                    <w:jc w:val="center"/>
                    <w:rPr>
                      <w:b w:val="0"/>
                      <w:bCs w:val="0"/>
                      <w:color w:val="auto"/>
                      <w:sz w:val="21"/>
                      <w:szCs w:val="21"/>
                    </w:rPr>
                  </w:pPr>
                  <w:r>
                    <w:rPr>
                      <w:rFonts w:hint="eastAsia"/>
                      <w:b w:val="0"/>
                      <w:bCs w:val="0"/>
                      <w:color w:val="auto"/>
                      <w:sz w:val="21"/>
                      <w:szCs w:val="21"/>
                    </w:rPr>
                    <w:t>7</w:t>
                  </w:r>
                  <w:r>
                    <w:rPr>
                      <w:b w:val="0"/>
                      <w:bCs w:val="0"/>
                      <w:color w:val="auto"/>
                      <w:sz w:val="21"/>
                      <w:szCs w:val="21"/>
                    </w:rPr>
                    <w:t>8</w:t>
                  </w:r>
                </w:p>
              </w:tc>
              <w:tc>
                <w:tcPr>
                  <w:tcW w:w="278" w:type="pct"/>
                  <w:noWrap w:val="0"/>
                  <w:tcMar>
                    <w:left w:w="68" w:type="dxa"/>
                    <w:right w:w="68" w:type="dxa"/>
                  </w:tcMar>
                  <w:vAlign w:val="center"/>
                </w:tcPr>
                <w:p w14:paraId="7410F118">
                  <w:pPr>
                    <w:adjustRightInd w:val="0"/>
                    <w:snapToGrid w:val="0"/>
                    <w:jc w:val="center"/>
                    <w:rPr>
                      <w:b w:val="0"/>
                      <w:bCs w:val="0"/>
                      <w:color w:val="auto"/>
                      <w:sz w:val="21"/>
                      <w:szCs w:val="21"/>
                    </w:rPr>
                  </w:pPr>
                  <w:r>
                    <w:rPr>
                      <w:rFonts w:hint="eastAsia"/>
                      <w:b w:val="0"/>
                      <w:bCs w:val="0"/>
                      <w:color w:val="auto"/>
                      <w:sz w:val="21"/>
                      <w:szCs w:val="21"/>
                    </w:rPr>
                    <w:t>74</w:t>
                  </w:r>
                </w:p>
              </w:tc>
              <w:tc>
                <w:tcPr>
                  <w:tcW w:w="278" w:type="pct"/>
                  <w:noWrap w:val="0"/>
                  <w:tcMar>
                    <w:left w:w="68" w:type="dxa"/>
                    <w:right w:w="68" w:type="dxa"/>
                  </w:tcMar>
                  <w:vAlign w:val="center"/>
                </w:tcPr>
                <w:p w14:paraId="4B826CB5">
                  <w:pPr>
                    <w:adjustRightInd w:val="0"/>
                    <w:snapToGrid w:val="0"/>
                    <w:jc w:val="center"/>
                    <w:rPr>
                      <w:b w:val="0"/>
                      <w:bCs w:val="0"/>
                      <w:color w:val="auto"/>
                      <w:sz w:val="21"/>
                      <w:szCs w:val="21"/>
                    </w:rPr>
                  </w:pPr>
                  <w:r>
                    <w:rPr>
                      <w:rFonts w:hint="eastAsia"/>
                      <w:b w:val="0"/>
                      <w:bCs w:val="0"/>
                      <w:color w:val="auto"/>
                      <w:sz w:val="21"/>
                      <w:szCs w:val="21"/>
                    </w:rPr>
                    <w:t>7</w:t>
                  </w:r>
                  <w:r>
                    <w:rPr>
                      <w:b w:val="0"/>
                      <w:bCs w:val="0"/>
                      <w:color w:val="auto"/>
                      <w:sz w:val="21"/>
                      <w:szCs w:val="21"/>
                    </w:rPr>
                    <w:t>2</w:t>
                  </w:r>
                </w:p>
              </w:tc>
              <w:tc>
                <w:tcPr>
                  <w:tcW w:w="278" w:type="pct"/>
                  <w:noWrap w:val="0"/>
                  <w:tcMar>
                    <w:left w:w="68" w:type="dxa"/>
                    <w:right w:w="68" w:type="dxa"/>
                  </w:tcMar>
                  <w:vAlign w:val="center"/>
                </w:tcPr>
                <w:p w14:paraId="3B56A34D">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09906EEB">
                  <w:pPr>
                    <w:adjustRightInd w:val="0"/>
                    <w:snapToGrid w:val="0"/>
                    <w:jc w:val="center"/>
                    <w:rPr>
                      <w:b w:val="0"/>
                      <w:bCs w:val="0"/>
                      <w:color w:val="auto"/>
                      <w:sz w:val="21"/>
                      <w:szCs w:val="21"/>
                    </w:rPr>
                  </w:pPr>
                  <w:r>
                    <w:rPr>
                      <w:rFonts w:hint="eastAsia"/>
                      <w:b w:val="0"/>
                      <w:bCs w:val="0"/>
                      <w:color w:val="auto"/>
                      <w:sz w:val="21"/>
                      <w:szCs w:val="21"/>
                    </w:rPr>
                    <w:t>68</w:t>
                  </w:r>
                </w:p>
              </w:tc>
              <w:tc>
                <w:tcPr>
                  <w:tcW w:w="278" w:type="pct"/>
                  <w:noWrap w:val="0"/>
                  <w:tcMar>
                    <w:left w:w="68" w:type="dxa"/>
                    <w:right w:w="68" w:type="dxa"/>
                  </w:tcMar>
                  <w:vAlign w:val="center"/>
                </w:tcPr>
                <w:p w14:paraId="7C96976F">
                  <w:pPr>
                    <w:adjustRightInd w:val="0"/>
                    <w:snapToGrid w:val="0"/>
                    <w:jc w:val="center"/>
                    <w:rPr>
                      <w:b w:val="0"/>
                      <w:bCs w:val="0"/>
                      <w:color w:val="auto"/>
                      <w:sz w:val="21"/>
                      <w:szCs w:val="21"/>
                    </w:rPr>
                  </w:pPr>
                  <w:r>
                    <w:rPr>
                      <w:rFonts w:hint="eastAsia"/>
                      <w:b w:val="0"/>
                      <w:bCs w:val="0"/>
                      <w:color w:val="auto"/>
                      <w:sz w:val="21"/>
                      <w:szCs w:val="21"/>
                    </w:rPr>
                    <w:t>67</w:t>
                  </w:r>
                </w:p>
              </w:tc>
              <w:tc>
                <w:tcPr>
                  <w:tcW w:w="278" w:type="pct"/>
                  <w:noWrap w:val="0"/>
                  <w:tcMar>
                    <w:left w:w="68" w:type="dxa"/>
                    <w:right w:w="68" w:type="dxa"/>
                  </w:tcMar>
                  <w:vAlign w:val="center"/>
                </w:tcPr>
                <w:p w14:paraId="5C4435A0">
                  <w:pPr>
                    <w:adjustRightInd w:val="0"/>
                    <w:snapToGrid w:val="0"/>
                    <w:jc w:val="center"/>
                    <w:rPr>
                      <w:b w:val="0"/>
                      <w:bCs w:val="0"/>
                      <w:color w:val="auto"/>
                      <w:sz w:val="21"/>
                      <w:szCs w:val="21"/>
                    </w:rPr>
                  </w:pPr>
                  <w:r>
                    <w:rPr>
                      <w:rFonts w:hint="eastAsia"/>
                      <w:b w:val="0"/>
                      <w:bCs w:val="0"/>
                      <w:color w:val="auto"/>
                      <w:sz w:val="21"/>
                      <w:szCs w:val="21"/>
                    </w:rPr>
                    <w:t>66</w:t>
                  </w:r>
                </w:p>
              </w:tc>
              <w:tc>
                <w:tcPr>
                  <w:tcW w:w="279" w:type="pct"/>
                  <w:noWrap w:val="0"/>
                  <w:tcMar>
                    <w:left w:w="68" w:type="dxa"/>
                    <w:right w:w="68" w:type="dxa"/>
                  </w:tcMar>
                  <w:vAlign w:val="center"/>
                </w:tcPr>
                <w:p w14:paraId="7F005F99">
                  <w:pPr>
                    <w:adjustRightInd w:val="0"/>
                    <w:snapToGrid w:val="0"/>
                    <w:jc w:val="center"/>
                    <w:rPr>
                      <w:b w:val="0"/>
                      <w:bCs w:val="0"/>
                      <w:color w:val="auto"/>
                      <w:sz w:val="21"/>
                      <w:szCs w:val="21"/>
                    </w:rPr>
                  </w:pPr>
                  <w:r>
                    <w:rPr>
                      <w:rFonts w:hint="eastAsia"/>
                      <w:b w:val="0"/>
                      <w:bCs w:val="0"/>
                      <w:color w:val="auto"/>
                      <w:sz w:val="21"/>
                      <w:szCs w:val="21"/>
                    </w:rPr>
                    <w:t>65</w:t>
                  </w:r>
                </w:p>
              </w:tc>
              <w:tc>
                <w:tcPr>
                  <w:tcW w:w="290" w:type="pct"/>
                  <w:noWrap w:val="0"/>
                  <w:tcMar>
                    <w:left w:w="68" w:type="dxa"/>
                    <w:right w:w="68" w:type="dxa"/>
                  </w:tcMar>
                  <w:vAlign w:val="center"/>
                </w:tcPr>
                <w:p w14:paraId="39AB8F86">
                  <w:pPr>
                    <w:adjustRightInd w:val="0"/>
                    <w:snapToGrid w:val="0"/>
                    <w:jc w:val="center"/>
                    <w:rPr>
                      <w:b w:val="0"/>
                      <w:bCs w:val="0"/>
                      <w:color w:val="auto"/>
                      <w:sz w:val="21"/>
                      <w:szCs w:val="21"/>
                    </w:rPr>
                  </w:pPr>
                  <w:r>
                    <w:rPr>
                      <w:rFonts w:hint="eastAsia"/>
                      <w:b w:val="0"/>
                      <w:bCs w:val="0"/>
                      <w:color w:val="auto"/>
                      <w:sz w:val="21"/>
                      <w:szCs w:val="21"/>
                    </w:rPr>
                    <w:t>64</w:t>
                  </w:r>
                </w:p>
              </w:tc>
              <w:tc>
                <w:tcPr>
                  <w:tcW w:w="290" w:type="pct"/>
                  <w:noWrap w:val="0"/>
                  <w:tcMar>
                    <w:left w:w="68" w:type="dxa"/>
                    <w:right w:w="68" w:type="dxa"/>
                  </w:tcMar>
                  <w:vAlign w:val="center"/>
                </w:tcPr>
                <w:p w14:paraId="2B0D183D">
                  <w:pPr>
                    <w:adjustRightInd w:val="0"/>
                    <w:snapToGrid w:val="0"/>
                    <w:jc w:val="center"/>
                    <w:rPr>
                      <w:b w:val="0"/>
                      <w:bCs w:val="0"/>
                      <w:color w:val="auto"/>
                      <w:sz w:val="21"/>
                      <w:szCs w:val="21"/>
                    </w:rPr>
                  </w:pPr>
                  <w:r>
                    <w:rPr>
                      <w:rFonts w:hint="eastAsia"/>
                      <w:b w:val="0"/>
                      <w:bCs w:val="0"/>
                      <w:color w:val="auto"/>
                      <w:sz w:val="21"/>
                      <w:szCs w:val="21"/>
                    </w:rPr>
                    <w:t>60</w:t>
                  </w:r>
                </w:p>
              </w:tc>
              <w:tc>
                <w:tcPr>
                  <w:tcW w:w="290" w:type="pct"/>
                  <w:noWrap w:val="0"/>
                  <w:tcMar>
                    <w:left w:w="68" w:type="dxa"/>
                    <w:right w:w="68" w:type="dxa"/>
                  </w:tcMar>
                  <w:vAlign w:val="center"/>
                </w:tcPr>
                <w:p w14:paraId="2A7BCF6B">
                  <w:pPr>
                    <w:adjustRightInd w:val="0"/>
                    <w:snapToGrid w:val="0"/>
                    <w:jc w:val="center"/>
                    <w:rPr>
                      <w:b w:val="0"/>
                      <w:bCs w:val="0"/>
                      <w:color w:val="auto"/>
                      <w:sz w:val="21"/>
                      <w:szCs w:val="21"/>
                    </w:rPr>
                  </w:pPr>
                  <w:r>
                    <w:rPr>
                      <w:rFonts w:hint="eastAsia"/>
                      <w:b w:val="0"/>
                      <w:bCs w:val="0"/>
                      <w:color w:val="auto"/>
                      <w:sz w:val="21"/>
                      <w:szCs w:val="21"/>
                    </w:rPr>
                    <w:t>58</w:t>
                  </w:r>
                </w:p>
              </w:tc>
              <w:tc>
                <w:tcPr>
                  <w:tcW w:w="290" w:type="pct"/>
                  <w:noWrap w:val="0"/>
                  <w:tcMar>
                    <w:left w:w="68" w:type="dxa"/>
                    <w:right w:w="68" w:type="dxa"/>
                  </w:tcMar>
                  <w:vAlign w:val="center"/>
                </w:tcPr>
                <w:p w14:paraId="6CE95E0B">
                  <w:pPr>
                    <w:widowControl/>
                    <w:jc w:val="center"/>
                    <w:rPr>
                      <w:b w:val="0"/>
                      <w:bCs w:val="0"/>
                      <w:color w:val="auto"/>
                      <w:sz w:val="21"/>
                      <w:szCs w:val="21"/>
                    </w:rPr>
                  </w:pPr>
                  <w:r>
                    <w:rPr>
                      <w:rFonts w:hint="eastAsia"/>
                      <w:b w:val="0"/>
                      <w:bCs w:val="0"/>
                      <w:color w:val="auto"/>
                      <w:sz w:val="21"/>
                      <w:szCs w:val="21"/>
                    </w:rPr>
                    <w:t>54</w:t>
                  </w:r>
                </w:p>
              </w:tc>
              <w:tc>
                <w:tcPr>
                  <w:tcW w:w="290" w:type="pct"/>
                  <w:noWrap w:val="0"/>
                  <w:tcMar>
                    <w:left w:w="68" w:type="dxa"/>
                    <w:right w:w="68" w:type="dxa"/>
                  </w:tcMar>
                  <w:vAlign w:val="center"/>
                </w:tcPr>
                <w:p w14:paraId="0C310D23">
                  <w:pPr>
                    <w:widowControl/>
                    <w:jc w:val="center"/>
                    <w:rPr>
                      <w:b w:val="0"/>
                      <w:bCs w:val="0"/>
                      <w:color w:val="auto"/>
                      <w:sz w:val="21"/>
                      <w:szCs w:val="21"/>
                    </w:rPr>
                  </w:pPr>
                  <w:r>
                    <w:rPr>
                      <w:rFonts w:hint="eastAsia"/>
                      <w:b w:val="0"/>
                      <w:bCs w:val="0"/>
                      <w:color w:val="auto"/>
                      <w:sz w:val="21"/>
                      <w:szCs w:val="21"/>
                    </w:rPr>
                    <w:t>50</w:t>
                  </w:r>
                </w:p>
              </w:tc>
            </w:tr>
            <w:tr w14:paraId="468A2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2141A116">
                  <w:pPr>
                    <w:adjustRightInd w:val="0"/>
                    <w:snapToGrid w:val="0"/>
                    <w:jc w:val="center"/>
                    <w:rPr>
                      <w:b w:val="0"/>
                      <w:bCs w:val="0"/>
                      <w:color w:val="auto"/>
                      <w:sz w:val="21"/>
                      <w:szCs w:val="21"/>
                    </w:rPr>
                  </w:pPr>
                  <w:r>
                    <w:rPr>
                      <w:rFonts w:hint="eastAsia"/>
                      <w:b w:val="0"/>
                      <w:bCs w:val="0"/>
                      <w:color w:val="auto"/>
                      <w:sz w:val="21"/>
                      <w:szCs w:val="21"/>
                    </w:rPr>
                    <w:t>牵张机</w:t>
                  </w:r>
                </w:p>
              </w:tc>
              <w:tc>
                <w:tcPr>
                  <w:tcW w:w="278" w:type="pct"/>
                  <w:noWrap w:val="0"/>
                  <w:tcMar>
                    <w:left w:w="68" w:type="dxa"/>
                    <w:right w:w="68" w:type="dxa"/>
                  </w:tcMar>
                  <w:vAlign w:val="center"/>
                </w:tcPr>
                <w:p w14:paraId="0DEB3581">
                  <w:pPr>
                    <w:adjustRightInd w:val="0"/>
                    <w:snapToGrid w:val="0"/>
                    <w:jc w:val="center"/>
                    <w:rPr>
                      <w:b w:val="0"/>
                      <w:bCs w:val="0"/>
                      <w:color w:val="auto"/>
                      <w:sz w:val="21"/>
                      <w:szCs w:val="21"/>
                    </w:rPr>
                  </w:pPr>
                  <w:r>
                    <w:rPr>
                      <w:rFonts w:hint="eastAsia"/>
                      <w:b w:val="0"/>
                      <w:bCs w:val="0"/>
                      <w:color w:val="auto"/>
                      <w:sz w:val="21"/>
                      <w:szCs w:val="21"/>
                    </w:rPr>
                    <w:t>5</w:t>
                  </w:r>
                  <w:r>
                    <w:rPr>
                      <w:b w:val="0"/>
                      <w:bCs w:val="0"/>
                      <w:color w:val="auto"/>
                      <w:sz w:val="21"/>
                      <w:szCs w:val="21"/>
                    </w:rPr>
                    <w:t>6</w:t>
                  </w:r>
                </w:p>
              </w:tc>
              <w:tc>
                <w:tcPr>
                  <w:tcW w:w="278" w:type="pct"/>
                  <w:noWrap w:val="0"/>
                  <w:tcMar>
                    <w:left w:w="68" w:type="dxa"/>
                    <w:right w:w="68" w:type="dxa"/>
                  </w:tcMar>
                  <w:vAlign w:val="center"/>
                </w:tcPr>
                <w:p w14:paraId="2518256F">
                  <w:pPr>
                    <w:adjustRightInd w:val="0"/>
                    <w:snapToGrid w:val="0"/>
                    <w:jc w:val="center"/>
                    <w:rPr>
                      <w:b w:val="0"/>
                      <w:bCs w:val="0"/>
                      <w:color w:val="auto"/>
                      <w:sz w:val="21"/>
                      <w:szCs w:val="21"/>
                    </w:rPr>
                  </w:pPr>
                  <w:r>
                    <w:rPr>
                      <w:rFonts w:hint="eastAsia"/>
                      <w:b w:val="0"/>
                      <w:bCs w:val="0"/>
                      <w:color w:val="auto"/>
                      <w:sz w:val="21"/>
                      <w:szCs w:val="21"/>
                    </w:rPr>
                    <w:t>5</w:t>
                  </w:r>
                  <w:r>
                    <w:rPr>
                      <w:b w:val="0"/>
                      <w:bCs w:val="0"/>
                      <w:color w:val="auto"/>
                      <w:sz w:val="21"/>
                      <w:szCs w:val="21"/>
                    </w:rPr>
                    <w:t>0</w:t>
                  </w:r>
                </w:p>
              </w:tc>
              <w:tc>
                <w:tcPr>
                  <w:tcW w:w="278" w:type="pct"/>
                  <w:noWrap w:val="0"/>
                  <w:tcMar>
                    <w:left w:w="68" w:type="dxa"/>
                    <w:right w:w="68" w:type="dxa"/>
                  </w:tcMar>
                  <w:vAlign w:val="center"/>
                </w:tcPr>
                <w:p w14:paraId="6457C347">
                  <w:pPr>
                    <w:adjustRightInd w:val="0"/>
                    <w:snapToGrid w:val="0"/>
                    <w:jc w:val="center"/>
                    <w:rPr>
                      <w:b w:val="0"/>
                      <w:bCs w:val="0"/>
                      <w:color w:val="auto"/>
                      <w:sz w:val="21"/>
                      <w:szCs w:val="21"/>
                    </w:rPr>
                  </w:pPr>
                  <w:r>
                    <w:rPr>
                      <w:rFonts w:hint="eastAsia"/>
                      <w:b w:val="0"/>
                      <w:bCs w:val="0"/>
                      <w:color w:val="auto"/>
                      <w:sz w:val="21"/>
                      <w:szCs w:val="21"/>
                    </w:rPr>
                    <w:t>4</w:t>
                  </w:r>
                  <w:r>
                    <w:rPr>
                      <w:b w:val="0"/>
                      <w:bCs w:val="0"/>
                      <w:color w:val="auto"/>
                      <w:sz w:val="21"/>
                      <w:szCs w:val="21"/>
                    </w:rPr>
                    <w:t>4</w:t>
                  </w:r>
                </w:p>
              </w:tc>
              <w:tc>
                <w:tcPr>
                  <w:tcW w:w="278" w:type="pct"/>
                  <w:noWrap w:val="0"/>
                  <w:tcMar>
                    <w:left w:w="68" w:type="dxa"/>
                    <w:right w:w="68" w:type="dxa"/>
                  </w:tcMar>
                  <w:vAlign w:val="center"/>
                </w:tcPr>
                <w:p w14:paraId="7D701B20">
                  <w:pPr>
                    <w:adjustRightInd w:val="0"/>
                    <w:snapToGrid w:val="0"/>
                    <w:jc w:val="center"/>
                    <w:rPr>
                      <w:b w:val="0"/>
                      <w:bCs w:val="0"/>
                      <w:color w:val="auto"/>
                      <w:sz w:val="21"/>
                      <w:szCs w:val="21"/>
                    </w:rPr>
                  </w:pPr>
                  <w:r>
                    <w:rPr>
                      <w:rFonts w:hint="eastAsia"/>
                      <w:b w:val="0"/>
                      <w:bCs w:val="0"/>
                      <w:color w:val="auto"/>
                      <w:sz w:val="21"/>
                      <w:szCs w:val="21"/>
                    </w:rPr>
                    <w:t>4</w:t>
                  </w:r>
                  <w:r>
                    <w:rPr>
                      <w:b w:val="0"/>
                      <w:bCs w:val="0"/>
                      <w:color w:val="auto"/>
                      <w:sz w:val="21"/>
                      <w:szCs w:val="21"/>
                    </w:rPr>
                    <w:t>0</w:t>
                  </w:r>
                </w:p>
              </w:tc>
              <w:tc>
                <w:tcPr>
                  <w:tcW w:w="278" w:type="pct"/>
                  <w:noWrap w:val="0"/>
                  <w:tcMar>
                    <w:left w:w="68" w:type="dxa"/>
                    <w:right w:w="68" w:type="dxa"/>
                  </w:tcMar>
                  <w:vAlign w:val="center"/>
                </w:tcPr>
                <w:p w14:paraId="7BA39D40">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8</w:t>
                  </w:r>
                </w:p>
              </w:tc>
              <w:tc>
                <w:tcPr>
                  <w:tcW w:w="278" w:type="pct"/>
                  <w:noWrap w:val="0"/>
                  <w:tcMar>
                    <w:left w:w="68" w:type="dxa"/>
                    <w:right w:w="68" w:type="dxa"/>
                  </w:tcMar>
                  <w:vAlign w:val="center"/>
                </w:tcPr>
                <w:p w14:paraId="3DF0410B">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6</w:t>
                  </w:r>
                </w:p>
              </w:tc>
              <w:tc>
                <w:tcPr>
                  <w:tcW w:w="278" w:type="pct"/>
                  <w:noWrap w:val="0"/>
                  <w:tcMar>
                    <w:left w:w="68" w:type="dxa"/>
                    <w:right w:w="68" w:type="dxa"/>
                  </w:tcMar>
                  <w:vAlign w:val="center"/>
                </w:tcPr>
                <w:p w14:paraId="507C6A53">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4</w:t>
                  </w:r>
                </w:p>
              </w:tc>
              <w:tc>
                <w:tcPr>
                  <w:tcW w:w="278" w:type="pct"/>
                  <w:noWrap w:val="0"/>
                  <w:tcMar>
                    <w:left w:w="68" w:type="dxa"/>
                    <w:right w:w="68" w:type="dxa"/>
                  </w:tcMar>
                  <w:vAlign w:val="center"/>
                </w:tcPr>
                <w:p w14:paraId="3CECA05F">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3</w:t>
                  </w:r>
                </w:p>
              </w:tc>
              <w:tc>
                <w:tcPr>
                  <w:tcW w:w="278" w:type="pct"/>
                  <w:noWrap w:val="0"/>
                  <w:tcMar>
                    <w:left w:w="68" w:type="dxa"/>
                    <w:right w:w="68" w:type="dxa"/>
                  </w:tcMar>
                  <w:vAlign w:val="center"/>
                </w:tcPr>
                <w:p w14:paraId="2D4AA36D">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2</w:t>
                  </w:r>
                </w:p>
              </w:tc>
              <w:tc>
                <w:tcPr>
                  <w:tcW w:w="279" w:type="pct"/>
                  <w:noWrap w:val="0"/>
                  <w:tcMar>
                    <w:left w:w="68" w:type="dxa"/>
                    <w:right w:w="68" w:type="dxa"/>
                  </w:tcMar>
                  <w:vAlign w:val="center"/>
                </w:tcPr>
                <w:p w14:paraId="5041F86D">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1</w:t>
                  </w:r>
                </w:p>
              </w:tc>
              <w:tc>
                <w:tcPr>
                  <w:tcW w:w="290" w:type="pct"/>
                  <w:noWrap w:val="0"/>
                  <w:tcMar>
                    <w:left w:w="68" w:type="dxa"/>
                    <w:right w:w="68" w:type="dxa"/>
                  </w:tcMar>
                  <w:vAlign w:val="center"/>
                </w:tcPr>
                <w:p w14:paraId="66FB3CA2">
                  <w:pPr>
                    <w:adjustRightInd w:val="0"/>
                    <w:snapToGrid w:val="0"/>
                    <w:jc w:val="center"/>
                    <w:rPr>
                      <w:b w:val="0"/>
                      <w:bCs w:val="0"/>
                      <w:color w:val="auto"/>
                      <w:sz w:val="21"/>
                      <w:szCs w:val="21"/>
                    </w:rPr>
                  </w:pPr>
                  <w:r>
                    <w:rPr>
                      <w:rFonts w:hint="eastAsia"/>
                      <w:b w:val="0"/>
                      <w:bCs w:val="0"/>
                      <w:color w:val="auto"/>
                      <w:sz w:val="21"/>
                      <w:szCs w:val="21"/>
                    </w:rPr>
                    <w:t>3</w:t>
                  </w:r>
                  <w:r>
                    <w:rPr>
                      <w:b w:val="0"/>
                      <w:bCs w:val="0"/>
                      <w:color w:val="auto"/>
                      <w:sz w:val="21"/>
                      <w:szCs w:val="21"/>
                    </w:rPr>
                    <w:t>0</w:t>
                  </w:r>
                </w:p>
              </w:tc>
              <w:tc>
                <w:tcPr>
                  <w:tcW w:w="290" w:type="pct"/>
                  <w:noWrap w:val="0"/>
                  <w:tcMar>
                    <w:left w:w="68" w:type="dxa"/>
                    <w:right w:w="68" w:type="dxa"/>
                  </w:tcMar>
                  <w:vAlign w:val="center"/>
                </w:tcPr>
                <w:p w14:paraId="205A98D6">
                  <w:pPr>
                    <w:adjustRightInd w:val="0"/>
                    <w:snapToGrid w:val="0"/>
                    <w:jc w:val="center"/>
                    <w:rPr>
                      <w:b w:val="0"/>
                      <w:bCs w:val="0"/>
                      <w:color w:val="auto"/>
                      <w:sz w:val="21"/>
                      <w:szCs w:val="21"/>
                    </w:rPr>
                  </w:pPr>
                  <w:r>
                    <w:rPr>
                      <w:rFonts w:hint="eastAsia"/>
                      <w:b w:val="0"/>
                      <w:bCs w:val="0"/>
                      <w:color w:val="auto"/>
                      <w:sz w:val="21"/>
                      <w:szCs w:val="21"/>
                    </w:rPr>
                    <w:t>2</w:t>
                  </w:r>
                  <w:r>
                    <w:rPr>
                      <w:b w:val="0"/>
                      <w:bCs w:val="0"/>
                      <w:color w:val="auto"/>
                      <w:sz w:val="21"/>
                      <w:szCs w:val="21"/>
                    </w:rPr>
                    <w:t>6</w:t>
                  </w:r>
                </w:p>
              </w:tc>
              <w:tc>
                <w:tcPr>
                  <w:tcW w:w="290" w:type="pct"/>
                  <w:noWrap w:val="0"/>
                  <w:tcMar>
                    <w:left w:w="68" w:type="dxa"/>
                    <w:right w:w="68" w:type="dxa"/>
                  </w:tcMar>
                  <w:vAlign w:val="center"/>
                </w:tcPr>
                <w:p w14:paraId="4EB57ADB">
                  <w:pPr>
                    <w:adjustRightInd w:val="0"/>
                    <w:snapToGrid w:val="0"/>
                    <w:jc w:val="center"/>
                    <w:rPr>
                      <w:b w:val="0"/>
                      <w:bCs w:val="0"/>
                      <w:color w:val="auto"/>
                      <w:sz w:val="21"/>
                      <w:szCs w:val="21"/>
                    </w:rPr>
                  </w:pPr>
                  <w:r>
                    <w:rPr>
                      <w:rFonts w:hint="eastAsia"/>
                      <w:b w:val="0"/>
                      <w:bCs w:val="0"/>
                      <w:color w:val="auto"/>
                      <w:sz w:val="21"/>
                      <w:szCs w:val="21"/>
                    </w:rPr>
                    <w:t>2</w:t>
                  </w:r>
                  <w:r>
                    <w:rPr>
                      <w:b w:val="0"/>
                      <w:bCs w:val="0"/>
                      <w:color w:val="auto"/>
                      <w:sz w:val="21"/>
                      <w:szCs w:val="21"/>
                    </w:rPr>
                    <w:t>4</w:t>
                  </w:r>
                </w:p>
              </w:tc>
              <w:tc>
                <w:tcPr>
                  <w:tcW w:w="290" w:type="pct"/>
                  <w:noWrap w:val="0"/>
                  <w:tcMar>
                    <w:left w:w="68" w:type="dxa"/>
                    <w:right w:w="68" w:type="dxa"/>
                  </w:tcMar>
                  <w:vAlign w:val="center"/>
                </w:tcPr>
                <w:p w14:paraId="1A54E316">
                  <w:pPr>
                    <w:widowControl/>
                    <w:jc w:val="center"/>
                    <w:rPr>
                      <w:b w:val="0"/>
                      <w:bCs w:val="0"/>
                      <w:color w:val="auto"/>
                      <w:sz w:val="21"/>
                      <w:szCs w:val="21"/>
                    </w:rPr>
                  </w:pPr>
                  <w:r>
                    <w:rPr>
                      <w:rFonts w:hint="eastAsia"/>
                      <w:b w:val="0"/>
                      <w:bCs w:val="0"/>
                      <w:color w:val="auto"/>
                      <w:sz w:val="21"/>
                      <w:szCs w:val="21"/>
                    </w:rPr>
                    <w:t>2</w:t>
                  </w:r>
                  <w:r>
                    <w:rPr>
                      <w:b w:val="0"/>
                      <w:bCs w:val="0"/>
                      <w:color w:val="auto"/>
                      <w:sz w:val="21"/>
                      <w:szCs w:val="21"/>
                    </w:rPr>
                    <w:t>0</w:t>
                  </w:r>
                </w:p>
              </w:tc>
              <w:tc>
                <w:tcPr>
                  <w:tcW w:w="290" w:type="pct"/>
                  <w:noWrap w:val="0"/>
                  <w:tcMar>
                    <w:left w:w="68" w:type="dxa"/>
                    <w:right w:w="68" w:type="dxa"/>
                  </w:tcMar>
                  <w:vAlign w:val="center"/>
                </w:tcPr>
                <w:p w14:paraId="0CB5E11F">
                  <w:pPr>
                    <w:widowControl/>
                    <w:jc w:val="center"/>
                    <w:rPr>
                      <w:b w:val="0"/>
                      <w:bCs w:val="0"/>
                      <w:color w:val="auto"/>
                      <w:sz w:val="21"/>
                      <w:szCs w:val="21"/>
                    </w:rPr>
                  </w:pPr>
                  <w:r>
                    <w:rPr>
                      <w:rFonts w:hint="eastAsia"/>
                      <w:b w:val="0"/>
                      <w:bCs w:val="0"/>
                      <w:color w:val="auto"/>
                      <w:sz w:val="21"/>
                      <w:szCs w:val="21"/>
                    </w:rPr>
                    <w:t>1</w:t>
                  </w:r>
                  <w:r>
                    <w:rPr>
                      <w:b w:val="0"/>
                      <w:bCs w:val="0"/>
                      <w:color w:val="auto"/>
                      <w:sz w:val="21"/>
                      <w:szCs w:val="21"/>
                    </w:rPr>
                    <w:t>6</w:t>
                  </w:r>
                </w:p>
              </w:tc>
            </w:tr>
            <w:tr w14:paraId="2253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79C3F0D3">
                  <w:pPr>
                    <w:adjustRightInd w:val="0"/>
                    <w:snapToGrid w:val="0"/>
                    <w:jc w:val="center"/>
                    <w:rPr>
                      <w:b w:val="0"/>
                      <w:bCs w:val="0"/>
                      <w:color w:val="auto"/>
                      <w:sz w:val="21"/>
                      <w:szCs w:val="21"/>
                    </w:rPr>
                  </w:pPr>
                  <w:r>
                    <w:rPr>
                      <w:b w:val="0"/>
                      <w:bCs w:val="0"/>
                      <w:color w:val="auto"/>
                      <w:sz w:val="21"/>
                      <w:szCs w:val="21"/>
                    </w:rPr>
                    <w:t>电焊机</w:t>
                  </w:r>
                </w:p>
              </w:tc>
              <w:tc>
                <w:tcPr>
                  <w:tcW w:w="278" w:type="pct"/>
                  <w:noWrap w:val="0"/>
                  <w:tcMar>
                    <w:left w:w="68" w:type="dxa"/>
                    <w:right w:w="68" w:type="dxa"/>
                  </w:tcMar>
                  <w:vAlign w:val="center"/>
                </w:tcPr>
                <w:p w14:paraId="62E091B4">
                  <w:pPr>
                    <w:adjustRightInd w:val="0"/>
                    <w:snapToGrid w:val="0"/>
                    <w:jc w:val="center"/>
                    <w:rPr>
                      <w:b w:val="0"/>
                      <w:bCs w:val="0"/>
                      <w:color w:val="auto"/>
                      <w:sz w:val="21"/>
                      <w:szCs w:val="21"/>
                    </w:rPr>
                  </w:pPr>
                  <w:r>
                    <w:rPr>
                      <w:rFonts w:hint="eastAsia"/>
                      <w:b w:val="0"/>
                      <w:bCs w:val="0"/>
                      <w:color w:val="auto"/>
                      <w:sz w:val="21"/>
                      <w:szCs w:val="21"/>
                    </w:rPr>
                    <w:t>81</w:t>
                  </w:r>
                </w:p>
              </w:tc>
              <w:tc>
                <w:tcPr>
                  <w:tcW w:w="278" w:type="pct"/>
                  <w:noWrap w:val="0"/>
                  <w:tcMar>
                    <w:left w:w="68" w:type="dxa"/>
                    <w:right w:w="68" w:type="dxa"/>
                  </w:tcMar>
                  <w:vAlign w:val="center"/>
                </w:tcPr>
                <w:p w14:paraId="3CF5BF05">
                  <w:pPr>
                    <w:adjustRightInd w:val="0"/>
                    <w:snapToGrid w:val="0"/>
                    <w:jc w:val="center"/>
                    <w:rPr>
                      <w:b w:val="0"/>
                      <w:bCs w:val="0"/>
                      <w:color w:val="auto"/>
                      <w:sz w:val="21"/>
                      <w:szCs w:val="21"/>
                    </w:rPr>
                  </w:pPr>
                  <w:r>
                    <w:rPr>
                      <w:rFonts w:hint="eastAsia"/>
                      <w:b w:val="0"/>
                      <w:bCs w:val="0"/>
                      <w:color w:val="auto"/>
                      <w:sz w:val="21"/>
                      <w:szCs w:val="21"/>
                    </w:rPr>
                    <w:t>75</w:t>
                  </w:r>
                </w:p>
              </w:tc>
              <w:tc>
                <w:tcPr>
                  <w:tcW w:w="278" w:type="pct"/>
                  <w:noWrap w:val="0"/>
                  <w:tcMar>
                    <w:left w:w="68" w:type="dxa"/>
                    <w:right w:w="68" w:type="dxa"/>
                  </w:tcMar>
                  <w:vAlign w:val="center"/>
                </w:tcPr>
                <w:p w14:paraId="5C50A403">
                  <w:pPr>
                    <w:adjustRightInd w:val="0"/>
                    <w:snapToGrid w:val="0"/>
                    <w:jc w:val="center"/>
                    <w:rPr>
                      <w:b w:val="0"/>
                      <w:bCs w:val="0"/>
                      <w:color w:val="auto"/>
                      <w:sz w:val="21"/>
                      <w:szCs w:val="21"/>
                    </w:rPr>
                  </w:pPr>
                  <w:r>
                    <w:rPr>
                      <w:rFonts w:hint="eastAsia"/>
                      <w:b w:val="0"/>
                      <w:bCs w:val="0"/>
                      <w:color w:val="auto"/>
                      <w:sz w:val="21"/>
                      <w:szCs w:val="21"/>
                    </w:rPr>
                    <w:t>69</w:t>
                  </w:r>
                </w:p>
              </w:tc>
              <w:tc>
                <w:tcPr>
                  <w:tcW w:w="278" w:type="pct"/>
                  <w:noWrap w:val="0"/>
                  <w:tcMar>
                    <w:left w:w="68" w:type="dxa"/>
                    <w:right w:w="68" w:type="dxa"/>
                  </w:tcMar>
                  <w:vAlign w:val="center"/>
                </w:tcPr>
                <w:p w14:paraId="2FD2F118">
                  <w:pPr>
                    <w:adjustRightInd w:val="0"/>
                    <w:snapToGrid w:val="0"/>
                    <w:jc w:val="center"/>
                    <w:rPr>
                      <w:b w:val="0"/>
                      <w:bCs w:val="0"/>
                      <w:color w:val="auto"/>
                      <w:sz w:val="21"/>
                      <w:szCs w:val="21"/>
                    </w:rPr>
                  </w:pPr>
                  <w:r>
                    <w:rPr>
                      <w:rFonts w:hint="eastAsia"/>
                      <w:b w:val="0"/>
                      <w:bCs w:val="0"/>
                      <w:color w:val="auto"/>
                      <w:sz w:val="21"/>
                      <w:szCs w:val="21"/>
                    </w:rPr>
                    <w:t>65</w:t>
                  </w:r>
                </w:p>
              </w:tc>
              <w:tc>
                <w:tcPr>
                  <w:tcW w:w="278" w:type="pct"/>
                  <w:noWrap w:val="0"/>
                  <w:tcMar>
                    <w:left w:w="68" w:type="dxa"/>
                    <w:right w:w="68" w:type="dxa"/>
                  </w:tcMar>
                  <w:vAlign w:val="center"/>
                </w:tcPr>
                <w:p w14:paraId="65448228">
                  <w:pPr>
                    <w:adjustRightInd w:val="0"/>
                    <w:snapToGrid w:val="0"/>
                    <w:jc w:val="center"/>
                    <w:rPr>
                      <w:b w:val="0"/>
                      <w:bCs w:val="0"/>
                      <w:color w:val="auto"/>
                      <w:sz w:val="21"/>
                      <w:szCs w:val="21"/>
                    </w:rPr>
                  </w:pPr>
                  <w:r>
                    <w:rPr>
                      <w:rFonts w:hint="eastAsia"/>
                      <w:b w:val="0"/>
                      <w:bCs w:val="0"/>
                      <w:color w:val="auto"/>
                      <w:sz w:val="21"/>
                      <w:szCs w:val="21"/>
                    </w:rPr>
                    <w:t>63</w:t>
                  </w:r>
                </w:p>
              </w:tc>
              <w:tc>
                <w:tcPr>
                  <w:tcW w:w="278" w:type="pct"/>
                  <w:noWrap w:val="0"/>
                  <w:tcMar>
                    <w:left w:w="68" w:type="dxa"/>
                    <w:right w:w="68" w:type="dxa"/>
                  </w:tcMar>
                  <w:vAlign w:val="center"/>
                </w:tcPr>
                <w:p w14:paraId="34A2775A">
                  <w:pPr>
                    <w:adjustRightInd w:val="0"/>
                    <w:snapToGrid w:val="0"/>
                    <w:jc w:val="center"/>
                    <w:rPr>
                      <w:b w:val="0"/>
                      <w:bCs w:val="0"/>
                      <w:color w:val="auto"/>
                      <w:sz w:val="21"/>
                      <w:szCs w:val="21"/>
                    </w:rPr>
                  </w:pPr>
                  <w:r>
                    <w:rPr>
                      <w:rFonts w:hint="eastAsia"/>
                      <w:b w:val="0"/>
                      <w:bCs w:val="0"/>
                      <w:color w:val="auto"/>
                      <w:sz w:val="21"/>
                      <w:szCs w:val="21"/>
                    </w:rPr>
                    <w:t>61</w:t>
                  </w:r>
                </w:p>
              </w:tc>
              <w:tc>
                <w:tcPr>
                  <w:tcW w:w="278" w:type="pct"/>
                  <w:noWrap w:val="0"/>
                  <w:tcMar>
                    <w:left w:w="68" w:type="dxa"/>
                    <w:right w:w="68" w:type="dxa"/>
                  </w:tcMar>
                  <w:vAlign w:val="center"/>
                </w:tcPr>
                <w:p w14:paraId="6768AAD2">
                  <w:pPr>
                    <w:adjustRightInd w:val="0"/>
                    <w:snapToGrid w:val="0"/>
                    <w:jc w:val="center"/>
                    <w:rPr>
                      <w:b w:val="0"/>
                      <w:bCs w:val="0"/>
                      <w:color w:val="auto"/>
                      <w:sz w:val="21"/>
                      <w:szCs w:val="21"/>
                    </w:rPr>
                  </w:pPr>
                  <w:r>
                    <w:rPr>
                      <w:rFonts w:hint="eastAsia"/>
                      <w:b w:val="0"/>
                      <w:bCs w:val="0"/>
                      <w:color w:val="auto"/>
                      <w:sz w:val="21"/>
                      <w:szCs w:val="21"/>
                    </w:rPr>
                    <w:t>59</w:t>
                  </w:r>
                </w:p>
              </w:tc>
              <w:tc>
                <w:tcPr>
                  <w:tcW w:w="278" w:type="pct"/>
                  <w:noWrap w:val="0"/>
                  <w:tcMar>
                    <w:left w:w="68" w:type="dxa"/>
                    <w:right w:w="68" w:type="dxa"/>
                  </w:tcMar>
                  <w:vAlign w:val="center"/>
                </w:tcPr>
                <w:p w14:paraId="3F93E1CF">
                  <w:pPr>
                    <w:adjustRightInd w:val="0"/>
                    <w:snapToGrid w:val="0"/>
                    <w:jc w:val="center"/>
                    <w:rPr>
                      <w:b w:val="0"/>
                      <w:bCs w:val="0"/>
                      <w:color w:val="auto"/>
                      <w:sz w:val="21"/>
                      <w:szCs w:val="21"/>
                    </w:rPr>
                  </w:pPr>
                  <w:r>
                    <w:rPr>
                      <w:rFonts w:hint="eastAsia"/>
                      <w:b w:val="0"/>
                      <w:bCs w:val="0"/>
                      <w:color w:val="auto"/>
                      <w:sz w:val="21"/>
                      <w:szCs w:val="21"/>
                    </w:rPr>
                    <w:t>58</w:t>
                  </w:r>
                </w:p>
              </w:tc>
              <w:tc>
                <w:tcPr>
                  <w:tcW w:w="278" w:type="pct"/>
                  <w:noWrap w:val="0"/>
                  <w:tcMar>
                    <w:left w:w="68" w:type="dxa"/>
                    <w:right w:w="68" w:type="dxa"/>
                  </w:tcMar>
                  <w:vAlign w:val="center"/>
                </w:tcPr>
                <w:p w14:paraId="08B5BE62">
                  <w:pPr>
                    <w:adjustRightInd w:val="0"/>
                    <w:snapToGrid w:val="0"/>
                    <w:jc w:val="center"/>
                    <w:rPr>
                      <w:b w:val="0"/>
                      <w:bCs w:val="0"/>
                      <w:color w:val="auto"/>
                      <w:sz w:val="21"/>
                      <w:szCs w:val="21"/>
                    </w:rPr>
                  </w:pPr>
                  <w:r>
                    <w:rPr>
                      <w:rFonts w:hint="eastAsia"/>
                      <w:b w:val="0"/>
                      <w:bCs w:val="0"/>
                      <w:color w:val="auto"/>
                      <w:sz w:val="21"/>
                      <w:szCs w:val="21"/>
                    </w:rPr>
                    <w:t>57</w:t>
                  </w:r>
                </w:p>
              </w:tc>
              <w:tc>
                <w:tcPr>
                  <w:tcW w:w="279" w:type="pct"/>
                  <w:noWrap w:val="0"/>
                  <w:tcMar>
                    <w:left w:w="68" w:type="dxa"/>
                    <w:right w:w="68" w:type="dxa"/>
                  </w:tcMar>
                  <w:vAlign w:val="center"/>
                </w:tcPr>
                <w:p w14:paraId="7B64AF71">
                  <w:pPr>
                    <w:adjustRightInd w:val="0"/>
                    <w:snapToGrid w:val="0"/>
                    <w:jc w:val="center"/>
                    <w:rPr>
                      <w:b w:val="0"/>
                      <w:bCs w:val="0"/>
                      <w:color w:val="auto"/>
                      <w:sz w:val="21"/>
                      <w:szCs w:val="21"/>
                    </w:rPr>
                  </w:pPr>
                  <w:r>
                    <w:rPr>
                      <w:rFonts w:hint="eastAsia"/>
                      <w:b w:val="0"/>
                      <w:bCs w:val="0"/>
                      <w:color w:val="auto"/>
                      <w:sz w:val="21"/>
                      <w:szCs w:val="21"/>
                    </w:rPr>
                    <w:t>56</w:t>
                  </w:r>
                </w:p>
              </w:tc>
              <w:tc>
                <w:tcPr>
                  <w:tcW w:w="290" w:type="pct"/>
                  <w:noWrap w:val="0"/>
                  <w:tcMar>
                    <w:left w:w="68" w:type="dxa"/>
                    <w:right w:w="68" w:type="dxa"/>
                  </w:tcMar>
                  <w:vAlign w:val="center"/>
                </w:tcPr>
                <w:p w14:paraId="55EB0C3C">
                  <w:pPr>
                    <w:adjustRightInd w:val="0"/>
                    <w:snapToGrid w:val="0"/>
                    <w:jc w:val="center"/>
                    <w:rPr>
                      <w:b w:val="0"/>
                      <w:bCs w:val="0"/>
                      <w:color w:val="auto"/>
                      <w:sz w:val="21"/>
                      <w:szCs w:val="21"/>
                    </w:rPr>
                  </w:pPr>
                  <w:r>
                    <w:rPr>
                      <w:rFonts w:hint="eastAsia"/>
                      <w:b w:val="0"/>
                      <w:bCs w:val="0"/>
                      <w:color w:val="auto"/>
                      <w:sz w:val="21"/>
                      <w:szCs w:val="21"/>
                    </w:rPr>
                    <w:t>55</w:t>
                  </w:r>
                </w:p>
              </w:tc>
              <w:tc>
                <w:tcPr>
                  <w:tcW w:w="290" w:type="pct"/>
                  <w:noWrap w:val="0"/>
                  <w:tcMar>
                    <w:left w:w="68" w:type="dxa"/>
                    <w:right w:w="68" w:type="dxa"/>
                  </w:tcMar>
                  <w:vAlign w:val="center"/>
                </w:tcPr>
                <w:p w14:paraId="4140E064">
                  <w:pPr>
                    <w:adjustRightInd w:val="0"/>
                    <w:snapToGrid w:val="0"/>
                    <w:jc w:val="center"/>
                    <w:rPr>
                      <w:b w:val="0"/>
                      <w:bCs w:val="0"/>
                      <w:color w:val="auto"/>
                      <w:sz w:val="21"/>
                      <w:szCs w:val="21"/>
                    </w:rPr>
                  </w:pPr>
                  <w:r>
                    <w:rPr>
                      <w:rFonts w:hint="eastAsia"/>
                      <w:b w:val="0"/>
                      <w:bCs w:val="0"/>
                      <w:color w:val="auto"/>
                      <w:sz w:val="21"/>
                      <w:szCs w:val="21"/>
                    </w:rPr>
                    <w:t>51</w:t>
                  </w:r>
                </w:p>
              </w:tc>
              <w:tc>
                <w:tcPr>
                  <w:tcW w:w="290" w:type="pct"/>
                  <w:noWrap w:val="0"/>
                  <w:tcMar>
                    <w:left w:w="68" w:type="dxa"/>
                    <w:right w:w="68" w:type="dxa"/>
                  </w:tcMar>
                  <w:vAlign w:val="center"/>
                </w:tcPr>
                <w:p w14:paraId="19F283C2">
                  <w:pPr>
                    <w:adjustRightInd w:val="0"/>
                    <w:snapToGrid w:val="0"/>
                    <w:jc w:val="center"/>
                    <w:rPr>
                      <w:b w:val="0"/>
                      <w:bCs w:val="0"/>
                      <w:color w:val="auto"/>
                      <w:sz w:val="21"/>
                      <w:szCs w:val="21"/>
                    </w:rPr>
                  </w:pPr>
                  <w:r>
                    <w:rPr>
                      <w:rFonts w:hint="eastAsia"/>
                      <w:b w:val="0"/>
                      <w:bCs w:val="0"/>
                      <w:color w:val="auto"/>
                      <w:sz w:val="21"/>
                      <w:szCs w:val="21"/>
                    </w:rPr>
                    <w:t>49</w:t>
                  </w:r>
                </w:p>
              </w:tc>
              <w:tc>
                <w:tcPr>
                  <w:tcW w:w="290" w:type="pct"/>
                  <w:noWrap w:val="0"/>
                  <w:tcMar>
                    <w:left w:w="68" w:type="dxa"/>
                    <w:right w:w="68" w:type="dxa"/>
                  </w:tcMar>
                  <w:vAlign w:val="center"/>
                </w:tcPr>
                <w:p w14:paraId="08F55A4C">
                  <w:pPr>
                    <w:widowControl/>
                    <w:jc w:val="center"/>
                    <w:rPr>
                      <w:b w:val="0"/>
                      <w:bCs w:val="0"/>
                      <w:color w:val="auto"/>
                      <w:sz w:val="21"/>
                      <w:szCs w:val="21"/>
                    </w:rPr>
                  </w:pPr>
                  <w:r>
                    <w:rPr>
                      <w:rFonts w:hint="eastAsia"/>
                      <w:b w:val="0"/>
                      <w:bCs w:val="0"/>
                      <w:color w:val="auto"/>
                      <w:sz w:val="21"/>
                      <w:szCs w:val="21"/>
                    </w:rPr>
                    <w:t>45</w:t>
                  </w:r>
                </w:p>
              </w:tc>
              <w:tc>
                <w:tcPr>
                  <w:tcW w:w="290" w:type="pct"/>
                  <w:noWrap w:val="0"/>
                  <w:tcMar>
                    <w:left w:w="68" w:type="dxa"/>
                    <w:right w:w="68" w:type="dxa"/>
                  </w:tcMar>
                  <w:vAlign w:val="center"/>
                </w:tcPr>
                <w:p w14:paraId="7B4CC5C8">
                  <w:pPr>
                    <w:widowControl/>
                    <w:jc w:val="center"/>
                    <w:rPr>
                      <w:b w:val="0"/>
                      <w:bCs w:val="0"/>
                      <w:color w:val="auto"/>
                      <w:sz w:val="21"/>
                      <w:szCs w:val="21"/>
                    </w:rPr>
                  </w:pPr>
                  <w:r>
                    <w:rPr>
                      <w:rFonts w:hint="eastAsia"/>
                      <w:b w:val="0"/>
                      <w:bCs w:val="0"/>
                      <w:color w:val="auto"/>
                      <w:sz w:val="21"/>
                      <w:szCs w:val="21"/>
                    </w:rPr>
                    <w:t>41</w:t>
                  </w:r>
                </w:p>
              </w:tc>
            </w:tr>
            <w:tr w14:paraId="0262B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2D232A21">
                  <w:pPr>
                    <w:adjustRightInd w:val="0"/>
                    <w:snapToGrid w:val="0"/>
                    <w:jc w:val="center"/>
                    <w:rPr>
                      <w:b w:val="0"/>
                      <w:bCs w:val="0"/>
                      <w:color w:val="auto"/>
                      <w:sz w:val="21"/>
                      <w:szCs w:val="21"/>
                    </w:rPr>
                  </w:pPr>
                  <w:r>
                    <w:rPr>
                      <w:b w:val="0"/>
                      <w:bCs w:val="0"/>
                      <w:color w:val="auto"/>
                      <w:sz w:val="21"/>
                      <w:szCs w:val="21"/>
                    </w:rPr>
                    <w:t>角磨机</w:t>
                  </w:r>
                </w:p>
              </w:tc>
              <w:tc>
                <w:tcPr>
                  <w:tcW w:w="278" w:type="pct"/>
                  <w:noWrap w:val="0"/>
                  <w:tcMar>
                    <w:left w:w="68" w:type="dxa"/>
                    <w:right w:w="68" w:type="dxa"/>
                  </w:tcMar>
                  <w:vAlign w:val="center"/>
                </w:tcPr>
                <w:p w14:paraId="2FB2ECBA">
                  <w:pPr>
                    <w:adjustRightInd w:val="0"/>
                    <w:snapToGrid w:val="0"/>
                    <w:jc w:val="center"/>
                    <w:rPr>
                      <w:b w:val="0"/>
                      <w:bCs w:val="0"/>
                      <w:color w:val="auto"/>
                      <w:sz w:val="21"/>
                      <w:szCs w:val="21"/>
                    </w:rPr>
                  </w:pPr>
                  <w:r>
                    <w:rPr>
                      <w:rFonts w:hint="eastAsia"/>
                      <w:b w:val="0"/>
                      <w:bCs w:val="0"/>
                      <w:color w:val="auto"/>
                      <w:sz w:val="21"/>
                      <w:szCs w:val="21"/>
                    </w:rPr>
                    <w:t>82</w:t>
                  </w:r>
                </w:p>
              </w:tc>
              <w:tc>
                <w:tcPr>
                  <w:tcW w:w="278" w:type="pct"/>
                  <w:noWrap w:val="0"/>
                  <w:tcMar>
                    <w:left w:w="68" w:type="dxa"/>
                    <w:right w:w="68" w:type="dxa"/>
                  </w:tcMar>
                  <w:vAlign w:val="center"/>
                </w:tcPr>
                <w:p w14:paraId="443E2A92">
                  <w:pPr>
                    <w:adjustRightInd w:val="0"/>
                    <w:snapToGrid w:val="0"/>
                    <w:jc w:val="center"/>
                    <w:rPr>
                      <w:b w:val="0"/>
                      <w:bCs w:val="0"/>
                      <w:color w:val="auto"/>
                      <w:sz w:val="21"/>
                      <w:szCs w:val="21"/>
                    </w:rPr>
                  </w:pPr>
                  <w:r>
                    <w:rPr>
                      <w:rFonts w:hint="eastAsia"/>
                      <w:b w:val="0"/>
                      <w:bCs w:val="0"/>
                      <w:color w:val="auto"/>
                      <w:sz w:val="21"/>
                      <w:szCs w:val="21"/>
                    </w:rPr>
                    <w:t>76</w:t>
                  </w:r>
                </w:p>
              </w:tc>
              <w:tc>
                <w:tcPr>
                  <w:tcW w:w="278" w:type="pct"/>
                  <w:noWrap w:val="0"/>
                  <w:tcMar>
                    <w:left w:w="68" w:type="dxa"/>
                    <w:right w:w="68" w:type="dxa"/>
                  </w:tcMar>
                  <w:vAlign w:val="center"/>
                </w:tcPr>
                <w:p w14:paraId="7C940B08">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7D64DE21">
                  <w:pPr>
                    <w:adjustRightInd w:val="0"/>
                    <w:snapToGrid w:val="0"/>
                    <w:jc w:val="center"/>
                    <w:rPr>
                      <w:b w:val="0"/>
                      <w:bCs w:val="0"/>
                      <w:color w:val="auto"/>
                      <w:sz w:val="21"/>
                      <w:szCs w:val="21"/>
                    </w:rPr>
                  </w:pPr>
                  <w:r>
                    <w:rPr>
                      <w:rFonts w:hint="eastAsia"/>
                      <w:b w:val="0"/>
                      <w:bCs w:val="0"/>
                      <w:color w:val="auto"/>
                      <w:sz w:val="21"/>
                      <w:szCs w:val="21"/>
                    </w:rPr>
                    <w:t>66</w:t>
                  </w:r>
                </w:p>
              </w:tc>
              <w:tc>
                <w:tcPr>
                  <w:tcW w:w="278" w:type="pct"/>
                  <w:noWrap w:val="0"/>
                  <w:tcMar>
                    <w:left w:w="68" w:type="dxa"/>
                    <w:right w:w="68" w:type="dxa"/>
                  </w:tcMar>
                  <w:vAlign w:val="center"/>
                </w:tcPr>
                <w:p w14:paraId="7DEA027C">
                  <w:pPr>
                    <w:adjustRightInd w:val="0"/>
                    <w:snapToGrid w:val="0"/>
                    <w:jc w:val="center"/>
                    <w:rPr>
                      <w:b w:val="0"/>
                      <w:bCs w:val="0"/>
                      <w:color w:val="auto"/>
                      <w:sz w:val="21"/>
                      <w:szCs w:val="21"/>
                    </w:rPr>
                  </w:pPr>
                  <w:r>
                    <w:rPr>
                      <w:rFonts w:hint="eastAsia"/>
                      <w:b w:val="0"/>
                      <w:bCs w:val="0"/>
                      <w:color w:val="auto"/>
                      <w:sz w:val="21"/>
                      <w:szCs w:val="21"/>
                    </w:rPr>
                    <w:t>64</w:t>
                  </w:r>
                </w:p>
              </w:tc>
              <w:tc>
                <w:tcPr>
                  <w:tcW w:w="278" w:type="pct"/>
                  <w:noWrap w:val="0"/>
                  <w:tcMar>
                    <w:left w:w="68" w:type="dxa"/>
                    <w:right w:w="68" w:type="dxa"/>
                  </w:tcMar>
                  <w:vAlign w:val="center"/>
                </w:tcPr>
                <w:p w14:paraId="2D7AD475">
                  <w:pPr>
                    <w:adjustRightInd w:val="0"/>
                    <w:snapToGrid w:val="0"/>
                    <w:jc w:val="center"/>
                    <w:rPr>
                      <w:b w:val="0"/>
                      <w:bCs w:val="0"/>
                      <w:color w:val="auto"/>
                      <w:sz w:val="21"/>
                      <w:szCs w:val="21"/>
                    </w:rPr>
                  </w:pPr>
                  <w:r>
                    <w:rPr>
                      <w:rFonts w:hint="eastAsia"/>
                      <w:b w:val="0"/>
                      <w:bCs w:val="0"/>
                      <w:color w:val="auto"/>
                      <w:sz w:val="21"/>
                      <w:szCs w:val="21"/>
                    </w:rPr>
                    <w:t>62</w:t>
                  </w:r>
                </w:p>
              </w:tc>
              <w:tc>
                <w:tcPr>
                  <w:tcW w:w="278" w:type="pct"/>
                  <w:noWrap w:val="0"/>
                  <w:tcMar>
                    <w:left w:w="68" w:type="dxa"/>
                    <w:right w:w="68" w:type="dxa"/>
                  </w:tcMar>
                  <w:vAlign w:val="center"/>
                </w:tcPr>
                <w:p w14:paraId="1A8D523F">
                  <w:pPr>
                    <w:adjustRightInd w:val="0"/>
                    <w:snapToGrid w:val="0"/>
                    <w:jc w:val="center"/>
                    <w:rPr>
                      <w:b w:val="0"/>
                      <w:bCs w:val="0"/>
                      <w:color w:val="auto"/>
                      <w:sz w:val="21"/>
                      <w:szCs w:val="21"/>
                    </w:rPr>
                  </w:pPr>
                  <w:r>
                    <w:rPr>
                      <w:rFonts w:hint="eastAsia"/>
                      <w:b w:val="0"/>
                      <w:bCs w:val="0"/>
                      <w:color w:val="auto"/>
                      <w:sz w:val="21"/>
                      <w:szCs w:val="21"/>
                    </w:rPr>
                    <w:t>60</w:t>
                  </w:r>
                </w:p>
              </w:tc>
              <w:tc>
                <w:tcPr>
                  <w:tcW w:w="278" w:type="pct"/>
                  <w:noWrap w:val="0"/>
                  <w:tcMar>
                    <w:left w:w="68" w:type="dxa"/>
                    <w:right w:w="68" w:type="dxa"/>
                  </w:tcMar>
                  <w:vAlign w:val="center"/>
                </w:tcPr>
                <w:p w14:paraId="0762EB0F">
                  <w:pPr>
                    <w:adjustRightInd w:val="0"/>
                    <w:snapToGrid w:val="0"/>
                    <w:jc w:val="center"/>
                    <w:rPr>
                      <w:b w:val="0"/>
                      <w:bCs w:val="0"/>
                      <w:color w:val="auto"/>
                      <w:sz w:val="21"/>
                      <w:szCs w:val="21"/>
                    </w:rPr>
                  </w:pPr>
                  <w:r>
                    <w:rPr>
                      <w:rFonts w:hint="eastAsia"/>
                      <w:b w:val="0"/>
                      <w:bCs w:val="0"/>
                      <w:color w:val="auto"/>
                      <w:sz w:val="21"/>
                      <w:szCs w:val="21"/>
                    </w:rPr>
                    <w:t>59</w:t>
                  </w:r>
                </w:p>
              </w:tc>
              <w:tc>
                <w:tcPr>
                  <w:tcW w:w="278" w:type="pct"/>
                  <w:noWrap w:val="0"/>
                  <w:tcMar>
                    <w:left w:w="68" w:type="dxa"/>
                    <w:right w:w="68" w:type="dxa"/>
                  </w:tcMar>
                  <w:vAlign w:val="center"/>
                </w:tcPr>
                <w:p w14:paraId="47822723">
                  <w:pPr>
                    <w:adjustRightInd w:val="0"/>
                    <w:snapToGrid w:val="0"/>
                    <w:jc w:val="center"/>
                    <w:rPr>
                      <w:b w:val="0"/>
                      <w:bCs w:val="0"/>
                      <w:color w:val="auto"/>
                      <w:sz w:val="21"/>
                      <w:szCs w:val="21"/>
                    </w:rPr>
                  </w:pPr>
                  <w:r>
                    <w:rPr>
                      <w:rFonts w:hint="eastAsia"/>
                      <w:b w:val="0"/>
                      <w:bCs w:val="0"/>
                      <w:color w:val="auto"/>
                      <w:sz w:val="21"/>
                      <w:szCs w:val="21"/>
                    </w:rPr>
                    <w:t>58</w:t>
                  </w:r>
                </w:p>
              </w:tc>
              <w:tc>
                <w:tcPr>
                  <w:tcW w:w="279" w:type="pct"/>
                  <w:noWrap w:val="0"/>
                  <w:tcMar>
                    <w:left w:w="68" w:type="dxa"/>
                    <w:right w:w="68" w:type="dxa"/>
                  </w:tcMar>
                  <w:vAlign w:val="center"/>
                </w:tcPr>
                <w:p w14:paraId="03E32596">
                  <w:pPr>
                    <w:adjustRightInd w:val="0"/>
                    <w:snapToGrid w:val="0"/>
                    <w:jc w:val="center"/>
                    <w:rPr>
                      <w:b w:val="0"/>
                      <w:bCs w:val="0"/>
                      <w:color w:val="auto"/>
                      <w:sz w:val="21"/>
                      <w:szCs w:val="21"/>
                    </w:rPr>
                  </w:pPr>
                  <w:r>
                    <w:rPr>
                      <w:rFonts w:hint="eastAsia"/>
                      <w:b w:val="0"/>
                      <w:bCs w:val="0"/>
                      <w:color w:val="auto"/>
                      <w:sz w:val="21"/>
                      <w:szCs w:val="21"/>
                    </w:rPr>
                    <w:t>57</w:t>
                  </w:r>
                </w:p>
              </w:tc>
              <w:tc>
                <w:tcPr>
                  <w:tcW w:w="290" w:type="pct"/>
                  <w:noWrap w:val="0"/>
                  <w:tcMar>
                    <w:left w:w="68" w:type="dxa"/>
                    <w:right w:w="68" w:type="dxa"/>
                  </w:tcMar>
                  <w:vAlign w:val="center"/>
                </w:tcPr>
                <w:p w14:paraId="40A72B59">
                  <w:pPr>
                    <w:adjustRightInd w:val="0"/>
                    <w:snapToGrid w:val="0"/>
                    <w:jc w:val="center"/>
                    <w:rPr>
                      <w:b w:val="0"/>
                      <w:bCs w:val="0"/>
                      <w:color w:val="auto"/>
                      <w:sz w:val="21"/>
                      <w:szCs w:val="21"/>
                    </w:rPr>
                  </w:pPr>
                  <w:r>
                    <w:rPr>
                      <w:rFonts w:hint="eastAsia"/>
                      <w:b w:val="0"/>
                      <w:bCs w:val="0"/>
                      <w:color w:val="auto"/>
                      <w:sz w:val="21"/>
                      <w:szCs w:val="21"/>
                    </w:rPr>
                    <w:t>56</w:t>
                  </w:r>
                </w:p>
              </w:tc>
              <w:tc>
                <w:tcPr>
                  <w:tcW w:w="290" w:type="pct"/>
                  <w:noWrap w:val="0"/>
                  <w:tcMar>
                    <w:left w:w="68" w:type="dxa"/>
                    <w:right w:w="68" w:type="dxa"/>
                  </w:tcMar>
                  <w:vAlign w:val="center"/>
                </w:tcPr>
                <w:p w14:paraId="50A9A99F">
                  <w:pPr>
                    <w:adjustRightInd w:val="0"/>
                    <w:snapToGrid w:val="0"/>
                    <w:jc w:val="center"/>
                    <w:rPr>
                      <w:b w:val="0"/>
                      <w:bCs w:val="0"/>
                      <w:color w:val="auto"/>
                      <w:sz w:val="21"/>
                      <w:szCs w:val="21"/>
                    </w:rPr>
                  </w:pPr>
                  <w:r>
                    <w:rPr>
                      <w:rFonts w:hint="eastAsia"/>
                      <w:b w:val="0"/>
                      <w:bCs w:val="0"/>
                      <w:color w:val="auto"/>
                      <w:sz w:val="21"/>
                      <w:szCs w:val="21"/>
                    </w:rPr>
                    <w:t>52</w:t>
                  </w:r>
                </w:p>
              </w:tc>
              <w:tc>
                <w:tcPr>
                  <w:tcW w:w="290" w:type="pct"/>
                  <w:noWrap w:val="0"/>
                  <w:tcMar>
                    <w:left w:w="68" w:type="dxa"/>
                    <w:right w:w="68" w:type="dxa"/>
                  </w:tcMar>
                  <w:vAlign w:val="center"/>
                </w:tcPr>
                <w:p w14:paraId="53DCB685">
                  <w:pPr>
                    <w:adjustRightInd w:val="0"/>
                    <w:snapToGrid w:val="0"/>
                    <w:jc w:val="center"/>
                    <w:rPr>
                      <w:b w:val="0"/>
                      <w:bCs w:val="0"/>
                      <w:color w:val="auto"/>
                      <w:sz w:val="21"/>
                      <w:szCs w:val="21"/>
                    </w:rPr>
                  </w:pPr>
                  <w:r>
                    <w:rPr>
                      <w:rFonts w:hint="eastAsia"/>
                      <w:b w:val="0"/>
                      <w:bCs w:val="0"/>
                      <w:color w:val="auto"/>
                      <w:sz w:val="21"/>
                      <w:szCs w:val="21"/>
                    </w:rPr>
                    <w:t>50</w:t>
                  </w:r>
                </w:p>
              </w:tc>
              <w:tc>
                <w:tcPr>
                  <w:tcW w:w="290" w:type="pct"/>
                  <w:noWrap w:val="0"/>
                  <w:tcMar>
                    <w:left w:w="68" w:type="dxa"/>
                    <w:right w:w="68" w:type="dxa"/>
                  </w:tcMar>
                  <w:vAlign w:val="center"/>
                </w:tcPr>
                <w:p w14:paraId="459DB9A2">
                  <w:pPr>
                    <w:widowControl/>
                    <w:jc w:val="center"/>
                    <w:rPr>
                      <w:b w:val="0"/>
                      <w:bCs w:val="0"/>
                      <w:color w:val="auto"/>
                      <w:sz w:val="21"/>
                      <w:szCs w:val="21"/>
                    </w:rPr>
                  </w:pPr>
                  <w:r>
                    <w:rPr>
                      <w:rFonts w:hint="eastAsia"/>
                      <w:b w:val="0"/>
                      <w:bCs w:val="0"/>
                      <w:color w:val="auto"/>
                      <w:sz w:val="21"/>
                      <w:szCs w:val="21"/>
                    </w:rPr>
                    <w:t>46</w:t>
                  </w:r>
                </w:p>
              </w:tc>
              <w:tc>
                <w:tcPr>
                  <w:tcW w:w="290" w:type="pct"/>
                  <w:noWrap w:val="0"/>
                  <w:tcMar>
                    <w:left w:w="68" w:type="dxa"/>
                    <w:right w:w="68" w:type="dxa"/>
                  </w:tcMar>
                  <w:vAlign w:val="center"/>
                </w:tcPr>
                <w:p w14:paraId="6B366788">
                  <w:pPr>
                    <w:widowControl/>
                    <w:jc w:val="center"/>
                    <w:rPr>
                      <w:b w:val="0"/>
                      <w:bCs w:val="0"/>
                      <w:color w:val="auto"/>
                      <w:sz w:val="21"/>
                      <w:szCs w:val="21"/>
                    </w:rPr>
                  </w:pPr>
                  <w:r>
                    <w:rPr>
                      <w:rFonts w:hint="eastAsia"/>
                      <w:b w:val="0"/>
                      <w:bCs w:val="0"/>
                      <w:color w:val="auto"/>
                      <w:sz w:val="21"/>
                      <w:szCs w:val="21"/>
                    </w:rPr>
                    <w:t>42</w:t>
                  </w:r>
                </w:p>
              </w:tc>
            </w:tr>
            <w:tr w14:paraId="6BDE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0" w:type="pct"/>
                  <w:noWrap w:val="0"/>
                  <w:tcMar>
                    <w:left w:w="68" w:type="dxa"/>
                    <w:right w:w="68" w:type="dxa"/>
                  </w:tcMar>
                  <w:vAlign w:val="center"/>
                </w:tcPr>
                <w:p w14:paraId="4B046B84">
                  <w:pPr>
                    <w:adjustRightInd w:val="0"/>
                    <w:snapToGrid w:val="0"/>
                    <w:jc w:val="center"/>
                    <w:rPr>
                      <w:b w:val="0"/>
                      <w:bCs w:val="0"/>
                      <w:color w:val="auto"/>
                      <w:sz w:val="21"/>
                      <w:szCs w:val="21"/>
                    </w:rPr>
                  </w:pPr>
                  <w:r>
                    <w:rPr>
                      <w:b w:val="0"/>
                      <w:bCs w:val="0"/>
                      <w:color w:val="auto"/>
                      <w:sz w:val="21"/>
                      <w:szCs w:val="21"/>
                    </w:rPr>
                    <w:t>手电钻</w:t>
                  </w:r>
                </w:p>
              </w:tc>
              <w:tc>
                <w:tcPr>
                  <w:tcW w:w="278" w:type="pct"/>
                  <w:noWrap w:val="0"/>
                  <w:tcMar>
                    <w:left w:w="68" w:type="dxa"/>
                    <w:right w:w="68" w:type="dxa"/>
                  </w:tcMar>
                  <w:vAlign w:val="center"/>
                </w:tcPr>
                <w:p w14:paraId="245C4080">
                  <w:pPr>
                    <w:adjustRightInd w:val="0"/>
                    <w:snapToGrid w:val="0"/>
                    <w:jc w:val="center"/>
                    <w:rPr>
                      <w:b w:val="0"/>
                      <w:bCs w:val="0"/>
                      <w:color w:val="auto"/>
                      <w:sz w:val="21"/>
                      <w:szCs w:val="21"/>
                    </w:rPr>
                  </w:pPr>
                  <w:r>
                    <w:rPr>
                      <w:rFonts w:hint="eastAsia"/>
                      <w:b w:val="0"/>
                      <w:bCs w:val="0"/>
                      <w:color w:val="auto"/>
                      <w:sz w:val="21"/>
                      <w:szCs w:val="21"/>
                    </w:rPr>
                    <w:t>76</w:t>
                  </w:r>
                </w:p>
              </w:tc>
              <w:tc>
                <w:tcPr>
                  <w:tcW w:w="278" w:type="pct"/>
                  <w:noWrap w:val="0"/>
                  <w:tcMar>
                    <w:left w:w="68" w:type="dxa"/>
                    <w:right w:w="68" w:type="dxa"/>
                  </w:tcMar>
                  <w:vAlign w:val="center"/>
                </w:tcPr>
                <w:p w14:paraId="52F12007">
                  <w:pPr>
                    <w:adjustRightInd w:val="0"/>
                    <w:snapToGrid w:val="0"/>
                    <w:jc w:val="center"/>
                    <w:rPr>
                      <w:b w:val="0"/>
                      <w:bCs w:val="0"/>
                      <w:color w:val="auto"/>
                      <w:sz w:val="21"/>
                      <w:szCs w:val="21"/>
                    </w:rPr>
                  </w:pPr>
                  <w:r>
                    <w:rPr>
                      <w:rFonts w:hint="eastAsia"/>
                      <w:b w:val="0"/>
                      <w:bCs w:val="0"/>
                      <w:color w:val="auto"/>
                      <w:sz w:val="21"/>
                      <w:szCs w:val="21"/>
                    </w:rPr>
                    <w:t>70</w:t>
                  </w:r>
                </w:p>
              </w:tc>
              <w:tc>
                <w:tcPr>
                  <w:tcW w:w="278" w:type="pct"/>
                  <w:noWrap w:val="0"/>
                  <w:tcMar>
                    <w:left w:w="68" w:type="dxa"/>
                    <w:right w:w="68" w:type="dxa"/>
                  </w:tcMar>
                  <w:vAlign w:val="center"/>
                </w:tcPr>
                <w:p w14:paraId="557414F7">
                  <w:pPr>
                    <w:adjustRightInd w:val="0"/>
                    <w:snapToGrid w:val="0"/>
                    <w:jc w:val="center"/>
                    <w:rPr>
                      <w:b w:val="0"/>
                      <w:bCs w:val="0"/>
                      <w:color w:val="auto"/>
                      <w:sz w:val="21"/>
                      <w:szCs w:val="21"/>
                    </w:rPr>
                  </w:pPr>
                  <w:r>
                    <w:rPr>
                      <w:rFonts w:hint="eastAsia"/>
                      <w:b w:val="0"/>
                      <w:bCs w:val="0"/>
                      <w:color w:val="auto"/>
                      <w:sz w:val="21"/>
                      <w:szCs w:val="21"/>
                    </w:rPr>
                    <w:t>64</w:t>
                  </w:r>
                </w:p>
              </w:tc>
              <w:tc>
                <w:tcPr>
                  <w:tcW w:w="278" w:type="pct"/>
                  <w:noWrap w:val="0"/>
                  <w:tcMar>
                    <w:left w:w="68" w:type="dxa"/>
                    <w:right w:w="68" w:type="dxa"/>
                  </w:tcMar>
                  <w:vAlign w:val="center"/>
                </w:tcPr>
                <w:p w14:paraId="50C15004">
                  <w:pPr>
                    <w:adjustRightInd w:val="0"/>
                    <w:snapToGrid w:val="0"/>
                    <w:jc w:val="center"/>
                    <w:rPr>
                      <w:b w:val="0"/>
                      <w:bCs w:val="0"/>
                      <w:color w:val="auto"/>
                      <w:sz w:val="21"/>
                      <w:szCs w:val="21"/>
                    </w:rPr>
                  </w:pPr>
                  <w:r>
                    <w:rPr>
                      <w:rFonts w:hint="eastAsia"/>
                      <w:b w:val="0"/>
                      <w:bCs w:val="0"/>
                      <w:color w:val="auto"/>
                      <w:sz w:val="21"/>
                      <w:szCs w:val="21"/>
                    </w:rPr>
                    <w:t>60</w:t>
                  </w:r>
                </w:p>
              </w:tc>
              <w:tc>
                <w:tcPr>
                  <w:tcW w:w="278" w:type="pct"/>
                  <w:noWrap w:val="0"/>
                  <w:tcMar>
                    <w:left w:w="68" w:type="dxa"/>
                    <w:right w:w="68" w:type="dxa"/>
                  </w:tcMar>
                  <w:vAlign w:val="center"/>
                </w:tcPr>
                <w:p w14:paraId="0A534DE0">
                  <w:pPr>
                    <w:adjustRightInd w:val="0"/>
                    <w:snapToGrid w:val="0"/>
                    <w:jc w:val="center"/>
                    <w:rPr>
                      <w:b w:val="0"/>
                      <w:bCs w:val="0"/>
                      <w:color w:val="auto"/>
                      <w:sz w:val="21"/>
                      <w:szCs w:val="21"/>
                    </w:rPr>
                  </w:pPr>
                  <w:r>
                    <w:rPr>
                      <w:rFonts w:hint="eastAsia"/>
                      <w:b w:val="0"/>
                      <w:bCs w:val="0"/>
                      <w:color w:val="auto"/>
                      <w:sz w:val="21"/>
                      <w:szCs w:val="21"/>
                    </w:rPr>
                    <w:t>58</w:t>
                  </w:r>
                </w:p>
              </w:tc>
              <w:tc>
                <w:tcPr>
                  <w:tcW w:w="278" w:type="pct"/>
                  <w:noWrap w:val="0"/>
                  <w:tcMar>
                    <w:left w:w="68" w:type="dxa"/>
                    <w:right w:w="68" w:type="dxa"/>
                  </w:tcMar>
                  <w:vAlign w:val="center"/>
                </w:tcPr>
                <w:p w14:paraId="214AC7BD">
                  <w:pPr>
                    <w:adjustRightInd w:val="0"/>
                    <w:snapToGrid w:val="0"/>
                    <w:jc w:val="center"/>
                    <w:rPr>
                      <w:b w:val="0"/>
                      <w:bCs w:val="0"/>
                      <w:color w:val="auto"/>
                      <w:sz w:val="21"/>
                      <w:szCs w:val="21"/>
                    </w:rPr>
                  </w:pPr>
                  <w:r>
                    <w:rPr>
                      <w:rFonts w:hint="eastAsia"/>
                      <w:b w:val="0"/>
                      <w:bCs w:val="0"/>
                      <w:color w:val="auto"/>
                      <w:sz w:val="21"/>
                      <w:szCs w:val="21"/>
                    </w:rPr>
                    <w:t>56</w:t>
                  </w:r>
                </w:p>
              </w:tc>
              <w:tc>
                <w:tcPr>
                  <w:tcW w:w="278" w:type="pct"/>
                  <w:noWrap w:val="0"/>
                  <w:tcMar>
                    <w:left w:w="68" w:type="dxa"/>
                    <w:right w:w="68" w:type="dxa"/>
                  </w:tcMar>
                  <w:vAlign w:val="center"/>
                </w:tcPr>
                <w:p w14:paraId="7827A33F">
                  <w:pPr>
                    <w:adjustRightInd w:val="0"/>
                    <w:snapToGrid w:val="0"/>
                    <w:jc w:val="center"/>
                    <w:rPr>
                      <w:b w:val="0"/>
                      <w:bCs w:val="0"/>
                      <w:color w:val="auto"/>
                      <w:sz w:val="21"/>
                      <w:szCs w:val="21"/>
                    </w:rPr>
                  </w:pPr>
                  <w:r>
                    <w:rPr>
                      <w:rFonts w:hint="eastAsia"/>
                      <w:b w:val="0"/>
                      <w:bCs w:val="0"/>
                      <w:color w:val="auto"/>
                      <w:sz w:val="21"/>
                      <w:szCs w:val="21"/>
                    </w:rPr>
                    <w:t>54</w:t>
                  </w:r>
                </w:p>
              </w:tc>
              <w:tc>
                <w:tcPr>
                  <w:tcW w:w="278" w:type="pct"/>
                  <w:noWrap w:val="0"/>
                  <w:tcMar>
                    <w:left w:w="68" w:type="dxa"/>
                    <w:right w:w="68" w:type="dxa"/>
                  </w:tcMar>
                  <w:vAlign w:val="center"/>
                </w:tcPr>
                <w:p w14:paraId="25DBD1F0">
                  <w:pPr>
                    <w:adjustRightInd w:val="0"/>
                    <w:snapToGrid w:val="0"/>
                    <w:jc w:val="center"/>
                    <w:rPr>
                      <w:b w:val="0"/>
                      <w:bCs w:val="0"/>
                      <w:color w:val="auto"/>
                      <w:sz w:val="21"/>
                      <w:szCs w:val="21"/>
                    </w:rPr>
                  </w:pPr>
                  <w:r>
                    <w:rPr>
                      <w:rFonts w:hint="eastAsia"/>
                      <w:b w:val="0"/>
                      <w:bCs w:val="0"/>
                      <w:color w:val="auto"/>
                      <w:sz w:val="21"/>
                      <w:szCs w:val="21"/>
                    </w:rPr>
                    <w:t>53</w:t>
                  </w:r>
                </w:p>
              </w:tc>
              <w:tc>
                <w:tcPr>
                  <w:tcW w:w="278" w:type="pct"/>
                  <w:noWrap w:val="0"/>
                  <w:tcMar>
                    <w:left w:w="68" w:type="dxa"/>
                    <w:right w:w="68" w:type="dxa"/>
                  </w:tcMar>
                  <w:vAlign w:val="center"/>
                </w:tcPr>
                <w:p w14:paraId="633DEA78">
                  <w:pPr>
                    <w:adjustRightInd w:val="0"/>
                    <w:snapToGrid w:val="0"/>
                    <w:jc w:val="center"/>
                    <w:rPr>
                      <w:b w:val="0"/>
                      <w:bCs w:val="0"/>
                      <w:color w:val="auto"/>
                      <w:sz w:val="21"/>
                      <w:szCs w:val="21"/>
                    </w:rPr>
                  </w:pPr>
                  <w:r>
                    <w:rPr>
                      <w:rFonts w:hint="eastAsia"/>
                      <w:b w:val="0"/>
                      <w:bCs w:val="0"/>
                      <w:color w:val="auto"/>
                      <w:sz w:val="21"/>
                      <w:szCs w:val="21"/>
                    </w:rPr>
                    <w:t>52</w:t>
                  </w:r>
                </w:p>
              </w:tc>
              <w:tc>
                <w:tcPr>
                  <w:tcW w:w="279" w:type="pct"/>
                  <w:noWrap w:val="0"/>
                  <w:tcMar>
                    <w:left w:w="68" w:type="dxa"/>
                    <w:right w:w="68" w:type="dxa"/>
                  </w:tcMar>
                  <w:vAlign w:val="center"/>
                </w:tcPr>
                <w:p w14:paraId="5C825F77">
                  <w:pPr>
                    <w:adjustRightInd w:val="0"/>
                    <w:snapToGrid w:val="0"/>
                    <w:jc w:val="center"/>
                    <w:rPr>
                      <w:b w:val="0"/>
                      <w:bCs w:val="0"/>
                      <w:color w:val="auto"/>
                      <w:sz w:val="21"/>
                      <w:szCs w:val="21"/>
                    </w:rPr>
                  </w:pPr>
                  <w:r>
                    <w:rPr>
                      <w:rFonts w:hint="eastAsia"/>
                      <w:b w:val="0"/>
                      <w:bCs w:val="0"/>
                      <w:color w:val="auto"/>
                      <w:sz w:val="21"/>
                      <w:szCs w:val="21"/>
                    </w:rPr>
                    <w:t>51</w:t>
                  </w:r>
                </w:p>
              </w:tc>
              <w:tc>
                <w:tcPr>
                  <w:tcW w:w="290" w:type="pct"/>
                  <w:noWrap w:val="0"/>
                  <w:tcMar>
                    <w:left w:w="68" w:type="dxa"/>
                    <w:right w:w="68" w:type="dxa"/>
                  </w:tcMar>
                  <w:vAlign w:val="center"/>
                </w:tcPr>
                <w:p w14:paraId="22C61229">
                  <w:pPr>
                    <w:adjustRightInd w:val="0"/>
                    <w:snapToGrid w:val="0"/>
                    <w:jc w:val="center"/>
                    <w:rPr>
                      <w:b w:val="0"/>
                      <w:bCs w:val="0"/>
                      <w:color w:val="auto"/>
                      <w:sz w:val="21"/>
                      <w:szCs w:val="21"/>
                    </w:rPr>
                  </w:pPr>
                  <w:r>
                    <w:rPr>
                      <w:rFonts w:hint="eastAsia"/>
                      <w:b w:val="0"/>
                      <w:bCs w:val="0"/>
                      <w:color w:val="auto"/>
                      <w:sz w:val="21"/>
                      <w:szCs w:val="21"/>
                    </w:rPr>
                    <w:t>50</w:t>
                  </w:r>
                </w:p>
              </w:tc>
              <w:tc>
                <w:tcPr>
                  <w:tcW w:w="290" w:type="pct"/>
                  <w:noWrap w:val="0"/>
                  <w:tcMar>
                    <w:left w:w="68" w:type="dxa"/>
                    <w:right w:w="68" w:type="dxa"/>
                  </w:tcMar>
                  <w:vAlign w:val="center"/>
                </w:tcPr>
                <w:p w14:paraId="356C4885">
                  <w:pPr>
                    <w:adjustRightInd w:val="0"/>
                    <w:snapToGrid w:val="0"/>
                    <w:jc w:val="center"/>
                    <w:rPr>
                      <w:b w:val="0"/>
                      <w:bCs w:val="0"/>
                      <w:color w:val="auto"/>
                      <w:sz w:val="21"/>
                      <w:szCs w:val="21"/>
                    </w:rPr>
                  </w:pPr>
                  <w:r>
                    <w:rPr>
                      <w:rFonts w:hint="eastAsia"/>
                      <w:b w:val="0"/>
                      <w:bCs w:val="0"/>
                      <w:color w:val="auto"/>
                      <w:sz w:val="21"/>
                      <w:szCs w:val="21"/>
                    </w:rPr>
                    <w:t>46</w:t>
                  </w:r>
                </w:p>
              </w:tc>
              <w:tc>
                <w:tcPr>
                  <w:tcW w:w="290" w:type="pct"/>
                  <w:noWrap w:val="0"/>
                  <w:tcMar>
                    <w:left w:w="68" w:type="dxa"/>
                    <w:right w:w="68" w:type="dxa"/>
                  </w:tcMar>
                  <w:vAlign w:val="center"/>
                </w:tcPr>
                <w:p w14:paraId="4258B34F">
                  <w:pPr>
                    <w:adjustRightInd w:val="0"/>
                    <w:snapToGrid w:val="0"/>
                    <w:jc w:val="center"/>
                    <w:rPr>
                      <w:b w:val="0"/>
                      <w:bCs w:val="0"/>
                      <w:color w:val="auto"/>
                      <w:sz w:val="21"/>
                      <w:szCs w:val="21"/>
                    </w:rPr>
                  </w:pPr>
                  <w:r>
                    <w:rPr>
                      <w:rFonts w:hint="eastAsia"/>
                      <w:b w:val="0"/>
                      <w:bCs w:val="0"/>
                      <w:color w:val="auto"/>
                      <w:sz w:val="21"/>
                      <w:szCs w:val="21"/>
                    </w:rPr>
                    <w:t>44</w:t>
                  </w:r>
                </w:p>
              </w:tc>
              <w:tc>
                <w:tcPr>
                  <w:tcW w:w="290" w:type="pct"/>
                  <w:noWrap w:val="0"/>
                  <w:tcMar>
                    <w:left w:w="68" w:type="dxa"/>
                    <w:right w:w="68" w:type="dxa"/>
                  </w:tcMar>
                  <w:vAlign w:val="center"/>
                </w:tcPr>
                <w:p w14:paraId="370D3C0B">
                  <w:pPr>
                    <w:widowControl/>
                    <w:jc w:val="center"/>
                    <w:rPr>
                      <w:b w:val="0"/>
                      <w:bCs w:val="0"/>
                      <w:color w:val="auto"/>
                      <w:sz w:val="21"/>
                      <w:szCs w:val="21"/>
                    </w:rPr>
                  </w:pPr>
                  <w:r>
                    <w:rPr>
                      <w:rFonts w:hint="eastAsia"/>
                      <w:b w:val="0"/>
                      <w:bCs w:val="0"/>
                      <w:color w:val="auto"/>
                      <w:sz w:val="21"/>
                      <w:szCs w:val="21"/>
                    </w:rPr>
                    <w:t>46</w:t>
                  </w:r>
                </w:p>
              </w:tc>
              <w:tc>
                <w:tcPr>
                  <w:tcW w:w="290" w:type="pct"/>
                  <w:noWrap w:val="0"/>
                  <w:tcMar>
                    <w:left w:w="68" w:type="dxa"/>
                    <w:right w:w="68" w:type="dxa"/>
                  </w:tcMar>
                  <w:vAlign w:val="center"/>
                </w:tcPr>
                <w:p w14:paraId="208E5755">
                  <w:pPr>
                    <w:widowControl/>
                    <w:jc w:val="center"/>
                    <w:rPr>
                      <w:b w:val="0"/>
                      <w:bCs w:val="0"/>
                      <w:color w:val="auto"/>
                      <w:sz w:val="21"/>
                      <w:szCs w:val="21"/>
                    </w:rPr>
                  </w:pPr>
                  <w:r>
                    <w:rPr>
                      <w:rFonts w:hint="eastAsia"/>
                      <w:b w:val="0"/>
                      <w:bCs w:val="0"/>
                      <w:color w:val="auto"/>
                      <w:sz w:val="21"/>
                      <w:szCs w:val="21"/>
                    </w:rPr>
                    <w:t>36</w:t>
                  </w:r>
                </w:p>
              </w:tc>
            </w:tr>
          </w:tbl>
          <w:p w14:paraId="20424E48">
            <w:pPr>
              <w:spacing w:line="360" w:lineRule="auto"/>
              <w:ind w:firstLine="480" w:firstLineChars="200"/>
              <w:rPr>
                <w:rFonts w:hint="eastAsia"/>
                <w:bCs/>
                <w:color w:val="auto"/>
                <w:sz w:val="24"/>
                <w:szCs w:val="20"/>
              </w:rPr>
            </w:pPr>
            <w:r>
              <w:rPr>
                <w:rFonts w:hint="eastAsia"/>
                <w:bCs/>
                <w:color w:val="auto"/>
                <w:sz w:val="24"/>
                <w:szCs w:val="20"/>
              </w:rPr>
              <w:t>由表</w:t>
            </w:r>
            <w:r>
              <w:rPr>
                <w:bCs/>
                <w:color w:val="auto"/>
                <w:sz w:val="24"/>
                <w:szCs w:val="20"/>
              </w:rPr>
              <w:t>4-2</w:t>
            </w:r>
            <w:r>
              <w:rPr>
                <w:rFonts w:hint="eastAsia"/>
                <w:bCs/>
                <w:color w:val="auto"/>
                <w:sz w:val="24"/>
                <w:szCs w:val="20"/>
              </w:rPr>
              <w:t>可知，施工机械产生的噪声，昼间于</w:t>
            </w:r>
            <w:r>
              <w:rPr>
                <w:bCs/>
                <w:color w:val="auto"/>
                <w:sz w:val="24"/>
                <w:szCs w:val="20"/>
              </w:rPr>
              <w:t>90</w:t>
            </w:r>
            <w:r>
              <w:rPr>
                <w:rFonts w:hint="eastAsia"/>
                <w:bCs/>
                <w:color w:val="auto"/>
                <w:sz w:val="24"/>
                <w:szCs w:val="20"/>
              </w:rPr>
              <w:t>m以外（昼间70</w:t>
            </w:r>
            <w:r>
              <w:rPr>
                <w:bCs/>
                <w:color w:val="auto"/>
                <w:sz w:val="24"/>
              </w:rPr>
              <w:t>dB(A)</w:t>
            </w:r>
            <w:r>
              <w:rPr>
                <w:rFonts w:hint="eastAsia"/>
                <w:bCs/>
                <w:color w:val="auto"/>
                <w:sz w:val="24"/>
                <w:szCs w:val="20"/>
              </w:rPr>
              <w:t>）、夜间于</w:t>
            </w:r>
            <w:r>
              <w:rPr>
                <w:bCs/>
                <w:color w:val="auto"/>
                <w:sz w:val="24"/>
                <w:szCs w:val="20"/>
              </w:rPr>
              <w:t>50</w:t>
            </w:r>
            <w:r>
              <w:rPr>
                <w:rFonts w:hint="eastAsia"/>
                <w:bCs/>
                <w:color w:val="auto"/>
                <w:sz w:val="24"/>
                <w:szCs w:val="20"/>
              </w:rPr>
              <w:t>0m以外（夜间5</w:t>
            </w:r>
            <w:r>
              <w:rPr>
                <w:bCs/>
                <w:color w:val="auto"/>
                <w:sz w:val="24"/>
                <w:szCs w:val="20"/>
              </w:rPr>
              <w:t>5</w:t>
            </w:r>
            <w:r>
              <w:rPr>
                <w:bCs/>
                <w:color w:val="auto"/>
                <w:sz w:val="24"/>
              </w:rPr>
              <w:t>dB(A)</w:t>
            </w:r>
            <w:r>
              <w:rPr>
                <w:rFonts w:hint="eastAsia"/>
                <w:bCs/>
                <w:color w:val="auto"/>
                <w:sz w:val="24"/>
                <w:szCs w:val="20"/>
              </w:rPr>
              <w:t>）可达到《建筑施工场界环境噪声排放标准》（GB12523-2011）规定的场界排放标准限值。</w:t>
            </w:r>
          </w:p>
          <w:p w14:paraId="6C5619BA">
            <w:pPr>
              <w:spacing w:line="360" w:lineRule="auto"/>
              <w:ind w:firstLine="480" w:firstLineChars="200"/>
              <w:rPr>
                <w:rFonts w:hint="eastAsia"/>
                <w:bCs/>
                <w:color w:val="auto"/>
                <w:sz w:val="24"/>
                <w:szCs w:val="20"/>
              </w:rPr>
            </w:pPr>
            <w:r>
              <w:rPr>
                <w:rFonts w:hint="eastAsia"/>
                <w:bCs/>
                <w:color w:val="auto"/>
                <w:sz w:val="24"/>
                <w:szCs w:val="20"/>
              </w:rPr>
              <w:t>根据</w:t>
            </w:r>
            <w:r>
              <w:rPr>
                <w:bCs/>
                <w:color w:val="auto"/>
                <w:sz w:val="24"/>
                <w:szCs w:val="20"/>
              </w:rPr>
              <w:t>现场</w:t>
            </w:r>
            <w:r>
              <w:rPr>
                <w:rFonts w:hint="eastAsia"/>
                <w:bCs/>
                <w:color w:val="auto"/>
                <w:sz w:val="24"/>
                <w:szCs w:val="20"/>
              </w:rPr>
              <w:t>调查</w:t>
            </w:r>
            <w:r>
              <w:rPr>
                <w:bCs/>
                <w:color w:val="auto"/>
                <w:sz w:val="24"/>
                <w:szCs w:val="20"/>
              </w:rPr>
              <w:t>，</w:t>
            </w:r>
            <w:r>
              <w:rPr>
                <w:rFonts w:hint="eastAsia"/>
                <w:bCs/>
                <w:color w:val="auto"/>
                <w:sz w:val="24"/>
                <w:szCs w:val="20"/>
              </w:rPr>
              <w:t>本项目5</w:t>
            </w:r>
            <w:r>
              <w:rPr>
                <w:bCs/>
                <w:color w:val="auto"/>
                <w:sz w:val="24"/>
                <w:szCs w:val="20"/>
              </w:rPr>
              <w:t>00</w:t>
            </w:r>
            <w:r>
              <w:rPr>
                <w:rFonts w:hint="eastAsia"/>
                <w:bCs/>
                <w:color w:val="auto"/>
                <w:sz w:val="24"/>
                <w:szCs w:val="20"/>
              </w:rPr>
              <w:t>m</w:t>
            </w:r>
            <w:r>
              <w:rPr>
                <w:bCs/>
                <w:color w:val="auto"/>
                <w:sz w:val="24"/>
                <w:szCs w:val="20"/>
              </w:rPr>
              <w:t>范围</w:t>
            </w:r>
            <w:r>
              <w:rPr>
                <w:rFonts w:hint="eastAsia"/>
                <w:bCs/>
                <w:color w:val="auto"/>
                <w:sz w:val="24"/>
                <w:szCs w:val="20"/>
              </w:rPr>
              <w:t>内</w:t>
            </w:r>
            <w:r>
              <w:rPr>
                <w:rFonts w:hint="eastAsia"/>
                <w:bCs/>
                <w:color w:val="auto"/>
                <w:sz w:val="24"/>
                <w:szCs w:val="20"/>
                <w:lang w:val="en-US" w:eastAsia="zh-CN"/>
              </w:rPr>
              <w:t>无</w:t>
            </w:r>
            <w:r>
              <w:rPr>
                <w:rFonts w:hint="eastAsia"/>
                <w:bCs/>
                <w:color w:val="auto"/>
                <w:sz w:val="24"/>
                <w:szCs w:val="20"/>
              </w:rPr>
              <w:t>声环境敏感点，特殊情况下需要夜间施工的情况将对周边5</w:t>
            </w:r>
            <w:r>
              <w:rPr>
                <w:bCs/>
                <w:color w:val="auto"/>
                <w:sz w:val="24"/>
                <w:szCs w:val="20"/>
              </w:rPr>
              <w:t>00m</w:t>
            </w:r>
            <w:r>
              <w:rPr>
                <w:rFonts w:hint="eastAsia"/>
                <w:bCs/>
                <w:color w:val="auto"/>
                <w:sz w:val="24"/>
                <w:szCs w:val="20"/>
              </w:rPr>
              <w:t>范围内居民造成影响。为减轻施工阶段产生的噪声对周边环境的影响，环评建议采取以下措施：</w:t>
            </w:r>
          </w:p>
          <w:p w14:paraId="35EF7631">
            <w:pPr>
              <w:spacing w:line="360" w:lineRule="auto"/>
              <w:ind w:firstLine="480" w:firstLineChars="200"/>
              <w:rPr>
                <w:rFonts w:hint="eastAsia"/>
                <w:bCs/>
                <w:color w:val="auto"/>
                <w:sz w:val="24"/>
                <w:szCs w:val="20"/>
              </w:rPr>
            </w:pPr>
            <w:r>
              <w:rPr>
                <w:rFonts w:hint="eastAsia"/>
                <w:bCs/>
                <w:color w:val="auto"/>
                <w:sz w:val="24"/>
                <w:szCs w:val="20"/>
              </w:rPr>
              <w:t>①</w:t>
            </w:r>
            <w:r>
              <w:rPr>
                <w:rFonts w:hint="eastAsia"/>
                <w:bCs/>
                <w:color w:val="auto"/>
                <w:sz w:val="24"/>
              </w:rPr>
              <w:t>非特殊</w:t>
            </w:r>
            <w:r>
              <w:rPr>
                <w:bCs/>
                <w:color w:val="auto"/>
                <w:sz w:val="24"/>
              </w:rPr>
              <w:t>情况，避免夜间（</w:t>
            </w:r>
            <w:r>
              <w:rPr>
                <w:rFonts w:hint="eastAsia"/>
                <w:bCs/>
                <w:color w:val="auto"/>
                <w:sz w:val="24"/>
              </w:rPr>
              <w:t>22:00</w:t>
            </w:r>
            <w:r>
              <w:rPr>
                <w:rFonts w:hint="eastAsia" w:ascii="宋体" w:hAnsi="宋体"/>
                <w:bCs/>
                <w:color w:val="auto"/>
                <w:sz w:val="24"/>
              </w:rPr>
              <w:t>～</w:t>
            </w:r>
            <w:r>
              <w:rPr>
                <w:rFonts w:hint="eastAsia"/>
                <w:bCs/>
                <w:color w:val="auto"/>
                <w:sz w:val="24"/>
              </w:rPr>
              <w:t>6:00）施工作业</w:t>
            </w:r>
            <w:r>
              <w:rPr>
                <w:rFonts w:hint="eastAsia"/>
                <w:bCs/>
                <w:color w:val="auto"/>
                <w:sz w:val="24"/>
                <w:szCs w:val="20"/>
              </w:rPr>
              <w:t>；</w:t>
            </w:r>
          </w:p>
          <w:p w14:paraId="6FAE1AC0">
            <w:pPr>
              <w:spacing w:line="360" w:lineRule="auto"/>
              <w:ind w:firstLine="480" w:firstLineChars="200"/>
              <w:rPr>
                <w:rFonts w:hint="eastAsia"/>
                <w:bCs/>
                <w:color w:val="auto"/>
                <w:sz w:val="24"/>
                <w:szCs w:val="20"/>
              </w:rPr>
            </w:pPr>
            <w:r>
              <w:rPr>
                <w:rFonts w:hint="eastAsia"/>
                <w:bCs/>
                <w:color w:val="auto"/>
                <w:sz w:val="24"/>
                <w:szCs w:val="20"/>
              </w:rPr>
              <w:t>②避免高噪声设备同时施工，选取低噪声施工机械设备；</w:t>
            </w:r>
          </w:p>
          <w:p w14:paraId="513843ED">
            <w:pPr>
              <w:spacing w:line="360" w:lineRule="auto"/>
              <w:ind w:firstLine="480" w:firstLineChars="200"/>
              <w:rPr>
                <w:rFonts w:hint="eastAsia"/>
                <w:bCs/>
                <w:color w:val="auto"/>
                <w:sz w:val="24"/>
                <w:szCs w:val="20"/>
              </w:rPr>
            </w:pPr>
            <w:r>
              <w:rPr>
                <w:rFonts w:hint="eastAsia"/>
                <w:bCs/>
                <w:color w:val="auto"/>
                <w:sz w:val="24"/>
                <w:szCs w:val="20"/>
              </w:rPr>
              <w:t>③加强管理，加强对设备的维护、养护，运输车辆限速行驶；</w:t>
            </w:r>
          </w:p>
          <w:p w14:paraId="7568D07B">
            <w:pPr>
              <w:spacing w:line="360" w:lineRule="auto"/>
              <w:ind w:firstLine="480" w:firstLineChars="200"/>
              <w:rPr>
                <w:rFonts w:hint="eastAsia"/>
                <w:bCs/>
                <w:color w:val="auto"/>
                <w:sz w:val="24"/>
                <w:szCs w:val="20"/>
              </w:rPr>
            </w:pPr>
            <w:r>
              <w:rPr>
                <w:rFonts w:hint="eastAsia"/>
                <w:bCs/>
                <w:color w:val="auto"/>
                <w:sz w:val="24"/>
                <w:szCs w:val="20"/>
              </w:rPr>
              <w:t>④控制施工时间等。</w:t>
            </w:r>
          </w:p>
          <w:p w14:paraId="0E07F9F9">
            <w:pPr>
              <w:spacing w:line="360" w:lineRule="auto"/>
              <w:ind w:firstLine="480" w:firstLineChars="200"/>
              <w:rPr>
                <w:lang w:val="zh-CN"/>
              </w:rPr>
            </w:pPr>
            <w:r>
              <w:rPr>
                <w:rFonts w:hint="eastAsia"/>
                <w:color w:val="auto"/>
                <w:sz w:val="24"/>
              </w:rPr>
              <w:t>采取上述措施后，</w:t>
            </w:r>
            <w:r>
              <w:rPr>
                <w:color w:val="auto"/>
                <w:sz w:val="24"/>
              </w:rPr>
              <w:t>可</w:t>
            </w:r>
            <w:r>
              <w:rPr>
                <w:rFonts w:hint="eastAsia"/>
                <w:color w:val="auto"/>
                <w:sz w:val="24"/>
              </w:rPr>
              <w:t>减少</w:t>
            </w:r>
            <w:r>
              <w:rPr>
                <w:color w:val="auto"/>
                <w:sz w:val="24"/>
              </w:rPr>
              <w:t>施工期噪声对周边声环境</w:t>
            </w:r>
            <w:r>
              <w:rPr>
                <w:rFonts w:hint="eastAsia"/>
                <w:color w:val="auto"/>
                <w:sz w:val="24"/>
              </w:rPr>
              <w:t>的</w:t>
            </w:r>
            <w:r>
              <w:rPr>
                <w:color w:val="auto"/>
                <w:sz w:val="24"/>
              </w:rPr>
              <w:t>影响</w:t>
            </w:r>
            <w:r>
              <w:rPr>
                <w:rFonts w:hint="eastAsia"/>
                <w:color w:val="auto"/>
                <w:sz w:val="24"/>
              </w:rPr>
              <w:t>，确保施工机械施工过程中产生的噪声满足</w:t>
            </w:r>
            <w:r>
              <w:rPr>
                <w:color w:val="auto"/>
                <w:sz w:val="24"/>
              </w:rPr>
              <w:t>《建筑施工场界环境噪声排放标准》（GB12523-2011）</w:t>
            </w:r>
            <w:r>
              <w:rPr>
                <w:rFonts w:hint="eastAsia"/>
                <w:color w:val="auto"/>
                <w:sz w:val="24"/>
              </w:rPr>
              <w:t>相关标准限值要求。另外，</w:t>
            </w:r>
            <w:r>
              <w:rPr>
                <w:color w:val="auto"/>
                <w:sz w:val="24"/>
              </w:rPr>
              <w:t>施工期对周围环境的噪声影响是短暂的，在施工结束后施工噪声影响也将随之消失</w:t>
            </w:r>
            <w:r>
              <w:rPr>
                <w:color w:val="auto"/>
                <w:kern w:val="24"/>
                <w:sz w:val="24"/>
              </w:rPr>
              <w:t>。</w:t>
            </w:r>
          </w:p>
          <w:p w14:paraId="1DCC48C7">
            <w:pPr>
              <w:adjustRightInd w:val="0"/>
              <w:snapToGrid w:val="0"/>
              <w:spacing w:line="360" w:lineRule="auto"/>
              <w:ind w:firstLine="465" w:firstLineChars="193"/>
              <w:rPr>
                <w:b/>
                <w:bCs/>
                <w:color w:val="000000" w:themeColor="text1"/>
                <w:kern w:val="0"/>
                <w:sz w:val="24"/>
                <w14:textFill>
                  <w14:solidFill>
                    <w14:schemeClr w14:val="tx1"/>
                  </w14:solidFill>
                </w14:textFill>
              </w:rPr>
            </w:pPr>
            <w:r>
              <w:rPr>
                <w:b/>
                <w:bCs/>
                <w:color w:val="000000" w:themeColor="text1"/>
                <w:kern w:val="0"/>
                <w:sz w:val="24"/>
                <w14:textFill>
                  <w14:solidFill>
                    <w14:schemeClr w14:val="tx1"/>
                  </w14:solidFill>
                </w14:textFill>
              </w:rPr>
              <w:t>5、固体废物影响分析</w:t>
            </w:r>
          </w:p>
          <w:p w14:paraId="1256E300">
            <w:pPr>
              <w:spacing w:line="360" w:lineRule="auto"/>
              <w:ind w:firstLine="420"/>
              <w:rPr>
                <w:color w:val="auto"/>
                <w:sz w:val="24"/>
                <w:szCs w:val="24"/>
              </w:rPr>
            </w:pPr>
            <w:r>
              <w:rPr>
                <w:color w:val="auto"/>
                <w:sz w:val="24"/>
                <w:szCs w:val="24"/>
              </w:rPr>
              <w:t>项目</w:t>
            </w:r>
            <w:r>
              <w:rPr>
                <w:rFonts w:hint="eastAsia"/>
                <w:color w:val="auto"/>
                <w:sz w:val="24"/>
                <w:szCs w:val="24"/>
              </w:rPr>
              <w:t>建设过程中</w:t>
            </w:r>
            <w:r>
              <w:rPr>
                <w:color w:val="auto"/>
                <w:sz w:val="24"/>
                <w:szCs w:val="24"/>
              </w:rPr>
              <w:t>共开挖土方</w:t>
            </w:r>
            <w:r>
              <w:rPr>
                <w:rFonts w:hint="eastAsia" w:cs="Times New Roman"/>
                <w:i w:val="0"/>
                <w:iCs w:val="0"/>
                <w:color w:val="auto"/>
                <w:kern w:val="0"/>
                <w:sz w:val="24"/>
                <w:szCs w:val="24"/>
                <w:u w:val="none"/>
                <w:lang w:val="en-US" w:eastAsia="zh-CN" w:bidi="ar"/>
              </w:rPr>
              <w:t>39.085万</w:t>
            </w:r>
            <w:r>
              <w:rPr>
                <w:color w:val="auto"/>
                <w:sz w:val="24"/>
                <w:szCs w:val="24"/>
              </w:rPr>
              <w:t>m</w:t>
            </w:r>
            <w:r>
              <w:rPr>
                <w:color w:val="auto"/>
                <w:sz w:val="24"/>
                <w:szCs w:val="24"/>
                <w:vertAlign w:val="superscript"/>
              </w:rPr>
              <w:t>3</w:t>
            </w:r>
            <w:r>
              <w:rPr>
                <w:color w:val="auto"/>
                <w:sz w:val="24"/>
                <w:szCs w:val="24"/>
              </w:rPr>
              <w:t>，回填利用土方</w:t>
            </w:r>
            <w:r>
              <w:rPr>
                <w:rFonts w:hint="eastAsia" w:cs="Times New Roman"/>
                <w:i w:val="0"/>
                <w:iCs w:val="0"/>
                <w:color w:val="auto"/>
                <w:kern w:val="0"/>
                <w:sz w:val="24"/>
                <w:szCs w:val="24"/>
                <w:u w:val="none"/>
                <w:lang w:val="en-US" w:eastAsia="zh-CN" w:bidi="ar"/>
              </w:rPr>
              <w:t>39.085万</w:t>
            </w:r>
            <w:r>
              <w:rPr>
                <w:color w:val="auto"/>
                <w:sz w:val="24"/>
                <w:szCs w:val="24"/>
              </w:rPr>
              <w:t>m</w:t>
            </w:r>
            <w:r>
              <w:rPr>
                <w:color w:val="auto"/>
                <w:sz w:val="24"/>
                <w:szCs w:val="24"/>
                <w:vertAlign w:val="superscript"/>
              </w:rPr>
              <w:t>3</w:t>
            </w:r>
            <w:r>
              <w:rPr>
                <w:color w:val="auto"/>
                <w:sz w:val="24"/>
                <w:szCs w:val="24"/>
              </w:rPr>
              <w:t>，</w:t>
            </w:r>
            <w:r>
              <w:rPr>
                <w:rFonts w:hint="eastAsia"/>
                <w:color w:val="auto"/>
                <w:sz w:val="24"/>
                <w:szCs w:val="24"/>
                <w:lang w:val="en-US" w:eastAsia="zh-CN"/>
              </w:rPr>
              <w:t>无弃方</w:t>
            </w:r>
            <w:r>
              <w:rPr>
                <w:rFonts w:hint="eastAsia"/>
                <w:color w:val="auto"/>
                <w:sz w:val="24"/>
                <w:szCs w:val="24"/>
              </w:rPr>
              <w:t>。</w:t>
            </w:r>
          </w:p>
          <w:p w14:paraId="4110B3FD">
            <w:pPr>
              <w:spacing w:line="360" w:lineRule="auto"/>
              <w:ind w:firstLine="480" w:firstLineChars="200"/>
              <w:rPr>
                <w:color w:val="000000" w:themeColor="text1"/>
                <w:kern w:val="0"/>
                <w:sz w:val="24"/>
                <w14:textFill>
                  <w14:solidFill>
                    <w14:schemeClr w14:val="tx1"/>
                  </w14:solidFill>
                </w14:textFill>
              </w:rPr>
            </w:pPr>
            <w:r>
              <w:rPr>
                <w:bCs/>
                <w:color w:val="auto"/>
                <w:kern w:val="24"/>
                <w:sz w:val="24"/>
                <w:szCs w:val="20"/>
              </w:rPr>
              <w:t>施工期固体废弃物主要为施工人员的生活垃圾及损坏或废弃的各种建筑材料</w:t>
            </w:r>
            <w:r>
              <w:rPr>
                <w:rFonts w:hint="eastAsia"/>
                <w:color w:val="000000" w:themeColor="text1"/>
                <w:sz w:val="24"/>
                <w14:textFill>
                  <w14:solidFill>
                    <w14:schemeClr w14:val="tx1"/>
                  </w14:solidFill>
                </w14:textFill>
              </w:rPr>
              <w:t>。</w:t>
            </w:r>
          </w:p>
          <w:p w14:paraId="38D5C581">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1 \* GB2 \* MERGEFORMAT </w:instrText>
            </w:r>
            <w:r>
              <w:rPr>
                <w:color w:val="000000" w:themeColor="text1"/>
                <w:kern w:val="0"/>
                <w:sz w:val="24"/>
                <w14:textFill>
                  <w14:solidFill>
                    <w14:schemeClr w14:val="tx1"/>
                  </w14:solidFill>
                </w14:textFill>
              </w:rPr>
              <w:fldChar w:fldCharType="separate"/>
            </w:r>
            <w:r>
              <w:t>⑴</w:t>
            </w:r>
            <w:r>
              <w:rPr>
                <w:color w:val="000000" w:themeColor="text1"/>
                <w:kern w:val="0"/>
                <w:sz w:val="24"/>
                <w14:textFill>
                  <w14:solidFill>
                    <w14:schemeClr w14:val="tx1"/>
                  </w14:solidFill>
                </w14:textFill>
              </w:rPr>
              <w:fldChar w:fldCharType="end"/>
            </w:r>
            <w:r>
              <w:rPr>
                <w:color w:val="000000" w:themeColor="text1"/>
                <w:kern w:val="0"/>
                <w:sz w:val="24"/>
                <w14:textFill>
                  <w14:solidFill>
                    <w14:schemeClr w14:val="tx1"/>
                  </w14:solidFill>
                </w14:textFill>
              </w:rPr>
              <w:t>施工建筑垃圾</w:t>
            </w:r>
          </w:p>
          <w:p w14:paraId="7C06C279">
            <w:pPr>
              <w:adjustRightInd w:val="0"/>
              <w:snapToGrid w:val="0"/>
              <w:spacing w:line="360" w:lineRule="auto"/>
              <w:ind w:firstLine="480" w:firstLineChars="200"/>
              <w:rPr>
                <w:color w:val="000000" w:themeColor="text1"/>
                <w:kern w:val="0"/>
                <w:sz w:val="24"/>
                <w14:textFill>
                  <w14:solidFill>
                    <w14:schemeClr w14:val="tx1"/>
                  </w14:solidFill>
                </w14:textFill>
              </w:rPr>
            </w:pPr>
            <w:r>
              <w:rPr>
                <w:bCs/>
                <w:color w:val="auto"/>
                <w:kern w:val="0"/>
                <w:sz w:val="24"/>
                <w:szCs w:val="20"/>
              </w:rPr>
              <w:t>建筑垃圾主要是施工过程产生的一般废弃钢结构材料、</w:t>
            </w:r>
            <w:r>
              <w:rPr>
                <w:rFonts w:hint="eastAsia"/>
                <w:bCs/>
                <w:color w:val="auto"/>
                <w:kern w:val="0"/>
                <w:sz w:val="24"/>
                <w:szCs w:val="20"/>
              </w:rPr>
              <w:t>废包装物</w:t>
            </w:r>
            <w:r>
              <w:rPr>
                <w:bCs/>
                <w:color w:val="auto"/>
                <w:kern w:val="0"/>
                <w:sz w:val="24"/>
                <w:szCs w:val="20"/>
              </w:rPr>
              <w:t>、砖块及混凝土结块等，建筑垃圾收集后堆放于指定地点，</w:t>
            </w:r>
            <w:r>
              <w:rPr>
                <w:bCs/>
                <w:color w:val="auto"/>
                <w:sz w:val="24"/>
              </w:rPr>
              <w:t>其中可再生利</w:t>
            </w:r>
            <w:r>
              <w:rPr>
                <w:rFonts w:hint="eastAsia"/>
                <w:bCs/>
                <w:color w:val="auto"/>
                <w:sz w:val="24"/>
                <w:lang w:eastAsia="zh-CN"/>
              </w:rPr>
              <w:t>用的</w:t>
            </w:r>
            <w:r>
              <w:rPr>
                <w:bCs/>
                <w:color w:val="auto"/>
                <w:sz w:val="24"/>
              </w:rPr>
              <w:t>部分综合利用，不可综合利用的部分</w:t>
            </w:r>
            <w:r>
              <w:rPr>
                <w:color w:val="auto"/>
                <w:sz w:val="24"/>
              </w:rPr>
              <w:t>运送至相关部门指定地点处置</w:t>
            </w:r>
            <w:r>
              <w:rPr>
                <w:bCs/>
                <w:color w:val="auto"/>
                <w:sz w:val="24"/>
              </w:rPr>
              <w:t>，严禁随意丢弃</w:t>
            </w:r>
            <w:r>
              <w:rPr>
                <w:color w:val="000000" w:themeColor="text1"/>
                <w:sz w:val="24"/>
                <w14:textFill>
                  <w14:solidFill>
                    <w14:schemeClr w14:val="tx1"/>
                  </w14:solidFill>
                </w14:textFill>
              </w:rPr>
              <w:t>。</w:t>
            </w:r>
          </w:p>
          <w:p w14:paraId="2A5F8947">
            <w:pPr>
              <w:pStyle w:val="99"/>
              <w:adjustRightInd/>
              <w:snapToGrid/>
              <w:ind w:firstLine="480"/>
              <w:rPr>
                <w:rFonts w:ascii="Times New Roman" w:hAnsi="Times New Roman"/>
                <w:color w:val="000000" w:themeColor="text1"/>
                <w:kern w:val="0"/>
                <w:szCs w:val="24"/>
                <w14:textFill>
                  <w14:solidFill>
                    <w14:schemeClr w14:val="tx1"/>
                  </w14:solidFill>
                </w14:textFill>
              </w:rPr>
            </w:pPr>
            <w:r>
              <w:rPr>
                <w:rFonts w:ascii="Times New Roman" w:hAnsi="Times New Roman"/>
                <w:color w:val="000000" w:themeColor="text1"/>
                <w:kern w:val="0"/>
                <w:szCs w:val="24"/>
                <w14:textFill>
                  <w14:solidFill>
                    <w14:schemeClr w14:val="tx1"/>
                  </w14:solidFill>
                </w14:textFill>
              </w:rPr>
              <w:fldChar w:fldCharType="begin"/>
            </w:r>
            <w:r>
              <w:rPr>
                <w:rFonts w:ascii="Times New Roman" w:hAnsi="Times New Roman"/>
                <w:color w:val="000000" w:themeColor="text1"/>
                <w:kern w:val="0"/>
                <w:szCs w:val="24"/>
                <w14:textFill>
                  <w14:solidFill>
                    <w14:schemeClr w14:val="tx1"/>
                  </w14:solidFill>
                </w14:textFill>
              </w:rPr>
              <w:instrText xml:space="preserve"> = 2 \* GB2 \* MERGEFORMAT </w:instrText>
            </w:r>
            <w:r>
              <w:rPr>
                <w:rFonts w:ascii="Times New Roman" w:hAnsi="Times New Roman"/>
                <w:color w:val="000000" w:themeColor="text1"/>
                <w:kern w:val="0"/>
                <w:szCs w:val="24"/>
                <w14:textFill>
                  <w14:solidFill>
                    <w14:schemeClr w14:val="tx1"/>
                  </w14:solidFill>
                </w14:textFill>
              </w:rPr>
              <w:fldChar w:fldCharType="separate"/>
            </w:r>
            <w:r>
              <w:t>⑵</w:t>
            </w:r>
            <w:r>
              <w:rPr>
                <w:rFonts w:ascii="Times New Roman" w:hAnsi="Times New Roman"/>
                <w:color w:val="000000" w:themeColor="text1"/>
                <w:kern w:val="0"/>
                <w:szCs w:val="24"/>
                <w14:textFill>
                  <w14:solidFill>
                    <w14:schemeClr w14:val="tx1"/>
                  </w14:solidFill>
                </w14:textFill>
              </w:rPr>
              <w:fldChar w:fldCharType="end"/>
            </w:r>
            <w:r>
              <w:rPr>
                <w:rFonts w:ascii="Times New Roman" w:hAnsi="Times New Roman"/>
                <w:color w:val="000000" w:themeColor="text1"/>
                <w:kern w:val="0"/>
                <w:szCs w:val="24"/>
                <w14:textFill>
                  <w14:solidFill>
                    <w14:schemeClr w14:val="tx1"/>
                  </w14:solidFill>
                </w14:textFill>
              </w:rPr>
              <w:t>生活垃圾</w:t>
            </w:r>
          </w:p>
          <w:p w14:paraId="0F476A44">
            <w:pPr>
              <w:spacing w:line="360" w:lineRule="auto"/>
              <w:ind w:firstLine="480" w:firstLineChars="200"/>
              <w:rPr>
                <w:color w:val="auto"/>
                <w:kern w:val="24"/>
                <w:sz w:val="24"/>
                <w:szCs w:val="20"/>
              </w:rPr>
            </w:pPr>
            <w:r>
              <w:rPr>
                <w:bCs/>
                <w:color w:val="auto"/>
                <w:kern w:val="0"/>
                <w:sz w:val="24"/>
                <w:szCs w:val="20"/>
              </w:rPr>
              <w:t>项目平均施工人员约</w:t>
            </w:r>
            <w:r>
              <w:rPr>
                <w:rFonts w:hint="eastAsia"/>
                <w:bCs/>
                <w:color w:val="auto"/>
                <w:kern w:val="0"/>
                <w:sz w:val="24"/>
                <w:szCs w:val="20"/>
                <w:lang w:val="en-US" w:eastAsia="zh-CN"/>
              </w:rPr>
              <w:t>4</w:t>
            </w:r>
            <w:r>
              <w:rPr>
                <w:bCs/>
                <w:color w:val="auto"/>
                <w:kern w:val="0"/>
                <w:sz w:val="24"/>
                <w:szCs w:val="20"/>
              </w:rPr>
              <w:t>0人，参考《第一次全国污染源普查城镇生活源产排污系数手册》，</w:t>
            </w:r>
            <w:r>
              <w:rPr>
                <w:rFonts w:hint="eastAsia"/>
                <w:bCs/>
                <w:color w:val="auto"/>
                <w:kern w:val="0"/>
                <w:sz w:val="24"/>
                <w:szCs w:val="20"/>
              </w:rPr>
              <w:t>宝鸡市类别属五区</w:t>
            </w:r>
            <w:r>
              <w:rPr>
                <w:bCs/>
                <w:color w:val="auto"/>
                <w:kern w:val="0"/>
                <w:sz w:val="24"/>
                <w:szCs w:val="20"/>
              </w:rPr>
              <w:t>3</w:t>
            </w:r>
            <w:r>
              <w:rPr>
                <w:rFonts w:hint="eastAsia"/>
                <w:bCs/>
                <w:color w:val="auto"/>
                <w:kern w:val="0"/>
                <w:sz w:val="24"/>
                <w:szCs w:val="20"/>
              </w:rPr>
              <w:t>类，</w:t>
            </w:r>
            <w:r>
              <w:rPr>
                <w:bCs/>
                <w:color w:val="auto"/>
                <w:kern w:val="0"/>
                <w:sz w:val="24"/>
                <w:szCs w:val="20"/>
              </w:rPr>
              <w:t>本项目施工人员生活垃圾产生量按0.44kg/人·d计，即为</w:t>
            </w:r>
            <w:r>
              <w:rPr>
                <w:rFonts w:hint="eastAsia"/>
                <w:bCs/>
                <w:color w:val="auto"/>
                <w:kern w:val="0"/>
                <w:sz w:val="24"/>
                <w:szCs w:val="20"/>
                <w:lang w:val="en-US" w:eastAsia="zh-CN"/>
              </w:rPr>
              <w:t>17.6</w:t>
            </w:r>
            <w:r>
              <w:rPr>
                <w:bCs/>
                <w:color w:val="auto"/>
                <w:kern w:val="0"/>
                <w:sz w:val="24"/>
                <w:szCs w:val="20"/>
              </w:rPr>
              <w:t>kg/d。本项目设施工营地，施工人员</w:t>
            </w:r>
            <w:r>
              <w:rPr>
                <w:rFonts w:hint="eastAsia"/>
                <w:bCs/>
                <w:color w:val="auto"/>
                <w:kern w:val="0"/>
                <w:sz w:val="24"/>
                <w:szCs w:val="20"/>
              </w:rPr>
              <w:t>居住在生活区</w:t>
            </w:r>
            <w:r>
              <w:rPr>
                <w:bCs/>
                <w:color w:val="auto"/>
                <w:kern w:val="0"/>
                <w:sz w:val="24"/>
                <w:szCs w:val="20"/>
              </w:rPr>
              <w:t>，</w:t>
            </w:r>
            <w:r>
              <w:rPr>
                <w:color w:val="auto"/>
                <w:kern w:val="0"/>
                <w:sz w:val="24"/>
                <w:lang w:val="zh-CN"/>
              </w:rPr>
              <w:t>施工生活区设垃圾桶</w:t>
            </w:r>
            <w:r>
              <w:rPr>
                <w:rFonts w:hint="eastAsia"/>
                <w:color w:val="auto"/>
                <w:kern w:val="0"/>
                <w:sz w:val="24"/>
                <w:lang w:val="zh-CN"/>
              </w:rPr>
              <w:t>，</w:t>
            </w:r>
            <w:r>
              <w:rPr>
                <w:rFonts w:hint="eastAsia"/>
                <w:bCs/>
                <w:color w:val="auto"/>
                <w:kern w:val="0"/>
                <w:sz w:val="24"/>
                <w:szCs w:val="20"/>
              </w:rPr>
              <w:t>生活</w:t>
            </w:r>
            <w:r>
              <w:rPr>
                <w:bCs/>
                <w:color w:val="auto"/>
                <w:kern w:val="0"/>
                <w:sz w:val="24"/>
                <w:szCs w:val="20"/>
              </w:rPr>
              <w:t>垃圾</w:t>
            </w:r>
            <w:r>
              <w:rPr>
                <w:rFonts w:hint="eastAsia"/>
                <w:bCs/>
                <w:color w:val="auto"/>
                <w:kern w:val="0"/>
                <w:sz w:val="24"/>
                <w:szCs w:val="20"/>
              </w:rPr>
              <w:t>定期统一收集后</w:t>
            </w:r>
            <w:r>
              <w:rPr>
                <w:bCs/>
                <w:color w:val="auto"/>
                <w:kern w:val="0"/>
                <w:sz w:val="24"/>
                <w:szCs w:val="20"/>
              </w:rPr>
              <w:t>纳入当地垃圾清运系统</w:t>
            </w:r>
            <w:r>
              <w:rPr>
                <w:color w:val="auto"/>
                <w:kern w:val="24"/>
                <w:sz w:val="24"/>
                <w:szCs w:val="20"/>
              </w:rPr>
              <w:t>。</w:t>
            </w:r>
          </w:p>
          <w:p w14:paraId="737A117C">
            <w:pPr>
              <w:widowControl/>
              <w:spacing w:line="360" w:lineRule="auto"/>
              <w:ind w:firstLine="480" w:firstLineChars="200"/>
              <w:jc w:val="left"/>
              <w:rPr>
                <w:color w:val="000000" w:themeColor="text1"/>
                <w:sz w:val="24"/>
                <w14:textFill>
                  <w14:solidFill>
                    <w14:schemeClr w14:val="tx1"/>
                  </w14:solidFill>
                </w14:textFill>
              </w:rPr>
            </w:pPr>
            <w:r>
              <w:rPr>
                <w:bCs/>
                <w:color w:val="auto"/>
                <w:kern w:val="24"/>
                <w:sz w:val="24"/>
                <w:szCs w:val="20"/>
              </w:rPr>
              <w:t>通过上述措施后，施工期产生固体废弃物均得到合理妥善处置，处置率100%，对环境影响较小</w:t>
            </w:r>
            <w:r>
              <w:rPr>
                <w:color w:val="000000" w:themeColor="text1"/>
                <w:sz w:val="24"/>
                <w14:textFill>
                  <w14:solidFill>
                    <w14:schemeClr w14:val="tx1"/>
                  </w14:solidFill>
                </w14:textFill>
              </w:rPr>
              <w:t>。</w:t>
            </w:r>
          </w:p>
          <w:p w14:paraId="3E77353C">
            <w:pPr>
              <w:tabs>
                <w:tab w:val="left" w:pos="6180"/>
              </w:tabs>
              <w:spacing w:line="360" w:lineRule="auto"/>
              <w:ind w:firstLine="482" w:firstLineChars="200"/>
              <w:jc w:val="left"/>
              <w:rPr>
                <w:color w:val="auto"/>
                <w:kern w:val="0"/>
                <w:sz w:val="24"/>
                <w:szCs w:val="20"/>
              </w:rPr>
            </w:pPr>
            <w:r>
              <w:rPr>
                <w:b/>
                <w:color w:val="auto"/>
                <w:kern w:val="0"/>
                <w:sz w:val="24"/>
                <w:szCs w:val="20"/>
              </w:rPr>
              <w:t>5、生态影响</w:t>
            </w:r>
          </w:p>
          <w:p w14:paraId="375EDC0D">
            <w:pPr>
              <w:spacing w:line="360" w:lineRule="auto"/>
              <w:ind w:firstLine="480" w:firstLineChars="200"/>
              <w:rPr>
                <w:color w:val="auto"/>
                <w:sz w:val="24"/>
                <w:szCs w:val="22"/>
              </w:rPr>
            </w:pPr>
            <w:r>
              <w:rPr>
                <w:rFonts w:hint="eastAsia"/>
                <w:color w:val="auto"/>
                <w:sz w:val="24"/>
                <w:szCs w:val="22"/>
                <w:lang w:eastAsia="zh-CN"/>
              </w:rPr>
              <w:fldChar w:fldCharType="begin"/>
            </w:r>
            <w:r>
              <w:rPr>
                <w:rFonts w:hint="eastAsia"/>
                <w:color w:val="auto"/>
                <w:sz w:val="24"/>
                <w:szCs w:val="22"/>
                <w:lang w:eastAsia="zh-CN"/>
              </w:rPr>
              <w:instrText xml:space="preserve"> = 1 \* GB2 \* MERGEFORMAT </w:instrText>
            </w:r>
            <w:r>
              <w:rPr>
                <w:rFonts w:hint="eastAsia"/>
                <w:color w:val="auto"/>
                <w:sz w:val="24"/>
                <w:szCs w:val="22"/>
                <w:lang w:eastAsia="zh-CN"/>
              </w:rPr>
              <w:fldChar w:fldCharType="separate"/>
            </w:r>
            <w:r>
              <w:t>⑴</w:t>
            </w:r>
            <w:r>
              <w:rPr>
                <w:rFonts w:hint="eastAsia"/>
                <w:color w:val="auto"/>
                <w:sz w:val="24"/>
                <w:szCs w:val="22"/>
                <w:lang w:eastAsia="zh-CN"/>
              </w:rPr>
              <w:fldChar w:fldCharType="end"/>
            </w:r>
            <w:r>
              <w:rPr>
                <w:rFonts w:hint="eastAsia"/>
                <w:color w:val="auto"/>
                <w:sz w:val="24"/>
                <w:szCs w:val="22"/>
              </w:rPr>
              <w:t>土地资源影响</w:t>
            </w:r>
          </w:p>
          <w:p w14:paraId="6E57C341">
            <w:pPr>
              <w:spacing w:line="360" w:lineRule="auto"/>
              <w:ind w:firstLine="480" w:firstLineChars="200"/>
              <w:rPr>
                <w:b/>
                <w:bCs/>
                <w:color w:val="0000FF"/>
                <w:sz w:val="20"/>
                <w:szCs w:val="20"/>
              </w:rPr>
            </w:pPr>
            <w:r>
              <w:rPr>
                <w:color w:val="auto"/>
                <w:sz w:val="24"/>
                <w:szCs w:val="22"/>
              </w:rPr>
              <w:t>项目</w:t>
            </w:r>
            <w:r>
              <w:rPr>
                <w:rFonts w:hint="eastAsia"/>
                <w:color w:val="auto"/>
                <w:sz w:val="24"/>
                <w:szCs w:val="22"/>
                <w:lang w:val="en-US" w:eastAsia="zh-CN"/>
              </w:rPr>
              <w:t>风电场</w:t>
            </w:r>
            <w:r>
              <w:rPr>
                <w:color w:val="auto"/>
                <w:sz w:val="24"/>
                <w:szCs w:val="22"/>
              </w:rPr>
              <w:t>服务年限2</w:t>
            </w:r>
            <w:r>
              <w:rPr>
                <w:rFonts w:hint="eastAsia"/>
                <w:color w:val="auto"/>
                <w:sz w:val="24"/>
                <w:szCs w:val="22"/>
                <w:lang w:val="en-US" w:eastAsia="zh-CN"/>
              </w:rPr>
              <w:t>1</w:t>
            </w:r>
            <w:r>
              <w:rPr>
                <w:color w:val="auto"/>
                <w:sz w:val="24"/>
                <w:szCs w:val="22"/>
              </w:rPr>
              <w:t>年，</w:t>
            </w:r>
            <w:r>
              <w:rPr>
                <w:rFonts w:hint="eastAsia"/>
                <w:color w:val="auto"/>
                <w:sz w:val="24"/>
              </w:rPr>
              <w:t>临时占地面积为</w:t>
            </w:r>
            <w:r>
              <w:rPr>
                <w:rFonts w:hint="eastAsia"/>
                <w:color w:val="auto"/>
                <w:sz w:val="24"/>
                <w:lang w:val="en-US" w:eastAsia="zh-CN"/>
              </w:rPr>
              <w:t>489942</w:t>
            </w:r>
            <w:r>
              <w:rPr>
                <w:color w:val="auto"/>
                <w:sz w:val="24"/>
              </w:rPr>
              <w:t>m</w:t>
            </w:r>
            <w:r>
              <w:rPr>
                <w:color w:val="auto"/>
                <w:sz w:val="24"/>
                <w:vertAlign w:val="superscript"/>
              </w:rPr>
              <w:t>2</w:t>
            </w:r>
            <w:r>
              <w:rPr>
                <w:rFonts w:hint="eastAsia"/>
                <w:color w:val="auto"/>
                <w:sz w:val="24"/>
              </w:rPr>
              <w:t>，永久占地面积为</w:t>
            </w:r>
            <w:r>
              <w:rPr>
                <w:rFonts w:hint="eastAsia"/>
                <w:color w:val="auto"/>
                <w:sz w:val="24"/>
                <w:lang w:val="en-US" w:eastAsia="zh-CN"/>
              </w:rPr>
              <w:t>5096</w:t>
            </w:r>
            <w:r>
              <w:rPr>
                <w:color w:val="auto"/>
                <w:sz w:val="24"/>
              </w:rPr>
              <w:t>m</w:t>
            </w:r>
            <w:r>
              <w:rPr>
                <w:color w:val="auto"/>
                <w:sz w:val="24"/>
                <w:vertAlign w:val="superscript"/>
              </w:rPr>
              <w:t>2</w:t>
            </w:r>
            <w:r>
              <w:rPr>
                <w:rFonts w:hint="eastAsia"/>
                <w:color w:val="auto"/>
                <w:sz w:val="24"/>
                <w:szCs w:val="22"/>
              </w:rPr>
              <w:t>。</w:t>
            </w:r>
          </w:p>
          <w:p w14:paraId="43F53517">
            <w:pPr>
              <w:autoSpaceDE w:val="0"/>
              <w:autoSpaceDN w:val="0"/>
              <w:spacing w:line="360" w:lineRule="auto"/>
              <w:ind w:firstLine="480" w:firstLineChars="200"/>
              <w:rPr>
                <w:bCs/>
                <w:color w:val="auto"/>
                <w:sz w:val="24"/>
              </w:rPr>
            </w:pPr>
            <w:r>
              <w:rPr>
                <w:rFonts w:hint="eastAsia"/>
                <w:bCs/>
                <w:color w:val="auto"/>
                <w:sz w:val="24"/>
              </w:rPr>
              <w:t>拟建</w:t>
            </w:r>
            <w:r>
              <w:rPr>
                <w:rFonts w:hint="eastAsia"/>
                <w:snapToGrid w:val="0"/>
                <w:color w:val="auto"/>
                <w:sz w:val="24"/>
              </w:rPr>
              <w:t>3</w:t>
            </w:r>
            <w:r>
              <w:rPr>
                <w:snapToGrid w:val="0"/>
                <w:color w:val="auto"/>
                <w:sz w:val="24"/>
              </w:rPr>
              <w:t>5</w:t>
            </w:r>
            <w:r>
              <w:rPr>
                <w:rFonts w:hint="eastAsia"/>
                <w:snapToGrid w:val="0"/>
                <w:color w:val="auto"/>
                <w:sz w:val="24"/>
              </w:rPr>
              <w:t>kV线路</w:t>
            </w:r>
            <w:r>
              <w:rPr>
                <w:rFonts w:hint="eastAsia"/>
                <w:bCs/>
                <w:color w:val="auto"/>
                <w:sz w:val="24"/>
              </w:rPr>
              <w:t>中架空线路塔基占地面积较小，而施工结束后塔基中间部分仍可恢复植被，对土地利用结构不会产生明显的改变。电缆基槽为临时占地，施工结束后沟道上部覆土，可进行植被恢复；架空线路单塔临时施工占地面积较小，施工期尽量保存开挖处的熟土和表层土，施工结束后按照土层顺序回填，并按照原土地利用类型进行绿化恢复。</w:t>
            </w:r>
          </w:p>
          <w:p w14:paraId="191477E7">
            <w:pPr>
              <w:spacing w:line="360" w:lineRule="auto"/>
              <w:ind w:firstLine="480" w:firstLineChars="200"/>
              <w:rPr>
                <w:color w:val="auto"/>
                <w:sz w:val="24"/>
                <w:szCs w:val="22"/>
              </w:rPr>
            </w:pPr>
            <w:r>
              <w:rPr>
                <w:color w:val="auto"/>
                <w:sz w:val="24"/>
                <w:szCs w:val="22"/>
              </w:rPr>
              <w:t>项目</w:t>
            </w:r>
            <w:r>
              <w:rPr>
                <w:rFonts w:hint="eastAsia"/>
                <w:color w:val="auto"/>
                <w:sz w:val="24"/>
                <w:szCs w:val="22"/>
              </w:rPr>
              <w:t>临时</w:t>
            </w:r>
            <w:r>
              <w:rPr>
                <w:color w:val="auto"/>
                <w:sz w:val="24"/>
                <w:szCs w:val="22"/>
              </w:rPr>
              <w:t>占地类型主要为</w:t>
            </w:r>
            <w:r>
              <w:rPr>
                <w:rFonts w:hint="eastAsia"/>
                <w:color w:val="auto"/>
                <w:sz w:val="24"/>
                <w:szCs w:val="22"/>
                <w:lang w:val="en-US" w:eastAsia="zh-CN"/>
              </w:rPr>
              <w:t>林地、其他园地、</w:t>
            </w:r>
            <w:r>
              <w:rPr>
                <w:rFonts w:hint="eastAsia"/>
                <w:color w:val="auto"/>
                <w:sz w:val="24"/>
                <w:szCs w:val="22"/>
              </w:rPr>
              <w:t>草地</w:t>
            </w:r>
            <w:r>
              <w:rPr>
                <w:color w:val="auto"/>
                <w:sz w:val="24"/>
                <w:szCs w:val="22"/>
              </w:rPr>
              <w:t>。临时占地在施工结束后按照相关规定进行生态恢复，这种影响是短期暂时、可逆的</w:t>
            </w:r>
            <w:r>
              <w:rPr>
                <w:rFonts w:hint="eastAsia"/>
                <w:color w:val="auto"/>
                <w:sz w:val="24"/>
                <w:szCs w:val="22"/>
              </w:rPr>
              <w:t>；永久占地面积较小，且占地类型为建设用地不改变占地类型，</w:t>
            </w:r>
            <w:r>
              <w:rPr>
                <w:color w:val="auto"/>
                <w:sz w:val="24"/>
                <w:szCs w:val="22"/>
              </w:rPr>
              <w:t>对评价区土地利用结构影响较小。</w:t>
            </w:r>
          </w:p>
          <w:p w14:paraId="3513F8EC">
            <w:pPr>
              <w:spacing w:line="360" w:lineRule="auto"/>
              <w:ind w:firstLine="480" w:firstLineChars="200"/>
              <w:rPr>
                <w:color w:val="auto"/>
                <w:kern w:val="0"/>
                <w:sz w:val="24"/>
                <w:szCs w:val="20"/>
              </w:rPr>
            </w:pPr>
            <w:r>
              <w:rPr>
                <w:rFonts w:hint="eastAsia"/>
                <w:color w:val="auto"/>
                <w:kern w:val="0"/>
                <w:sz w:val="24"/>
                <w:szCs w:val="20"/>
                <w:lang w:eastAsia="zh-CN"/>
              </w:rPr>
              <w:fldChar w:fldCharType="begin"/>
            </w:r>
            <w:r>
              <w:rPr>
                <w:rFonts w:hint="eastAsia"/>
                <w:color w:val="auto"/>
                <w:kern w:val="0"/>
                <w:sz w:val="24"/>
                <w:szCs w:val="20"/>
                <w:lang w:eastAsia="zh-CN"/>
              </w:rPr>
              <w:instrText xml:space="preserve"> = 2 \* GB2 \* MERGEFORMAT </w:instrText>
            </w:r>
            <w:r>
              <w:rPr>
                <w:rFonts w:hint="eastAsia"/>
                <w:color w:val="auto"/>
                <w:kern w:val="0"/>
                <w:sz w:val="24"/>
                <w:szCs w:val="20"/>
                <w:lang w:eastAsia="zh-CN"/>
              </w:rPr>
              <w:fldChar w:fldCharType="separate"/>
            </w:r>
            <w:r>
              <w:t>⑵</w:t>
            </w:r>
            <w:r>
              <w:rPr>
                <w:rFonts w:hint="eastAsia"/>
                <w:color w:val="auto"/>
                <w:kern w:val="0"/>
                <w:sz w:val="24"/>
                <w:szCs w:val="20"/>
                <w:lang w:eastAsia="zh-CN"/>
              </w:rPr>
              <w:fldChar w:fldCharType="end"/>
            </w:r>
            <w:r>
              <w:rPr>
                <w:rFonts w:hint="eastAsia"/>
                <w:color w:val="auto"/>
                <w:kern w:val="0"/>
                <w:sz w:val="24"/>
                <w:szCs w:val="20"/>
              </w:rPr>
              <w:t>土壤影响分析</w:t>
            </w:r>
          </w:p>
          <w:p w14:paraId="5F2C3C21">
            <w:pPr>
              <w:spacing w:line="360" w:lineRule="auto"/>
              <w:ind w:firstLine="525"/>
              <w:rPr>
                <w:color w:val="auto"/>
                <w:kern w:val="0"/>
                <w:sz w:val="24"/>
                <w:szCs w:val="20"/>
              </w:rPr>
            </w:pPr>
            <w:r>
              <w:rPr>
                <w:color w:val="auto"/>
                <w:kern w:val="0"/>
                <w:sz w:val="24"/>
                <w:szCs w:val="20"/>
              </w:rPr>
              <w:t>施工期对土壤的影响主要是</w:t>
            </w:r>
            <w:r>
              <w:rPr>
                <w:rFonts w:hint="eastAsia"/>
                <w:color w:val="auto"/>
                <w:kern w:val="0"/>
                <w:sz w:val="24"/>
                <w:szCs w:val="20"/>
                <w:lang w:val="en-US" w:eastAsia="zh-CN"/>
              </w:rPr>
              <w:t>进站</w:t>
            </w:r>
            <w:r>
              <w:rPr>
                <w:rFonts w:hint="eastAsia"/>
                <w:color w:val="auto"/>
                <w:kern w:val="0"/>
                <w:sz w:val="24"/>
                <w:szCs w:val="20"/>
              </w:rPr>
              <w:t>道路</w:t>
            </w:r>
            <w:r>
              <w:rPr>
                <w:color w:val="auto"/>
                <w:kern w:val="0"/>
                <w:sz w:val="24"/>
                <w:szCs w:val="20"/>
              </w:rPr>
              <w:t>、集电线路等工程施工</w:t>
            </w:r>
            <w:r>
              <w:rPr>
                <w:rFonts w:hint="eastAsia"/>
                <w:color w:val="auto"/>
                <w:kern w:val="0"/>
                <w:sz w:val="24"/>
                <w:szCs w:val="20"/>
              </w:rPr>
              <w:t>挖损</w:t>
            </w:r>
            <w:r>
              <w:rPr>
                <w:color w:val="auto"/>
                <w:kern w:val="0"/>
                <w:sz w:val="24"/>
                <w:szCs w:val="20"/>
              </w:rPr>
              <w:t>、占压造成土壤破坏和对土壤表层的剥离，</w:t>
            </w:r>
            <w:r>
              <w:rPr>
                <w:rFonts w:hint="eastAsia"/>
                <w:color w:val="auto"/>
                <w:kern w:val="0"/>
                <w:sz w:val="24"/>
                <w:szCs w:val="20"/>
              </w:rPr>
              <w:t>各</w:t>
            </w:r>
            <w:r>
              <w:rPr>
                <w:color w:val="auto"/>
                <w:kern w:val="0"/>
                <w:sz w:val="24"/>
                <w:szCs w:val="20"/>
              </w:rPr>
              <w:t>工程影响</w:t>
            </w:r>
            <w:r>
              <w:rPr>
                <w:rFonts w:hint="eastAsia"/>
                <w:color w:val="auto"/>
                <w:kern w:val="0"/>
                <w:sz w:val="24"/>
                <w:szCs w:val="20"/>
              </w:rPr>
              <w:t>方式</w:t>
            </w:r>
            <w:r>
              <w:rPr>
                <w:color w:val="auto"/>
                <w:kern w:val="0"/>
                <w:sz w:val="24"/>
                <w:szCs w:val="20"/>
              </w:rPr>
              <w:t>和影响程度相似，</w:t>
            </w:r>
            <w:r>
              <w:rPr>
                <w:rFonts w:hint="eastAsia"/>
                <w:color w:val="auto"/>
                <w:kern w:val="0"/>
                <w:sz w:val="24"/>
                <w:szCs w:val="20"/>
              </w:rPr>
              <w:t>本次</w:t>
            </w:r>
            <w:r>
              <w:rPr>
                <w:color w:val="auto"/>
                <w:kern w:val="0"/>
                <w:sz w:val="24"/>
                <w:szCs w:val="20"/>
              </w:rPr>
              <w:t>一并分析</w:t>
            </w:r>
            <w:r>
              <w:rPr>
                <w:rFonts w:hint="eastAsia"/>
                <w:color w:val="auto"/>
                <w:kern w:val="0"/>
                <w:sz w:val="24"/>
                <w:szCs w:val="20"/>
              </w:rPr>
              <w:t>。</w:t>
            </w:r>
          </w:p>
          <w:p w14:paraId="281C629B">
            <w:pPr>
              <w:spacing w:line="360" w:lineRule="auto"/>
              <w:ind w:firstLine="525"/>
              <w:rPr>
                <w:color w:val="auto"/>
                <w:kern w:val="0"/>
                <w:sz w:val="24"/>
                <w:szCs w:val="20"/>
              </w:rPr>
            </w:pPr>
            <w:r>
              <w:rPr>
                <w:color w:val="auto"/>
                <w:kern w:val="0"/>
                <w:sz w:val="24"/>
                <w:szCs w:val="20"/>
              </w:rPr>
              <w:t>由于挖方堆放、填方取土、土层扰乱以及对土壤肥力和性质的破坏，使占地区土壤失去其原有植物生长能力。</w:t>
            </w:r>
            <w:r>
              <w:rPr>
                <w:rFonts w:hint="eastAsia"/>
                <w:color w:val="auto"/>
                <w:kern w:val="0"/>
                <w:sz w:val="24"/>
                <w:szCs w:val="20"/>
              </w:rPr>
              <w:t>场内</w:t>
            </w:r>
            <w:r>
              <w:rPr>
                <w:color w:val="auto"/>
                <w:kern w:val="0"/>
                <w:sz w:val="24"/>
                <w:szCs w:val="20"/>
              </w:rPr>
              <w:t>道路对土壤影响较大；临时占地通过待用地结束后可逐步恢复为原有土地功能，对土壤影响相对较小。</w:t>
            </w:r>
          </w:p>
          <w:p w14:paraId="3F8CC716">
            <w:pPr>
              <w:spacing w:line="360" w:lineRule="auto"/>
              <w:ind w:firstLine="480" w:firstLineChars="200"/>
              <w:rPr>
                <w:color w:val="auto"/>
                <w:kern w:val="0"/>
                <w:sz w:val="24"/>
                <w:szCs w:val="20"/>
              </w:rPr>
            </w:pPr>
            <w:r>
              <w:rPr>
                <w:color w:val="auto"/>
                <w:kern w:val="0"/>
                <w:sz w:val="24"/>
                <w:szCs w:val="20"/>
              </w:rPr>
              <w:t>项目土地利用类型现状以</w:t>
            </w:r>
            <w:r>
              <w:rPr>
                <w:rFonts w:hint="eastAsia"/>
                <w:color w:val="auto"/>
                <w:kern w:val="0"/>
                <w:sz w:val="24"/>
                <w:szCs w:val="20"/>
                <w:lang w:val="en-US" w:eastAsia="zh-CN"/>
              </w:rPr>
              <w:t>林地、</w:t>
            </w:r>
            <w:r>
              <w:rPr>
                <w:rFonts w:hint="eastAsia"/>
                <w:color w:val="auto"/>
                <w:kern w:val="0"/>
                <w:sz w:val="24"/>
                <w:szCs w:val="20"/>
              </w:rPr>
              <w:t>草地</w:t>
            </w:r>
            <w:r>
              <w:rPr>
                <w:color w:val="auto"/>
                <w:kern w:val="0"/>
                <w:sz w:val="24"/>
                <w:szCs w:val="20"/>
              </w:rPr>
              <w:t>为主，在土石方开挖、回填过程中，应对表层土实行分层堆放和分层回填，此外施工时必须对固体废物实施管理措施，进行统一回收和处置，不得随意抛撒。</w:t>
            </w:r>
          </w:p>
          <w:p w14:paraId="6E854CEA">
            <w:pPr>
              <w:spacing w:line="360" w:lineRule="auto"/>
              <w:ind w:firstLine="480" w:firstLineChars="200"/>
              <w:rPr>
                <w:b/>
                <w:color w:val="auto"/>
                <w:kern w:val="0"/>
                <w:sz w:val="24"/>
                <w:szCs w:val="22"/>
              </w:rPr>
            </w:pPr>
            <w:r>
              <w:rPr>
                <w:rFonts w:hint="eastAsia"/>
                <w:color w:val="auto"/>
                <w:kern w:val="0"/>
                <w:sz w:val="24"/>
                <w:szCs w:val="20"/>
                <w:lang w:eastAsia="zh-CN"/>
              </w:rPr>
              <w:fldChar w:fldCharType="begin"/>
            </w:r>
            <w:r>
              <w:rPr>
                <w:rFonts w:hint="eastAsia"/>
                <w:color w:val="auto"/>
                <w:kern w:val="0"/>
                <w:sz w:val="24"/>
                <w:szCs w:val="20"/>
                <w:lang w:eastAsia="zh-CN"/>
              </w:rPr>
              <w:instrText xml:space="preserve"> = 3 \* GB2 \* MERGEFORMAT </w:instrText>
            </w:r>
            <w:r>
              <w:rPr>
                <w:rFonts w:hint="eastAsia"/>
                <w:color w:val="auto"/>
                <w:kern w:val="0"/>
                <w:sz w:val="24"/>
                <w:szCs w:val="20"/>
                <w:lang w:eastAsia="zh-CN"/>
              </w:rPr>
              <w:fldChar w:fldCharType="separate"/>
            </w:r>
            <w:r>
              <w:t>⑶</w:t>
            </w:r>
            <w:r>
              <w:rPr>
                <w:rFonts w:hint="eastAsia"/>
                <w:color w:val="auto"/>
                <w:kern w:val="0"/>
                <w:sz w:val="24"/>
                <w:szCs w:val="20"/>
                <w:lang w:eastAsia="zh-CN"/>
              </w:rPr>
              <w:fldChar w:fldCharType="end"/>
            </w:r>
            <w:r>
              <w:rPr>
                <w:color w:val="auto"/>
                <w:kern w:val="0"/>
                <w:sz w:val="24"/>
                <w:szCs w:val="22"/>
              </w:rPr>
              <w:t>植物及植被影响分析</w:t>
            </w:r>
          </w:p>
          <w:p w14:paraId="25C82F79">
            <w:pPr>
              <w:spacing w:line="360" w:lineRule="auto"/>
              <w:ind w:firstLine="480" w:firstLineChars="200"/>
              <w:rPr>
                <w:color w:val="auto"/>
                <w:sz w:val="24"/>
              </w:rPr>
            </w:pPr>
            <w:r>
              <w:rPr>
                <w:rFonts w:hint="eastAsia" w:ascii="宋体" w:hAnsi="宋体"/>
                <w:color w:val="auto"/>
                <w:sz w:val="24"/>
              </w:rPr>
              <w:t>工程建设过程剥离、清理及占压施工区的植被，将造成占地范围内原有植被的</w:t>
            </w:r>
            <w:r>
              <w:rPr>
                <w:rFonts w:hint="eastAsia" w:ascii="宋体" w:hAnsi="宋体"/>
                <w:color w:val="auto"/>
                <w:sz w:val="24"/>
                <w:lang w:val="de-DE"/>
              </w:rPr>
              <w:t>生物量损</w:t>
            </w:r>
            <w:r>
              <w:rPr>
                <w:color w:val="auto"/>
                <w:sz w:val="24"/>
                <w:lang w:val="de-DE"/>
              </w:rPr>
              <w:t>失</w:t>
            </w:r>
            <w:r>
              <w:rPr>
                <w:color w:val="auto"/>
                <w:sz w:val="24"/>
              </w:rPr>
              <w:t>。道路工程的建设将</w:t>
            </w:r>
            <w:r>
              <w:rPr>
                <w:rFonts w:hint="eastAsia"/>
                <w:color w:val="auto"/>
                <w:sz w:val="24"/>
              </w:rPr>
              <w:t>造成</w:t>
            </w:r>
            <w:r>
              <w:rPr>
                <w:color w:val="auto"/>
                <w:sz w:val="24"/>
              </w:rPr>
              <w:t>道路工程占地范围内全部生物量的损失</w:t>
            </w:r>
            <w:r>
              <w:rPr>
                <w:rFonts w:hint="eastAsia"/>
                <w:color w:val="auto"/>
                <w:sz w:val="24"/>
              </w:rPr>
              <w:t>；35kV集电线路</w:t>
            </w:r>
            <w:r>
              <w:rPr>
                <w:color w:val="auto"/>
                <w:sz w:val="24"/>
              </w:rPr>
              <w:t>建设过程中将</w:t>
            </w:r>
            <w:r>
              <w:rPr>
                <w:rFonts w:hint="eastAsia"/>
                <w:color w:val="auto"/>
                <w:sz w:val="24"/>
              </w:rPr>
              <w:t>造成</w:t>
            </w:r>
            <w:r>
              <w:rPr>
                <w:color w:val="auto"/>
                <w:sz w:val="24"/>
              </w:rPr>
              <w:t>工程占地范围内全部生物量的损失</w:t>
            </w:r>
            <w:r>
              <w:rPr>
                <w:rFonts w:hint="eastAsia"/>
                <w:color w:val="auto"/>
                <w:sz w:val="24"/>
              </w:rPr>
              <w:t>。</w:t>
            </w:r>
            <w:r>
              <w:rPr>
                <w:color w:val="auto"/>
                <w:sz w:val="24"/>
              </w:rPr>
              <w:t>总体看来，</w:t>
            </w:r>
            <w:r>
              <w:rPr>
                <w:rFonts w:hint="eastAsia"/>
                <w:color w:val="auto"/>
                <w:sz w:val="24"/>
              </w:rPr>
              <w:t>项目</w:t>
            </w:r>
            <w:r>
              <w:rPr>
                <w:color w:val="auto"/>
                <w:sz w:val="24"/>
              </w:rPr>
              <w:t>建设会对评价区现有生物量造成一定程度的破坏，建成后</w:t>
            </w:r>
            <w:r>
              <w:rPr>
                <w:rFonts w:hint="eastAsia"/>
                <w:color w:val="auto"/>
                <w:sz w:val="24"/>
              </w:rPr>
              <w:t>随着施工</w:t>
            </w:r>
            <w:r>
              <w:rPr>
                <w:color w:val="auto"/>
                <w:sz w:val="24"/>
              </w:rPr>
              <w:t>营地、</w:t>
            </w:r>
            <w:r>
              <w:rPr>
                <w:rFonts w:hint="eastAsia"/>
                <w:color w:val="auto"/>
                <w:sz w:val="24"/>
              </w:rPr>
              <w:t>35kV集电线路</w:t>
            </w:r>
            <w:r>
              <w:rPr>
                <w:color w:val="auto"/>
                <w:sz w:val="24"/>
              </w:rPr>
              <w:t>等</w:t>
            </w:r>
            <w:r>
              <w:rPr>
                <w:rFonts w:hint="eastAsia"/>
                <w:color w:val="auto"/>
                <w:sz w:val="24"/>
              </w:rPr>
              <w:t>临时占地的恢复</w:t>
            </w:r>
            <w:r>
              <w:rPr>
                <w:color w:val="auto"/>
                <w:sz w:val="24"/>
              </w:rPr>
              <w:t>，能够对区域生物量起到补偿作用，总体来看，随着生态恢复和植被恢复措施的实施生物量</w:t>
            </w:r>
            <w:r>
              <w:rPr>
                <w:rFonts w:hint="eastAsia"/>
                <w:color w:val="auto"/>
                <w:sz w:val="24"/>
              </w:rPr>
              <w:t>损失较小</w:t>
            </w:r>
            <w:r>
              <w:rPr>
                <w:color w:val="auto"/>
                <w:sz w:val="24"/>
              </w:rPr>
              <w:t>。</w:t>
            </w:r>
          </w:p>
          <w:p w14:paraId="27C6176C">
            <w:pPr>
              <w:spacing w:line="360" w:lineRule="auto"/>
              <w:ind w:firstLine="480" w:firstLineChars="200"/>
              <w:rPr>
                <w:rFonts w:ascii="宋体" w:hAnsi="宋体"/>
                <w:color w:val="auto"/>
                <w:sz w:val="24"/>
              </w:rPr>
            </w:pPr>
            <w:bookmarkStart w:id="4" w:name="_Toc259129179"/>
            <w:bookmarkStart w:id="5" w:name="_Toc259104951"/>
            <w:bookmarkStart w:id="6" w:name="_Toc259130546"/>
            <w:bookmarkStart w:id="7" w:name="_Toc259104271"/>
            <w:r>
              <w:rPr>
                <w:color w:val="auto"/>
                <w:sz w:val="24"/>
              </w:rPr>
              <w:t>施工占地会</w:t>
            </w:r>
            <w:bookmarkEnd w:id="4"/>
            <w:bookmarkEnd w:id="5"/>
            <w:bookmarkEnd w:id="6"/>
            <w:bookmarkEnd w:id="7"/>
            <w:r>
              <w:rPr>
                <w:color w:val="auto"/>
                <w:sz w:val="24"/>
              </w:rPr>
              <w:t>对植物造成一定程度的破坏，受影响的</w:t>
            </w:r>
            <w:r>
              <w:rPr>
                <w:rFonts w:ascii="宋体" w:hAnsi="宋体"/>
                <w:color w:val="auto"/>
                <w:sz w:val="24"/>
              </w:rPr>
              <w:t>物种在</w:t>
            </w:r>
            <w:r>
              <w:rPr>
                <w:rFonts w:hint="eastAsia" w:ascii="宋体" w:hAnsi="宋体"/>
                <w:color w:val="auto"/>
                <w:sz w:val="24"/>
              </w:rPr>
              <w:t>评价区</w:t>
            </w:r>
            <w:r>
              <w:rPr>
                <w:rFonts w:ascii="宋体" w:hAnsi="宋体"/>
                <w:color w:val="auto"/>
                <w:sz w:val="24"/>
              </w:rPr>
              <w:t>广泛分布</w:t>
            </w:r>
            <w:r>
              <w:rPr>
                <w:rFonts w:hint="eastAsia" w:ascii="宋体" w:hAnsi="宋体"/>
                <w:color w:val="auto"/>
                <w:sz w:val="24"/>
              </w:rPr>
              <w:t>，</w:t>
            </w:r>
            <w:r>
              <w:rPr>
                <w:rFonts w:ascii="宋体" w:hAnsi="宋体"/>
                <w:color w:val="auto"/>
                <w:sz w:val="24"/>
              </w:rPr>
              <w:t>对评价区及流域物种在分布状况和种群生长影响不大。</w:t>
            </w:r>
            <w:r>
              <w:rPr>
                <w:rFonts w:hint="eastAsia" w:ascii="宋体" w:hAnsi="宋体"/>
                <w:color w:val="auto"/>
                <w:sz w:val="24"/>
              </w:rPr>
              <w:t>评价区主要种群均为常见广布种，无特殊种群，</w:t>
            </w:r>
            <w:r>
              <w:rPr>
                <w:rFonts w:ascii="宋体" w:hAnsi="宋体"/>
                <w:color w:val="auto"/>
                <w:sz w:val="24"/>
              </w:rPr>
              <w:t>施工结束后，采取植物</w:t>
            </w:r>
            <w:r>
              <w:rPr>
                <w:rFonts w:hint="eastAsia" w:ascii="宋体" w:hAnsi="宋体"/>
                <w:color w:val="auto"/>
                <w:sz w:val="24"/>
              </w:rPr>
              <w:t>恢复等生态</w:t>
            </w:r>
            <w:r>
              <w:rPr>
                <w:rFonts w:ascii="宋体" w:hAnsi="宋体"/>
                <w:color w:val="auto"/>
                <w:sz w:val="24"/>
              </w:rPr>
              <w:t>措施</w:t>
            </w:r>
            <w:r>
              <w:rPr>
                <w:rFonts w:hint="eastAsia" w:ascii="宋体" w:hAnsi="宋体"/>
                <w:color w:val="auto"/>
                <w:sz w:val="24"/>
              </w:rPr>
              <w:t>后</w:t>
            </w:r>
            <w:r>
              <w:rPr>
                <w:rFonts w:ascii="宋体" w:hAnsi="宋体"/>
                <w:color w:val="auto"/>
                <w:sz w:val="24"/>
              </w:rPr>
              <w:t>，可将工程对植物的影响降至最低。</w:t>
            </w:r>
          </w:p>
          <w:p w14:paraId="3B4F8F8A">
            <w:pPr>
              <w:spacing w:line="360" w:lineRule="auto"/>
              <w:ind w:firstLine="480" w:firstLineChars="200"/>
              <w:rPr>
                <w:color w:val="auto"/>
                <w:kern w:val="0"/>
                <w:sz w:val="24"/>
                <w:szCs w:val="22"/>
              </w:rPr>
            </w:pPr>
            <w:r>
              <w:rPr>
                <w:color w:val="auto"/>
                <w:kern w:val="0"/>
                <w:sz w:val="24"/>
                <w:szCs w:val="22"/>
              </w:rPr>
              <w:t>施工过程中的开挖、弃渣堆放等工程活动，将剥离、清理及占压占地范围内的原有植被；施工人员的践踏、施工车辆和机具的碾压也将造成原有植被受到不同程度的破坏甚至死亡。此外</w:t>
            </w:r>
            <w:r>
              <w:rPr>
                <w:rFonts w:hint="eastAsia"/>
                <w:color w:val="auto"/>
                <w:kern w:val="0"/>
                <w:sz w:val="24"/>
                <w:szCs w:val="22"/>
              </w:rPr>
              <w:t>场内</w:t>
            </w:r>
            <w:r>
              <w:rPr>
                <w:color w:val="auto"/>
                <w:kern w:val="0"/>
                <w:sz w:val="24"/>
                <w:szCs w:val="22"/>
              </w:rPr>
              <w:t>道路的建设工程中，也将清除压占宽度4～5m的</w:t>
            </w:r>
            <w:r>
              <w:rPr>
                <w:rFonts w:hint="eastAsia"/>
                <w:color w:val="auto"/>
                <w:kern w:val="0"/>
                <w:sz w:val="24"/>
                <w:szCs w:val="22"/>
                <w:lang w:eastAsia="zh-CN"/>
              </w:rPr>
              <w:t>地表植被</w:t>
            </w:r>
            <w:r>
              <w:rPr>
                <w:color w:val="auto"/>
                <w:kern w:val="0"/>
                <w:sz w:val="24"/>
                <w:szCs w:val="22"/>
              </w:rPr>
              <w:t>，受破坏植物主要为</w:t>
            </w:r>
            <w:r>
              <w:rPr>
                <w:rFonts w:hint="eastAsia"/>
                <w:color w:val="auto"/>
                <w:kern w:val="0"/>
                <w:sz w:val="24"/>
                <w:szCs w:val="22"/>
                <w:lang w:val="en-US" w:eastAsia="zh-CN"/>
              </w:rPr>
              <w:t>灌木林地、</w:t>
            </w:r>
            <w:r>
              <w:rPr>
                <w:rFonts w:hint="eastAsia"/>
                <w:color w:val="auto"/>
                <w:kern w:val="0"/>
                <w:sz w:val="24"/>
                <w:szCs w:val="22"/>
              </w:rPr>
              <w:t>天然草地及园地</w:t>
            </w:r>
            <w:r>
              <w:rPr>
                <w:color w:val="auto"/>
                <w:kern w:val="0"/>
                <w:sz w:val="24"/>
                <w:szCs w:val="22"/>
              </w:rPr>
              <w:t>，</w:t>
            </w:r>
            <w:r>
              <w:rPr>
                <w:rFonts w:hint="eastAsia"/>
                <w:color w:val="auto"/>
                <w:kern w:val="0"/>
                <w:sz w:val="24"/>
                <w:szCs w:val="22"/>
                <w:lang w:val="en-US" w:eastAsia="zh-CN"/>
              </w:rPr>
              <w:t>灌木林地构树</w:t>
            </w:r>
            <w:r>
              <w:rPr>
                <w:color w:val="auto"/>
                <w:kern w:val="0"/>
                <w:sz w:val="24"/>
                <w:szCs w:val="22"/>
              </w:rPr>
              <w:t>、刺槐等</w:t>
            </w:r>
            <w:r>
              <w:rPr>
                <w:rFonts w:hint="eastAsia"/>
                <w:color w:val="auto"/>
                <w:kern w:val="0"/>
                <w:sz w:val="24"/>
                <w:szCs w:val="22"/>
                <w:lang w:eastAsia="zh-CN"/>
              </w:rPr>
              <w:t>，</w:t>
            </w:r>
            <w:r>
              <w:rPr>
                <w:rFonts w:hint="eastAsia"/>
                <w:color w:val="auto"/>
                <w:kern w:val="0"/>
                <w:sz w:val="24"/>
                <w:szCs w:val="22"/>
              </w:rPr>
              <w:t>园地</w:t>
            </w:r>
            <w:r>
              <w:rPr>
                <w:color w:val="auto"/>
                <w:kern w:val="0"/>
                <w:sz w:val="24"/>
                <w:szCs w:val="22"/>
              </w:rPr>
              <w:t>主要的植物物种</w:t>
            </w:r>
            <w:r>
              <w:rPr>
                <w:rFonts w:hint="eastAsia"/>
                <w:color w:val="auto"/>
                <w:kern w:val="0"/>
                <w:sz w:val="24"/>
                <w:szCs w:val="22"/>
              </w:rPr>
              <w:t>为</w:t>
            </w:r>
            <w:r>
              <w:rPr>
                <w:color w:val="auto"/>
                <w:kern w:val="0"/>
                <w:sz w:val="24"/>
                <w:szCs w:val="22"/>
              </w:rPr>
              <w:t>核桃</w:t>
            </w:r>
            <w:r>
              <w:rPr>
                <w:rFonts w:hint="eastAsia"/>
                <w:color w:val="auto"/>
                <w:kern w:val="0"/>
                <w:sz w:val="24"/>
                <w:szCs w:val="22"/>
              </w:rPr>
              <w:t>、天然草地主要的植物物种为</w:t>
            </w:r>
            <w:r>
              <w:rPr>
                <w:color w:val="auto"/>
                <w:kern w:val="0"/>
                <w:sz w:val="24"/>
                <w:szCs w:val="22"/>
              </w:rPr>
              <w:t>狗尾草、白羊草等</w:t>
            </w:r>
            <w:r>
              <w:rPr>
                <w:rFonts w:hint="eastAsia"/>
                <w:color w:val="auto"/>
                <w:kern w:val="0"/>
                <w:sz w:val="24"/>
                <w:szCs w:val="22"/>
              </w:rPr>
              <w:t>，</w:t>
            </w:r>
            <w:r>
              <w:rPr>
                <w:color w:val="auto"/>
                <w:kern w:val="0"/>
                <w:sz w:val="24"/>
                <w:szCs w:val="22"/>
              </w:rPr>
              <w:t>均为</w:t>
            </w:r>
            <w:r>
              <w:rPr>
                <w:rFonts w:hint="eastAsia"/>
                <w:color w:val="auto"/>
                <w:kern w:val="0"/>
                <w:sz w:val="24"/>
                <w:szCs w:val="22"/>
              </w:rPr>
              <w:t>区域</w:t>
            </w:r>
            <w:r>
              <w:rPr>
                <w:color w:val="auto"/>
                <w:kern w:val="0"/>
                <w:sz w:val="24"/>
                <w:szCs w:val="22"/>
              </w:rPr>
              <w:t>广布种，无珍稀保护植物，项目建设对区域及流域</w:t>
            </w:r>
            <w:r>
              <w:rPr>
                <w:rFonts w:hint="eastAsia"/>
                <w:color w:val="auto"/>
                <w:kern w:val="0"/>
                <w:sz w:val="24"/>
                <w:szCs w:val="22"/>
                <w:lang w:eastAsia="zh-CN"/>
              </w:rPr>
              <w:t>物种</w:t>
            </w:r>
            <w:r>
              <w:rPr>
                <w:color w:val="auto"/>
                <w:kern w:val="0"/>
                <w:sz w:val="24"/>
                <w:szCs w:val="22"/>
              </w:rPr>
              <w:t>分布状况和种群生长影响不大。</w:t>
            </w:r>
          </w:p>
          <w:p w14:paraId="57137068">
            <w:pPr>
              <w:spacing w:line="360" w:lineRule="auto"/>
              <w:ind w:firstLine="480" w:firstLineChars="200"/>
              <w:rPr>
                <w:color w:val="auto"/>
                <w:kern w:val="0"/>
                <w:sz w:val="24"/>
                <w:szCs w:val="20"/>
              </w:rPr>
            </w:pPr>
            <w:r>
              <w:rPr>
                <w:color w:val="auto"/>
                <w:kern w:val="0"/>
                <w:sz w:val="24"/>
                <w:szCs w:val="22"/>
              </w:rPr>
              <w:t>评价要求项目施工结束后及时采取植被恢复措施，降低工程对植被的影响。随着人工植树种草</w:t>
            </w:r>
            <w:r>
              <w:rPr>
                <w:rFonts w:hint="eastAsia"/>
                <w:color w:val="auto"/>
                <w:kern w:val="0"/>
                <w:sz w:val="24"/>
                <w:szCs w:val="22"/>
              </w:rPr>
              <w:t>的实施</w:t>
            </w:r>
            <w:r>
              <w:rPr>
                <w:color w:val="auto"/>
                <w:kern w:val="0"/>
                <w:sz w:val="24"/>
                <w:szCs w:val="22"/>
              </w:rPr>
              <w:t>，上述扰动破坏植被大部分在一定时间内可得到恢复。总体看来工程对当地植被的影响较小。</w:t>
            </w:r>
          </w:p>
          <w:p w14:paraId="578CA953">
            <w:pPr>
              <w:spacing w:line="360" w:lineRule="auto"/>
              <w:ind w:firstLine="480" w:firstLineChars="200"/>
              <w:rPr>
                <w:color w:val="auto"/>
                <w:kern w:val="0"/>
                <w:sz w:val="24"/>
                <w:szCs w:val="20"/>
              </w:rPr>
            </w:pPr>
            <w:r>
              <w:rPr>
                <w:rFonts w:hint="eastAsia"/>
                <w:color w:val="auto"/>
                <w:kern w:val="0"/>
                <w:sz w:val="24"/>
                <w:szCs w:val="20"/>
                <w:lang w:eastAsia="zh-CN"/>
              </w:rPr>
              <w:fldChar w:fldCharType="begin"/>
            </w:r>
            <w:r>
              <w:rPr>
                <w:rFonts w:hint="eastAsia"/>
                <w:color w:val="auto"/>
                <w:kern w:val="0"/>
                <w:sz w:val="24"/>
                <w:szCs w:val="20"/>
                <w:lang w:eastAsia="zh-CN"/>
              </w:rPr>
              <w:instrText xml:space="preserve"> = 4 \* GB2 \* MERGEFORMAT </w:instrText>
            </w:r>
            <w:r>
              <w:rPr>
                <w:rFonts w:hint="eastAsia"/>
                <w:color w:val="auto"/>
                <w:kern w:val="0"/>
                <w:sz w:val="24"/>
                <w:szCs w:val="20"/>
                <w:lang w:eastAsia="zh-CN"/>
              </w:rPr>
              <w:fldChar w:fldCharType="separate"/>
            </w:r>
            <w:r>
              <w:t>⑷</w:t>
            </w:r>
            <w:r>
              <w:rPr>
                <w:rFonts w:hint="eastAsia"/>
                <w:color w:val="auto"/>
                <w:kern w:val="0"/>
                <w:sz w:val="24"/>
                <w:szCs w:val="20"/>
                <w:lang w:eastAsia="zh-CN"/>
              </w:rPr>
              <w:fldChar w:fldCharType="end"/>
            </w:r>
            <w:r>
              <w:rPr>
                <w:color w:val="auto"/>
                <w:kern w:val="0"/>
                <w:sz w:val="24"/>
                <w:szCs w:val="22"/>
              </w:rPr>
              <w:t>动物影响分析</w:t>
            </w:r>
          </w:p>
          <w:p w14:paraId="490D13CA">
            <w:pPr>
              <w:spacing w:line="360" w:lineRule="auto"/>
              <w:ind w:firstLine="480" w:firstLineChars="200"/>
              <w:rPr>
                <w:color w:val="auto"/>
                <w:kern w:val="0"/>
                <w:sz w:val="24"/>
                <w:szCs w:val="22"/>
              </w:rPr>
            </w:pPr>
            <w:r>
              <w:rPr>
                <w:color w:val="auto"/>
                <w:kern w:val="0"/>
                <w:sz w:val="24"/>
                <w:szCs w:val="22"/>
              </w:rPr>
              <w:t>受人类活动影响，</w:t>
            </w:r>
            <w:r>
              <w:rPr>
                <w:rFonts w:hint="eastAsia"/>
                <w:color w:val="auto"/>
                <w:kern w:val="0"/>
                <w:sz w:val="24"/>
                <w:szCs w:val="22"/>
              </w:rPr>
              <w:t>项目占地</w:t>
            </w:r>
            <w:r>
              <w:rPr>
                <w:color w:val="auto"/>
                <w:kern w:val="0"/>
                <w:sz w:val="24"/>
                <w:szCs w:val="22"/>
              </w:rPr>
              <w:t>区域及周边大型兽类已不多见，现状调查记录到的野生动物主要为鸟类</w:t>
            </w:r>
            <w:r>
              <w:rPr>
                <w:rFonts w:hint="eastAsia"/>
                <w:color w:val="auto"/>
                <w:kern w:val="0"/>
                <w:sz w:val="24"/>
                <w:szCs w:val="22"/>
                <w:lang w:eastAsia="zh-CN"/>
              </w:rPr>
              <w:t>，</w:t>
            </w:r>
            <w:r>
              <w:rPr>
                <w:rFonts w:hint="eastAsia"/>
                <w:color w:val="auto"/>
                <w:kern w:val="0"/>
                <w:sz w:val="24"/>
                <w:szCs w:val="22"/>
                <w:lang w:val="en-US" w:eastAsia="zh-CN"/>
              </w:rPr>
              <w:t>例如乌鸦、喜鹊、家燕、画眉等</w:t>
            </w:r>
            <w:r>
              <w:rPr>
                <w:rFonts w:hint="eastAsia"/>
                <w:color w:val="auto"/>
                <w:kern w:val="0"/>
                <w:sz w:val="24"/>
                <w:szCs w:val="22"/>
                <w:lang w:eastAsia="zh-CN"/>
              </w:rPr>
              <w:t>；</w:t>
            </w:r>
            <w:r>
              <w:rPr>
                <w:rFonts w:hint="eastAsia"/>
                <w:color w:val="auto"/>
                <w:kern w:val="0"/>
                <w:sz w:val="24"/>
                <w:szCs w:val="22"/>
                <w:lang w:val="en-US" w:eastAsia="zh-CN"/>
              </w:rPr>
              <w:t>小型兽类，例如家鼠、兔、松鼠</w:t>
            </w:r>
            <w:r>
              <w:rPr>
                <w:color w:val="auto"/>
                <w:kern w:val="0"/>
                <w:sz w:val="24"/>
                <w:szCs w:val="22"/>
              </w:rPr>
              <w:t>类。现对各类动物影响分析如下：</w:t>
            </w:r>
          </w:p>
          <w:p w14:paraId="6C5AB0D9">
            <w:pPr>
              <w:spacing w:line="360" w:lineRule="auto"/>
              <w:ind w:firstLine="480" w:firstLineChars="200"/>
              <w:rPr>
                <w:color w:val="auto"/>
                <w:kern w:val="0"/>
                <w:sz w:val="24"/>
                <w:szCs w:val="22"/>
              </w:rPr>
            </w:pPr>
            <w:r>
              <w:rPr>
                <w:rFonts w:hint="eastAsia"/>
                <w:color w:val="auto"/>
                <w:kern w:val="0"/>
                <w:sz w:val="24"/>
                <w:szCs w:val="22"/>
              </w:rPr>
              <w:t>鸟类的感官非常灵敏，对噪声和震动反应较为敏感。施工期间机械噪声、装卸汽车、载重汽车在运输和装卸过程中产生的噪声将对鸟类产生一定影响。其中施工机械和运输车辆产生的噪声持续时间较长，将使得声源附近栖息的鸟类迁移到影响范围以外生活；由于鸟类的迁移能力强，评价区内鸟类适宜生境较多，且噪声影响是暂时的，随着施工的结束而消失，因此，在做好科学合理的施工进度安排，采取适当的保护措施的前提下，噪声对鸟类的影响可以减小。</w:t>
            </w:r>
          </w:p>
          <w:p w14:paraId="62379305">
            <w:pPr>
              <w:spacing w:line="360" w:lineRule="auto"/>
              <w:ind w:firstLine="480" w:firstLineChars="200"/>
              <w:rPr>
                <w:color w:val="auto"/>
                <w:kern w:val="0"/>
                <w:sz w:val="24"/>
                <w:szCs w:val="22"/>
              </w:rPr>
            </w:pPr>
            <w:r>
              <w:rPr>
                <w:rFonts w:hint="eastAsia"/>
                <w:color w:val="auto"/>
                <w:kern w:val="0"/>
                <w:sz w:val="24"/>
                <w:szCs w:val="22"/>
                <w:lang w:val="en-US" w:eastAsia="zh-CN"/>
              </w:rPr>
              <w:t>小型</w:t>
            </w:r>
            <w:r>
              <w:rPr>
                <w:rFonts w:hint="eastAsia"/>
                <w:color w:val="auto"/>
                <w:kern w:val="0"/>
                <w:sz w:val="24"/>
                <w:szCs w:val="22"/>
              </w:rPr>
              <w:t>兽类感官非常敏锐、迁移能力较强，对人类活动的敏感程度较鸟类更甚。由于项目周边种植工程生态、人工种植林较多，且已有较多道路</w:t>
            </w:r>
            <w:r>
              <w:rPr>
                <w:color w:val="auto"/>
                <w:kern w:val="0"/>
                <w:sz w:val="24"/>
                <w:szCs w:val="22"/>
              </w:rPr>
              <w:t>、村庄</w:t>
            </w:r>
            <w:r>
              <w:rPr>
                <w:rFonts w:hint="eastAsia"/>
                <w:color w:val="auto"/>
                <w:kern w:val="0"/>
                <w:sz w:val="24"/>
                <w:szCs w:val="22"/>
              </w:rPr>
              <w:t>，人为活动干扰比较强烈。因此，本项目的建设对</w:t>
            </w:r>
            <w:r>
              <w:rPr>
                <w:rFonts w:hint="eastAsia"/>
                <w:color w:val="auto"/>
                <w:kern w:val="0"/>
                <w:sz w:val="24"/>
                <w:szCs w:val="22"/>
                <w:lang w:val="en-US" w:eastAsia="zh-CN"/>
              </w:rPr>
              <w:t>小型</w:t>
            </w:r>
            <w:r>
              <w:rPr>
                <w:rFonts w:hint="eastAsia"/>
                <w:color w:val="auto"/>
                <w:kern w:val="0"/>
                <w:sz w:val="24"/>
                <w:szCs w:val="22"/>
              </w:rPr>
              <w:t>兽类的影响是有限的。项目</w:t>
            </w:r>
            <w:r>
              <w:rPr>
                <w:color w:val="auto"/>
                <w:kern w:val="0"/>
                <w:sz w:val="24"/>
                <w:szCs w:val="22"/>
              </w:rPr>
              <w:t>占地区及周边</w:t>
            </w:r>
            <w:r>
              <w:rPr>
                <w:rFonts w:hint="eastAsia"/>
                <w:color w:val="auto"/>
                <w:kern w:val="0"/>
                <w:sz w:val="24"/>
                <w:szCs w:val="22"/>
              </w:rPr>
              <w:t>分布的兽类主要</w:t>
            </w:r>
            <w:r>
              <w:rPr>
                <w:rFonts w:hint="eastAsia"/>
                <w:color w:val="auto"/>
                <w:kern w:val="0"/>
                <w:sz w:val="24"/>
                <w:szCs w:val="22"/>
                <w:lang w:val="en-US" w:eastAsia="zh-CN"/>
              </w:rPr>
              <w:t>有家鼠、兔、松鼠</w:t>
            </w:r>
            <w:r>
              <w:rPr>
                <w:color w:val="auto"/>
                <w:kern w:val="0"/>
                <w:sz w:val="24"/>
                <w:szCs w:val="22"/>
              </w:rPr>
              <w:t>类</w:t>
            </w:r>
            <w:r>
              <w:rPr>
                <w:rFonts w:hint="eastAsia"/>
                <w:color w:val="auto"/>
                <w:kern w:val="0"/>
                <w:sz w:val="24"/>
                <w:szCs w:val="22"/>
              </w:rPr>
              <w:t>，工程施工期对其影响主要有：施工噪声、震动对其的驱赶；生活垃圾对其觅食和分布的影响，人类活动对</w:t>
            </w:r>
            <w:r>
              <w:rPr>
                <w:rFonts w:hint="eastAsia"/>
                <w:color w:val="auto"/>
                <w:kern w:val="0"/>
                <w:sz w:val="24"/>
                <w:szCs w:val="22"/>
                <w:lang w:eastAsia="zh-CN"/>
              </w:rPr>
              <w:t>其影响</w:t>
            </w:r>
            <w:r>
              <w:rPr>
                <w:rFonts w:hint="eastAsia"/>
                <w:color w:val="auto"/>
                <w:kern w:val="0"/>
                <w:sz w:val="24"/>
                <w:szCs w:val="22"/>
              </w:rPr>
              <w:t>，占地、扬尘、施工废水和生活污水对</w:t>
            </w:r>
            <w:r>
              <w:rPr>
                <w:rFonts w:hint="eastAsia"/>
                <w:color w:val="auto"/>
                <w:kern w:val="0"/>
                <w:sz w:val="24"/>
                <w:szCs w:val="22"/>
                <w:lang w:eastAsia="zh-CN"/>
              </w:rPr>
              <w:t>其影响</w:t>
            </w:r>
            <w:r>
              <w:rPr>
                <w:rFonts w:hint="eastAsia"/>
                <w:color w:val="auto"/>
                <w:kern w:val="0"/>
                <w:sz w:val="24"/>
                <w:szCs w:val="22"/>
              </w:rPr>
              <w:t>等。其中工程占地、施工噪声、生活垃圾和人类活动的影响较为明显。工程占地会使兽类生境有一定缩减，施工活动对其活动、食物来源都有一定影响，但是在项目附近有许多类似的替代生境，且兽类的活动能力较强，可以比较</w:t>
            </w:r>
            <w:r>
              <w:rPr>
                <w:rFonts w:hint="eastAsia"/>
                <w:color w:val="auto"/>
                <w:kern w:val="0"/>
                <w:sz w:val="24"/>
                <w:szCs w:val="22"/>
                <w:lang w:eastAsia="zh-CN"/>
              </w:rPr>
              <w:t>容易地</w:t>
            </w:r>
            <w:r>
              <w:rPr>
                <w:rFonts w:hint="eastAsia"/>
                <w:color w:val="auto"/>
                <w:kern w:val="0"/>
                <w:sz w:val="24"/>
                <w:szCs w:val="22"/>
              </w:rPr>
              <w:t>在评价区周围找到相似生境，施工活动不会对其有大的影响。</w:t>
            </w:r>
          </w:p>
          <w:p w14:paraId="14AE09AC">
            <w:pPr>
              <w:spacing w:line="360" w:lineRule="auto"/>
              <w:ind w:firstLine="480" w:firstLineChars="200"/>
              <w:rPr>
                <w:color w:val="auto"/>
                <w:kern w:val="0"/>
                <w:sz w:val="24"/>
                <w:szCs w:val="22"/>
              </w:rPr>
            </w:pPr>
            <w:r>
              <w:rPr>
                <w:rFonts w:hint="eastAsia"/>
                <w:color w:val="auto"/>
                <w:kern w:val="0"/>
                <w:sz w:val="24"/>
                <w:szCs w:val="22"/>
              </w:rPr>
              <w:t>项目</w:t>
            </w:r>
            <w:r>
              <w:rPr>
                <w:color w:val="auto"/>
                <w:kern w:val="0"/>
                <w:sz w:val="24"/>
                <w:szCs w:val="22"/>
              </w:rPr>
              <w:t>占地区域及周边爬行物种广布，施工可能</w:t>
            </w:r>
            <w:r>
              <w:rPr>
                <w:rFonts w:hint="eastAsia"/>
                <w:color w:val="auto"/>
                <w:kern w:val="0"/>
                <w:sz w:val="24"/>
                <w:szCs w:val="22"/>
                <w:lang w:eastAsia="zh-CN"/>
              </w:rPr>
              <w:t>会</w:t>
            </w:r>
            <w:r>
              <w:rPr>
                <w:color w:val="auto"/>
                <w:kern w:val="0"/>
                <w:sz w:val="24"/>
                <w:szCs w:val="22"/>
              </w:rPr>
              <w:t>破坏场址内动物巢穴，但影响数量及范围有限，不会对上述物种多样性及种群繁衍造成影响</w:t>
            </w:r>
            <w:r>
              <w:rPr>
                <w:rFonts w:hint="eastAsia"/>
                <w:color w:val="auto"/>
                <w:kern w:val="0"/>
                <w:sz w:val="24"/>
                <w:szCs w:val="22"/>
              </w:rPr>
              <w:t>，且临时占地植被恢复后，其可重新回到原来的栖息地生活。</w:t>
            </w:r>
            <w:r>
              <w:rPr>
                <w:color w:val="auto"/>
                <w:kern w:val="0"/>
                <w:sz w:val="24"/>
                <w:szCs w:val="22"/>
              </w:rPr>
              <w:t>因此，项目施工对爬行动物影响较小。</w:t>
            </w:r>
          </w:p>
          <w:p w14:paraId="46964B41">
            <w:pPr>
              <w:spacing w:line="360" w:lineRule="auto"/>
              <w:ind w:firstLine="480" w:firstLineChars="200"/>
              <w:rPr>
                <w:color w:val="auto"/>
                <w:kern w:val="0"/>
                <w:sz w:val="24"/>
                <w:szCs w:val="22"/>
              </w:rPr>
            </w:pPr>
            <w:r>
              <w:rPr>
                <w:color w:val="auto"/>
                <w:kern w:val="0"/>
                <w:sz w:val="24"/>
                <w:szCs w:val="22"/>
              </w:rPr>
              <w:t>综上所述，施工期会对占地区内的鸟类、哺乳类、爬行类造成一定影响，不会威胁这些物种多样性及种群繁衍，项目施工对野生动物的影响可以接受。为保护区内野生动物，评价要求工程</w:t>
            </w:r>
            <w:r>
              <w:rPr>
                <w:rFonts w:hint="eastAsia"/>
                <w:color w:val="auto"/>
                <w:kern w:val="0"/>
                <w:sz w:val="24"/>
                <w:szCs w:val="22"/>
              </w:rPr>
              <w:t>施工</w:t>
            </w:r>
            <w:r>
              <w:rPr>
                <w:color w:val="auto"/>
                <w:kern w:val="0"/>
                <w:sz w:val="24"/>
                <w:szCs w:val="22"/>
              </w:rPr>
              <w:t>地应设立围栏，控制施工范围，并对施工人员加强野生动物保护教育，严禁捕杀。</w:t>
            </w:r>
          </w:p>
          <w:p w14:paraId="14CBB3FE">
            <w:pPr>
              <w:spacing w:line="360" w:lineRule="auto"/>
              <w:ind w:firstLine="480" w:firstLineChars="200"/>
              <w:rPr>
                <w:b/>
                <w:color w:val="auto"/>
                <w:kern w:val="0"/>
                <w:sz w:val="24"/>
                <w:szCs w:val="22"/>
              </w:rPr>
            </w:pPr>
            <w:r>
              <w:rPr>
                <w:rFonts w:hint="eastAsia"/>
                <w:color w:val="auto"/>
                <w:kern w:val="0"/>
                <w:sz w:val="24"/>
                <w:szCs w:val="20"/>
                <w:lang w:eastAsia="zh-CN"/>
              </w:rPr>
              <w:fldChar w:fldCharType="begin"/>
            </w:r>
            <w:r>
              <w:rPr>
                <w:rFonts w:hint="eastAsia"/>
                <w:color w:val="auto"/>
                <w:kern w:val="0"/>
                <w:sz w:val="24"/>
                <w:szCs w:val="20"/>
                <w:lang w:eastAsia="zh-CN"/>
              </w:rPr>
              <w:instrText xml:space="preserve"> = 5 \* GB2 \* MERGEFORMAT </w:instrText>
            </w:r>
            <w:r>
              <w:rPr>
                <w:rFonts w:hint="eastAsia"/>
                <w:color w:val="auto"/>
                <w:kern w:val="0"/>
                <w:sz w:val="24"/>
                <w:szCs w:val="20"/>
                <w:lang w:eastAsia="zh-CN"/>
              </w:rPr>
              <w:fldChar w:fldCharType="separate"/>
            </w:r>
            <w:r>
              <w:t>⑸</w:t>
            </w:r>
            <w:r>
              <w:rPr>
                <w:rFonts w:hint="eastAsia"/>
                <w:color w:val="auto"/>
                <w:kern w:val="0"/>
                <w:sz w:val="24"/>
                <w:szCs w:val="20"/>
                <w:lang w:eastAsia="zh-CN"/>
              </w:rPr>
              <w:fldChar w:fldCharType="end"/>
            </w:r>
            <w:r>
              <w:rPr>
                <w:color w:val="auto"/>
                <w:kern w:val="0"/>
                <w:sz w:val="24"/>
                <w:szCs w:val="22"/>
              </w:rPr>
              <w:t>生态系统完整性影响分析</w:t>
            </w:r>
          </w:p>
          <w:p w14:paraId="776B3D1E">
            <w:pPr>
              <w:spacing w:line="360" w:lineRule="auto"/>
              <w:ind w:firstLine="480" w:firstLineChars="200"/>
              <w:rPr>
                <w:color w:val="auto"/>
                <w:kern w:val="0"/>
                <w:sz w:val="24"/>
                <w:szCs w:val="22"/>
              </w:rPr>
            </w:pPr>
            <w:r>
              <w:rPr>
                <w:color w:val="auto"/>
                <w:kern w:val="0"/>
                <w:sz w:val="24"/>
                <w:szCs w:val="22"/>
              </w:rPr>
              <w:t>项目对区内生物生产力的影响主要来自占压、扰动地貌、土地利用性质的改变破坏植被，从而使项目区内的生物生产力降低。施工结束后及时恢复植被后，项目区内因工程实施造成的生物生产力变化较小，总体上生物生产力基本仍处于原有水平，对项目区生态体系恢复稳定性影响较小。</w:t>
            </w:r>
          </w:p>
          <w:p w14:paraId="013E8BCD">
            <w:pPr>
              <w:spacing w:line="360" w:lineRule="auto"/>
              <w:ind w:firstLine="480" w:firstLineChars="200"/>
              <w:rPr>
                <w:color w:val="auto"/>
                <w:kern w:val="0"/>
                <w:sz w:val="24"/>
                <w:szCs w:val="22"/>
              </w:rPr>
            </w:pPr>
            <w:r>
              <w:rPr>
                <w:color w:val="auto"/>
                <w:kern w:val="0"/>
                <w:sz w:val="24"/>
                <w:szCs w:val="22"/>
              </w:rPr>
              <w:t>从生物多样性来讲，</w:t>
            </w:r>
            <w:r>
              <w:rPr>
                <w:rFonts w:hint="eastAsia"/>
                <w:color w:val="auto"/>
                <w:kern w:val="0"/>
                <w:sz w:val="24"/>
                <w:szCs w:val="22"/>
              </w:rPr>
              <w:t>项目占地</w:t>
            </w:r>
            <w:r>
              <w:rPr>
                <w:color w:val="auto"/>
                <w:kern w:val="0"/>
                <w:sz w:val="24"/>
                <w:szCs w:val="22"/>
              </w:rPr>
              <w:t>区域及周边无需</w:t>
            </w:r>
            <w:r>
              <w:rPr>
                <w:rFonts w:hint="eastAsia"/>
                <w:color w:val="auto"/>
                <w:kern w:val="0"/>
                <w:sz w:val="24"/>
                <w:szCs w:val="22"/>
              </w:rPr>
              <w:t>特殊</w:t>
            </w:r>
            <w:r>
              <w:rPr>
                <w:color w:val="auto"/>
                <w:kern w:val="0"/>
                <w:sz w:val="24"/>
                <w:szCs w:val="22"/>
              </w:rPr>
              <w:t>保护的珍稀动植物资源，动植物类型均为区域常见物种，本项目的建设基本不会对生物多样性产生影响。</w:t>
            </w:r>
          </w:p>
          <w:p w14:paraId="59985A2E">
            <w:pPr>
              <w:numPr>
                <w:ilvl w:val="0"/>
                <w:numId w:val="0"/>
              </w:numPr>
              <w:spacing w:line="360" w:lineRule="auto"/>
              <w:ind w:firstLine="480" w:firstLineChars="200"/>
              <w:rPr>
                <w:color w:val="auto"/>
                <w:kern w:val="0"/>
                <w:sz w:val="24"/>
                <w:szCs w:val="22"/>
              </w:rPr>
            </w:pPr>
            <w:r>
              <w:rPr>
                <w:color w:val="auto"/>
                <w:kern w:val="0"/>
                <w:sz w:val="24"/>
                <w:szCs w:val="22"/>
              </w:rPr>
              <w:fldChar w:fldCharType="begin"/>
            </w:r>
            <w:r>
              <w:rPr>
                <w:color w:val="auto"/>
                <w:kern w:val="0"/>
                <w:sz w:val="24"/>
                <w:szCs w:val="22"/>
              </w:rPr>
              <w:instrText xml:space="preserve"> = 6 \* GB2 \* MERGEFORMAT </w:instrText>
            </w:r>
            <w:r>
              <w:rPr>
                <w:color w:val="auto"/>
                <w:kern w:val="0"/>
                <w:sz w:val="24"/>
                <w:szCs w:val="22"/>
              </w:rPr>
              <w:fldChar w:fldCharType="separate"/>
            </w:r>
            <w:r>
              <w:t>⑹</w:t>
            </w:r>
            <w:r>
              <w:rPr>
                <w:color w:val="auto"/>
                <w:kern w:val="0"/>
                <w:sz w:val="24"/>
                <w:szCs w:val="22"/>
              </w:rPr>
              <w:fldChar w:fldCharType="end"/>
            </w:r>
            <w:r>
              <w:rPr>
                <w:color w:val="auto"/>
                <w:kern w:val="0"/>
                <w:sz w:val="24"/>
                <w:szCs w:val="22"/>
              </w:rPr>
              <w:t>景观格局影响分析</w:t>
            </w:r>
          </w:p>
          <w:p w14:paraId="7E15DDDE">
            <w:pPr>
              <w:numPr>
                <w:ilvl w:val="0"/>
                <w:numId w:val="0"/>
              </w:numPr>
              <w:spacing w:line="360" w:lineRule="auto"/>
              <w:ind w:firstLine="480" w:firstLineChars="200"/>
              <w:rPr>
                <w:color w:val="auto"/>
                <w:kern w:val="0"/>
                <w:sz w:val="24"/>
                <w:szCs w:val="22"/>
              </w:rPr>
            </w:pPr>
            <w:r>
              <w:rPr>
                <w:color w:val="auto"/>
                <w:kern w:val="0"/>
                <w:sz w:val="24"/>
                <w:szCs w:val="22"/>
              </w:rPr>
              <w:t>工程建设行为会对区域自然景观产生一定的不利影响，工程开挖、施工用料和土方的堆存、施工营地设置及施工后迹地处理若未全面及时进行，可能出现土石乱弃、植被枯死、一片狼藉的景象，产生斑块状地形地貌，破坏原有自然景观的美感与和谐性。</w:t>
            </w:r>
          </w:p>
          <w:p w14:paraId="301CC44D">
            <w:pPr>
              <w:numPr>
                <w:ilvl w:val="0"/>
                <w:numId w:val="0"/>
              </w:numPr>
              <w:spacing w:line="360" w:lineRule="auto"/>
              <w:ind w:firstLine="480" w:firstLineChars="200"/>
            </w:pPr>
            <w:r>
              <w:rPr>
                <w:color w:val="auto"/>
                <w:kern w:val="0"/>
                <w:sz w:val="24"/>
                <w:szCs w:val="22"/>
              </w:rPr>
              <w:t xml:space="preserve">由于项目施工期较短，在施工结束后及时采取对受损地貌进行妥善恢复的情况下，项目施工期对区域景观生态的影响是暂时的。 </w:t>
            </w:r>
          </w:p>
        </w:tc>
      </w:tr>
      <w:tr w14:paraId="4A8901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tcMar>
              <w:left w:w="28" w:type="dxa"/>
              <w:right w:w="28" w:type="dxa"/>
            </w:tcMar>
            <w:vAlign w:val="center"/>
          </w:tcPr>
          <w:p w14:paraId="1ECF9A77">
            <w:pPr>
              <w:adjustRightInd w:val="0"/>
              <w:snapToGrid w:val="0"/>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运营</w:t>
            </w:r>
          </w:p>
          <w:p w14:paraId="1D657DC8">
            <w:pPr>
              <w:pStyle w:val="26"/>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bCs/>
                <w:color w:val="000000" w:themeColor="text1"/>
                <w:szCs w:val="24"/>
                <w14:textFill>
                  <w14:solidFill>
                    <w14:schemeClr w14:val="tx1"/>
                  </w14:solidFill>
                </w14:textFill>
              </w:rPr>
              <w:t>期</w:t>
            </w:r>
            <w:r>
              <w:rPr>
                <w:rFonts w:hint="eastAsia" w:ascii="Times New Roman" w:hAnsi="Times New Roman"/>
                <w:bCs/>
                <w:color w:val="000000" w:themeColor="text1"/>
                <w:szCs w:val="24"/>
                <w14:textFill>
                  <w14:solidFill>
                    <w14:schemeClr w14:val="tx1"/>
                  </w14:solidFill>
                </w14:textFill>
              </w:rPr>
              <w:t>生态环境影响分析</w:t>
            </w:r>
          </w:p>
        </w:tc>
        <w:tc>
          <w:tcPr>
            <w:tcW w:w="8158" w:type="dxa"/>
            <w:vAlign w:val="center"/>
          </w:tcPr>
          <w:p w14:paraId="59971E1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电场的生产工艺系统主要是围绕电能的产生和输送过程而设置，产生电能的主要设备为风力发电机组。发电原理：在有风源的地方，叶片在气流外力作用下产生力矩驱动风轮转动，将风能转化为机械能，通过轮豰将扭矩输入到传动系统（高速齿轮机电机），通过齿轮增速，经高速轴、联轴节驱动发电机旋转，达到与发电机同步转速时，将机械能转化为电能，并通过变压器及输电设施将电能输送到电网。</w:t>
            </w:r>
          </w:p>
          <w:p w14:paraId="156B7B82">
            <w:pPr>
              <w:pStyle w:val="97"/>
              <w:snapToGrid w:val="0"/>
              <w:ind w:firstLine="480"/>
              <w:rPr>
                <w:color w:val="000000" w:themeColor="text1"/>
                <w14:textFill>
                  <w14:solidFill>
                    <w14:schemeClr w14:val="tx1"/>
                  </w14:solidFill>
                </w14:textFill>
              </w:rPr>
            </w:pPr>
            <w:r>
              <w:rPr>
                <w:color w:val="000000" w:themeColor="text1"/>
                <w14:textFill>
                  <w14:solidFill>
                    <w14:schemeClr w14:val="tx1"/>
                  </w14:solidFill>
                </w14:textFill>
              </w:rPr>
              <w:t>风力发电机的运行由计算机控制，通过风速仪、风向仪、速</w:t>
            </w:r>
            <w:r>
              <w:rPr>
                <w:rFonts w:hint="eastAsia"/>
                <w:color w:val="000000" w:themeColor="text1"/>
                <w14:textFill>
                  <w14:solidFill>
                    <w14:schemeClr w14:val="tx1"/>
                  </w14:solidFill>
                </w14:textFill>
              </w:rPr>
              <w:t>度</w:t>
            </w:r>
            <w:r>
              <w:rPr>
                <w:color w:val="000000" w:themeColor="text1"/>
                <w14:textFill>
                  <w14:solidFill>
                    <w14:schemeClr w14:val="tx1"/>
                  </w14:solidFill>
                </w14:textFill>
              </w:rPr>
              <w:t>、温度、压力等各种传感器来监测各个部件的运行情况，自动化程度高。当风力机或电网发生故障时，传感器能检测出故障部位，并预报故障点或故障类型，能及时刹闸停机，保护风力机安全。当平均风速达到启动风速以上时，盘闸松闸，叶轮开始转动，通过齿轮箱把低速变为高速，并带动发电机转动。当平均风速达到额定风速时，发电机并网发电。当平均风速达到切出风速以上时，风力机自动停机，不受大风的危害。</w:t>
            </w:r>
          </w:p>
          <w:p w14:paraId="60C2D3B9">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3947160</wp:posOffset>
                      </wp:positionH>
                      <wp:positionV relativeFrom="paragraph">
                        <wp:posOffset>1517650</wp:posOffset>
                      </wp:positionV>
                      <wp:extent cx="886460" cy="448310"/>
                      <wp:effectExtent l="0" t="0" r="0" b="0"/>
                      <wp:wrapNone/>
                      <wp:docPr id="23" name="文本框 23"/>
                      <wp:cNvGraphicFramePr/>
                      <a:graphic xmlns:a="http://schemas.openxmlformats.org/drawingml/2006/main">
                        <a:graphicData uri="http://schemas.microsoft.com/office/word/2010/wordprocessingShape">
                          <wps:wsp>
                            <wps:cNvSpPr txBox="1"/>
                            <wps:spPr>
                              <a:xfrm>
                                <a:off x="5134610" y="2366010"/>
                                <a:ext cx="886460"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56B1DD">
                                  <w:pPr>
                                    <w:jc w:val="center"/>
                                    <w:rPr>
                                      <w:color w:val="FF0000"/>
                                      <w:szCs w:val="21"/>
                                    </w:rPr>
                                  </w:pPr>
                                  <w:r>
                                    <w:rPr>
                                      <w:rFonts w:hint="eastAsia"/>
                                      <w:color w:val="FF0000"/>
                                      <w:szCs w:val="21"/>
                                    </w:rPr>
                                    <w:t>不在本次评价范围内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8pt;margin-top:119.5pt;height:35.3pt;width:69.8pt;z-index:251662336;mso-width-relative:page;mso-height-relative:page;" filled="f" stroked="f" coordsize="21600,21600" o:gfxdata="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SWoQTcAAAACwEAAA8AAAAAAAAA&#10;AQAgAAAAIgAAAGRycy9kb3ducmV2LnhtbFBLAQIUABQAAAAIAIdO4kBsU7RxRgIAAHMEAAAOAAAA&#10;AAAAAAEAIAAAACsBAABkcnMvZTJvRG9jLnhtbFBLBQYAAAAABgAGAFkBAADjBQAAAAA=&#10;">
                      <v:fill on="f" focussize="0,0"/>
                      <v:stroke on="f" weight="0.5pt"/>
                      <v:imagedata o:title=""/>
                      <o:lock v:ext="edit" aspectratio="f"/>
                      <v:textbox>
                        <w:txbxContent>
                          <w:p w14:paraId="0656B1DD">
                            <w:pPr>
                              <w:jc w:val="center"/>
                              <w:rPr>
                                <w:color w:val="FF0000"/>
                                <w:szCs w:val="21"/>
                              </w:rPr>
                            </w:pPr>
                            <w:r>
                              <w:rPr>
                                <w:rFonts w:hint="eastAsia"/>
                                <w:color w:val="FF0000"/>
                                <w:szCs w:val="21"/>
                              </w:rPr>
                              <w:t>不在本次评价范围内</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3432810</wp:posOffset>
                      </wp:positionH>
                      <wp:positionV relativeFrom="paragraph">
                        <wp:posOffset>1504315</wp:posOffset>
                      </wp:positionV>
                      <wp:extent cx="587375" cy="429260"/>
                      <wp:effectExtent l="9525" t="9525" r="12700" b="18415"/>
                      <wp:wrapNone/>
                      <wp:docPr id="24" name="矩形 24"/>
                      <wp:cNvGraphicFramePr/>
                      <a:graphic xmlns:a="http://schemas.openxmlformats.org/drawingml/2006/main">
                        <a:graphicData uri="http://schemas.microsoft.com/office/word/2010/wordprocessingShape">
                          <wps:wsp>
                            <wps:cNvSpPr/>
                            <wps:spPr>
                              <a:xfrm>
                                <a:off x="4877435" y="2496185"/>
                                <a:ext cx="587375" cy="429260"/>
                              </a:xfrm>
                              <a:prstGeom prst="rect">
                                <a:avLst/>
                              </a:prstGeom>
                              <a:noFill/>
                              <a:ln w="19050">
                                <a:solidFill>
                                  <a:srgbClr val="FF0000"/>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3pt;margin-top:118.45pt;height:33.8pt;width:46.25pt;z-index:251661312;v-text-anchor:middle;mso-width-relative:page;mso-height-relative:page;" filled="f" stroked="t" coordsize="21600,21600" o:gfxdata="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wH4mo3AAAAAsBAAAPAAAAAAAAAAEAIAAAACIAAABkcnMvZG93&#10;bnJldi54bWxQSwECFAAUAAAACACHTuJAG8TjvG4CAADDBAAADgAAAAAAAAABACAAAAArAQAAZHJz&#10;L2Uyb0RvYy54bWxQSwUGAAAAAAYABgBZAQAACwYAAAAA&#10;">
                      <v:fill on="f" focussize="0,0"/>
                      <v:stroke weight="1.5pt" color="#FF0000 [2404]" joinstyle="round" dashstyle="3 1"/>
                      <v:imagedata o:title=""/>
                      <o:lock v:ext="edit" aspectratio="f"/>
                    </v:rect>
                  </w:pict>
                </mc:Fallback>
              </mc:AlternateContent>
            </w:r>
            <w:r>
              <w:rPr>
                <w:color w:val="000000" w:themeColor="text1"/>
                <w14:textFill>
                  <w14:solidFill>
                    <w14:schemeClr w14:val="tx1"/>
                  </w14:solidFill>
                </w14:textFill>
              </w:rPr>
              <w:drawing>
                <wp:inline distT="0" distB="0" distL="114300" distR="114300">
                  <wp:extent cx="2908935" cy="2240915"/>
                  <wp:effectExtent l="0" t="0" r="1905" b="14605"/>
                  <wp:docPr id="10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
                          <pic:cNvPicPr>
                            <a:picLocks noChangeAspect="1"/>
                          </pic:cNvPicPr>
                        </pic:nvPicPr>
                        <pic:blipFill>
                          <a:blip r:embed="rId20"/>
                          <a:srcRect r="44744" b="-1149"/>
                          <a:stretch>
                            <a:fillRect/>
                          </a:stretch>
                        </pic:blipFill>
                        <pic:spPr>
                          <a:xfrm>
                            <a:off x="0" y="0"/>
                            <a:ext cx="2908935" cy="2240915"/>
                          </a:xfrm>
                          <a:prstGeom prst="rect">
                            <a:avLst/>
                          </a:prstGeom>
                          <a:noFill/>
                          <a:ln>
                            <a:noFill/>
                          </a:ln>
                        </pic:spPr>
                      </pic:pic>
                    </a:graphicData>
                  </a:graphic>
                </wp:inline>
              </w:drawing>
            </w:r>
          </w:p>
          <w:p w14:paraId="4A6C125C">
            <w:pPr>
              <w:adjustRightInd w:val="0"/>
              <w:snapToGrid w:val="0"/>
              <w:spacing w:after="240" w:afterLines="100"/>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 xml:space="preserve">图4-2 </w:t>
            </w:r>
            <w:r>
              <w:rPr>
                <w:b/>
                <w:bCs/>
                <w:color w:val="000000" w:themeColor="text1"/>
                <w:szCs w:val="21"/>
                <w14:textFill>
                  <w14:solidFill>
                    <w14:schemeClr w14:val="tx1"/>
                  </w14:solidFill>
                </w14:textFill>
              </w:rPr>
              <w:t>风电场生产工艺系统</w:t>
            </w:r>
            <w:r>
              <w:rPr>
                <w:rFonts w:hint="eastAsia"/>
                <w:b/>
                <w:bCs/>
                <w:color w:val="000000" w:themeColor="text1"/>
                <w:szCs w:val="21"/>
                <w14:textFill>
                  <w14:solidFill>
                    <w14:schemeClr w14:val="tx1"/>
                  </w14:solidFill>
                </w14:textFill>
              </w:rPr>
              <w:t>示意图</w:t>
            </w:r>
          </w:p>
          <w:p w14:paraId="30CADA41">
            <w:pPr>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lang w:val="zh-CN"/>
                <w14:textFill>
                  <w14:solidFill>
                    <w14:schemeClr w14:val="tx1"/>
                  </w14:solidFill>
                </w14:textFill>
              </w:rPr>
              <w:t>运营期风电场主要污染</w:t>
            </w:r>
            <w:r>
              <w:rPr>
                <w:rFonts w:hint="eastAsia"/>
                <w:color w:val="000000" w:themeColor="text1"/>
                <w:kern w:val="0"/>
                <w:sz w:val="24"/>
                <w:lang w:val="zh-CN"/>
                <w14:textFill>
                  <w14:solidFill>
                    <w14:schemeClr w14:val="tx1"/>
                  </w14:solidFill>
                </w14:textFill>
              </w:rPr>
              <w:t>包括</w:t>
            </w:r>
            <w:r>
              <w:rPr>
                <w:color w:val="000000" w:themeColor="text1"/>
                <w:kern w:val="0"/>
                <w:sz w:val="24"/>
                <w:lang w:val="zh-CN"/>
                <w14:textFill>
                  <w14:solidFill>
                    <w14:schemeClr w14:val="tx1"/>
                  </w14:solidFill>
                </w14:textFill>
              </w:rPr>
              <w:t>风电运行中发电机产生的噪声、箱式变压器运行噪声；风电场产生的废箱变、</w:t>
            </w:r>
            <w:r>
              <w:rPr>
                <w:color w:val="000000" w:themeColor="text1"/>
                <w:kern w:val="0"/>
                <w:sz w:val="24"/>
                <w14:textFill>
                  <w14:solidFill>
                    <w14:schemeClr w14:val="tx1"/>
                  </w14:solidFill>
                </w14:textFill>
              </w:rPr>
              <w:t>风机设备润滑油更换产生的废润滑油以及润滑油桶</w:t>
            </w:r>
            <w:r>
              <w:rPr>
                <w:rFonts w:hint="eastAsia"/>
                <w:color w:val="000000" w:themeColor="text1"/>
                <w:kern w:val="0"/>
                <w:sz w:val="24"/>
                <w:lang w:val="zh-CN"/>
                <w14:textFill>
                  <w14:solidFill>
                    <w14:schemeClr w14:val="tx1"/>
                  </w14:solidFill>
                </w14:textFill>
              </w:rPr>
              <w:t>。</w:t>
            </w:r>
            <w:r>
              <w:rPr>
                <w:rFonts w:hint="eastAsia"/>
                <w:color w:val="000000" w:themeColor="text1"/>
                <w:kern w:val="0"/>
                <w:sz w:val="24"/>
                <w14:textFill>
                  <w14:solidFill>
                    <w14:schemeClr w14:val="tx1"/>
                  </w14:solidFill>
                </w14:textFill>
              </w:rPr>
              <w:t>运营期主要工艺流程及产污环节见图</w:t>
            </w:r>
            <w:r>
              <w:rPr>
                <w:color w:val="000000" w:themeColor="text1"/>
                <w:kern w:val="0"/>
                <w:sz w:val="24"/>
                <w14:textFill>
                  <w14:solidFill>
                    <w14:schemeClr w14:val="tx1"/>
                  </w14:solidFill>
                </w14:textFill>
              </w:rPr>
              <w:t>4-3</w:t>
            </w:r>
            <w:r>
              <w:rPr>
                <w:rFonts w:hint="eastAsia"/>
                <w:color w:val="000000" w:themeColor="text1"/>
                <w:kern w:val="0"/>
                <w:sz w:val="24"/>
                <w14:textFill>
                  <w14:solidFill>
                    <w14:schemeClr w14:val="tx1"/>
                  </w14:solidFill>
                </w14:textFill>
              </w:rPr>
              <w:t>。</w:t>
            </w:r>
          </w:p>
          <w:p w14:paraId="7BC0589F">
            <w:pPr>
              <w:pStyle w:val="16"/>
              <w:numPr>
                <w:ilvl w:val="0"/>
                <w:numId w:val="0"/>
              </w:numPr>
              <w:spacing w:line="36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object>
                <v:shape id="_x0000_i1026" o:spt="75" type="#_x0000_t75" style="height:82.3pt;width:258pt;" o:ole="t" filled="f" o:preferrelative="t" stroked="f" coordsize="21600,21600">
                  <v:path/>
                  <v:fill on="f" focussize="0,0"/>
                  <v:stroke on="f" joinstyle="miter"/>
                  <v:imagedata r:id="rId22" cropleft="35683f" croptop="2290f" cropright="19681f" cropbottom="58920f" o:title=""/>
                  <o:lock v:ext="edit" aspectratio="f"/>
                  <w10:wrap type="none"/>
                  <w10:anchorlock/>
                </v:shape>
                <o:OLEObject Type="Embed" ProgID="Visio.Drawing.11" ShapeID="_x0000_i1026" DrawAspect="Content" ObjectID="_1468075726" r:id="rId21">
                  <o:LockedField>false</o:LockedField>
                </o:OLEObject>
              </w:object>
            </w:r>
          </w:p>
          <w:p w14:paraId="555EF4ED">
            <w:pPr>
              <w:pStyle w:val="16"/>
              <w:numPr>
                <w:ilvl w:val="0"/>
                <w:numId w:val="0"/>
              </w:numPr>
              <w:spacing w:line="36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图4-3 运营期工艺流程及产污环节图</w:t>
            </w:r>
          </w:p>
          <w:p w14:paraId="2241768C">
            <w:pPr>
              <w:adjustRightInd w:val="0"/>
              <w:snapToGrid w:val="0"/>
              <w:spacing w:line="360" w:lineRule="auto"/>
              <w:ind w:firstLine="465" w:firstLineChars="193"/>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1、生态环境影响分析</w:t>
            </w:r>
          </w:p>
          <w:p w14:paraId="446DAF54">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1.1生态系统影响分析</w:t>
            </w:r>
          </w:p>
          <w:p w14:paraId="3EEBF485">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fldChar w:fldCharType="begin"/>
            </w:r>
            <w:r>
              <w:rPr>
                <w:bCs/>
                <w:color w:val="000000" w:themeColor="text1"/>
                <w:sz w:val="24"/>
                <w14:textFill>
                  <w14:solidFill>
                    <w14:schemeClr w14:val="tx1"/>
                  </w14:solidFill>
                </w14:textFill>
              </w:rPr>
              <w:instrText xml:space="preserve"> = 1 \* GB2 \* MERGEFORMAT </w:instrText>
            </w:r>
            <w:r>
              <w:rPr>
                <w:bCs/>
                <w:color w:val="000000" w:themeColor="text1"/>
                <w:sz w:val="24"/>
                <w14:textFill>
                  <w14:solidFill>
                    <w14:schemeClr w14:val="tx1"/>
                  </w14:solidFill>
                </w14:textFill>
              </w:rPr>
              <w:fldChar w:fldCharType="separate"/>
            </w:r>
            <w:r>
              <w:t>⑴</w:t>
            </w:r>
            <w:r>
              <w:rPr>
                <w:bCs/>
                <w:color w:val="000000" w:themeColor="text1"/>
                <w:sz w:val="24"/>
                <w14:textFill>
                  <w14:solidFill>
                    <w14:schemeClr w14:val="tx1"/>
                  </w14:solidFill>
                </w14:textFill>
              </w:rPr>
              <w:fldChar w:fldCharType="end"/>
            </w:r>
            <w:r>
              <w:rPr>
                <w:bCs/>
                <w:color w:val="000000" w:themeColor="text1"/>
                <w:sz w:val="24"/>
                <w14:textFill>
                  <w14:solidFill>
                    <w14:schemeClr w14:val="tx1"/>
                  </w14:solidFill>
                </w14:textFill>
              </w:rPr>
              <w:t>对鸟类的影响分析</w:t>
            </w:r>
          </w:p>
          <w:p w14:paraId="7D10655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风电项目运营期对鸟类的影响主要对鸟类迁徙和鸟类栖息影响两方面。</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项目风电场生态</w:t>
            </w:r>
            <w:r>
              <w:rPr>
                <w:rFonts w:hint="eastAsia"/>
                <w:color w:val="000000" w:themeColor="text1"/>
                <w:sz w:val="24"/>
                <w14:textFill>
                  <w14:solidFill>
                    <w14:schemeClr w14:val="tx1"/>
                  </w14:solidFill>
                </w14:textFill>
              </w:rPr>
              <w:t>调查</w:t>
            </w:r>
            <w:r>
              <w:rPr>
                <w:color w:val="000000" w:themeColor="text1"/>
                <w:sz w:val="24"/>
                <w14:textFill>
                  <w14:solidFill>
                    <w14:schemeClr w14:val="tx1"/>
                  </w14:solidFill>
                </w14:textFill>
              </w:rPr>
              <w:t>范围内无珍</w:t>
            </w:r>
            <w:r>
              <w:rPr>
                <w:rFonts w:hint="eastAsia"/>
                <w:color w:val="000000" w:themeColor="text1"/>
                <w:sz w:val="24"/>
                <w14:textFill>
                  <w14:solidFill>
                    <w14:schemeClr w14:val="tx1"/>
                  </w14:solidFill>
                </w14:textFill>
              </w:rPr>
              <w:t>稀</w:t>
            </w:r>
            <w:r>
              <w:rPr>
                <w:color w:val="000000" w:themeColor="text1"/>
                <w:sz w:val="24"/>
                <w14:textFill>
                  <w14:solidFill>
                    <w14:schemeClr w14:val="tx1"/>
                  </w14:solidFill>
                </w14:textFill>
              </w:rPr>
              <w:t>鸟类或重点保护鸟类。区域内鸟类主要分布在农田、村落、山坡、沟谷，其中常见的留鸟有麻雀、喜鹊、啄木鸟、乌鸦等，常见的候鸟有家燕子、杜鹃等。项目风电场评价范围内无野生动物重要栖息地，无国家重点保护的野生动物。</w:t>
            </w:r>
          </w:p>
          <w:p w14:paraId="790C77F8">
            <w:pPr>
              <w:pStyle w:val="100"/>
              <w:adjustRightInd/>
              <w:spacing w:beforeLines="0" w:afterLines="0"/>
              <w:ind w:firstLine="480"/>
              <w:rPr>
                <w:rFonts w:hint="eastAsia" w:eastAsia="宋体"/>
                <w:bCs/>
                <w:color w:val="000000" w:themeColor="text1"/>
                <w:sz w:val="24"/>
                <w:szCs w:val="24"/>
                <w:lang w:val="en-US" w:eastAsia="zh-CN"/>
                <w14:textFill>
                  <w14:solidFill>
                    <w14:schemeClr w14:val="tx1"/>
                  </w14:solidFill>
                </w14:textFill>
              </w:rPr>
            </w:pPr>
            <w:r>
              <w:rPr>
                <w:bCs/>
                <w:color w:val="000000" w:themeColor="text1"/>
                <w:sz w:val="24"/>
                <w:szCs w:val="24"/>
                <w14:textFill>
                  <w14:solidFill>
                    <w14:schemeClr w14:val="tx1"/>
                  </w14:solidFill>
                </w14:textFill>
              </w:rPr>
              <w:t>①</w:t>
            </w:r>
            <w:r>
              <w:rPr>
                <w:bCs/>
                <w:color w:val="000000" w:themeColor="text1"/>
                <w:sz w:val="24"/>
                <w:szCs w:val="24"/>
                <w:lang w:val="zh-CN"/>
                <w14:textFill>
                  <w14:solidFill>
                    <w14:schemeClr w14:val="tx1"/>
                  </w14:solidFill>
                </w14:textFill>
              </w:rPr>
              <w:t>鸟类迁徙</w:t>
            </w:r>
            <w:r>
              <w:rPr>
                <w:rFonts w:hint="eastAsia"/>
                <w:bCs/>
                <w:color w:val="000000" w:themeColor="text1"/>
                <w:sz w:val="24"/>
                <w:szCs w:val="24"/>
                <w:lang w:val="en-US" w:eastAsia="zh-CN"/>
                <w14:textFill>
                  <w14:solidFill>
                    <w14:schemeClr w14:val="tx1"/>
                  </w14:solidFill>
                </w14:textFill>
              </w:rPr>
              <w:t>通道</w:t>
            </w:r>
          </w:p>
          <w:p w14:paraId="21479E4A">
            <w:pPr>
              <w:spacing w:line="360" w:lineRule="auto"/>
              <w:ind w:right="-11"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鸟类的迁徙是指鸟类种群在夏天繁殖区和冬天越冬区之间所进行的一种大规模的、有规律的、广泛的和季节性的运动。这种运动的基本特点是定期和定向并且常常集成大群进行。鸟类迁徙的方向取决于越冬地和繁殖地之间的位置，由于大多数迁徙鸟类在北方高纬度地带繁殖，南方越冬，因此，鸟类多是南北迁徙。</w:t>
            </w:r>
          </w:p>
          <w:p w14:paraId="77F12A57">
            <w:pPr>
              <w:spacing w:line="360" w:lineRule="auto"/>
              <w:ind w:right="-11"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我国鸟类迁徙中部通道：包括在内蒙东部、中部草原，华北西部地区及陕西地区繁殖的候鸟，冬季可沿太行山、吕梁山越过秦岭和大巴山区进入四川盆地以及经大巴山东部到华中或更的地区越冬。</w:t>
            </w:r>
          </w:p>
          <w:p w14:paraId="3E2CEC71">
            <w:pPr>
              <w:spacing w:line="360" w:lineRule="auto"/>
              <w:ind w:right="-11" w:firstLine="480" w:firstLineChars="200"/>
              <w:rPr>
                <w:color w:val="000000" w:themeColor="text1"/>
                <w:kern w:val="0"/>
                <w:sz w:val="24"/>
                <w:highlight w:val="cyan"/>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陕西省位于</w:t>
            </w:r>
            <w:r>
              <w:rPr>
                <w:rFonts w:hint="eastAsia" w:eastAsia="宋体"/>
                <w:color w:val="000000" w:themeColor="text1"/>
                <w:kern w:val="0"/>
                <w:sz w:val="24"/>
                <w14:textFill>
                  <w14:solidFill>
                    <w14:schemeClr w14:val="tx1"/>
                  </w14:solidFill>
                </w14:textFill>
              </w:rPr>
              <w:t>中国中部候鸟迁徙区，穿越我国的4条迁徙路线中有1条经过我省，为东亚—澳大利亚迁徙路线。</w:t>
            </w:r>
            <w:r>
              <w:rPr>
                <w:color w:val="000000" w:themeColor="text1"/>
                <w:kern w:val="0"/>
                <w:sz w:val="24"/>
                <w14:textFill>
                  <w14:solidFill>
                    <w14:schemeClr w14:val="tx1"/>
                  </w14:solidFill>
                </w14:textFill>
              </w:rPr>
              <w:t>从鸟类迁徙规律来看，鸟类主要沿黄河河道迁徙。</w:t>
            </w:r>
          </w:p>
          <w:p w14:paraId="27643D5B">
            <w:pPr>
              <w:spacing w:line="360" w:lineRule="auto"/>
              <w:ind w:firstLine="573"/>
              <w:rPr>
                <w:rFonts w:hint="eastAsia" w:eastAsia="宋体"/>
                <w:color w:val="000000" w:themeColor="text1"/>
                <w:kern w:val="0"/>
                <w:sz w:val="24"/>
                <w:lang w:eastAsia="zh-CN"/>
                <w14:textFill>
                  <w14:solidFill>
                    <w14:schemeClr w14:val="tx1"/>
                  </w14:solidFill>
                </w14:textFill>
              </w:rPr>
            </w:pPr>
            <w:r>
              <w:rPr>
                <w:rFonts w:hint="eastAsia" w:eastAsia="宋体"/>
                <w:color w:val="000000" w:themeColor="text1"/>
                <w:kern w:val="0"/>
                <w:sz w:val="24"/>
                <w:lang w:val="en-US" w:eastAsia="zh-CN"/>
                <w14:textFill>
                  <w14:solidFill>
                    <w14:schemeClr w14:val="tx1"/>
                  </w14:solidFill>
                </w14:textFill>
              </w:rPr>
              <w:t>陕西省</w:t>
            </w:r>
            <w:r>
              <w:rPr>
                <w:rFonts w:hint="eastAsia" w:eastAsia="宋体"/>
                <w:color w:val="000000" w:themeColor="text1"/>
                <w:kern w:val="0"/>
                <w:sz w:val="24"/>
                <w14:textFill>
                  <w14:solidFill>
                    <w14:schemeClr w14:val="tx1"/>
                  </w14:solidFill>
                </w14:textFill>
              </w:rPr>
              <w:t>可划分为3条候鸟迁徙线路，其中南北方向2条〔即：1．红碱淖—无定河—黄河中游湿地（渭河）—秦岭—汉江—巴山、2．定边苟池—北洛河—千河—渭河—秦岭—汉江—巴山〕，东西方向1条〔即：红碱淖—内蒙古（山西中北部）—河南（河北）—渤海湾〕。根据我省候鸟繁殖、迁徙和越冬地的分布情况，秦岭以北属于黄河流域候鸟迁徙和越冬区，秦岭以南属于长江流域迁徙和越冬区，初步划定第一批13处候鸟迁徙通道重点区域范围。经统计，全省共分布迁徙鸟类19目61科380种，其中国家一级重点保护鸟类26种，二级重点保护鸟类60种，陕西省重点保护鸟类17种</w:t>
            </w:r>
            <w:r>
              <w:rPr>
                <w:rFonts w:hint="eastAsia" w:eastAsia="宋体"/>
                <w:color w:val="000000" w:themeColor="text1"/>
                <w:kern w:val="0"/>
                <w:sz w:val="24"/>
                <w:lang w:eastAsia="zh-CN"/>
                <w14:textFill>
                  <w14:solidFill>
                    <w14:schemeClr w14:val="tx1"/>
                  </w14:solidFill>
                </w14:textFill>
              </w:rPr>
              <w:t>。</w:t>
            </w:r>
          </w:p>
          <w:p w14:paraId="078A4548">
            <w:pPr>
              <w:spacing w:line="360" w:lineRule="auto"/>
              <w:ind w:firstLine="573"/>
              <w:rPr>
                <w:rFonts w:hint="eastAsia"/>
                <w:color w:val="000000" w:themeColor="text1"/>
                <w:kern w:val="0"/>
                <w:sz w:val="24"/>
                <w:lang w:val="en-US" w:eastAsia="zh-CN"/>
                <w14:textFill>
                  <w14:solidFill>
                    <w14:schemeClr w14:val="tx1"/>
                  </w14:solidFill>
                </w14:textFill>
              </w:rPr>
            </w:pPr>
            <w:r>
              <w:rPr>
                <w:color w:val="000000" w:themeColor="text1"/>
                <w:kern w:val="0"/>
                <w:sz w:val="24"/>
                <w14:textFill>
                  <w14:solidFill>
                    <w14:schemeClr w14:val="tx1"/>
                  </w14:solidFill>
                </w14:textFill>
              </w:rPr>
              <w:t>②</w:t>
            </w:r>
            <w:r>
              <w:rPr>
                <w:color w:val="000000" w:themeColor="text1"/>
                <w:kern w:val="0"/>
                <w:sz w:val="24"/>
                <w:lang w:val="zh-CN"/>
                <w14:textFill>
                  <w14:solidFill>
                    <w14:schemeClr w14:val="tx1"/>
                  </w14:solidFill>
                </w14:textFill>
              </w:rPr>
              <w:t>对鸟类</w:t>
            </w:r>
            <w:r>
              <w:rPr>
                <w:rFonts w:hint="eastAsia"/>
                <w:color w:val="000000" w:themeColor="text1"/>
                <w:kern w:val="0"/>
                <w:sz w:val="24"/>
                <w:lang w:val="en-US" w:eastAsia="zh-CN"/>
                <w14:textFill>
                  <w14:solidFill>
                    <w14:schemeClr w14:val="tx1"/>
                  </w14:solidFill>
                </w14:textFill>
              </w:rPr>
              <w:t>迁徙的影响分析</w:t>
            </w:r>
          </w:p>
          <w:p w14:paraId="5992AE1F">
            <w:pPr>
              <w:pStyle w:val="40"/>
              <w:spacing w:line="360" w:lineRule="auto"/>
              <w:ind w:firstLine="480" w:firstLineChars="200"/>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项目位于宝鸡市陈仓区拓石镇，通过调查国家级自然保护地及《陕西省候鸟迁徙通道重点区域范围（第一批）》的通知（陕林动字〔2023〕501号），项目区不存在国家级自然保护地，亦不属于鸟类迁徙区域，因此拟建工程对鸟类迁徙造成不良影响。</w:t>
            </w:r>
          </w:p>
          <w:p w14:paraId="06EB049E">
            <w:pPr>
              <w:spacing w:line="360" w:lineRule="auto"/>
              <w:ind w:firstLine="573"/>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③</w:t>
            </w:r>
            <w:r>
              <w:rPr>
                <w:color w:val="000000" w:themeColor="text1"/>
                <w:kern w:val="0"/>
                <w:sz w:val="24"/>
                <w:lang w:val="zh-CN"/>
                <w14:textFill>
                  <w14:solidFill>
                    <w14:schemeClr w14:val="tx1"/>
                  </w14:solidFill>
                </w14:textFill>
              </w:rPr>
              <w:t>对鸟类飞行的影响</w:t>
            </w:r>
            <w:r>
              <w:rPr>
                <w:color w:val="000000" w:themeColor="text1"/>
                <w:kern w:val="0"/>
                <w:sz w:val="24"/>
                <w14:textFill>
                  <w14:solidFill>
                    <w14:schemeClr w14:val="tx1"/>
                  </w14:solidFill>
                </w14:textFill>
              </w:rPr>
              <w:t>分析</w:t>
            </w:r>
          </w:p>
          <w:p w14:paraId="3B3114DA">
            <w:pPr>
              <w:spacing w:line="360" w:lineRule="auto"/>
              <w:ind w:firstLine="573"/>
              <w:rPr>
                <w:rFonts w:hint="eastAsia" w:eastAsia="宋体"/>
                <w:color w:val="000000" w:themeColor="text1"/>
                <w:kern w:val="0"/>
                <w:sz w:val="24"/>
                <w:lang w:eastAsia="zh-CN"/>
                <w14:textFill>
                  <w14:solidFill>
                    <w14:schemeClr w14:val="tx1"/>
                  </w14:solidFill>
                </w14:textFill>
              </w:rPr>
            </w:pPr>
            <w:r>
              <w:rPr>
                <w:rFonts w:hint="eastAsia"/>
                <w:color w:val="000000" w:themeColor="text1"/>
                <w:kern w:val="0"/>
                <w:sz w:val="24"/>
                <w:lang w:val="en-US" w:eastAsia="zh-CN"/>
                <w14:textFill>
                  <w14:solidFill>
                    <w14:schemeClr w14:val="tx1"/>
                  </w14:solidFill>
                </w14:textFill>
              </w:rPr>
              <w:t>查阅《中华人民共和国自然资源部》网站关于鸟类迁徙资料可知，候鸟迁徙的途径、远近和速度各有不同</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鸟类在迁徙时飞行的高度一般都在900米以下，小鸟则在100米左右。迁徙的速度，大都在每小时40～80公里，夜间比白天快，春季比秋季快</w:t>
            </w:r>
            <w:r>
              <w:rPr>
                <w:rFonts w:hint="eastAsia"/>
                <w:color w:val="000000" w:themeColor="text1"/>
                <w:kern w:val="0"/>
                <w:sz w:val="24"/>
                <w:lang w:eastAsia="zh-CN"/>
                <w14:textFill>
                  <w14:solidFill>
                    <w14:schemeClr w14:val="tx1"/>
                  </w14:solidFill>
                </w14:textFill>
              </w:rPr>
              <w:t>。</w:t>
            </w:r>
          </w:p>
          <w:p w14:paraId="195FC49B">
            <w:pPr>
              <w:spacing w:line="360" w:lineRule="auto"/>
              <w:ind w:firstLine="573"/>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项目</w:t>
            </w:r>
            <w:r>
              <w:rPr>
                <w:rFonts w:hint="eastAsia" w:eastAsiaTheme="minorEastAsia"/>
                <w:color w:val="000000" w:themeColor="text1"/>
                <w:sz w:val="24"/>
                <w14:textFill>
                  <w14:solidFill>
                    <w14:schemeClr w14:val="tx1"/>
                  </w14:solidFill>
                </w14:textFill>
              </w:rPr>
              <w:t>拟安装</w:t>
            </w:r>
            <w:r>
              <w:rPr>
                <w:rFonts w:eastAsiaTheme="minorEastAsia"/>
                <w:color w:val="000000" w:themeColor="text1"/>
                <w:sz w:val="24"/>
                <w14:textFill>
                  <w14:solidFill>
                    <w14:schemeClr w14:val="tx1"/>
                  </w14:solidFill>
                </w14:textFill>
              </w:rPr>
              <w:t>的风力发电机</w:t>
            </w:r>
            <w:r>
              <w:rPr>
                <w:rFonts w:hint="eastAsia" w:eastAsiaTheme="minorEastAsia"/>
                <w:color w:val="000000" w:themeColor="text1"/>
                <w:sz w:val="24"/>
                <w14:textFill>
                  <w14:solidFill>
                    <w14:schemeClr w14:val="tx1"/>
                  </w14:solidFill>
                </w14:textFill>
              </w:rPr>
              <w:t>组</w:t>
            </w:r>
            <w:r>
              <w:rPr>
                <w:rFonts w:hint="eastAsia"/>
                <w:color w:val="000000" w:themeColor="text1"/>
                <w:sz w:val="24"/>
                <w14:textFill>
                  <w14:solidFill>
                    <w14:schemeClr w14:val="tx1"/>
                  </w14:solidFill>
                </w14:textFill>
              </w:rPr>
              <w:t>叶轮直径220m，轮毂高度16</w:t>
            </w:r>
            <w:r>
              <w:rPr>
                <w:rFonts w:hint="eastAsia"/>
                <w:color w:val="000000" w:themeColor="text1"/>
                <w:sz w:val="24"/>
                <w:lang w:val="en-US" w:eastAsia="zh-CN"/>
                <w14:textFill>
                  <w14:solidFill>
                    <w14:schemeClr w14:val="tx1"/>
                  </w14:solidFill>
                </w14:textFill>
              </w:rPr>
              <w:t>6</w:t>
            </w:r>
            <w:r>
              <w:rPr>
                <w:rFonts w:hint="eastAsia"/>
                <w:color w:val="000000" w:themeColor="text1"/>
                <w:sz w:val="24"/>
                <w14:textFill>
                  <w14:solidFill>
                    <w14:schemeClr w14:val="tx1"/>
                  </w14:solidFill>
                </w14:textFill>
              </w:rPr>
              <w:t>m</w:t>
            </w:r>
            <w:r>
              <w:rPr>
                <w:color w:val="000000" w:themeColor="text1"/>
                <w:kern w:val="0"/>
                <w:sz w:val="24"/>
                <w14:textFill>
                  <w14:solidFill>
                    <w14:schemeClr w14:val="tx1"/>
                  </w14:solidFill>
                </w14:textFill>
              </w:rPr>
              <w:t>，叶片扫过区域的高度约在</w:t>
            </w:r>
            <w:r>
              <w:rPr>
                <w:rFonts w:hint="eastAsia"/>
                <w:color w:val="000000" w:themeColor="text1"/>
                <w:kern w:val="0"/>
                <w:sz w:val="24"/>
                <w14:textFill>
                  <w14:solidFill>
                    <w14:schemeClr w14:val="tx1"/>
                  </w14:solidFill>
                </w14:textFill>
              </w:rPr>
              <w:t>50</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270</w:t>
            </w:r>
            <w:r>
              <w:rPr>
                <w:color w:val="000000" w:themeColor="text1"/>
                <w:kern w:val="0"/>
                <w:sz w:val="24"/>
                <w14:textFill>
                  <w14:solidFill>
                    <w14:schemeClr w14:val="tx1"/>
                  </w14:solidFill>
                </w14:textFill>
              </w:rPr>
              <w:t>m之间，风机与鸟类发生碰撞的区域为离地</w:t>
            </w:r>
            <w:r>
              <w:rPr>
                <w:rFonts w:hint="eastAsia"/>
                <w:color w:val="000000" w:themeColor="text1"/>
                <w:kern w:val="0"/>
                <w:sz w:val="24"/>
                <w14:textFill>
                  <w14:solidFill>
                    <w14:schemeClr w14:val="tx1"/>
                  </w14:solidFill>
                </w14:textFill>
              </w:rPr>
              <w:t>15</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270</w:t>
            </w:r>
            <w:r>
              <w:rPr>
                <w:color w:val="000000" w:themeColor="text1"/>
                <w:kern w:val="0"/>
                <w:sz w:val="24"/>
                <w14:textFill>
                  <w14:solidFill>
                    <w14:schemeClr w14:val="tx1"/>
                  </w14:solidFill>
                </w14:textFill>
              </w:rPr>
              <w:t>m之间的风轮扫掠面积范围内。</w:t>
            </w:r>
          </w:p>
          <w:p w14:paraId="49E309C3">
            <w:pPr>
              <w:spacing w:line="360" w:lineRule="auto"/>
              <w:ind w:firstLine="573"/>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本项目风电场范围内各台风电机组之间最小间距大于</w:t>
            </w:r>
            <w:r>
              <w:rPr>
                <w:rFonts w:hint="eastAsia"/>
                <w:color w:val="000000" w:themeColor="text1"/>
                <w:kern w:val="0"/>
                <w:sz w:val="24"/>
                <w:lang w:val="en-US" w:eastAsia="zh-CN"/>
                <w14:textFill>
                  <w14:solidFill>
                    <w14:schemeClr w14:val="tx1"/>
                  </w14:solidFill>
                </w14:textFill>
              </w:rPr>
              <w:t>2</w:t>
            </w:r>
            <w:r>
              <w:rPr>
                <w:color w:val="000000" w:themeColor="text1"/>
                <w:kern w:val="0"/>
                <w:sz w:val="24"/>
                <w14:textFill>
                  <w14:solidFill>
                    <w14:schemeClr w14:val="tx1"/>
                  </w14:solidFill>
                </w14:textFill>
              </w:rPr>
              <w:t>D（D为风机</w:t>
            </w:r>
            <w:r>
              <w:rPr>
                <w:rFonts w:hint="eastAsia"/>
                <w:color w:val="000000" w:themeColor="text1"/>
                <w:kern w:val="0"/>
                <w:sz w:val="24"/>
                <w14:textFill>
                  <w14:solidFill>
                    <w14:schemeClr w14:val="tx1"/>
                  </w14:solidFill>
                </w14:textFill>
              </w:rPr>
              <w:t>叶片</w:t>
            </w:r>
            <w:r>
              <w:rPr>
                <w:color w:val="000000" w:themeColor="text1"/>
                <w:kern w:val="0"/>
                <w:sz w:val="24"/>
                <w14:textFill>
                  <w14:solidFill>
                    <w14:schemeClr w14:val="tx1"/>
                  </w14:solidFill>
                </w14:textFill>
              </w:rPr>
              <w:t>直径</w:t>
            </w:r>
            <w:r>
              <w:rPr>
                <w:rFonts w:hint="eastAsia"/>
                <w:color w:val="000000" w:themeColor="text1"/>
                <w:kern w:val="0"/>
                <w:sz w:val="24"/>
                <w14:textFill>
                  <w14:solidFill>
                    <w14:schemeClr w14:val="tx1"/>
                  </w14:solidFill>
                </w14:textFill>
              </w:rPr>
              <w:t>220m</w:t>
            </w:r>
            <w:r>
              <w:rPr>
                <w:color w:val="000000" w:themeColor="text1"/>
                <w:kern w:val="0"/>
                <w:sz w:val="24"/>
                <w14:textFill>
                  <w14:solidFill>
                    <w14:schemeClr w14:val="tx1"/>
                  </w14:solidFill>
                </w14:textFill>
              </w:rPr>
              <w:t>），此间距足够让小型鸟类穿越，如麻雀、喜鹊、燕子等，不会干扰其飞行。根据现场及资料查阅，本拟建项目所在地范围</w:t>
            </w:r>
            <w:r>
              <w:rPr>
                <w:rFonts w:hint="eastAsia"/>
                <w:color w:val="000000" w:themeColor="text1"/>
                <w:kern w:val="0"/>
                <w:sz w:val="24"/>
                <w14:textFill>
                  <w14:solidFill>
                    <w14:schemeClr w14:val="tx1"/>
                  </w14:solidFill>
                </w14:textFill>
              </w:rPr>
              <w:t>属于</w:t>
            </w:r>
            <w:r>
              <w:rPr>
                <w:color w:val="000000" w:themeColor="text1"/>
                <w:kern w:val="0"/>
                <w:sz w:val="24"/>
                <w14:textFill>
                  <w14:solidFill>
                    <w14:schemeClr w14:val="tx1"/>
                  </w14:solidFill>
                </w14:textFill>
              </w:rPr>
              <w:t>鸟类觅食地，因此在此区域活动的鸟类</w:t>
            </w:r>
            <w:r>
              <w:rPr>
                <w:rFonts w:hint="eastAsia"/>
                <w:color w:val="000000" w:themeColor="text1"/>
                <w:kern w:val="0"/>
                <w:sz w:val="24"/>
                <w14:textFill>
                  <w14:solidFill>
                    <w14:schemeClr w14:val="tx1"/>
                  </w14:solidFill>
                </w14:textFill>
              </w:rPr>
              <w:t>飞行高度相对较低</w:t>
            </w:r>
            <w:r>
              <w:rPr>
                <w:color w:val="000000" w:themeColor="text1"/>
                <w:kern w:val="0"/>
                <w:sz w:val="24"/>
                <w14:textFill>
                  <w14:solidFill>
                    <w14:schemeClr w14:val="tx1"/>
                  </w14:solidFill>
                </w14:textFill>
              </w:rPr>
              <w:t>，而鸟类有较为敏锐的视力，会及时避开运行中的风机。</w:t>
            </w:r>
          </w:p>
          <w:p w14:paraId="25FA610C">
            <w:pPr>
              <w:spacing w:line="360" w:lineRule="auto"/>
              <w:ind w:firstLine="573"/>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同时本环评建议项目在风机上涂上亚光涂料，防止鸟类看到转动的风机光亮去追逐风叶，以减少鸟类碰撞风机而死亡的事件。因此，本项目建设对鸟类飞行影响很小。</w:t>
            </w:r>
          </w:p>
          <w:p w14:paraId="1169DB2F">
            <w:pPr>
              <w:spacing w:line="360" w:lineRule="auto"/>
              <w:ind w:firstLine="573"/>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fldChar w:fldCharType="begin"/>
            </w:r>
            <w:r>
              <w:rPr>
                <w:color w:val="000000" w:themeColor="text1"/>
                <w:kern w:val="0"/>
                <w:sz w:val="24"/>
                <w:lang w:val="zh-CN"/>
                <w14:textFill>
                  <w14:solidFill>
                    <w14:schemeClr w14:val="tx1"/>
                  </w14:solidFill>
                </w14:textFill>
              </w:rPr>
              <w:instrText xml:space="preserve"> = 4 \* GB3 \* MERGEFORMAT </w:instrText>
            </w:r>
            <w:r>
              <w:rPr>
                <w:color w:val="000000" w:themeColor="text1"/>
                <w:kern w:val="0"/>
                <w:sz w:val="24"/>
                <w:lang w:val="zh-CN"/>
                <w14:textFill>
                  <w14:solidFill>
                    <w14:schemeClr w14:val="tx1"/>
                  </w14:solidFill>
                </w14:textFill>
              </w:rPr>
              <w:fldChar w:fldCharType="separate"/>
            </w:r>
            <w:r>
              <w:t>④</w:t>
            </w:r>
            <w:r>
              <w:rPr>
                <w:color w:val="000000" w:themeColor="text1"/>
                <w:kern w:val="0"/>
                <w:sz w:val="24"/>
                <w:lang w:val="zh-CN"/>
                <w14:textFill>
                  <w14:solidFill>
                    <w14:schemeClr w14:val="tx1"/>
                  </w14:solidFill>
                </w14:textFill>
              </w:rPr>
              <w:fldChar w:fldCharType="end"/>
            </w:r>
            <w:r>
              <w:rPr>
                <w:color w:val="000000" w:themeColor="text1"/>
                <w:kern w:val="0"/>
                <w:sz w:val="24"/>
                <w:lang w:val="zh-CN"/>
                <w14:textFill>
                  <w14:solidFill>
                    <w14:schemeClr w14:val="tx1"/>
                  </w14:solidFill>
                </w14:textFill>
              </w:rPr>
              <w:t>对鸟类栖息地利用分布的影响</w:t>
            </w:r>
          </w:p>
          <w:p w14:paraId="250A5B0A">
            <w:pPr>
              <w:spacing w:line="360" w:lineRule="auto"/>
              <w:ind w:firstLine="573"/>
              <w:rPr>
                <w:color w:val="auto"/>
                <w:kern w:val="0"/>
                <w:sz w:val="24"/>
                <w:lang w:val="zh-CN"/>
              </w:rPr>
            </w:pPr>
            <w:r>
              <w:rPr>
                <w:color w:val="000000" w:themeColor="text1"/>
                <w:kern w:val="0"/>
                <w:sz w:val="24"/>
                <w:lang w:val="zh-CN"/>
                <w14:textFill>
                  <w14:solidFill>
                    <w14:schemeClr w14:val="tx1"/>
                  </w14:solidFill>
                </w14:textFill>
              </w:rPr>
              <w:t>根据现场调查，本拟建项目风电场范围内无野生动物重要栖息地，常见的留鸟有麻雀、喜鹊、啄木鸟、乌鸦等，常见的候鸟有家燕、杜鹃等。</w:t>
            </w:r>
            <w:r>
              <w:rPr>
                <w:color w:val="auto"/>
                <w:kern w:val="0"/>
                <w:sz w:val="24"/>
                <w:lang w:val="zh-CN"/>
              </w:rPr>
              <w:t>项目区域内鸟类栖息地分为两类，一类以住宅为栖息地，如燕子。另一类以树木为栖息地，如麻雀、喜鹊、乌鸦等。本区域主要树种是田间路旁的杨树、柳树、槐树等，以及果园的果树，它们的高度基本上低于</w:t>
            </w:r>
            <w:r>
              <w:rPr>
                <w:rFonts w:hint="eastAsia"/>
                <w:color w:val="auto"/>
                <w:kern w:val="0"/>
                <w:sz w:val="24"/>
              </w:rPr>
              <w:t>15</w:t>
            </w:r>
            <w:r>
              <w:rPr>
                <w:color w:val="auto"/>
                <w:kern w:val="0"/>
                <w:sz w:val="24"/>
                <w:lang w:val="zh-CN"/>
              </w:rPr>
              <w:t>m，远低于项目风机叶片可以扫过的最低位置。因此本项目的建设不会对项目所在地鸟类栖息地造成影响。</w:t>
            </w:r>
          </w:p>
          <w:p w14:paraId="1953549E">
            <w:pPr>
              <w:spacing w:line="360" w:lineRule="auto"/>
              <w:ind w:firstLine="573"/>
              <w:rPr>
                <w:color w:val="000000" w:themeColor="text1"/>
                <w:kern w:val="0"/>
                <w:sz w:val="24"/>
                <w:lang w:val="zh-CN"/>
                <w14:textFill>
                  <w14:solidFill>
                    <w14:schemeClr w14:val="tx1"/>
                  </w14:solidFill>
                </w14:textFill>
              </w:rPr>
            </w:pPr>
            <w:r>
              <w:rPr>
                <w:color w:val="000000" w:themeColor="text1"/>
                <w:kern w:val="0"/>
                <w:sz w:val="24"/>
                <w:lang w:val="zh-CN"/>
                <w14:textFill>
                  <w14:solidFill>
                    <w14:schemeClr w14:val="tx1"/>
                  </w14:solidFill>
                </w14:textFill>
              </w:rPr>
              <w:t>同时鸟类栖息地利用分布与风力机组产生的噪声大小有关，</w:t>
            </w:r>
            <w:r>
              <w:rPr>
                <w:color w:val="000000" w:themeColor="text1"/>
                <w:kern w:val="0"/>
                <w:sz w:val="24"/>
                <w14:textFill>
                  <w14:solidFill>
                    <w14:schemeClr w14:val="tx1"/>
                  </w14:solidFill>
                </w14:textFill>
              </w:rPr>
              <w:t>运行期项目风电机组噪声</w:t>
            </w:r>
            <w:r>
              <w:rPr>
                <w:rFonts w:hint="eastAsia"/>
                <w:color w:val="000000" w:themeColor="text1"/>
                <w:kern w:val="0"/>
                <w:sz w:val="24"/>
                <w:lang w:val="en-US" w:eastAsia="zh-CN"/>
                <w14:textFill>
                  <w14:solidFill>
                    <w14:schemeClr w14:val="tx1"/>
                  </w14:solidFill>
                </w14:textFill>
              </w:rPr>
              <w:t>110</w:t>
            </w:r>
            <w:r>
              <w:rPr>
                <w:color w:val="000000" w:themeColor="text1"/>
                <w:kern w:val="0"/>
                <w:sz w:val="24"/>
                <w:lang w:val="zh-CN"/>
                <w14:textFill>
                  <w14:solidFill>
                    <w14:schemeClr w14:val="tx1"/>
                  </w14:solidFill>
                </w14:textFill>
              </w:rPr>
              <w:t>dB（A），</w:t>
            </w:r>
            <w:r>
              <w:rPr>
                <w:color w:val="000000" w:themeColor="text1"/>
                <w:kern w:val="0"/>
                <w:sz w:val="24"/>
                <w14:textFill>
                  <w14:solidFill>
                    <w14:schemeClr w14:val="tx1"/>
                  </w14:solidFill>
                </w14:textFill>
              </w:rPr>
              <w:t>则风机噪声会对</w:t>
            </w:r>
            <w:r>
              <w:rPr>
                <w:color w:val="000000" w:themeColor="text1"/>
                <w:kern w:val="0"/>
                <w:sz w:val="24"/>
                <w:lang w:val="zh-CN"/>
                <w14:textFill>
                  <w14:solidFill>
                    <w14:schemeClr w14:val="tx1"/>
                  </w14:solidFill>
                </w14:textFill>
              </w:rPr>
              <w:t>鸟类栖息地</w:t>
            </w:r>
            <w:r>
              <w:rPr>
                <w:color w:val="000000" w:themeColor="text1"/>
                <w:kern w:val="0"/>
                <w:sz w:val="24"/>
                <w14:textFill>
                  <w14:solidFill>
                    <w14:schemeClr w14:val="tx1"/>
                  </w14:solidFill>
                </w14:textFill>
              </w:rPr>
              <w:t>产生一定影响</w:t>
            </w:r>
            <w:r>
              <w:rPr>
                <w:color w:val="000000" w:themeColor="text1"/>
                <w:kern w:val="0"/>
                <w:sz w:val="24"/>
                <w:lang w:val="zh-CN"/>
                <w14:textFill>
                  <w14:solidFill>
                    <w14:schemeClr w14:val="tx1"/>
                  </w14:solidFill>
                </w14:textFill>
              </w:rPr>
              <w:t>。</w:t>
            </w:r>
          </w:p>
          <w:p w14:paraId="2CE1FDE7">
            <w:pPr>
              <w:spacing w:line="360" w:lineRule="auto"/>
              <w:ind w:firstLine="573"/>
              <w:rPr>
                <w:color w:val="000000" w:themeColor="text1"/>
                <w:sz w:val="24"/>
                <w:lang w:val="zh-CN"/>
                <w14:textFill>
                  <w14:solidFill>
                    <w14:schemeClr w14:val="tx1"/>
                  </w14:solidFill>
                </w14:textFill>
              </w:rPr>
            </w:pPr>
            <w:r>
              <w:rPr>
                <w:color w:val="000000" w:themeColor="text1"/>
                <w:kern w:val="0"/>
                <w:sz w:val="24"/>
                <w:lang w:val="zh-CN"/>
                <w14:textFill>
                  <w14:solidFill>
                    <w14:schemeClr w14:val="tx1"/>
                  </w14:solidFill>
                </w14:textFill>
              </w:rPr>
              <w:t>综上所述，本项目的建设对项目区域内鸟类的影响较小。</w:t>
            </w:r>
          </w:p>
          <w:p w14:paraId="74D64BD9">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低频噪声对动物影响分析</w:t>
            </w:r>
          </w:p>
          <w:p w14:paraId="5C28C83B">
            <w:pPr>
              <w:adjustRightInd w:val="0"/>
              <w:snapToGrid w:val="0"/>
              <w:spacing w:line="360" w:lineRule="auto"/>
              <w:ind w:firstLine="480" w:firstLineChars="200"/>
              <w:rPr>
                <w:color w:val="000000" w:themeColor="text1"/>
                <w:sz w:val="24"/>
                <w:highlight w:val="cyan"/>
                <w14:textFill>
                  <w14:solidFill>
                    <w14:schemeClr w14:val="tx1"/>
                  </w14:solidFill>
                </w14:textFill>
              </w:rPr>
            </w:pPr>
            <w:r>
              <w:rPr>
                <w:color w:val="000000" w:themeColor="text1"/>
                <w:sz w:val="24"/>
                <w14:textFill>
                  <w14:solidFill>
                    <w14:schemeClr w14:val="tx1"/>
                  </w14:solidFill>
                </w14:textFill>
              </w:rPr>
              <w:t>多数研究表明风机噪声可能会对野生动物产生一定的影响，但不会造成不良生理反应及听力损伤。</w:t>
            </w:r>
            <w:r>
              <w:rPr>
                <w:rFonts w:hint="eastAsia"/>
                <w:color w:val="000000" w:themeColor="text1"/>
                <w:sz w:val="24"/>
                <w14:textFill>
                  <w14:solidFill>
                    <w14:schemeClr w14:val="tx1"/>
                  </w14:solidFill>
                </w14:textFill>
              </w:rPr>
              <w:t>经调查，本次</w:t>
            </w:r>
            <w:r>
              <w:rPr>
                <w:color w:val="000000" w:themeColor="text1"/>
                <w:sz w:val="24"/>
                <w14:textFill>
                  <w14:solidFill>
                    <w14:schemeClr w14:val="tx1"/>
                  </w14:solidFill>
                </w14:textFill>
              </w:rPr>
              <w:t>拟建风电场范围内野生动物分布较少，评价区范围内无保护动物，</w:t>
            </w:r>
            <w:r>
              <w:rPr>
                <w:rFonts w:hint="eastAsia"/>
                <w:color w:val="000000" w:themeColor="text1"/>
                <w:sz w:val="24"/>
                <w14:textFill>
                  <w14:solidFill>
                    <w14:schemeClr w14:val="tx1"/>
                  </w14:solidFill>
                </w14:textFill>
              </w:rPr>
              <w:t>因此本项目</w:t>
            </w:r>
            <w:r>
              <w:rPr>
                <w:color w:val="000000" w:themeColor="text1"/>
                <w:sz w:val="24"/>
                <w14:textFill>
                  <w14:solidFill>
                    <w14:schemeClr w14:val="tx1"/>
                  </w14:solidFill>
                </w14:textFill>
              </w:rPr>
              <w:t>风电场低频噪声对评价区域内野生动物造成影响较小。</w:t>
            </w:r>
          </w:p>
          <w:p w14:paraId="239657C7">
            <w:pPr>
              <w:adjustRightInd w:val="0"/>
              <w:snapToGri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3 \* GB2 \* MERGEFORMAT </w:instrText>
            </w:r>
            <w:r>
              <w:rPr>
                <w:rFonts w:hint="eastAsia"/>
                <w:color w:val="000000" w:themeColor="text1"/>
                <w:sz w:val="24"/>
                <w14:textFill>
                  <w14:solidFill>
                    <w14:schemeClr w14:val="tx1"/>
                  </w14:solidFill>
                </w14:textFill>
              </w:rPr>
              <w:fldChar w:fldCharType="separate"/>
            </w:r>
            <w:r>
              <w:t>⑶</w:t>
            </w:r>
            <w:r>
              <w:rPr>
                <w:rFonts w:hint="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对一般野生动物的影响</w:t>
            </w:r>
          </w:p>
          <w:p w14:paraId="59B226B0">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需扩建及新建一部分道路，这些道路对评价区内动物活动形成了一道屏障，使得动物的活动范围受到限制，阻隔动物正常活动。一般来说，受道路阻隔和生境破碎化影响的主要是迁移能力较差的两栖类、爬行类动物。检修道路宽度较小（路面宽</w:t>
            </w:r>
            <w:r>
              <w:rPr>
                <w:rFonts w:hint="eastAsia"/>
                <w:color w:val="000000" w:themeColor="text1"/>
                <w:sz w:val="24"/>
                <w14:textFill>
                  <w14:solidFill>
                    <w14:schemeClr w14:val="tx1"/>
                  </w14:solidFill>
                </w14:textFill>
              </w:rPr>
              <w:t>4.5</w:t>
            </w:r>
            <w:r>
              <w:rPr>
                <w:color w:val="000000" w:themeColor="text1"/>
                <w:sz w:val="24"/>
                <w14:textFill>
                  <w14:solidFill>
                    <w14:schemeClr w14:val="tx1"/>
                  </w14:solidFill>
                </w14:textFill>
              </w:rPr>
              <w:t>m），风电场运行期间通行车辆较少，大部分兽类动物可以越过道路前往其他区域，受影响较小。鸟类大多可以在道路两侧自由飞翔，受道路阻隔影响较小。</w:t>
            </w:r>
          </w:p>
          <w:p w14:paraId="22830D06">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GB2 \* MERGEFORMAT </w:instrText>
            </w:r>
            <w:r>
              <w:rPr>
                <w:color w:val="000000" w:themeColor="text1"/>
                <w:sz w:val="24"/>
                <w14:textFill>
                  <w14:solidFill>
                    <w14:schemeClr w14:val="tx1"/>
                  </w14:solidFill>
                </w14:textFill>
              </w:rPr>
              <w:fldChar w:fldCharType="separate"/>
            </w:r>
            <w:r>
              <w:t>⑷</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水土流失影响</w:t>
            </w:r>
          </w:p>
          <w:p w14:paraId="189765EA">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本项目建成</w:t>
            </w:r>
            <w:r>
              <w:rPr>
                <w:rFonts w:hint="eastAsia"/>
                <w:color w:val="000000" w:themeColor="text1"/>
                <w:sz w:val="24"/>
                <w14:textFill>
                  <w14:solidFill>
                    <w14:schemeClr w14:val="tx1"/>
                  </w14:solidFill>
                </w14:textFill>
              </w:rPr>
              <w:t>运行</w:t>
            </w:r>
            <w:r>
              <w:rPr>
                <w:color w:val="000000" w:themeColor="text1"/>
                <w:sz w:val="24"/>
                <w14:textFill>
                  <w14:solidFill>
                    <w14:schemeClr w14:val="tx1"/>
                  </w14:solidFill>
                </w14:textFill>
              </w:rPr>
              <w:t>后，风机基础、检修道路等永久占地失去原有的生物生产功能和生态功能，植被基本完全损失，植被覆盖率降低，在恶劣天气条件下会加剧该区域的水土流失。另外，运营初期的植物措施恢复期，也存在着一定的水土流失。随着植被的恢复，运营期水土流失将恢复至建设项目前的水平，因此，运营期水土流失较小。</w:t>
            </w:r>
          </w:p>
          <w:p w14:paraId="032D8778">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GB2 \* MERGEFORMAT </w:instrText>
            </w:r>
            <w:r>
              <w:rPr>
                <w:color w:val="000000" w:themeColor="text1"/>
                <w:sz w:val="24"/>
                <w14:textFill>
                  <w14:solidFill>
                    <w14:schemeClr w14:val="tx1"/>
                  </w14:solidFill>
                </w14:textFill>
              </w:rPr>
              <w:fldChar w:fldCharType="separate"/>
            </w:r>
            <w:r>
              <w:t>⑸</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景观影响</w:t>
            </w:r>
          </w:p>
          <w:p w14:paraId="04B2C8AF">
            <w:pPr>
              <w:adjustRightInd w:val="0"/>
              <w:snapToGrid w:val="0"/>
              <w:spacing w:line="360" w:lineRule="auto"/>
              <w:ind w:firstLine="480" w:firstLineChars="200"/>
              <w:rPr>
                <w:color w:val="000000" w:themeColor="text1"/>
                <w:sz w:val="24"/>
                <w14:textFill>
                  <w14:solidFill>
                    <w14:schemeClr w14:val="tx1"/>
                  </w14:solidFill>
                </w14:textFill>
              </w:rPr>
            </w:pPr>
            <w:bookmarkStart w:id="8" w:name="_Toc24361334"/>
            <w:r>
              <w:rPr>
                <w:color w:val="000000" w:themeColor="text1"/>
                <w:sz w:val="24"/>
                <w14:textFill>
                  <w14:solidFill>
                    <w14:schemeClr w14:val="tx1"/>
                  </w14:solidFill>
                </w14:textFill>
              </w:rPr>
              <w:t>建设项目所在地所处的地区原有的景观为</w:t>
            </w:r>
            <w:r>
              <w:rPr>
                <w:rFonts w:hint="eastAsia"/>
                <w:color w:val="000000" w:themeColor="text1"/>
                <w:sz w:val="24"/>
                <w:lang w:val="en-US" w:eastAsia="zh-CN"/>
                <w14:textFill>
                  <w14:solidFill>
                    <w14:schemeClr w14:val="tx1"/>
                  </w14:solidFill>
                </w14:textFill>
              </w:rPr>
              <w:t>关中秦岭北侧山地</w:t>
            </w:r>
            <w:r>
              <w:rPr>
                <w:color w:val="000000" w:themeColor="text1"/>
                <w:sz w:val="24"/>
                <w14:textFill>
                  <w14:solidFill>
                    <w14:schemeClr w14:val="tx1"/>
                  </w14:solidFill>
                </w14:textFill>
              </w:rPr>
              <w:t>，虽然这是一种自然景观，但人们的视觉效果往往会感到枯燥，如果在其中出现白色风塔</w:t>
            </w:r>
            <w:r>
              <w:rPr>
                <w:rFonts w:hint="eastAsia"/>
                <w:color w:val="000000" w:themeColor="text1"/>
                <w:sz w:val="24"/>
                <w14:textFill>
                  <w14:solidFill>
                    <w14:schemeClr w14:val="tx1"/>
                  </w14:solidFill>
                </w14:textFill>
              </w:rPr>
              <w:t>点缀其间</w:t>
            </w:r>
            <w:r>
              <w:rPr>
                <w:color w:val="000000" w:themeColor="text1"/>
                <w:sz w:val="24"/>
                <w14:textFill>
                  <w14:solidFill>
                    <w14:schemeClr w14:val="tx1"/>
                  </w14:solidFill>
                </w14:textFill>
              </w:rPr>
              <w:t>，这不但会减轻人们的视觉疲劳，也会使人们的视觉感到一种享受。本拟建项目风力发电场建成后，就风力发电机本身而言，已经为这一区域增添了色彩，风力发电机组合在一起可以构成一个非常独特的人文景观，这种人文景观具有群体性，可观赏性，虽与自然景观有明显差异，但可以反映人与自然结合的完美性，如果风力发电场区能够按规划有计划地实施生态恢复措施，使场区形成一个结构合理、系统稳定的生态环境，总体而言，本项目建设对周围景观影响小。</w:t>
            </w:r>
          </w:p>
          <w:p w14:paraId="59C99CFE">
            <w:pPr>
              <w:keepNext/>
              <w:keepLines/>
              <w:spacing w:line="360" w:lineRule="auto"/>
              <w:ind w:firstLine="482" w:firstLineChars="200"/>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1.2运营期对地表植被生物量影响分析</w:t>
            </w:r>
            <w:bookmarkEnd w:id="8"/>
          </w:p>
          <w:p w14:paraId="2698AEA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本风电场</w:t>
            </w:r>
            <w:r>
              <w:rPr>
                <w:rFonts w:hint="eastAsia"/>
                <w:color w:val="000000" w:themeColor="text1"/>
                <w:sz w:val="24"/>
                <w:lang w:val="en-US" w:eastAsia="zh-CN"/>
                <w14:textFill>
                  <w14:solidFill>
                    <w14:schemeClr w14:val="tx1"/>
                  </w14:solidFill>
                </w14:textFill>
              </w:rPr>
              <w:t>占地</w:t>
            </w:r>
            <w:r>
              <w:rPr>
                <w:rFonts w:hint="eastAsia"/>
                <w:color w:val="000000" w:themeColor="text1"/>
                <w:sz w:val="24"/>
                <w14:textFill>
                  <w14:solidFill>
                    <w14:schemeClr w14:val="tx1"/>
                  </w14:solidFill>
                </w14:textFill>
              </w:rPr>
              <w:t>区域内永</w:t>
            </w:r>
            <w:r>
              <w:rPr>
                <w:rFonts w:hint="eastAsia"/>
                <w:color w:val="auto"/>
                <w:sz w:val="24"/>
              </w:rPr>
              <w:t>久占地为</w:t>
            </w:r>
            <w:r>
              <w:rPr>
                <w:rFonts w:hint="eastAsia"/>
                <w:color w:val="auto"/>
                <w:sz w:val="24"/>
                <w:lang w:val="en-US" w:eastAsia="zh-CN"/>
              </w:rPr>
              <w:t>林地</w:t>
            </w:r>
            <w:r>
              <w:rPr>
                <w:rFonts w:hint="eastAsia"/>
                <w:color w:val="auto"/>
                <w:sz w:val="24"/>
                <w:lang w:eastAsia="zh-CN"/>
              </w:rPr>
              <w:t>、</w:t>
            </w:r>
            <w:r>
              <w:rPr>
                <w:rFonts w:hint="eastAsia"/>
                <w:color w:val="auto"/>
                <w:sz w:val="24"/>
              </w:rPr>
              <w:t>果园，自然植</w:t>
            </w:r>
            <w:r>
              <w:rPr>
                <w:rFonts w:hint="eastAsia"/>
                <w:color w:val="000000" w:themeColor="text1"/>
                <w:sz w:val="24"/>
                <w14:textFill>
                  <w14:solidFill>
                    <w14:schemeClr w14:val="tx1"/>
                  </w14:solidFill>
                </w14:textFill>
              </w:rPr>
              <w:t>被分布较少，范围分布小。</w:t>
            </w:r>
          </w:p>
          <w:p w14:paraId="4A7221C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本项目运行后，永久占地主要为风电机组基础、</w:t>
            </w:r>
            <w:r>
              <w:rPr>
                <w:rFonts w:hint="eastAsia"/>
                <w:color w:val="000000" w:themeColor="text1"/>
                <w:sz w:val="24"/>
                <w14:textFill>
                  <w14:solidFill>
                    <w14:schemeClr w14:val="tx1"/>
                  </w14:solidFill>
                </w14:textFill>
              </w:rPr>
              <w:t>箱变基础</w:t>
            </w:r>
            <w:r>
              <w:rPr>
                <w:color w:val="000000" w:themeColor="text1"/>
                <w:sz w:val="24"/>
                <w14:textFill>
                  <w14:solidFill>
                    <w14:schemeClr w14:val="tx1"/>
                  </w14:solidFill>
                </w14:textFill>
              </w:rPr>
              <w:t>等，建议就近或在场内植树和种草，合理绿化，增加场地及周边草地绿化覆盖率，生态可以得到恢复，并在一定程度上改善原有生态。</w:t>
            </w:r>
            <w:r>
              <w:rPr>
                <w:rFonts w:hint="eastAsia"/>
                <w:color w:val="000000" w:themeColor="text1"/>
                <w:sz w:val="24"/>
                <w14:textFill>
                  <w14:solidFill>
                    <w14:schemeClr w14:val="tx1"/>
                  </w14:solidFill>
                </w14:textFill>
              </w:rPr>
              <w:t>临时占地恢复原有生态功能，</w:t>
            </w:r>
            <w:r>
              <w:rPr>
                <w:color w:val="000000" w:themeColor="text1"/>
                <w:sz w:val="24"/>
                <w14:textFill>
                  <w14:solidFill>
                    <w14:schemeClr w14:val="tx1"/>
                  </w14:solidFill>
                </w14:textFill>
              </w:rPr>
              <w:t>在植树种草</w:t>
            </w:r>
            <w:r>
              <w:rPr>
                <w:rFonts w:hint="eastAsia"/>
                <w:color w:val="000000" w:themeColor="text1"/>
                <w:sz w:val="24"/>
                <w14:textFill>
                  <w14:solidFill>
                    <w14:schemeClr w14:val="tx1"/>
                  </w14:solidFill>
                </w14:textFill>
              </w:rPr>
              <w:t>、复垦</w:t>
            </w:r>
            <w:r>
              <w:rPr>
                <w:color w:val="000000" w:themeColor="text1"/>
                <w:sz w:val="24"/>
                <w14:textFill>
                  <w14:solidFill>
                    <w14:schemeClr w14:val="tx1"/>
                  </w14:solidFill>
                </w14:textFill>
              </w:rPr>
              <w:t>措施完成后，区域植被生物量基本恢复</w:t>
            </w:r>
            <w:r>
              <w:rPr>
                <w:rFonts w:hint="eastAsia"/>
                <w:color w:val="000000" w:themeColor="text1"/>
                <w:sz w:val="24"/>
                <w14:textFill>
                  <w14:solidFill>
                    <w14:schemeClr w14:val="tx1"/>
                  </w14:solidFill>
                </w14:textFill>
              </w:rPr>
              <w:t>现状</w:t>
            </w:r>
            <w:r>
              <w:rPr>
                <w:color w:val="000000" w:themeColor="text1"/>
                <w:sz w:val="24"/>
                <w14:textFill>
                  <w14:solidFill>
                    <w14:schemeClr w14:val="tx1"/>
                  </w14:solidFill>
                </w14:textFill>
              </w:rPr>
              <w:t>。</w:t>
            </w:r>
          </w:p>
          <w:p w14:paraId="17869D99">
            <w:pPr>
              <w:keepNext/>
              <w:keepLines/>
              <w:spacing w:line="360" w:lineRule="auto"/>
              <w:ind w:firstLine="482" w:firstLineChars="200"/>
              <w:outlineLvl w:val="2"/>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1.3风机光影影响分析</w:t>
            </w:r>
          </w:p>
          <w:p w14:paraId="2258A2F1">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地球绕太阳公转，太阳光入射方向和地平面之间的夹角称之为太阳高度角，只要太阳高度角小于90°暴露在阳光下的地面上的任何物体都会产生影子，风电机组不停转动的叶片，在太阳入射方向下，投射到居民住宅玻璃窗上，即可产生闪烁的光影，通常称之为光影影响。</w:t>
            </w:r>
          </w:p>
          <w:p w14:paraId="3D6FBF68">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光影影响与太阳高度角、太阳方位角和风机高度有关。日升日落，同一地点一天内太阳高度角是不断变化的，太阳高度角越小，风机的影子越长。一年中冬至日太阳高度角最小，影子最长。</w:t>
            </w:r>
          </w:p>
          <w:p w14:paraId="030EDA0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（1）</w:t>
            </w:r>
            <w:r>
              <w:rPr>
                <w:bCs/>
                <w:color w:val="000000" w:themeColor="text1"/>
                <w:sz w:val="24"/>
                <w14:textFill>
                  <w14:solidFill>
                    <w14:schemeClr w14:val="tx1"/>
                  </w14:solidFill>
                </w14:textFill>
              </w:rPr>
              <w:t>项目所在地太阳高度角、方位角的计算方法</w:t>
            </w:r>
          </w:p>
          <w:p w14:paraId="6BCF82A1">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从地面某一观测点指向太阳的向量S与地平面的夹角定义为太阳高度角，S在平面上的投影线与南北方向线之间的夹角为太阳方位角，用γ表示，并规定正南方为0°，向西为正值，向东为负值，其变化</w:t>
            </w:r>
            <w:r>
              <w:rPr>
                <w:rFonts w:hint="eastAsia"/>
                <w:bCs/>
                <w:color w:val="000000" w:themeColor="text1"/>
                <w:sz w:val="24"/>
                <w14:textFill>
                  <w14:solidFill>
                    <w14:schemeClr w14:val="tx1"/>
                  </w14:solidFill>
                </w14:textFill>
              </w:rPr>
              <w:t>范围</w:t>
            </w:r>
            <w:r>
              <w:rPr>
                <w:bCs/>
                <w:color w:val="000000" w:themeColor="text1"/>
                <w:sz w:val="24"/>
                <w14:textFill>
                  <w14:solidFill>
                    <w14:schemeClr w14:val="tx1"/>
                  </w14:solidFill>
                </w14:textFill>
              </w:rPr>
              <w:t>为±180°。由于冬至日太阳高度角最小，因此选择冬至日进行光影范围计算。</w:t>
            </w:r>
          </w:p>
          <w:p w14:paraId="12D341E5">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冬至日逐时太阳高度角计算公式如下：</w:t>
            </w:r>
          </w:p>
          <w:p w14:paraId="4D93ABDB">
            <w:pPr>
              <w:spacing w:line="360" w:lineRule="auto"/>
              <w:jc w:val="center"/>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H</w:t>
            </w:r>
            <w:r>
              <w:rPr>
                <w:rFonts w:hint="eastAsia"/>
                <w:bCs/>
                <w:color w:val="000000" w:themeColor="text1"/>
                <w:sz w:val="24"/>
                <w:vertAlign w:val="subscript"/>
                <w14:textFill>
                  <w14:solidFill>
                    <w14:schemeClr w14:val="tx1"/>
                  </w14:solidFill>
                </w14:textFill>
              </w:rPr>
              <w:t>0</w:t>
            </w:r>
            <w:r>
              <w:rPr>
                <w:bCs/>
                <w:color w:val="000000" w:themeColor="text1"/>
                <w:sz w:val="24"/>
                <w14:textFill>
                  <w14:solidFill>
                    <w14:schemeClr w14:val="tx1"/>
                  </w14:solidFill>
                </w14:textFill>
              </w:rPr>
              <w:t>=arcsi</w:t>
            </w:r>
            <w:r>
              <w:rPr>
                <w:rFonts w:hint="eastAsia"/>
                <w:bCs/>
                <w:color w:val="000000" w:themeColor="text1"/>
                <w:sz w:val="24"/>
                <w14:textFill>
                  <w14:solidFill>
                    <w14:schemeClr w14:val="tx1"/>
                  </w14:solidFill>
                </w14:textFill>
              </w:rPr>
              <w:t>n</w:t>
            </w:r>
            <w:r>
              <w:rPr>
                <w:bCs/>
                <w:color w:val="000000" w:themeColor="text1"/>
                <w:sz w:val="24"/>
                <w14:textFill>
                  <w14:solidFill>
                    <w14:schemeClr w14:val="tx1"/>
                  </w14:solidFill>
                </w14:textFill>
              </w:rPr>
              <w:t>（si</w:t>
            </w:r>
            <w:r>
              <w:rPr>
                <w:rFonts w:hint="eastAsia"/>
                <w:bCs/>
                <w:color w:val="000000" w:themeColor="text1"/>
                <w:sz w:val="24"/>
                <w14:textFill>
                  <w14:solidFill>
                    <w14:schemeClr w14:val="tx1"/>
                  </w14:solidFill>
                </w14:textFill>
              </w:rPr>
              <w:t>n</w:t>
            </w:r>
            <w:r>
              <w:rPr>
                <w:bCs/>
                <w:color w:val="000000" w:themeColor="text1"/>
                <w:sz w:val="24"/>
                <w14:textFill>
                  <w14:solidFill>
                    <w14:schemeClr w14:val="tx1"/>
                  </w14:solidFill>
                </w14:textFill>
              </w:rPr>
              <w:t>φ·si</w:t>
            </w:r>
            <w:r>
              <w:rPr>
                <w:rFonts w:hint="eastAsia"/>
                <w:bCs/>
                <w:color w:val="000000" w:themeColor="text1"/>
                <w:sz w:val="24"/>
                <w14:textFill>
                  <w14:solidFill>
                    <w14:schemeClr w14:val="tx1"/>
                  </w14:solidFill>
                </w14:textFill>
              </w:rPr>
              <w:t>n</w:t>
            </w:r>
            <w:r>
              <w:rPr>
                <w:bCs/>
                <w:color w:val="000000" w:themeColor="text1"/>
                <w:sz w:val="24"/>
                <w14:textFill>
                  <w14:solidFill>
                    <w14:schemeClr w14:val="tx1"/>
                  </w14:solidFill>
                </w14:textFill>
              </w:rPr>
              <w:t>σ+cosφ·cosσ·cosτ）</w:t>
            </w:r>
          </w:p>
          <w:p w14:paraId="3534DD35">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w:t>
            </w:r>
          </w:p>
          <w:p w14:paraId="4816FC44">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H</w:t>
            </w:r>
            <w:r>
              <w:rPr>
                <w:rFonts w:hint="eastAsia"/>
                <w:bCs/>
                <w:color w:val="000000" w:themeColor="text1"/>
                <w:sz w:val="24"/>
                <w:vertAlign w:val="subscript"/>
                <w14:textFill>
                  <w14:solidFill>
                    <w14:schemeClr w14:val="tx1"/>
                  </w14:solidFill>
                </w14:textFill>
              </w:rPr>
              <w:t>0</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太阳高度角，rad；</w:t>
            </w:r>
          </w:p>
          <w:p w14:paraId="34D89784">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φ—当地纬度，d</w:t>
            </w:r>
            <w:r>
              <w:rPr>
                <w:rFonts w:hint="eastAsia"/>
                <w:bCs/>
                <w:color w:val="000000" w:themeColor="text1"/>
                <w:sz w:val="24"/>
                <w14:textFill>
                  <w14:solidFill>
                    <w14:schemeClr w14:val="tx1"/>
                  </w14:solidFill>
                </w14:textFill>
              </w:rPr>
              <w:t>e</w:t>
            </w:r>
            <w:r>
              <w:rPr>
                <w:bCs/>
                <w:color w:val="000000" w:themeColor="text1"/>
                <w:sz w:val="24"/>
                <w14:textFill>
                  <w14:solidFill>
                    <w14:schemeClr w14:val="tx1"/>
                  </w14:solidFill>
                </w14:textFill>
              </w:rPr>
              <w:t>g，纬度为</w:t>
            </w:r>
            <w:r>
              <w:rPr>
                <w:rFonts w:hint="eastAsia"/>
                <w:bCs/>
                <w:color w:val="000000" w:themeColor="text1"/>
                <w:sz w:val="24"/>
                <w14:textFill>
                  <w14:solidFill>
                    <w14:schemeClr w14:val="tx1"/>
                  </w14:solidFill>
                </w14:textFill>
              </w:rPr>
              <w:t>34.51</w:t>
            </w:r>
            <w:r>
              <w:rPr>
                <w:bCs/>
                <w:color w:val="000000" w:themeColor="text1"/>
                <w:sz w:val="24"/>
                <w14:textFill>
                  <w14:solidFill>
                    <w14:schemeClr w14:val="tx1"/>
                  </w14:solidFill>
                </w14:textFill>
              </w:rPr>
              <w:t>；</w:t>
            </w:r>
          </w:p>
          <w:p w14:paraId="7439827C">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σ—太阳赤纬角，冬至日太阳赤纬角为-23.442°；</w:t>
            </w:r>
          </w:p>
          <w:p w14:paraId="5D4FBF96">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τ—太阳时角，在正午时τ=0，每隔一小时增加15°，上午为正，下午为负。</w:t>
            </w:r>
          </w:p>
          <w:p w14:paraId="5775D71A">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太阳方位角计算公式如下：</w:t>
            </w:r>
          </w:p>
          <w:p w14:paraId="5EC9D2B7">
            <w:pPr>
              <w:spacing w:line="360" w:lineRule="auto"/>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γ=arcsi</w:t>
            </w:r>
            <w:r>
              <w:rPr>
                <w:rFonts w:hint="eastAsia"/>
                <w:bCs/>
                <w:color w:val="000000" w:themeColor="text1"/>
                <w:sz w:val="24"/>
                <w14:textFill>
                  <w14:solidFill>
                    <w14:schemeClr w14:val="tx1"/>
                  </w14:solidFill>
                </w14:textFill>
              </w:rPr>
              <w:t>n</w:t>
            </w:r>
            <w:r>
              <w:rPr>
                <w:bCs/>
                <w:color w:val="000000" w:themeColor="text1"/>
                <w:sz w:val="24"/>
                <w14:textFill>
                  <w14:solidFill>
                    <w14:schemeClr w14:val="tx1"/>
                  </w14:solidFill>
                </w14:textFill>
              </w:rPr>
              <w:t>（cosσ·si</w:t>
            </w:r>
            <w:r>
              <w:rPr>
                <w:rFonts w:hint="eastAsia"/>
                <w:bCs/>
                <w:color w:val="000000" w:themeColor="text1"/>
                <w:sz w:val="24"/>
                <w14:textFill>
                  <w14:solidFill>
                    <w14:schemeClr w14:val="tx1"/>
                  </w14:solidFill>
                </w14:textFill>
              </w:rPr>
              <w:t>n</w:t>
            </w:r>
            <w:r>
              <w:rPr>
                <w:bCs/>
                <w:color w:val="000000" w:themeColor="text1"/>
                <w:sz w:val="24"/>
                <w14:textFill>
                  <w14:solidFill>
                    <w14:schemeClr w14:val="tx1"/>
                  </w14:solidFill>
                </w14:textFill>
              </w:rPr>
              <w:t>τ）/cosh</w:t>
            </w:r>
            <w:r>
              <w:rPr>
                <w:bCs/>
                <w:color w:val="000000" w:themeColor="text1"/>
                <w:sz w:val="24"/>
                <w:vertAlign w:val="subscript"/>
                <w14:textFill>
                  <w14:solidFill>
                    <w14:schemeClr w14:val="tx1"/>
                  </w14:solidFill>
                </w14:textFill>
              </w:rPr>
              <w:t>0</w:t>
            </w:r>
            <w:r>
              <w:rPr>
                <w:bCs/>
                <w:color w:val="000000" w:themeColor="text1"/>
                <w:sz w:val="24"/>
                <w14:textFill>
                  <w14:solidFill>
                    <w14:schemeClr w14:val="tx1"/>
                  </w14:solidFill>
                </w14:textFill>
              </w:rPr>
              <w:t>）</w:t>
            </w:r>
          </w:p>
          <w:p w14:paraId="7FA5A140">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式中：</w:t>
            </w:r>
          </w:p>
          <w:p w14:paraId="10280E3D">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γ—太阳方位角，rad；其他参数含义同前</w:t>
            </w:r>
          </w:p>
          <w:p w14:paraId="6BB6E28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（2）</w:t>
            </w:r>
            <w:r>
              <w:rPr>
                <w:bCs/>
                <w:color w:val="000000" w:themeColor="text1"/>
                <w:sz w:val="24"/>
                <w14:textFill>
                  <w14:solidFill>
                    <w14:schemeClr w14:val="tx1"/>
                  </w14:solidFill>
                </w14:textFill>
              </w:rPr>
              <w:t>光影长度计算方法光影长度</w:t>
            </w:r>
            <w:r>
              <w:rPr>
                <w:rFonts w:hint="eastAsia"/>
                <w:bCs/>
                <w:color w:val="000000" w:themeColor="text1"/>
                <w:sz w:val="24"/>
                <w14:textFill>
                  <w14:solidFill>
                    <w14:schemeClr w14:val="tx1"/>
                  </w14:solidFill>
                </w14:textFill>
              </w:rPr>
              <w:t>计算公式</w:t>
            </w:r>
            <w:r>
              <w:rPr>
                <w:bCs/>
                <w:color w:val="000000" w:themeColor="text1"/>
                <w:sz w:val="24"/>
                <w14:textFill>
                  <w14:solidFill>
                    <w14:schemeClr w14:val="tx1"/>
                  </w14:solidFill>
                </w14:textFill>
              </w:rPr>
              <w:t>为：</w:t>
            </w:r>
          </w:p>
          <w:p w14:paraId="621DEB06">
            <w:pPr>
              <w:spacing w:line="360" w:lineRule="auto"/>
              <w:jc w:val="center"/>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L=D/tgh</w:t>
            </w:r>
            <w:r>
              <w:rPr>
                <w:bCs/>
                <w:color w:val="000000" w:themeColor="text1"/>
                <w:sz w:val="24"/>
                <w:vertAlign w:val="subscript"/>
                <w14:textFill>
                  <w14:solidFill>
                    <w14:schemeClr w14:val="tx1"/>
                  </w14:solidFill>
                </w14:textFill>
              </w:rPr>
              <w:t>0</w:t>
            </w:r>
          </w:p>
          <w:p w14:paraId="30CE4130">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式</w:t>
            </w:r>
            <w:r>
              <w:rPr>
                <w:bCs/>
                <w:color w:val="000000" w:themeColor="text1"/>
                <w:sz w:val="24"/>
                <w14:textFill>
                  <w14:solidFill>
                    <w14:schemeClr w14:val="tx1"/>
                  </w14:solidFill>
                </w14:textFill>
              </w:rPr>
              <w:t>中：</w:t>
            </w:r>
          </w:p>
          <w:p w14:paraId="73A79983">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L—风机光影长度m；</w:t>
            </w:r>
          </w:p>
          <w:p w14:paraId="7FB936F0">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D—风机高度m；</w:t>
            </w:r>
          </w:p>
          <w:p w14:paraId="7F7D9B3B">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H</w:t>
            </w:r>
            <w:r>
              <w:rPr>
                <w:rFonts w:hint="eastAsia"/>
                <w:bCs/>
                <w:color w:val="000000" w:themeColor="text1"/>
                <w:sz w:val="24"/>
                <w:vertAlign w:val="subscript"/>
                <w14:textFill>
                  <w14:solidFill>
                    <w14:schemeClr w14:val="tx1"/>
                  </w14:solidFill>
                </w14:textFill>
              </w:rPr>
              <w:t>0</w:t>
            </w:r>
            <w:r>
              <w:rPr>
                <w:bCs/>
                <w:color w:val="000000" w:themeColor="text1"/>
                <w:sz w:val="24"/>
                <w14:textFill>
                  <w14:solidFill>
                    <w14:schemeClr w14:val="tx1"/>
                  </w14:solidFill>
                </w14:textFill>
              </w:rPr>
              <w:t>—太阳高度角°；</w:t>
            </w:r>
          </w:p>
          <w:p w14:paraId="10B924FE">
            <w:pPr>
              <w:spacing w:line="360" w:lineRule="auto"/>
              <w:ind w:firstLine="480" w:firstLine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①</w:t>
            </w:r>
            <w:r>
              <w:rPr>
                <w:bCs/>
                <w:color w:val="000000" w:themeColor="text1"/>
                <w:sz w:val="24"/>
                <w14:textFill>
                  <w14:solidFill>
                    <w14:schemeClr w14:val="tx1"/>
                  </w14:solidFill>
                </w14:textFill>
              </w:rPr>
              <w:t>光影影响范围计算结果</w:t>
            </w:r>
          </w:p>
          <w:p w14:paraId="49EE69D9">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按照《城市居住区规划设计标准》（GB50180-2018）及《关于印发陕西省风力发电建设项目环境影响评价文件审批要点试行的通知》（陕环环评函〔2021〕75号）文件中光影影响有效日照时数≥3小时的要求</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本次评价计算风机光影影响防护距离时，选取10:</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0时至14:</w:t>
            </w:r>
            <w:r>
              <w:rPr>
                <w:rFonts w:hint="eastAsia"/>
                <w:bCs/>
                <w:color w:val="000000" w:themeColor="text1"/>
                <w:sz w:val="24"/>
                <w:lang w:val="en-US" w:eastAsia="zh-CN"/>
                <w14:textFill>
                  <w14:solidFill>
                    <w14:schemeClr w14:val="tx1"/>
                  </w14:solidFill>
                </w14:textFill>
              </w:rPr>
              <w:t>30</w:t>
            </w:r>
            <w:r>
              <w:rPr>
                <w:rFonts w:hint="eastAsia"/>
                <w:bCs/>
                <w:color w:val="000000" w:themeColor="text1"/>
                <w:sz w:val="24"/>
                <w14:textFill>
                  <w14:solidFill>
                    <w14:schemeClr w14:val="tx1"/>
                  </w14:solidFill>
                </w14:textFill>
              </w:rPr>
              <w:t>时的光影影响范围，即确保有效日照时数达到</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h，且是每日日照强度最大的</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h，满足“有效日照时间内不少于</w:t>
            </w:r>
            <w:r>
              <w:rPr>
                <w:rFonts w:hint="eastAsia"/>
                <w:bCs/>
                <w:color w:val="000000" w:themeColor="text1"/>
                <w:sz w:val="24"/>
                <w:lang w:val="en-US" w:eastAsia="zh-CN"/>
                <w14:textFill>
                  <w14:solidFill>
                    <w14:schemeClr w14:val="tx1"/>
                  </w14:solidFill>
                </w14:textFill>
              </w:rPr>
              <w:t>3</w:t>
            </w:r>
            <w:r>
              <w:rPr>
                <w:rFonts w:hint="eastAsia"/>
                <w:bCs/>
                <w:color w:val="000000" w:themeColor="text1"/>
                <w:sz w:val="24"/>
                <w14:textFill>
                  <w14:solidFill>
                    <w14:schemeClr w14:val="tx1"/>
                  </w14:solidFill>
                </w14:textFill>
              </w:rPr>
              <w:t>小时”的要求。</w:t>
            </w:r>
          </w:p>
          <w:p w14:paraId="709DDE0F">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本项目风机轮毂高度为</w:t>
            </w:r>
            <w:r>
              <w:rPr>
                <w:rFonts w:hint="eastAsia"/>
                <w:bCs/>
                <w:color w:val="000000" w:themeColor="text1"/>
                <w:sz w:val="24"/>
                <w14:textFill>
                  <w14:solidFill>
                    <w14:schemeClr w14:val="tx1"/>
                  </w14:solidFill>
                </w14:textFill>
              </w:rPr>
              <w:t>16</w:t>
            </w:r>
            <w:r>
              <w:rPr>
                <w:rFonts w:hint="eastAsia"/>
                <w:bCs/>
                <w:color w:val="000000" w:themeColor="text1"/>
                <w:sz w:val="24"/>
                <w:lang w:val="en-US" w:eastAsia="zh-CN"/>
                <w14:textFill>
                  <w14:solidFill>
                    <w14:schemeClr w14:val="tx1"/>
                  </w14:solidFill>
                </w14:textFill>
              </w:rPr>
              <w:t>6</w:t>
            </w:r>
            <w:r>
              <w:rPr>
                <w:bCs/>
                <w:color w:val="000000" w:themeColor="text1"/>
                <w:sz w:val="24"/>
                <w14:textFill>
                  <w14:solidFill>
                    <w14:schemeClr w14:val="tx1"/>
                  </w14:solidFill>
                </w14:textFill>
              </w:rPr>
              <w:t>m，叶</w:t>
            </w:r>
            <w:r>
              <w:rPr>
                <w:bCs/>
                <w:color w:val="auto"/>
                <w:sz w:val="24"/>
              </w:rPr>
              <w:t>轮直径为</w:t>
            </w:r>
            <w:r>
              <w:rPr>
                <w:rFonts w:hint="eastAsia"/>
                <w:bCs/>
                <w:color w:val="auto"/>
                <w:sz w:val="24"/>
              </w:rPr>
              <w:t>220</w:t>
            </w:r>
            <w:r>
              <w:rPr>
                <w:bCs/>
                <w:color w:val="auto"/>
                <w:sz w:val="24"/>
              </w:rPr>
              <w:t>m，则风叶旋转的最高高度为</w:t>
            </w:r>
            <w:r>
              <w:rPr>
                <w:rFonts w:hint="eastAsia"/>
                <w:bCs/>
                <w:color w:val="auto"/>
                <w:sz w:val="24"/>
              </w:rPr>
              <w:t>2</w:t>
            </w:r>
            <w:r>
              <w:rPr>
                <w:rFonts w:hint="eastAsia"/>
                <w:bCs/>
                <w:color w:val="auto"/>
                <w:sz w:val="24"/>
                <w:lang w:val="en-US" w:eastAsia="zh-CN"/>
              </w:rPr>
              <w:t>76</w:t>
            </w:r>
            <w:r>
              <w:rPr>
                <w:bCs/>
                <w:color w:val="auto"/>
                <w:sz w:val="24"/>
              </w:rPr>
              <w:t>m。</w:t>
            </w:r>
            <w:r>
              <w:rPr>
                <w:rFonts w:hint="eastAsia"/>
                <w:bCs/>
                <w:color w:val="auto"/>
                <w:sz w:val="24"/>
              </w:rPr>
              <w:t>本项目</w:t>
            </w:r>
            <w:r>
              <w:rPr>
                <w:bCs/>
                <w:color w:val="auto"/>
                <w:sz w:val="24"/>
              </w:rPr>
              <w:t>风电场</w:t>
            </w:r>
            <w:r>
              <w:rPr>
                <w:rFonts w:hint="eastAsia"/>
                <w:bCs/>
                <w:color w:val="auto"/>
                <w:sz w:val="24"/>
              </w:rPr>
              <w:t>坐标</w:t>
            </w:r>
            <w:r>
              <w:rPr>
                <w:bCs/>
                <w:color w:val="auto"/>
                <w:sz w:val="24"/>
              </w:rPr>
              <w:t>范围</w:t>
            </w:r>
            <w:r>
              <w:rPr>
                <w:rFonts w:hint="eastAsia"/>
                <w:bCs/>
                <w:color w:val="auto"/>
                <w:sz w:val="24"/>
              </w:rPr>
              <w:t>介于</w:t>
            </w:r>
            <w:r>
              <w:rPr>
                <w:rFonts w:hint="eastAsia"/>
                <w:bCs/>
                <w:color w:val="auto"/>
                <w:sz w:val="24"/>
                <w:lang w:eastAsia="zh-CN"/>
              </w:rPr>
              <w:t>东经</w:t>
            </w:r>
            <w:r>
              <w:rPr>
                <w:rFonts w:hint="eastAsia"/>
                <w:color w:val="auto"/>
                <w:sz w:val="24"/>
              </w:rPr>
              <w:t>106°33′20.580″～106°36′27.108″之间，北纬34°33′27.437″～34°34′26.307″之间，</w:t>
            </w:r>
            <w:r>
              <w:rPr>
                <w:bCs/>
                <w:color w:val="auto"/>
                <w:sz w:val="24"/>
              </w:rPr>
              <w:t>取风电场内位于风电场中</w:t>
            </w:r>
            <w:r>
              <w:rPr>
                <w:rFonts w:eastAsia="仿宋"/>
                <w:color w:val="auto"/>
                <w:kern w:val="0"/>
                <w:sz w:val="24"/>
                <w:lang w:bidi="ar"/>
              </w:rPr>
              <w:t>T09</w:t>
            </w:r>
            <w:r>
              <w:rPr>
                <w:bCs/>
                <w:color w:val="auto"/>
                <w:sz w:val="24"/>
              </w:rPr>
              <w:t>（东经10</w:t>
            </w:r>
            <w:r>
              <w:rPr>
                <w:rFonts w:hint="eastAsia"/>
                <w:bCs/>
                <w:color w:val="auto"/>
                <w:sz w:val="24"/>
                <w:lang w:val="en-US" w:eastAsia="zh-CN"/>
              </w:rPr>
              <w:t>6</w:t>
            </w:r>
            <w:r>
              <w:rPr>
                <w:bCs/>
                <w:color w:val="auto"/>
                <w:sz w:val="24"/>
              </w:rPr>
              <w:t>°</w:t>
            </w:r>
            <w:r>
              <w:rPr>
                <w:rFonts w:hint="eastAsia"/>
                <w:bCs/>
                <w:color w:val="auto"/>
                <w:sz w:val="24"/>
                <w:lang w:val="en-US" w:eastAsia="zh-CN"/>
              </w:rPr>
              <w:t>35</w:t>
            </w:r>
            <w:r>
              <w:rPr>
                <w:bCs/>
                <w:color w:val="auto"/>
                <w:sz w:val="24"/>
              </w:rPr>
              <w:t>'</w:t>
            </w:r>
            <w:r>
              <w:rPr>
                <w:rFonts w:hint="eastAsia"/>
                <w:bCs/>
                <w:color w:val="auto"/>
                <w:sz w:val="24"/>
                <w:lang w:val="en-US" w:eastAsia="zh-CN"/>
              </w:rPr>
              <w:t>11.743</w:t>
            </w:r>
            <w:r>
              <w:rPr>
                <w:bCs/>
                <w:color w:val="auto"/>
                <w:sz w:val="24"/>
              </w:rPr>
              <w:t>"；北纬34°</w:t>
            </w:r>
            <w:r>
              <w:rPr>
                <w:rFonts w:hint="eastAsia"/>
                <w:bCs/>
                <w:color w:val="auto"/>
                <w:sz w:val="24"/>
                <w:lang w:val="en-US" w:eastAsia="zh-CN"/>
              </w:rPr>
              <w:t>34</w:t>
            </w:r>
            <w:r>
              <w:rPr>
                <w:bCs/>
                <w:color w:val="auto"/>
                <w:sz w:val="24"/>
              </w:rPr>
              <w:t>'</w:t>
            </w:r>
            <w:r>
              <w:rPr>
                <w:rFonts w:hint="eastAsia"/>
                <w:bCs/>
                <w:color w:val="auto"/>
                <w:sz w:val="24"/>
                <w:lang w:val="en-US" w:eastAsia="zh-CN"/>
              </w:rPr>
              <w:t>10.607</w:t>
            </w:r>
            <w:r>
              <w:rPr>
                <w:bCs/>
                <w:color w:val="auto"/>
                <w:sz w:val="24"/>
              </w:rPr>
              <w:t>"）。</w:t>
            </w:r>
          </w:p>
          <w:p w14:paraId="6A5317D3">
            <w:pPr>
              <w:spacing w:line="360" w:lineRule="auto"/>
              <w:ind w:firstLine="480" w:firstLineChars="200"/>
              <w:rPr>
                <w:bCs/>
                <w:color w:val="000000" w:themeColor="text1"/>
                <w:sz w:val="24"/>
                <w:highlight w:val="cyan"/>
                <w14:textFill>
                  <w14:solidFill>
                    <w14:schemeClr w14:val="tx1"/>
                  </w14:solidFill>
                </w14:textFill>
              </w:rPr>
            </w:pPr>
            <w:r>
              <w:rPr>
                <w:bCs/>
                <w:color w:val="000000" w:themeColor="text1"/>
                <w:sz w:val="24"/>
                <w14:textFill>
                  <w14:solidFill>
                    <w14:schemeClr w14:val="tx1"/>
                  </w14:solidFill>
                </w14:textFill>
              </w:rPr>
              <w:t>计算得到代表风机冬至日10:</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0时至1</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3</w:t>
            </w:r>
            <w:r>
              <w:rPr>
                <w:bCs/>
                <w:color w:val="000000" w:themeColor="text1"/>
                <w:sz w:val="24"/>
                <w14:textFill>
                  <w14:solidFill>
                    <w14:schemeClr w14:val="tx1"/>
                  </w14:solidFill>
                </w14:textFill>
              </w:rPr>
              <w:t>0时逐时太阳高度角、太阳方位角和投影长度，具体见表</w:t>
            </w:r>
            <w:r>
              <w:rPr>
                <w:rFonts w:hint="eastAsia"/>
                <w:bCs/>
                <w:color w:val="000000" w:themeColor="text1"/>
                <w:sz w:val="24"/>
                <w14:textFill>
                  <w14:solidFill>
                    <w14:schemeClr w14:val="tx1"/>
                  </w14:solidFill>
                </w14:textFill>
              </w:rPr>
              <w:t>4-3</w:t>
            </w:r>
            <w:r>
              <w:rPr>
                <w:bCs/>
                <w:color w:val="000000" w:themeColor="text1"/>
                <w:sz w:val="24"/>
                <w14:textFill>
                  <w14:solidFill>
                    <w14:schemeClr w14:val="tx1"/>
                  </w14:solidFill>
                </w14:textFill>
              </w:rPr>
              <w:t>。</w:t>
            </w:r>
          </w:p>
          <w:p w14:paraId="720ADA36">
            <w:pPr>
              <w:pStyle w:val="3"/>
              <w:spacing w:before="0" w:beforeLines="0" w:after="0" w:afterLines="0" w:line="240" w:lineRule="auto"/>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w:t>
            </w:r>
            <w:r>
              <w:rPr>
                <w:rFonts w:hint="eastAsia"/>
                <w:b/>
                <w:bCs/>
                <w:color w:val="000000" w:themeColor="text1"/>
                <w:sz w:val="21"/>
                <w:szCs w:val="21"/>
                <w14:textFill>
                  <w14:solidFill>
                    <w14:schemeClr w14:val="tx1"/>
                  </w14:solidFill>
                </w14:textFill>
              </w:rPr>
              <w:t xml:space="preserve">4-3 </w:t>
            </w:r>
            <w:r>
              <w:rPr>
                <w:b/>
                <w:bCs/>
                <w:color w:val="000000" w:themeColor="text1"/>
                <w:sz w:val="21"/>
                <w:szCs w:val="21"/>
                <w14:textFill>
                  <w14:solidFill>
                    <w14:schemeClr w14:val="tx1"/>
                  </w14:solidFill>
                </w14:textFill>
              </w:rPr>
              <w:t>本项目冬至日各时段风机光影长度</w:t>
            </w:r>
          </w:p>
          <w:tbl>
            <w:tblPr>
              <w:tblStyle w:val="31"/>
              <w:tblW w:w="7917" w:type="dxa"/>
              <w:jc w:val="center"/>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Layout w:type="fixed"/>
              <w:tblCellMar>
                <w:top w:w="0" w:type="dxa"/>
                <w:left w:w="0" w:type="dxa"/>
                <w:bottom w:w="0" w:type="dxa"/>
                <w:right w:w="0" w:type="dxa"/>
              </w:tblCellMar>
            </w:tblPr>
            <w:tblGrid>
              <w:gridCol w:w="2147"/>
              <w:gridCol w:w="1260"/>
              <w:gridCol w:w="1165"/>
              <w:gridCol w:w="1037"/>
              <w:gridCol w:w="1157"/>
              <w:gridCol w:w="1151"/>
            </w:tblGrid>
            <w:tr w14:paraId="31E60D77">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172" w:hRule="atLeast"/>
                <w:jc w:val="center"/>
              </w:trPr>
              <w:tc>
                <w:tcPr>
                  <w:tcW w:w="1355" w:type="pct"/>
                  <w:vAlign w:val="center"/>
                </w:tcPr>
                <w:p w14:paraId="3F50A78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冬至日时段</w:t>
                  </w:r>
                </w:p>
              </w:tc>
              <w:tc>
                <w:tcPr>
                  <w:tcW w:w="795" w:type="pct"/>
                  <w:vAlign w:val="center"/>
                </w:tcPr>
                <w:p w14:paraId="351EC08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w:t>
                  </w:r>
                  <w:r>
                    <w:rPr>
                      <w:rFonts w:hint="eastAsia"/>
                      <w:color w:val="000000" w:themeColor="text1"/>
                      <w:szCs w:val="21"/>
                      <w14:textFill>
                        <w14:solidFill>
                          <w14:schemeClr w14:val="tx1"/>
                        </w14:solidFill>
                      </w14:textFill>
                    </w:rPr>
                    <w:t>30</w:t>
                  </w:r>
                </w:p>
              </w:tc>
              <w:tc>
                <w:tcPr>
                  <w:tcW w:w="735" w:type="pct"/>
                  <w:vAlign w:val="center"/>
                </w:tcPr>
                <w:p w14:paraId="5A2E11D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11:00</w:t>
                  </w:r>
                </w:p>
              </w:tc>
              <w:tc>
                <w:tcPr>
                  <w:tcW w:w="654" w:type="pct"/>
                  <w:vAlign w:val="center"/>
                </w:tcPr>
                <w:p w14:paraId="55FA6C94">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12:00</w:t>
                  </w:r>
                </w:p>
              </w:tc>
              <w:tc>
                <w:tcPr>
                  <w:tcW w:w="730" w:type="pct"/>
                  <w:vAlign w:val="center"/>
                </w:tcPr>
                <w:p w14:paraId="6680946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13:00</w:t>
                  </w:r>
                </w:p>
              </w:tc>
              <w:tc>
                <w:tcPr>
                  <w:tcW w:w="726" w:type="pct"/>
                  <w:vAlign w:val="center"/>
                </w:tcPr>
                <w:p w14:paraId="1B99B86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3:30</w:t>
                  </w:r>
                </w:p>
              </w:tc>
            </w:tr>
            <w:tr w14:paraId="4B1D49ED">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90" w:hRule="atLeast"/>
                <w:jc w:val="center"/>
              </w:trPr>
              <w:tc>
                <w:tcPr>
                  <w:tcW w:w="1355" w:type="pct"/>
                  <w:vAlign w:val="center"/>
                </w:tcPr>
                <w:p w14:paraId="3E50ADFA">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太阳高度角</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H</w:t>
                  </w:r>
                  <w:r>
                    <w:rPr>
                      <w:bCs/>
                      <w:color w:val="000000" w:themeColor="text1"/>
                      <w:szCs w:val="21"/>
                      <w:vertAlign w:val="subscript"/>
                      <w14:textFill>
                        <w14:solidFill>
                          <w14:schemeClr w14:val="tx1"/>
                        </w14:solidFill>
                      </w14:textFill>
                    </w:rPr>
                    <w:t>0</w:t>
                  </w:r>
                  <w:r>
                    <w:rPr>
                      <w:rFonts w:hint="eastAsia"/>
                      <w:color w:val="000000" w:themeColor="text1"/>
                      <w:szCs w:val="21"/>
                      <w14:textFill>
                        <w14:solidFill>
                          <w14:schemeClr w14:val="tx1"/>
                        </w14:solidFill>
                      </w14:textFill>
                    </w:rPr>
                    <w:t>）</w:t>
                  </w:r>
                </w:p>
              </w:tc>
              <w:tc>
                <w:tcPr>
                  <w:tcW w:w="795" w:type="pct"/>
                  <w:vAlign w:val="center"/>
                </w:tcPr>
                <w:p w14:paraId="17CAE88F">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25.37</w:t>
                  </w:r>
                </w:p>
              </w:tc>
              <w:tc>
                <w:tcPr>
                  <w:tcW w:w="735" w:type="pct"/>
                  <w:vAlign w:val="center"/>
                </w:tcPr>
                <w:p w14:paraId="4DF63B7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30.26</w:t>
                  </w:r>
                </w:p>
              </w:tc>
              <w:tc>
                <w:tcPr>
                  <w:tcW w:w="654" w:type="pct"/>
                  <w:vAlign w:val="center"/>
                </w:tcPr>
                <w:p w14:paraId="32B634E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31.99</w:t>
                  </w:r>
                </w:p>
              </w:tc>
              <w:tc>
                <w:tcPr>
                  <w:tcW w:w="730" w:type="pct"/>
                  <w:vAlign w:val="center"/>
                </w:tcPr>
                <w:p w14:paraId="657ED50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30.26</w:t>
                  </w:r>
                </w:p>
              </w:tc>
              <w:tc>
                <w:tcPr>
                  <w:tcW w:w="726" w:type="pct"/>
                  <w:vAlign w:val="center"/>
                </w:tcPr>
                <w:p w14:paraId="2CFEA5A3">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25.37</w:t>
                  </w:r>
                </w:p>
              </w:tc>
            </w:tr>
            <w:tr w14:paraId="6D276BDB">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172" w:hRule="atLeast"/>
                <w:jc w:val="center"/>
              </w:trPr>
              <w:tc>
                <w:tcPr>
                  <w:tcW w:w="1355" w:type="pct"/>
                  <w:vAlign w:val="center"/>
                </w:tcPr>
                <w:p w14:paraId="4339F9F6">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太阳时角</w:t>
                  </w:r>
                  <w:r>
                    <w:rPr>
                      <w:rFonts w:hint="eastAsia"/>
                      <w:color w:val="000000" w:themeColor="text1"/>
                      <w:szCs w:val="21"/>
                      <w14:textFill>
                        <w14:solidFill>
                          <w14:schemeClr w14:val="tx1"/>
                        </w14:solidFill>
                      </w14:textFill>
                    </w:rPr>
                    <w:t>（</w:t>
                  </w:r>
                  <w:r>
                    <w:rPr>
                      <w:bCs/>
                      <w:color w:val="000000" w:themeColor="text1"/>
                      <w:szCs w:val="21"/>
                      <w14:textFill>
                        <w14:solidFill>
                          <w14:schemeClr w14:val="tx1"/>
                        </w14:solidFill>
                      </w14:textFill>
                    </w:rPr>
                    <w:t>τ</w:t>
                  </w:r>
                  <w:r>
                    <w:rPr>
                      <w:rFonts w:hint="eastAsia"/>
                      <w:color w:val="000000" w:themeColor="text1"/>
                      <w:szCs w:val="21"/>
                      <w14:textFill>
                        <w14:solidFill>
                          <w14:schemeClr w14:val="tx1"/>
                        </w14:solidFill>
                      </w14:textFill>
                    </w:rPr>
                    <w:t>）</w:t>
                  </w:r>
                </w:p>
              </w:tc>
              <w:tc>
                <w:tcPr>
                  <w:tcW w:w="795" w:type="pct"/>
                  <w:vAlign w:val="center"/>
                </w:tcPr>
                <w:p w14:paraId="7906564A">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22.5</w:t>
                  </w:r>
                </w:p>
              </w:tc>
              <w:tc>
                <w:tcPr>
                  <w:tcW w:w="735" w:type="pct"/>
                  <w:vAlign w:val="center"/>
                </w:tcPr>
                <w:p w14:paraId="4A365088">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15</w:t>
                  </w:r>
                </w:p>
              </w:tc>
              <w:tc>
                <w:tcPr>
                  <w:tcW w:w="654" w:type="pct"/>
                  <w:vAlign w:val="center"/>
                </w:tcPr>
                <w:p w14:paraId="6ACA2182">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0</w:t>
                  </w:r>
                </w:p>
              </w:tc>
              <w:tc>
                <w:tcPr>
                  <w:tcW w:w="730" w:type="pct"/>
                  <w:vAlign w:val="center"/>
                </w:tcPr>
                <w:p w14:paraId="698813D5">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15</w:t>
                  </w:r>
                </w:p>
              </w:tc>
              <w:tc>
                <w:tcPr>
                  <w:tcW w:w="726" w:type="pct"/>
                  <w:vAlign w:val="center"/>
                </w:tcPr>
                <w:p w14:paraId="758E9F7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-22.5</w:t>
                  </w:r>
                </w:p>
              </w:tc>
            </w:tr>
            <w:tr w14:paraId="48CAB6E4">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90" w:hRule="atLeast"/>
                <w:jc w:val="center"/>
              </w:trPr>
              <w:tc>
                <w:tcPr>
                  <w:tcW w:w="1355" w:type="pct"/>
                  <w:vAlign w:val="center"/>
                </w:tcPr>
                <w:p w14:paraId="0BA1915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太阳方位角</w:t>
                  </w:r>
                  <w:r>
                    <w:rPr>
                      <w:rFonts w:hint="eastAsia"/>
                      <w:color w:val="000000" w:themeColor="text1"/>
                      <w:szCs w:val="21"/>
                      <w14:textFill>
                        <w14:solidFill>
                          <w14:schemeClr w14:val="tx1"/>
                        </w14:solidFill>
                      </w14:textFill>
                    </w:rPr>
                    <w:t>（</w:t>
                  </w:r>
                  <w:r>
                    <w:rPr>
                      <w:bCs/>
                      <w:color w:val="000000" w:themeColor="text1"/>
                      <w:szCs w:val="21"/>
                      <w14:textFill>
                        <w14:solidFill>
                          <w14:schemeClr w14:val="tx1"/>
                        </w14:solidFill>
                      </w14:textFill>
                    </w:rPr>
                    <w:t>γ</w:t>
                  </w:r>
                  <w:r>
                    <w:rPr>
                      <w:rFonts w:hint="eastAsia"/>
                      <w:color w:val="000000" w:themeColor="text1"/>
                      <w:szCs w:val="21"/>
                      <w14:textFill>
                        <w14:solidFill>
                          <w14:schemeClr w14:val="tx1"/>
                        </w14:solidFill>
                      </w14:textFill>
                    </w:rPr>
                    <w:t>）</w:t>
                  </w:r>
                </w:p>
              </w:tc>
              <w:tc>
                <w:tcPr>
                  <w:tcW w:w="1260" w:type="dxa"/>
                  <w:vAlign w:val="center"/>
                </w:tcPr>
                <w:p w14:paraId="6F027799">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23.47</w:t>
                  </w:r>
                </w:p>
              </w:tc>
              <w:tc>
                <w:tcPr>
                  <w:tcW w:w="1165" w:type="dxa"/>
                  <w:vAlign w:val="center"/>
                </w:tcPr>
                <w:p w14:paraId="764510D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15.96</w:t>
                  </w:r>
                </w:p>
              </w:tc>
              <w:tc>
                <w:tcPr>
                  <w:tcW w:w="1037" w:type="dxa"/>
                  <w:vAlign w:val="center"/>
                </w:tcPr>
                <w:p w14:paraId="3D92C282">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0.00</w:t>
                  </w:r>
                </w:p>
              </w:tc>
              <w:tc>
                <w:tcPr>
                  <w:tcW w:w="1157" w:type="dxa"/>
                  <w:vAlign w:val="center"/>
                </w:tcPr>
                <w:p w14:paraId="00C7E57B">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-15.96</w:t>
                  </w:r>
                </w:p>
              </w:tc>
              <w:tc>
                <w:tcPr>
                  <w:tcW w:w="1151" w:type="dxa"/>
                  <w:vAlign w:val="center"/>
                </w:tcPr>
                <w:p w14:paraId="6528E16C">
                  <w:pPr>
                    <w:jc w:val="cente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-23.47</w:t>
                  </w:r>
                </w:p>
              </w:tc>
            </w:tr>
            <w:tr w14:paraId="37D12606">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178" w:hRule="atLeast"/>
                <w:jc w:val="center"/>
              </w:trPr>
              <w:tc>
                <w:tcPr>
                  <w:tcW w:w="1355" w:type="pct"/>
                  <w:vAlign w:val="center"/>
                </w:tcPr>
                <w:p w14:paraId="4A38140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地面投影方向</w:t>
                  </w:r>
                </w:p>
              </w:tc>
              <w:tc>
                <w:tcPr>
                  <w:tcW w:w="795" w:type="pct"/>
                  <w:vAlign w:val="center"/>
                </w:tcPr>
                <w:p w14:paraId="7B24D3ED">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西北偏北</w:t>
                  </w:r>
                </w:p>
              </w:tc>
              <w:tc>
                <w:tcPr>
                  <w:tcW w:w="735" w:type="pct"/>
                  <w:vAlign w:val="center"/>
                </w:tcPr>
                <w:p w14:paraId="18CA186B">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正北偏西</w:t>
                  </w:r>
                </w:p>
              </w:tc>
              <w:tc>
                <w:tcPr>
                  <w:tcW w:w="654" w:type="pct"/>
                  <w:vAlign w:val="center"/>
                </w:tcPr>
                <w:p w14:paraId="0D511635">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正北</w:t>
                  </w:r>
                </w:p>
              </w:tc>
              <w:tc>
                <w:tcPr>
                  <w:tcW w:w="730" w:type="pct"/>
                  <w:vAlign w:val="center"/>
                </w:tcPr>
                <w:p w14:paraId="570DA97C">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正北偏东</w:t>
                  </w:r>
                </w:p>
              </w:tc>
              <w:tc>
                <w:tcPr>
                  <w:tcW w:w="726" w:type="pct"/>
                  <w:vAlign w:val="center"/>
                </w:tcPr>
                <w:p w14:paraId="7A6340EF">
                  <w:pPr>
                    <w:jc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东北偏北</w:t>
                  </w:r>
                </w:p>
              </w:tc>
            </w:tr>
            <w:tr w14:paraId="578B7BC4">
              <w:tblPrEx>
                <w:tblBorders>
                  <w:top w:val="single" w:color="525252" w:sz="4" w:space="0"/>
                  <w:left w:val="single" w:color="525252" w:sz="4" w:space="0"/>
                  <w:bottom w:val="single" w:color="525252" w:sz="4" w:space="0"/>
                  <w:right w:val="single" w:color="525252" w:sz="4" w:space="0"/>
                  <w:insideH w:val="single" w:color="525252" w:sz="4" w:space="0"/>
                  <w:insideV w:val="single" w:color="525252" w:sz="4" w:space="0"/>
                </w:tblBorders>
                <w:tblCellMar>
                  <w:top w:w="0" w:type="dxa"/>
                  <w:left w:w="0" w:type="dxa"/>
                  <w:bottom w:w="0" w:type="dxa"/>
                  <w:right w:w="0" w:type="dxa"/>
                </w:tblCellMar>
              </w:tblPrEx>
              <w:trPr>
                <w:trHeight w:val="90" w:hRule="atLeast"/>
                <w:jc w:val="center"/>
              </w:trPr>
              <w:tc>
                <w:tcPr>
                  <w:tcW w:w="1355" w:type="pct"/>
                  <w:vAlign w:val="center"/>
                </w:tcPr>
                <w:p w14:paraId="4CABD49E">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光影长度</w:t>
                  </w:r>
                </w:p>
              </w:tc>
              <w:tc>
                <w:tcPr>
                  <w:tcW w:w="1260" w:type="dxa"/>
                  <w:vAlign w:val="center"/>
                </w:tcPr>
                <w:p w14:paraId="49390B89">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503.98</w:t>
                  </w:r>
                </w:p>
              </w:tc>
              <w:tc>
                <w:tcPr>
                  <w:tcW w:w="1165" w:type="dxa"/>
                  <w:vAlign w:val="center"/>
                </w:tcPr>
                <w:p w14:paraId="110281E6">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462.70</w:t>
                  </w:r>
                </w:p>
              </w:tc>
              <w:tc>
                <w:tcPr>
                  <w:tcW w:w="1037" w:type="dxa"/>
                  <w:vAlign w:val="center"/>
                </w:tcPr>
                <w:p w14:paraId="1F5AF70D">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432.29</w:t>
                  </w:r>
                </w:p>
              </w:tc>
              <w:tc>
                <w:tcPr>
                  <w:tcW w:w="1157" w:type="dxa"/>
                  <w:vAlign w:val="center"/>
                </w:tcPr>
                <w:p w14:paraId="603E35DE">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462.70</w:t>
                  </w:r>
                </w:p>
              </w:tc>
              <w:tc>
                <w:tcPr>
                  <w:tcW w:w="1151" w:type="dxa"/>
                  <w:vAlign w:val="center"/>
                </w:tcPr>
                <w:p w14:paraId="39DA4D95">
                  <w:pPr>
                    <w:jc w:val="center"/>
                    <w:rPr>
                      <w:rFonts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503.98</w:t>
                  </w:r>
                </w:p>
              </w:tc>
            </w:tr>
          </w:tbl>
          <w:p w14:paraId="506BED47">
            <w:pPr>
              <w:spacing w:line="360" w:lineRule="auto"/>
              <w:ind w:left="420" w:leftChars="200"/>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②</w:t>
            </w:r>
            <w:r>
              <w:rPr>
                <w:bCs/>
                <w:color w:val="000000" w:themeColor="text1"/>
                <w:sz w:val="24"/>
                <w14:textFill>
                  <w14:solidFill>
                    <w14:schemeClr w14:val="tx1"/>
                  </w14:solidFill>
                </w14:textFill>
              </w:rPr>
              <w:t>影响分析</w:t>
            </w:r>
          </w:p>
          <w:p w14:paraId="577A8B9E">
            <w:pPr>
              <w:spacing w:line="360" w:lineRule="auto"/>
              <w:ind w:firstLine="480" w:firstLineChars="200"/>
              <w:rPr>
                <w:bCs/>
                <w:color w:val="FF0000"/>
                <w:sz w:val="24"/>
              </w:rPr>
            </w:pPr>
            <w:r>
              <w:rPr>
                <w:bCs/>
                <w:color w:val="auto"/>
                <w:sz w:val="24"/>
              </w:rPr>
              <w:t>由预测结果可知，冬至日10:</w:t>
            </w:r>
            <w:r>
              <w:rPr>
                <w:rFonts w:hint="eastAsia"/>
                <w:bCs/>
                <w:color w:val="auto"/>
                <w:sz w:val="24"/>
              </w:rPr>
              <w:t>3</w:t>
            </w:r>
            <w:r>
              <w:rPr>
                <w:bCs/>
                <w:color w:val="auto"/>
                <w:sz w:val="24"/>
              </w:rPr>
              <w:t>0~1</w:t>
            </w:r>
            <w:r>
              <w:rPr>
                <w:rFonts w:hint="eastAsia"/>
                <w:bCs/>
                <w:color w:val="auto"/>
                <w:sz w:val="24"/>
              </w:rPr>
              <w:t>3</w:t>
            </w:r>
            <w:r>
              <w:rPr>
                <w:bCs/>
                <w:color w:val="auto"/>
                <w:sz w:val="24"/>
              </w:rPr>
              <w:t>:</w:t>
            </w:r>
            <w:r>
              <w:rPr>
                <w:rFonts w:hint="eastAsia"/>
                <w:bCs/>
                <w:color w:val="auto"/>
                <w:sz w:val="24"/>
              </w:rPr>
              <w:t>3</w:t>
            </w:r>
            <w:r>
              <w:rPr>
                <w:bCs/>
                <w:color w:val="auto"/>
                <w:sz w:val="24"/>
              </w:rPr>
              <w:t>0之间，光影长度由大变小，再由小变大，投影区域也逐渐从风机东西轴线以北的西北偏北、正北偏西、正北、正北偏东、东北偏北等5个大角度逐渐移动，其中最大光影长度出现在上午10:</w:t>
            </w:r>
            <w:r>
              <w:rPr>
                <w:rFonts w:hint="eastAsia"/>
                <w:bCs/>
                <w:color w:val="auto"/>
                <w:sz w:val="24"/>
              </w:rPr>
              <w:t>3</w:t>
            </w:r>
            <w:r>
              <w:rPr>
                <w:bCs/>
                <w:color w:val="auto"/>
                <w:sz w:val="24"/>
              </w:rPr>
              <w:t>0和下午1</w:t>
            </w:r>
            <w:r>
              <w:rPr>
                <w:rFonts w:hint="eastAsia"/>
                <w:bCs/>
                <w:color w:val="auto"/>
                <w:sz w:val="24"/>
              </w:rPr>
              <w:t>3</w:t>
            </w:r>
            <w:r>
              <w:rPr>
                <w:bCs/>
                <w:color w:val="auto"/>
                <w:sz w:val="24"/>
              </w:rPr>
              <w:t>：</w:t>
            </w:r>
            <w:r>
              <w:rPr>
                <w:rFonts w:hint="eastAsia"/>
                <w:bCs/>
                <w:color w:val="auto"/>
                <w:sz w:val="24"/>
              </w:rPr>
              <w:t>3</w:t>
            </w:r>
            <w:r>
              <w:rPr>
                <w:bCs/>
                <w:color w:val="auto"/>
                <w:sz w:val="24"/>
              </w:rPr>
              <w:t>0，为</w:t>
            </w:r>
            <w:r>
              <w:rPr>
                <w:rFonts w:hint="eastAsia"/>
                <w:bCs/>
                <w:color w:val="auto"/>
                <w:sz w:val="24"/>
              </w:rPr>
              <w:t>503</w:t>
            </w:r>
            <w:r>
              <w:rPr>
                <w:rFonts w:hint="eastAsia"/>
                <w:bCs/>
                <w:color w:val="auto"/>
                <w:sz w:val="24"/>
                <w:lang w:val="en-US" w:eastAsia="zh-CN"/>
              </w:rPr>
              <w:t>.98</w:t>
            </w:r>
            <w:r>
              <w:rPr>
                <w:bCs/>
                <w:color w:val="auto"/>
                <w:sz w:val="24"/>
              </w:rPr>
              <w:t>m，影响方向为风机西北偏北和东北偏北。第二长度的光影出现在上午11:00和下午13:00，光影长度为</w:t>
            </w:r>
            <w:r>
              <w:rPr>
                <w:rFonts w:hint="eastAsia"/>
                <w:bCs/>
                <w:color w:val="auto"/>
                <w:sz w:val="24"/>
              </w:rPr>
              <w:t>462</w:t>
            </w:r>
            <w:r>
              <w:rPr>
                <w:rFonts w:hint="eastAsia"/>
                <w:bCs/>
                <w:color w:val="auto"/>
                <w:sz w:val="24"/>
                <w:lang w:val="en-US" w:eastAsia="zh-CN"/>
              </w:rPr>
              <w:t>.7</w:t>
            </w:r>
            <w:r>
              <w:rPr>
                <w:bCs/>
                <w:color w:val="auto"/>
                <w:sz w:val="24"/>
              </w:rPr>
              <w:t>m，影响方向为正北偏西、正北偏东。第三光影为正午12:00，光影长度为</w:t>
            </w:r>
            <w:r>
              <w:rPr>
                <w:rFonts w:hint="eastAsia"/>
                <w:bCs/>
                <w:color w:val="auto"/>
                <w:sz w:val="24"/>
              </w:rPr>
              <w:t>43</w:t>
            </w:r>
            <w:r>
              <w:rPr>
                <w:rFonts w:hint="eastAsia"/>
                <w:bCs/>
                <w:color w:val="auto"/>
                <w:sz w:val="24"/>
                <w:lang w:val="en-US" w:eastAsia="zh-CN"/>
              </w:rPr>
              <w:t>2.29</w:t>
            </w:r>
            <w:r>
              <w:rPr>
                <w:bCs/>
                <w:color w:val="auto"/>
                <w:sz w:val="24"/>
              </w:rPr>
              <w:t>m，影响方向为正北。</w:t>
            </w:r>
          </w:p>
          <w:p w14:paraId="52590F43">
            <w:pPr>
              <w:spacing w:line="360" w:lineRule="auto"/>
              <w:jc w:val="center"/>
              <w:rPr>
                <w:rFonts w:hint="eastAsia" w:eastAsia="宋体"/>
                <w:bCs/>
                <w:color w:val="000000" w:themeColor="text1"/>
                <w:sz w:val="24"/>
                <w:lang w:eastAsia="zh-CN"/>
                <w14:textFill>
                  <w14:solidFill>
                    <w14:schemeClr w14:val="tx1"/>
                  </w14:solidFill>
                </w14:textFill>
              </w:rPr>
            </w:pPr>
            <w:r>
              <w:rPr>
                <w:rFonts w:hint="eastAsia" w:eastAsia="宋体"/>
                <w:bCs/>
                <w:color w:val="000000" w:themeColor="text1"/>
                <w:sz w:val="24"/>
                <w:lang w:eastAsia="zh-CN"/>
                <w14:textFill>
                  <w14:solidFill>
                    <w14:schemeClr w14:val="tx1"/>
                  </w14:solidFill>
                </w14:textFill>
              </w:rPr>
              <w:drawing>
                <wp:inline distT="0" distB="0" distL="114300" distR="114300">
                  <wp:extent cx="3548380" cy="2668270"/>
                  <wp:effectExtent l="0" t="0" r="2540" b="13970"/>
                  <wp:docPr id="32" name="图片 32" descr="连续三小时光影影响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连续三小时光影影响范围图"/>
                          <pic:cNvPicPr>
                            <a:picLocks noChangeAspect="1"/>
                          </pic:cNvPicPr>
                        </pic:nvPicPr>
                        <pic:blipFill>
                          <a:blip r:embed="rId23"/>
                          <a:stretch>
                            <a:fillRect/>
                          </a:stretch>
                        </pic:blipFill>
                        <pic:spPr>
                          <a:xfrm>
                            <a:off x="0" y="0"/>
                            <a:ext cx="3548380" cy="2668270"/>
                          </a:xfrm>
                          <a:prstGeom prst="rect">
                            <a:avLst/>
                          </a:prstGeom>
                        </pic:spPr>
                      </pic:pic>
                    </a:graphicData>
                  </a:graphic>
                </wp:inline>
              </w:drawing>
            </w:r>
          </w:p>
          <w:p w14:paraId="04A24D4D">
            <w:pPr>
              <w:spacing w:line="360" w:lineRule="auto"/>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图4-</w:t>
            </w:r>
            <w:r>
              <w:rPr>
                <w:rFonts w:hint="eastAsia"/>
                <w:b/>
                <w:bCs/>
                <w:color w:val="000000" w:themeColor="text1"/>
                <w:szCs w:val="21"/>
                <w14:textFill>
                  <w14:solidFill>
                    <w14:schemeClr w14:val="tx1"/>
                  </w14:solidFill>
                </w14:textFill>
              </w:rPr>
              <w:t>4</w:t>
            </w:r>
            <w:r>
              <w:rPr>
                <w:b/>
                <w:bCs/>
                <w:color w:val="000000" w:themeColor="text1"/>
                <w:szCs w:val="21"/>
                <w14:textFill>
                  <w14:solidFill>
                    <w14:schemeClr w14:val="tx1"/>
                  </w14:solidFill>
                </w14:textFill>
              </w:rPr>
              <w:t xml:space="preserve"> 连续三小时光影影响范围图</w:t>
            </w:r>
          </w:p>
          <w:p w14:paraId="67B3A60B">
            <w:pPr>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
              </w:rPr>
            </w:pPr>
            <w:r>
              <w:rPr>
                <w:bCs/>
                <w:color w:val="000000" w:themeColor="text1"/>
                <w:sz w:val="24"/>
                <w14:textFill>
                  <w14:solidFill>
                    <w14:schemeClr w14:val="tx1"/>
                  </w14:solidFill>
                </w14:textFill>
              </w:rPr>
              <w:t>根据现场调查，光影影响范围内村庄与风机的海拔高度相差较小，不考虑海拔高差对光影影响范围的判定，因此确定光影影响范围为风机北侧</w:t>
            </w:r>
            <w:r>
              <w:rPr>
                <w:rFonts w:hint="eastAsia"/>
                <w:bCs/>
                <w:color w:val="000000" w:themeColor="text1"/>
                <w:sz w:val="24"/>
                <w14:textFill>
                  <w14:solidFill>
                    <w14:schemeClr w14:val="tx1"/>
                  </w14:solidFill>
                </w14:textFill>
              </w:rPr>
              <w:t>5</w:t>
            </w:r>
            <w:r>
              <w:rPr>
                <w:rFonts w:hint="eastAsia"/>
                <w:bCs/>
                <w:color w:val="000000" w:themeColor="text1"/>
                <w:sz w:val="24"/>
                <w:lang w:val="en-US" w:eastAsia="zh-CN"/>
                <w14:textFill>
                  <w14:solidFill>
                    <w14:schemeClr w14:val="tx1"/>
                  </w14:solidFill>
                </w14:textFill>
              </w:rPr>
              <w:t>04</w:t>
            </w:r>
            <w:r>
              <w:rPr>
                <w:bCs/>
                <w:color w:val="000000" w:themeColor="text1"/>
                <w:sz w:val="24"/>
                <w14:textFill>
                  <w14:solidFill>
                    <w14:schemeClr w14:val="tx1"/>
                  </w14:solidFill>
                </w14:textFill>
              </w:rPr>
              <w:t>m为半径的半圆形区域。根据现场调查，本项目</w:t>
            </w:r>
            <w:r>
              <w:rPr>
                <w:rFonts w:hint="eastAsia"/>
                <w:bCs/>
                <w:color w:val="000000" w:themeColor="text1"/>
                <w:sz w:val="24"/>
                <w14:textFill>
                  <w14:solidFill>
                    <w14:schemeClr w14:val="tx1"/>
                  </w14:solidFill>
                </w14:textFill>
              </w:rPr>
              <w:t>拟选址的</w:t>
            </w:r>
            <w:r>
              <w:rPr>
                <w:bCs/>
                <w:color w:val="000000" w:themeColor="text1"/>
                <w:sz w:val="24"/>
                <w14:textFill>
                  <w14:solidFill>
                    <w14:schemeClr w14:val="tx1"/>
                  </w14:solidFill>
                </w14:textFill>
              </w:rPr>
              <w:t>1</w:t>
            </w:r>
            <w:r>
              <w:rPr>
                <w:rFonts w:hint="eastAsia"/>
                <w:bCs/>
                <w:color w:val="000000" w:themeColor="text1"/>
                <w:sz w:val="24"/>
                <w:lang w:val="en-US" w:eastAsia="zh-CN"/>
                <w14:textFill>
                  <w14:solidFill>
                    <w14:schemeClr w14:val="tx1"/>
                  </w14:solidFill>
                </w14:textFill>
              </w:rPr>
              <w:t>0</w:t>
            </w:r>
            <w:r>
              <w:rPr>
                <w:rFonts w:hint="eastAsia"/>
                <w:bCs/>
                <w:color w:val="000000" w:themeColor="text1"/>
                <w:sz w:val="24"/>
                <w14:textFill>
                  <w14:solidFill>
                    <w14:schemeClr w14:val="tx1"/>
                  </w14:solidFill>
                </w14:textFill>
              </w:rPr>
              <w:t>处风机点位中</w:t>
            </w:r>
            <w:r>
              <w:rPr>
                <w:rFonts w:hint="default" w:ascii="Times New Roman" w:hAnsi="Times New Roman" w:eastAsia="宋体" w:cs="Times New Roman"/>
                <w:b w:val="0"/>
                <w:bCs w:val="0"/>
                <w:color w:val="auto"/>
                <w:kern w:val="0"/>
                <w:sz w:val="24"/>
                <w:szCs w:val="24"/>
                <w:highlight w:val="none"/>
                <w:lang w:val="en-US" w:eastAsia="zh-CN" w:bidi="ar"/>
              </w:rPr>
              <w:t>对照风电场范围内敏感点分布情况，各</w:t>
            </w:r>
            <w:r>
              <w:rPr>
                <w:rFonts w:hint="eastAsia" w:cs="Times New Roman"/>
                <w:b w:val="0"/>
                <w:bCs w:val="0"/>
                <w:color w:val="auto"/>
                <w:kern w:val="0"/>
                <w:sz w:val="24"/>
                <w:szCs w:val="24"/>
                <w:highlight w:val="none"/>
                <w:lang w:val="en-US" w:eastAsia="zh-CN" w:bidi="ar"/>
              </w:rPr>
              <w:t>个</w:t>
            </w:r>
            <w:r>
              <w:rPr>
                <w:rFonts w:hint="eastAsia" w:ascii="Times New Roman" w:hAnsi="Times New Roman" w:eastAsia="宋体" w:cs="Times New Roman"/>
                <w:b w:val="0"/>
                <w:bCs w:val="0"/>
                <w:color w:val="auto"/>
                <w:kern w:val="0"/>
                <w:sz w:val="24"/>
                <w:szCs w:val="24"/>
                <w:highlight w:val="none"/>
                <w:lang w:val="en-US" w:eastAsia="zh-CN" w:bidi="ar"/>
              </w:rPr>
              <w:t>拟选机位</w:t>
            </w:r>
            <w:r>
              <w:rPr>
                <w:rFonts w:hint="default" w:ascii="Times New Roman" w:hAnsi="Times New Roman" w:eastAsia="宋体" w:cs="Times New Roman"/>
                <w:b w:val="0"/>
                <w:bCs w:val="0"/>
                <w:color w:val="auto"/>
                <w:kern w:val="0"/>
                <w:sz w:val="24"/>
                <w:szCs w:val="24"/>
                <w:highlight w:val="none"/>
                <w:lang w:val="en-US" w:eastAsia="zh-CN" w:bidi="ar"/>
              </w:rPr>
              <w:t>光影防护距离范围内无环境保护目标。</w:t>
            </w:r>
          </w:p>
          <w:p w14:paraId="291705E5">
            <w:pPr>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结合光影环境影响分析结论，</w:t>
            </w:r>
            <w:r>
              <w:rPr>
                <w:rFonts w:hint="eastAsia" w:ascii="Times New Roman" w:hAnsi="Times New Roman" w:eastAsia="宋体" w:cs="Times New Roman"/>
                <w:b w:val="0"/>
                <w:bCs w:val="0"/>
                <w:color w:val="auto"/>
                <w:kern w:val="0"/>
                <w:sz w:val="24"/>
                <w:szCs w:val="24"/>
                <w:highlight w:val="none"/>
                <w:lang w:val="en-US" w:eastAsia="zh-CN" w:bidi="ar"/>
              </w:rPr>
              <w:t>因此</w:t>
            </w:r>
            <w:r>
              <w:rPr>
                <w:rFonts w:hint="eastAsia" w:cs="Times New Roman"/>
                <w:b w:val="0"/>
                <w:bCs w:val="0"/>
                <w:color w:val="auto"/>
                <w:kern w:val="0"/>
                <w:sz w:val="24"/>
                <w:szCs w:val="24"/>
                <w:highlight w:val="none"/>
                <w:lang w:val="en-US" w:eastAsia="zh-CN" w:bidi="ar"/>
              </w:rPr>
              <w:t>本次环评要求风机光影防护距离为504</w:t>
            </w:r>
            <w:r>
              <w:rPr>
                <w:rFonts w:hint="eastAsia" w:ascii="Times New Roman" w:hAnsi="Times New Roman" w:eastAsia="宋体" w:cs="Times New Roman"/>
                <w:b w:val="0"/>
                <w:bCs w:val="0"/>
                <w:color w:val="auto"/>
                <w:kern w:val="0"/>
                <w:sz w:val="24"/>
                <w:szCs w:val="24"/>
                <w:highlight w:val="none"/>
                <w:lang w:val="en-US" w:eastAsia="zh-CN" w:bidi="ar"/>
              </w:rPr>
              <w:t>m。</w:t>
            </w:r>
            <w:r>
              <w:rPr>
                <w:rFonts w:hint="eastAsia" w:cs="Times New Roman"/>
                <w:b w:val="0"/>
                <w:bCs w:val="0"/>
                <w:color w:val="auto"/>
                <w:kern w:val="0"/>
                <w:sz w:val="24"/>
                <w:szCs w:val="24"/>
                <w:highlight w:val="none"/>
                <w:lang w:val="en-US" w:eastAsia="zh-CN" w:bidi="ar"/>
              </w:rPr>
              <w:t>光影</w:t>
            </w:r>
            <w:r>
              <w:rPr>
                <w:rFonts w:hint="default" w:ascii="Times New Roman" w:hAnsi="Times New Roman" w:eastAsia="宋体" w:cs="Times New Roman"/>
                <w:b w:val="0"/>
                <w:bCs w:val="0"/>
                <w:color w:val="auto"/>
                <w:kern w:val="0"/>
                <w:sz w:val="24"/>
                <w:szCs w:val="24"/>
                <w:highlight w:val="none"/>
                <w:lang w:val="en-US" w:eastAsia="zh-CN" w:bidi="ar"/>
              </w:rPr>
              <w:t>防护范围内不得新建学校、医院、居民等敏感目标。在距离靠近风机的道路两侧设置标识牌，提醒过往司机注意光影闪烁的影响，提前减速慢行，并做好车内防护措施。</w:t>
            </w:r>
          </w:p>
          <w:p w14:paraId="64E8CBB6">
            <w:p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2、声环境影响分析</w:t>
            </w:r>
          </w:p>
          <w:p w14:paraId="51DBF5BC">
            <w:pPr>
              <w:widowControl/>
              <w:spacing w:line="360" w:lineRule="auto"/>
              <w:ind w:firstLine="480" w:firstLineChars="20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运营期噪声主要为</w:t>
            </w:r>
            <w:r>
              <w:rPr>
                <w:rFonts w:ascii="宋体" w:hAnsi="宋体" w:cs="宋体"/>
                <w:color w:val="000000" w:themeColor="text1"/>
                <w:sz w:val="24"/>
                <w14:textFill>
                  <w14:solidFill>
                    <w14:schemeClr w14:val="tx1"/>
                  </w14:solidFill>
                </w14:textFill>
              </w:rPr>
              <w:t>风</w:t>
            </w:r>
            <w:r>
              <w:rPr>
                <w:rFonts w:hint="eastAsia" w:ascii="宋体" w:hAnsi="宋体" w:cs="宋体"/>
                <w:color w:val="auto"/>
                <w:sz w:val="24"/>
              </w:rPr>
              <w:t>力发电机</w:t>
            </w:r>
            <w:r>
              <w:rPr>
                <w:rFonts w:hint="eastAsia" w:ascii="宋体" w:hAnsi="宋体" w:cs="宋体"/>
                <w:color w:val="auto"/>
                <w:sz w:val="24"/>
                <w:lang w:eastAsia="zh-CN"/>
              </w:rPr>
              <w:t>、</w:t>
            </w:r>
            <w:r>
              <w:rPr>
                <w:rFonts w:hint="eastAsia" w:ascii="宋体" w:hAnsi="宋体" w:cs="宋体"/>
                <w:color w:val="auto"/>
                <w:sz w:val="24"/>
                <w:lang w:val="en-US" w:eastAsia="zh-CN"/>
              </w:rPr>
              <w:t>设备</w:t>
            </w:r>
            <w:r>
              <w:rPr>
                <w:rFonts w:hint="eastAsia" w:ascii="宋体" w:hAnsi="宋体" w:cs="宋体"/>
                <w:color w:val="auto"/>
                <w:sz w:val="24"/>
              </w:rPr>
              <w:t>运行产生</w:t>
            </w:r>
            <w:r>
              <w:rPr>
                <w:rFonts w:hint="eastAsia" w:ascii="宋体" w:hAnsi="宋体" w:cs="宋体"/>
                <w:color w:val="000000" w:themeColor="text1"/>
                <w:sz w:val="24"/>
                <w14:textFill>
                  <w14:solidFill>
                    <w14:schemeClr w14:val="tx1"/>
                  </w14:solidFill>
                </w14:textFill>
              </w:rPr>
              <w:t>的</w:t>
            </w:r>
            <w:r>
              <w:rPr>
                <w:rFonts w:ascii="宋体" w:hAnsi="宋体" w:cs="宋体"/>
                <w:color w:val="000000" w:themeColor="text1"/>
                <w:sz w:val="24"/>
                <w14:textFill>
                  <w14:solidFill>
                    <w14:schemeClr w14:val="tx1"/>
                  </w14:solidFill>
                </w14:textFill>
              </w:rPr>
              <w:t>噪声</w:t>
            </w:r>
            <w:r>
              <w:rPr>
                <w:rFonts w:hint="eastAsia" w:ascii="宋体" w:hAnsi="宋体" w:cs="宋体"/>
                <w:color w:val="000000" w:themeColor="text1"/>
                <w:sz w:val="24"/>
                <w14:textFill>
                  <w14:solidFill>
                    <w14:schemeClr w14:val="tx1"/>
                  </w14:solidFill>
                </w14:textFill>
              </w:rPr>
              <w:t>。</w:t>
            </w:r>
          </w:p>
          <w:p w14:paraId="7E6F075B">
            <w:pPr>
              <w:widowControl/>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color w:val="000000" w:themeColor="text1"/>
                <w:sz w:val="24"/>
                <w14:textFill>
                  <w14:solidFill>
                    <w14:schemeClr w14:val="tx1"/>
                  </w14:solidFill>
                </w14:textFill>
              </w:rPr>
              <w:t>噪声影响预测</w:t>
            </w:r>
          </w:p>
          <w:p w14:paraId="047A3B01">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风机噪声影响分为单机影响和机群影响。通常，风机排距超过200m时相互之间影响可忽略。本项目各风机间距均大于</w:t>
            </w:r>
            <w:r>
              <w:rPr>
                <w:rFonts w:hint="eastAsia"/>
                <w:color w:val="000000" w:themeColor="text1"/>
                <w:sz w:val="24"/>
                <w:lang w:val="en-US" w:eastAsia="zh-CN"/>
                <w14:textFill>
                  <w14:solidFill>
                    <w14:schemeClr w14:val="tx1"/>
                  </w14:solidFill>
                </w14:textFill>
              </w:rPr>
              <w:t>44</w:t>
            </w:r>
            <w:r>
              <w:rPr>
                <w:rFonts w:hint="eastAsia"/>
                <w:color w:val="000000" w:themeColor="text1"/>
                <w:sz w:val="24"/>
                <w14:textFill>
                  <w14:solidFill>
                    <w14:schemeClr w14:val="tx1"/>
                  </w14:solidFill>
                </w14:textFill>
              </w:rPr>
              <w:t>0</w:t>
            </w:r>
            <w:r>
              <w:rPr>
                <w:color w:val="000000" w:themeColor="text1"/>
                <w:sz w:val="24"/>
                <w14:textFill>
                  <w14:solidFill>
                    <w14:schemeClr w14:val="tx1"/>
                  </w14:solidFill>
                </w14:textFill>
              </w:rPr>
              <w:t>m，因此，本项目主要存在单机噪声影响，不考虑风机群的噪声影响问题。</w:t>
            </w:r>
          </w:p>
          <w:p w14:paraId="60363C19">
            <w:pPr>
              <w:widowControl/>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电机组产生的噪声主要由两部分组成：机械噪声和空气动力学噪声，机械噪声主要来自齿轮箱、轴承、电机，空气动力学噪声产生于风电机组叶片与空气撞击引起的压力脉动，其中的空气动力学噪声是主要的噪声来源。</w:t>
            </w:r>
          </w:p>
          <w:p w14:paraId="13147538">
            <w:pPr>
              <w:widowControl/>
              <w:spacing w:line="360" w:lineRule="auto"/>
              <w:ind w:firstLine="480" w:firstLineChars="200"/>
              <w:rPr>
                <w:rFonts w:hint="eastAsia"/>
                <w:color w:val="auto"/>
                <w:sz w:val="24"/>
                <w:lang w:eastAsia="zh-CN"/>
              </w:rPr>
            </w:pPr>
            <w:r>
              <w:rPr>
                <w:rFonts w:hint="eastAsia"/>
                <w:color w:val="auto"/>
                <w:sz w:val="24"/>
                <w:lang w:val="en-US" w:eastAsia="zh-CN"/>
              </w:rPr>
              <w:t>根据《大唐陈仓5万千瓦风电项目可行性研究报告》，本风场区域内2座测风塔（</w:t>
            </w:r>
            <w:r>
              <w:rPr>
                <w:rFonts w:hint="default"/>
                <w:color w:val="auto"/>
                <w:sz w:val="24"/>
                <w:lang w:val="en-US" w:eastAsia="zh-CN"/>
              </w:rPr>
              <w:t>204003#</w:t>
            </w:r>
            <w:r>
              <w:rPr>
                <w:rFonts w:hint="eastAsia"/>
                <w:color w:val="auto"/>
                <w:sz w:val="24"/>
                <w:lang w:val="en-US" w:eastAsia="zh-CN"/>
              </w:rPr>
              <w:t>、</w:t>
            </w:r>
            <w:r>
              <w:rPr>
                <w:rFonts w:hint="default"/>
                <w:color w:val="auto"/>
                <w:sz w:val="24"/>
                <w:lang w:val="en-US" w:eastAsia="zh-CN"/>
              </w:rPr>
              <w:t>204005#</w:t>
            </w:r>
            <w:r>
              <w:rPr>
                <w:rFonts w:hint="eastAsia"/>
                <w:color w:val="auto"/>
                <w:sz w:val="24"/>
                <w:lang w:val="en-US" w:eastAsia="zh-CN"/>
              </w:rPr>
              <w:t>）代表年数据，</w:t>
            </w:r>
            <w:r>
              <w:rPr>
                <w:rFonts w:hint="eastAsia"/>
                <w:color w:val="auto"/>
                <w:sz w:val="24"/>
              </w:rPr>
              <w:t>204003#测风塔166m高度代表年各月平均风速平均值为5.15m/s，204005#测风塔166m高度代表年平均风速为5.14m/s</w:t>
            </w:r>
            <w:r>
              <w:rPr>
                <w:rFonts w:hint="eastAsia"/>
                <w:color w:val="auto"/>
                <w:sz w:val="24"/>
                <w:lang w:eastAsia="zh-CN"/>
              </w:rPr>
              <w:t>。</w:t>
            </w:r>
          </w:p>
          <w:p w14:paraId="563A3840">
            <w:pPr>
              <w:widowControl/>
              <w:spacing w:line="360" w:lineRule="auto"/>
              <w:ind w:firstLine="480" w:firstLineChars="200"/>
              <w:rPr>
                <w:color w:val="auto"/>
                <w:sz w:val="24"/>
              </w:rPr>
            </w:pPr>
            <w:r>
              <w:rPr>
                <w:rFonts w:hint="eastAsia"/>
                <w:color w:val="000000" w:themeColor="text1"/>
                <w:sz w:val="24"/>
                <w14:textFill>
                  <w14:solidFill>
                    <w14:schemeClr w14:val="tx1"/>
                  </w14:solidFill>
                </w14:textFill>
              </w:rPr>
              <w:t>根</w:t>
            </w:r>
            <w:r>
              <w:rPr>
                <w:rFonts w:hint="eastAsia"/>
                <w:color w:val="auto"/>
                <w:sz w:val="24"/>
              </w:rPr>
              <w:t>据风机生产厂家提</w:t>
            </w:r>
            <w:r>
              <w:rPr>
                <w:rFonts w:hint="eastAsia"/>
                <w:sz w:val="24"/>
              </w:rPr>
              <w:t>供资料，</w:t>
            </w:r>
            <w:r>
              <w:rPr>
                <w:rFonts w:hint="eastAsia"/>
                <w:sz w:val="24"/>
                <w:lang w:val="en-US" w:eastAsia="zh-CN"/>
              </w:rPr>
              <w:t>6250</w:t>
            </w:r>
            <w:r>
              <w:rPr>
                <w:rFonts w:hint="eastAsia"/>
                <w:sz w:val="24"/>
              </w:rPr>
              <w:t>kW</w:t>
            </w:r>
            <w:r>
              <w:rPr>
                <w:rFonts w:hint="eastAsia"/>
                <w:sz w:val="24"/>
                <w:lang w:val="en-US" w:eastAsia="zh-CN"/>
              </w:rPr>
              <w:t>，</w:t>
            </w:r>
            <w:r>
              <w:rPr>
                <w:rFonts w:hint="eastAsia"/>
                <w:sz w:val="24"/>
              </w:rPr>
              <w:t>风轮直径为</w:t>
            </w:r>
            <w:r>
              <w:rPr>
                <w:rFonts w:hint="eastAsia"/>
                <w:sz w:val="24"/>
                <w:lang w:val="en-US" w:eastAsia="zh-CN"/>
              </w:rPr>
              <w:t>220m</w:t>
            </w:r>
            <w:r>
              <w:rPr>
                <w:rFonts w:hint="eastAsia"/>
                <w:sz w:val="24"/>
              </w:rPr>
              <w:t>风机</w:t>
            </w:r>
            <w:r>
              <w:rPr>
                <w:rFonts w:hint="eastAsia"/>
                <w:sz w:val="24"/>
                <w:lang w:eastAsia="zh-CN"/>
              </w:rPr>
              <w:t>，</w:t>
            </w:r>
            <w:r>
              <w:rPr>
                <w:rFonts w:hint="eastAsia"/>
                <w:sz w:val="24"/>
              </w:rPr>
              <w:t>轮毂高度</w:t>
            </w:r>
            <w:r>
              <w:rPr>
                <w:rFonts w:hint="eastAsia"/>
                <w:sz w:val="24"/>
                <w:lang w:val="en-US" w:eastAsia="zh-CN"/>
              </w:rPr>
              <w:t>135</w:t>
            </w:r>
            <w:r>
              <w:rPr>
                <w:rFonts w:hint="eastAsia"/>
                <w:sz w:val="24"/>
              </w:rPr>
              <w:t>m的风机</w:t>
            </w:r>
            <w:r>
              <w:rPr>
                <w:rFonts w:hint="eastAsia"/>
                <w:sz w:val="24"/>
                <w:lang w:val="en-US" w:eastAsia="zh-CN"/>
              </w:rPr>
              <w:t>在6</w:t>
            </w:r>
            <w:r>
              <w:rPr>
                <w:rFonts w:hint="eastAsia"/>
                <w:sz w:val="24"/>
              </w:rPr>
              <w:t>m/s</w:t>
            </w:r>
            <w:r>
              <w:rPr>
                <w:rFonts w:hint="eastAsia"/>
                <w:sz w:val="24"/>
                <w:lang w:val="en-US" w:eastAsia="zh-CN"/>
              </w:rPr>
              <w:t>风速下，视在声功率级</w:t>
            </w:r>
            <w:r>
              <w:rPr>
                <w:rFonts w:hint="eastAsia"/>
                <w:sz w:val="24"/>
              </w:rPr>
              <w:t>为</w:t>
            </w:r>
            <w:r>
              <w:rPr>
                <w:rFonts w:hint="eastAsia"/>
                <w:sz w:val="24"/>
                <w:lang w:val="en-US" w:eastAsia="zh-CN"/>
              </w:rPr>
              <w:t>110.1</w:t>
            </w:r>
            <w:r>
              <w:rPr>
                <w:rFonts w:hint="eastAsia"/>
                <w:sz w:val="24"/>
              </w:rPr>
              <w:t>dB</w:t>
            </w:r>
            <w:r>
              <w:rPr>
                <w:rFonts w:hint="eastAsia"/>
                <w:sz w:val="24"/>
                <w:lang w:eastAsia="zh-CN"/>
              </w:rPr>
              <w:t>，</w:t>
            </w:r>
            <w:r>
              <w:rPr>
                <w:rFonts w:hint="eastAsia"/>
                <w:sz w:val="24"/>
                <w:lang w:val="en-US" w:eastAsia="zh-CN"/>
              </w:rPr>
              <w:t>本项目</w:t>
            </w:r>
            <w:r>
              <w:rPr>
                <w:rFonts w:hint="eastAsia"/>
                <w:sz w:val="24"/>
              </w:rPr>
              <w:t>5000kW，风轮直径为2</w:t>
            </w:r>
            <w:r>
              <w:rPr>
                <w:rFonts w:hint="eastAsia"/>
                <w:sz w:val="24"/>
                <w:lang w:val="en-US" w:eastAsia="zh-CN"/>
              </w:rPr>
              <w:t>2</w:t>
            </w:r>
            <w:r>
              <w:rPr>
                <w:rFonts w:hint="eastAsia"/>
                <w:sz w:val="24"/>
              </w:rPr>
              <w:t>0</w:t>
            </w:r>
            <w:r>
              <w:rPr>
                <w:sz w:val="24"/>
              </w:rPr>
              <w:t>m</w:t>
            </w:r>
            <w:r>
              <w:rPr>
                <w:rFonts w:hint="eastAsia"/>
                <w:sz w:val="24"/>
              </w:rPr>
              <w:t>，轮毂高度1</w:t>
            </w:r>
            <w:r>
              <w:rPr>
                <w:rFonts w:hint="eastAsia"/>
                <w:sz w:val="24"/>
                <w:lang w:val="en-US" w:eastAsia="zh-CN"/>
              </w:rPr>
              <w:t>66</w:t>
            </w:r>
            <w:r>
              <w:rPr>
                <w:sz w:val="24"/>
              </w:rPr>
              <w:t>m</w:t>
            </w:r>
            <w:r>
              <w:rPr>
                <w:rFonts w:hint="eastAsia"/>
                <w:sz w:val="24"/>
              </w:rPr>
              <w:t>的风机</w:t>
            </w:r>
            <w:r>
              <w:rPr>
                <w:rFonts w:hint="eastAsia"/>
                <w:sz w:val="24"/>
                <w:lang w:eastAsia="zh-CN"/>
              </w:rPr>
              <w:t>，</w:t>
            </w:r>
            <w:r>
              <w:rPr>
                <w:color w:val="auto"/>
                <w:sz w:val="24"/>
              </w:rPr>
              <w:t>因此本次评价</w:t>
            </w:r>
            <w:r>
              <w:rPr>
                <w:rFonts w:hint="eastAsia"/>
                <w:color w:val="auto"/>
                <w:sz w:val="24"/>
              </w:rPr>
              <w:t>单个风电机组</w:t>
            </w:r>
            <w:r>
              <w:rPr>
                <w:color w:val="auto"/>
                <w:sz w:val="24"/>
              </w:rPr>
              <w:t>噪声源强以</w:t>
            </w:r>
            <w:r>
              <w:rPr>
                <w:rFonts w:hint="eastAsia"/>
                <w:sz w:val="24"/>
                <w:lang w:val="en-US" w:eastAsia="zh-CN"/>
              </w:rPr>
              <w:t>声功率级</w:t>
            </w:r>
            <w:r>
              <w:rPr>
                <w:rFonts w:hint="eastAsia"/>
                <w:color w:val="auto"/>
                <w:sz w:val="24"/>
                <w:lang w:val="en-US" w:eastAsia="zh-CN"/>
              </w:rPr>
              <w:t>110</w:t>
            </w:r>
            <w:r>
              <w:rPr>
                <w:color w:val="auto"/>
                <w:sz w:val="24"/>
              </w:rPr>
              <w:t>dB（A）计。</w:t>
            </w:r>
          </w:p>
          <w:p w14:paraId="44E12745">
            <w:pPr>
              <w:widowControl/>
              <w:spacing w:line="360" w:lineRule="auto"/>
              <w:ind w:firstLine="480" w:firstLineChars="200"/>
              <w:rPr>
                <w:color w:val="auto"/>
                <w:sz w:val="24"/>
              </w:rPr>
            </w:pPr>
            <w:r>
              <w:rPr>
                <w:rFonts w:hint="eastAsia"/>
                <w:color w:val="auto"/>
                <w:sz w:val="24"/>
              </w:rPr>
              <w:t>根据《环境影响评价技术导则 声环境》（HJ2.4-2021），风机噪声可近似为点源处理。同时结合实际，</w:t>
            </w:r>
            <w:r>
              <w:rPr>
                <w:rFonts w:hint="eastAsia"/>
                <w:color w:val="auto"/>
                <w:sz w:val="24"/>
                <w:lang w:val="en-US" w:eastAsia="zh-CN"/>
              </w:rPr>
              <w:t>项目位于高空且近地面为灌木林地为主，不考虑地面反射，</w:t>
            </w:r>
            <w:r>
              <w:rPr>
                <w:rFonts w:hint="eastAsia"/>
                <w:color w:val="auto"/>
                <w:sz w:val="24"/>
              </w:rPr>
              <w:t>项目采用自由声场点声源几何发散衰减模式预测距声源不同距离处的噪声值。</w:t>
            </w:r>
          </w:p>
          <w:p w14:paraId="0CAC5D55">
            <w:pPr>
              <w:pStyle w:val="3"/>
              <w:spacing w:before="120" w:after="120"/>
              <w:jc w:val="center"/>
              <w:rPr>
                <w:rFonts w:hint="default"/>
                <w:color w:val="auto"/>
                <w:sz w:val="24"/>
                <w:lang w:val="en-US"/>
              </w:rPr>
            </w:pPr>
            <m:oMath>
              <m:r>
                <m:rPr>
                  <m:sty m:val="p"/>
                </m:rPr>
                <w:rPr>
                  <w:rFonts w:ascii="Cambria Math" w:hAnsi="Cambria Math" w:cs="宋体"/>
                  <w:color w:val="auto"/>
                  <w:sz w:val="24"/>
                  <w:lang w:bidi="zh-CN"/>
                </w:rPr>
                <m:t>L</m:t>
              </m:r>
            </m:oMath>
            <w:r>
              <w:rPr>
                <w:rFonts w:hint="eastAsia" w:hAnsi="Cambria Math" w:cs="宋体"/>
                <w:color w:val="auto"/>
                <w:sz w:val="24"/>
                <w:vertAlign w:val="subscript"/>
                <w:lang w:bidi="zh-CN"/>
              </w:rPr>
              <w:t>A</w:t>
            </w:r>
            <w:r>
              <w:rPr>
                <w:rFonts w:hint="eastAsia" w:hAnsi="Cambria Math" w:cs="宋体"/>
                <w:color w:val="auto"/>
                <w:sz w:val="24"/>
                <w:lang w:bidi="zh-CN"/>
              </w:rPr>
              <w:t>(r)=L</w:t>
            </w:r>
            <w:r>
              <w:rPr>
                <w:rFonts w:hint="eastAsia" w:hAnsi="Cambria Math" w:cs="宋体"/>
                <w:color w:val="auto"/>
                <w:sz w:val="24"/>
                <w:vertAlign w:val="subscript"/>
                <w:lang w:bidi="zh-CN"/>
              </w:rPr>
              <w:t>AW</w:t>
            </w:r>
            <w:r>
              <w:rPr>
                <w:rFonts w:hint="eastAsia" w:hAnsi="Cambria Math" w:cs="宋体"/>
                <w:color w:val="auto"/>
                <w:sz w:val="24"/>
                <w:lang w:bidi="zh-CN"/>
              </w:rPr>
              <w:t>-20lgr-</w:t>
            </w:r>
            <w:r>
              <w:rPr>
                <w:rFonts w:hint="eastAsia" w:hAnsi="Cambria Math" w:cs="宋体"/>
                <w:color w:val="auto"/>
                <w:sz w:val="24"/>
                <w:lang w:val="en-US" w:bidi="zh-CN"/>
              </w:rPr>
              <w:t>11</w:t>
            </w:r>
          </w:p>
          <w:p w14:paraId="4B85427F">
            <w:pPr>
              <w:spacing w:line="360" w:lineRule="auto"/>
              <w:ind w:firstLine="480" w:firstLineChars="200"/>
              <w:rPr>
                <w:color w:val="auto"/>
                <w:sz w:val="24"/>
              </w:rPr>
            </w:pPr>
            <w:r>
              <w:rPr>
                <w:color w:val="auto"/>
                <w:sz w:val="24"/>
              </w:rPr>
              <w:t>式中：</w:t>
            </w:r>
          </w:p>
          <w:p w14:paraId="5254D9F4">
            <w:pPr>
              <w:spacing w:line="360" w:lineRule="auto"/>
              <w:ind w:firstLine="480" w:firstLineChars="200"/>
              <w:rPr>
                <w:color w:val="auto"/>
                <w:sz w:val="24"/>
              </w:rPr>
            </w:pPr>
            <w:r>
              <w:rPr>
                <w:color w:val="auto"/>
                <w:sz w:val="24"/>
              </w:rPr>
              <w:t>L</w:t>
            </w:r>
            <w:r>
              <w:rPr>
                <w:color w:val="auto"/>
                <w:sz w:val="24"/>
                <w:vertAlign w:val="subscript"/>
              </w:rPr>
              <w:t>AW</w:t>
            </w:r>
            <w:r>
              <w:rPr>
                <w:color w:val="auto"/>
                <w:sz w:val="24"/>
              </w:rPr>
              <w:t>—声源</w:t>
            </w:r>
            <w:r>
              <w:rPr>
                <w:rFonts w:hint="eastAsia"/>
                <w:color w:val="auto"/>
                <w:sz w:val="24"/>
              </w:rPr>
              <w:t>声功率</w:t>
            </w:r>
            <w:r>
              <w:rPr>
                <w:color w:val="auto"/>
                <w:sz w:val="24"/>
              </w:rPr>
              <w:t>级，dB(A)；</w:t>
            </w:r>
          </w:p>
          <w:p w14:paraId="1C3A3AFD">
            <w:pPr>
              <w:spacing w:line="360" w:lineRule="auto"/>
              <w:ind w:firstLine="480" w:firstLineChars="200"/>
              <w:rPr>
                <w:color w:val="auto"/>
                <w:sz w:val="24"/>
              </w:rPr>
            </w:pPr>
            <w:r>
              <w:rPr>
                <w:color w:val="auto"/>
                <w:sz w:val="24"/>
              </w:rPr>
              <w:t>L</w:t>
            </w:r>
            <w:r>
              <w:rPr>
                <w:color w:val="auto"/>
                <w:sz w:val="24"/>
                <w:vertAlign w:val="subscript"/>
              </w:rPr>
              <w:t>A</w:t>
            </w:r>
            <w:r>
              <w:rPr>
                <w:color w:val="auto"/>
                <w:sz w:val="24"/>
              </w:rPr>
              <w:t>(r)—</w:t>
            </w:r>
            <w:r>
              <w:rPr>
                <w:rFonts w:hint="eastAsia"/>
                <w:color w:val="auto"/>
                <w:sz w:val="24"/>
              </w:rPr>
              <w:t>预测点r</w:t>
            </w:r>
            <w:r>
              <w:rPr>
                <w:color w:val="auto"/>
                <w:sz w:val="24"/>
              </w:rPr>
              <w:t>处的</w:t>
            </w:r>
            <w:r>
              <w:rPr>
                <w:rFonts w:hint="eastAsia"/>
                <w:color w:val="auto"/>
                <w:sz w:val="24"/>
              </w:rPr>
              <w:t>声压级</w:t>
            </w:r>
            <w:r>
              <w:rPr>
                <w:color w:val="auto"/>
                <w:sz w:val="24"/>
              </w:rPr>
              <w:t>，dB(A)；</w:t>
            </w:r>
          </w:p>
          <w:p w14:paraId="00F5AB1F">
            <w:pPr>
              <w:spacing w:line="360" w:lineRule="auto"/>
              <w:ind w:firstLine="480" w:firstLineChars="200"/>
              <w:rPr>
                <w:color w:val="auto"/>
                <w:sz w:val="24"/>
              </w:rPr>
            </w:pPr>
            <w:r>
              <w:rPr>
                <w:color w:val="auto"/>
                <w:sz w:val="24"/>
              </w:rPr>
              <w:t>r—预测点距离声源的距离，m</w:t>
            </w:r>
            <w:r>
              <w:rPr>
                <w:rFonts w:hint="eastAsia"/>
                <w:color w:val="auto"/>
                <w:sz w:val="24"/>
              </w:rPr>
              <w:t>。</w:t>
            </w:r>
          </w:p>
          <w:p w14:paraId="6BB26202">
            <w:pPr>
              <w:widowControl/>
              <w:spacing w:line="360" w:lineRule="auto"/>
              <w:ind w:firstLine="480" w:firstLineChars="200"/>
              <w:rPr>
                <w:color w:val="auto"/>
                <w:kern w:val="0"/>
                <w:sz w:val="24"/>
                <w:lang w:bidi="ar"/>
              </w:rPr>
            </w:pPr>
            <w:r>
              <w:rPr>
                <w:color w:val="auto"/>
                <w:kern w:val="0"/>
                <w:sz w:val="24"/>
                <w:lang w:bidi="ar"/>
              </w:rPr>
              <w:t>本项目</w:t>
            </w:r>
            <w:r>
              <w:rPr>
                <w:color w:val="auto"/>
                <w:sz w:val="24"/>
              </w:rPr>
              <w:t>单台风机噪声贡献预测结果见表4-4</w:t>
            </w:r>
            <w:r>
              <w:rPr>
                <w:color w:val="auto"/>
                <w:kern w:val="0"/>
                <w:sz w:val="24"/>
                <w:lang w:bidi="ar"/>
              </w:rPr>
              <w:t>，敏感点噪声值预测结果见表4-5。</w:t>
            </w:r>
          </w:p>
          <w:p w14:paraId="3566C4D7">
            <w:pPr>
              <w:pStyle w:val="3"/>
              <w:spacing w:before="0" w:beforeLines="0" w:after="0" w:afterLines="0" w:line="240" w:lineRule="auto"/>
              <w:jc w:val="center"/>
              <w:rPr>
                <w:b/>
                <w:bCs/>
                <w:color w:val="auto"/>
                <w:sz w:val="21"/>
                <w:szCs w:val="21"/>
              </w:rPr>
            </w:pPr>
            <w:r>
              <w:rPr>
                <w:b/>
                <w:bCs/>
                <w:color w:val="auto"/>
                <w:sz w:val="21"/>
                <w:szCs w:val="21"/>
              </w:rPr>
              <w:t xml:space="preserve">表4-4 </w:t>
            </w:r>
            <w:r>
              <w:rPr>
                <w:rFonts w:hint="eastAsia"/>
                <w:b/>
                <w:bCs/>
                <w:color w:val="auto"/>
                <w:sz w:val="21"/>
                <w:szCs w:val="21"/>
              </w:rPr>
              <w:t xml:space="preserve"> </w:t>
            </w:r>
            <w:r>
              <w:rPr>
                <w:b/>
                <w:bCs/>
                <w:color w:val="auto"/>
                <w:sz w:val="21"/>
                <w:szCs w:val="21"/>
              </w:rPr>
              <w:t>运营期单台风机噪声贡献值预测结果  单位：dB(A)</w:t>
            </w:r>
          </w:p>
          <w:tbl>
            <w:tblPr>
              <w:tblStyle w:val="31"/>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265"/>
              <w:gridCol w:w="2330"/>
              <w:gridCol w:w="1645"/>
              <w:gridCol w:w="1718"/>
            </w:tblGrid>
            <w:tr w14:paraId="2098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9" w:hRule="atLeast"/>
                <w:jc w:val="center"/>
              </w:trPr>
              <w:tc>
                <w:tcPr>
                  <w:tcW w:w="1423" w:type="pct"/>
                  <w:shd w:val="clear" w:color="auto" w:fill="auto"/>
                  <w:vAlign w:val="center"/>
                </w:tcPr>
                <w:p w14:paraId="323FA40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90"/>
                      <w:rFonts w:hint="default" w:ascii="Times New Roman" w:hAnsi="Times New Roman" w:eastAsia="宋体" w:cs="Times New Roman"/>
                      <w:b w:val="0"/>
                      <w:bCs w:val="0"/>
                      <w:sz w:val="21"/>
                      <w:szCs w:val="21"/>
                      <w:lang w:val="en-US" w:eastAsia="zh-CN" w:bidi="ar"/>
                    </w:rPr>
                    <w:t>风机基座中心距预测点水平距离（</w:t>
                  </w:r>
                  <w:r>
                    <w:rPr>
                      <w:rStyle w:val="101"/>
                      <w:rFonts w:hint="default" w:ascii="Times New Roman" w:hAnsi="Times New Roman" w:eastAsia="宋体" w:cs="Times New Roman"/>
                      <w:b w:val="0"/>
                      <w:bCs w:val="0"/>
                      <w:sz w:val="21"/>
                      <w:szCs w:val="21"/>
                      <w:lang w:val="en-US" w:eastAsia="zh-CN" w:bidi="ar"/>
                    </w:rPr>
                    <w:t>m</w:t>
                  </w:r>
                  <w:r>
                    <w:rPr>
                      <w:rStyle w:val="90"/>
                      <w:rFonts w:hint="default" w:ascii="Times New Roman" w:hAnsi="Times New Roman" w:eastAsia="宋体" w:cs="Times New Roman"/>
                      <w:b w:val="0"/>
                      <w:bCs w:val="0"/>
                      <w:sz w:val="21"/>
                      <w:szCs w:val="21"/>
                      <w:lang w:val="en-US" w:eastAsia="zh-CN" w:bidi="ar"/>
                    </w:rPr>
                    <w:t>）</w:t>
                  </w:r>
                </w:p>
              </w:tc>
              <w:tc>
                <w:tcPr>
                  <w:tcW w:w="1463" w:type="pct"/>
                  <w:shd w:val="clear" w:color="auto" w:fill="auto"/>
                  <w:vAlign w:val="center"/>
                </w:tcPr>
                <w:p w14:paraId="241A777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90"/>
                      <w:rFonts w:hint="default" w:ascii="Times New Roman" w:hAnsi="Times New Roman" w:eastAsia="宋体" w:cs="Times New Roman"/>
                      <w:b w:val="0"/>
                      <w:bCs w:val="0"/>
                      <w:sz w:val="21"/>
                      <w:szCs w:val="21"/>
                      <w:lang w:val="en-US" w:eastAsia="zh-CN" w:bidi="ar"/>
                    </w:rPr>
                    <w:t>声源中心距预测点距离（</w:t>
                  </w:r>
                  <w:r>
                    <w:rPr>
                      <w:rStyle w:val="101"/>
                      <w:rFonts w:hint="default" w:ascii="Times New Roman" w:hAnsi="Times New Roman" w:eastAsia="宋体" w:cs="Times New Roman"/>
                      <w:b w:val="0"/>
                      <w:bCs w:val="0"/>
                      <w:sz w:val="21"/>
                      <w:szCs w:val="21"/>
                      <w:lang w:val="en-US" w:eastAsia="zh-CN" w:bidi="ar"/>
                    </w:rPr>
                    <w:t>m</w:t>
                  </w:r>
                  <w:r>
                    <w:rPr>
                      <w:rStyle w:val="90"/>
                      <w:rFonts w:hint="default" w:ascii="Times New Roman" w:hAnsi="Times New Roman" w:eastAsia="宋体" w:cs="Times New Roman"/>
                      <w:b w:val="0"/>
                      <w:bCs w:val="0"/>
                      <w:sz w:val="21"/>
                      <w:szCs w:val="21"/>
                      <w:lang w:val="en-US" w:eastAsia="zh-CN" w:bidi="ar"/>
                    </w:rPr>
                    <w:t>）</w:t>
                  </w:r>
                </w:p>
              </w:tc>
              <w:tc>
                <w:tcPr>
                  <w:tcW w:w="1033" w:type="pct"/>
                  <w:shd w:val="clear" w:color="auto" w:fill="auto"/>
                  <w:vAlign w:val="center"/>
                </w:tcPr>
                <w:p w14:paraId="70290EC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90"/>
                      <w:rFonts w:hint="default" w:ascii="Times New Roman" w:hAnsi="Times New Roman" w:eastAsia="宋体" w:cs="Times New Roman"/>
                      <w:b w:val="0"/>
                      <w:bCs w:val="0"/>
                      <w:sz w:val="21"/>
                      <w:szCs w:val="21"/>
                      <w:lang w:val="en-US" w:eastAsia="zh-CN" w:bidi="ar"/>
                    </w:rPr>
                    <w:t>贡献值</w:t>
                  </w:r>
                  <w:r>
                    <w:rPr>
                      <w:rStyle w:val="101"/>
                      <w:rFonts w:hint="default" w:ascii="Times New Roman" w:hAnsi="Times New Roman" w:eastAsia="宋体" w:cs="Times New Roman"/>
                      <w:b w:val="0"/>
                      <w:bCs w:val="0"/>
                      <w:sz w:val="21"/>
                      <w:szCs w:val="21"/>
                      <w:lang w:val="en-US" w:eastAsia="zh-CN" w:bidi="ar"/>
                    </w:rPr>
                    <w:t>dB(A)</w:t>
                  </w:r>
                </w:p>
              </w:tc>
              <w:tc>
                <w:tcPr>
                  <w:tcW w:w="1079" w:type="pct"/>
                  <w:shd w:val="clear" w:color="auto" w:fill="auto"/>
                  <w:vAlign w:val="center"/>
                </w:tcPr>
                <w:p w14:paraId="34893FD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90"/>
                      <w:rFonts w:hint="default" w:ascii="Times New Roman" w:hAnsi="Times New Roman" w:eastAsia="宋体" w:cs="Times New Roman"/>
                      <w:b w:val="0"/>
                      <w:bCs w:val="0"/>
                      <w:sz w:val="21"/>
                      <w:szCs w:val="21"/>
                      <w:lang w:val="en-US" w:eastAsia="zh-CN" w:bidi="ar"/>
                    </w:rPr>
                    <w:t>标准值</w:t>
                  </w:r>
                  <w:r>
                    <w:rPr>
                      <w:rStyle w:val="101"/>
                      <w:rFonts w:hint="default" w:ascii="Times New Roman" w:hAnsi="Times New Roman" w:eastAsia="宋体" w:cs="Times New Roman"/>
                      <w:b w:val="0"/>
                      <w:bCs w:val="0"/>
                      <w:sz w:val="21"/>
                      <w:szCs w:val="21"/>
                      <w:lang w:val="en-US" w:eastAsia="zh-CN" w:bidi="ar"/>
                    </w:rPr>
                    <w:t>dB(A)</w:t>
                  </w:r>
                </w:p>
              </w:tc>
            </w:tr>
            <w:tr w14:paraId="2CE5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423" w:type="pct"/>
                  <w:shd w:val="clear" w:color="auto" w:fill="auto"/>
                  <w:vAlign w:val="center"/>
                </w:tcPr>
                <w:p w14:paraId="16A2C4B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50</w:t>
                  </w:r>
                </w:p>
              </w:tc>
              <w:tc>
                <w:tcPr>
                  <w:tcW w:w="1463" w:type="pct"/>
                  <w:shd w:val="clear" w:color="auto" w:fill="auto"/>
                  <w:vAlign w:val="center"/>
                </w:tcPr>
                <w:p w14:paraId="0A04B9B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173.4</w:t>
                  </w:r>
                </w:p>
              </w:tc>
              <w:tc>
                <w:tcPr>
                  <w:tcW w:w="1033" w:type="pct"/>
                  <w:shd w:val="clear" w:color="auto" w:fill="auto"/>
                  <w:vAlign w:val="center"/>
                </w:tcPr>
                <w:p w14:paraId="32DB006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54.2</w:t>
                  </w:r>
                </w:p>
              </w:tc>
              <w:tc>
                <w:tcPr>
                  <w:tcW w:w="1079" w:type="pct"/>
                  <w:vMerge w:val="restart"/>
                  <w:shd w:val="clear" w:color="auto" w:fill="auto"/>
                  <w:vAlign w:val="center"/>
                </w:tcPr>
                <w:p w14:paraId="494056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Style w:val="102"/>
                      <w:rFonts w:hint="default" w:ascii="Times New Roman" w:hAnsi="Times New Roman" w:eastAsia="宋体" w:cs="Times New Roman"/>
                      <w:b w:val="0"/>
                      <w:bCs w:val="0"/>
                      <w:sz w:val="21"/>
                      <w:szCs w:val="21"/>
                      <w:lang w:val="en-US" w:eastAsia="zh-CN" w:bidi="ar"/>
                    </w:rPr>
                    <w:t>1</w:t>
                  </w:r>
                  <w:r>
                    <w:rPr>
                      <w:rStyle w:val="111"/>
                      <w:rFonts w:hint="default" w:ascii="Times New Roman" w:hAnsi="Times New Roman" w:eastAsia="宋体" w:cs="Times New Roman"/>
                      <w:b w:val="0"/>
                      <w:bCs w:val="0"/>
                      <w:sz w:val="21"/>
                      <w:szCs w:val="21"/>
                      <w:lang w:val="en-US" w:eastAsia="zh-CN" w:bidi="ar"/>
                    </w:rPr>
                    <w:t>类区标准：昼间</w:t>
                  </w:r>
                  <w:r>
                    <w:rPr>
                      <w:rStyle w:val="102"/>
                      <w:rFonts w:hint="default" w:ascii="Times New Roman" w:hAnsi="Times New Roman" w:eastAsia="宋体" w:cs="Times New Roman"/>
                      <w:b w:val="0"/>
                      <w:bCs w:val="0"/>
                      <w:sz w:val="21"/>
                      <w:szCs w:val="21"/>
                      <w:lang w:val="en-US" w:eastAsia="zh-CN" w:bidi="ar"/>
                    </w:rPr>
                    <w:t>≤55；</w:t>
                  </w:r>
                  <w:r>
                    <w:rPr>
                      <w:rStyle w:val="111"/>
                      <w:rFonts w:hint="default" w:ascii="Times New Roman" w:hAnsi="Times New Roman" w:eastAsia="宋体" w:cs="Times New Roman"/>
                      <w:b w:val="0"/>
                      <w:bCs w:val="0"/>
                      <w:sz w:val="21"/>
                      <w:szCs w:val="21"/>
                      <w:lang w:val="en-US" w:eastAsia="zh-CN" w:bidi="ar"/>
                    </w:rPr>
                    <w:t>夜间</w:t>
                  </w:r>
                  <w:r>
                    <w:rPr>
                      <w:rStyle w:val="102"/>
                      <w:rFonts w:hint="default" w:ascii="Times New Roman" w:hAnsi="Times New Roman" w:eastAsia="宋体" w:cs="Times New Roman"/>
                      <w:b w:val="0"/>
                      <w:bCs w:val="0"/>
                      <w:sz w:val="21"/>
                      <w:szCs w:val="21"/>
                      <w:lang w:val="en-US" w:eastAsia="zh-CN" w:bidi="ar"/>
                    </w:rPr>
                    <w:t>≤45</w:t>
                  </w:r>
                </w:p>
              </w:tc>
            </w:tr>
            <w:tr w14:paraId="07ED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09099B8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100</w:t>
                  </w:r>
                </w:p>
              </w:tc>
              <w:tc>
                <w:tcPr>
                  <w:tcW w:w="1463" w:type="pct"/>
                  <w:shd w:val="clear" w:color="auto" w:fill="auto"/>
                  <w:vAlign w:val="center"/>
                </w:tcPr>
                <w:p w14:paraId="4E0279B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193.8</w:t>
                  </w:r>
                </w:p>
              </w:tc>
              <w:tc>
                <w:tcPr>
                  <w:tcW w:w="1033" w:type="pct"/>
                  <w:shd w:val="clear" w:color="auto" w:fill="auto"/>
                  <w:vAlign w:val="center"/>
                </w:tcPr>
                <w:p w14:paraId="54BAAAA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53.3</w:t>
                  </w:r>
                </w:p>
              </w:tc>
              <w:tc>
                <w:tcPr>
                  <w:tcW w:w="1079" w:type="pct"/>
                  <w:vMerge w:val="continue"/>
                  <w:shd w:val="clear" w:color="auto" w:fill="auto"/>
                  <w:vAlign w:val="center"/>
                </w:tcPr>
                <w:p w14:paraId="15A1F0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p>
              </w:tc>
            </w:tr>
            <w:tr w14:paraId="1087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08F8AFC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150</w:t>
                  </w:r>
                </w:p>
              </w:tc>
              <w:tc>
                <w:tcPr>
                  <w:tcW w:w="1463" w:type="pct"/>
                  <w:shd w:val="clear" w:color="auto" w:fill="auto"/>
                  <w:vAlign w:val="center"/>
                </w:tcPr>
                <w:p w14:paraId="4F4279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223.7</w:t>
                  </w:r>
                </w:p>
              </w:tc>
              <w:tc>
                <w:tcPr>
                  <w:tcW w:w="1033" w:type="pct"/>
                  <w:shd w:val="clear" w:color="auto" w:fill="auto"/>
                  <w:vAlign w:val="center"/>
                </w:tcPr>
                <w:p w14:paraId="0188BC32">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52.0</w:t>
                  </w:r>
                </w:p>
              </w:tc>
              <w:tc>
                <w:tcPr>
                  <w:tcW w:w="1079" w:type="pct"/>
                  <w:vMerge w:val="continue"/>
                  <w:shd w:val="clear" w:color="auto" w:fill="auto"/>
                  <w:vAlign w:val="center"/>
                </w:tcPr>
                <w:p w14:paraId="4D7E1F98">
                  <w:pPr>
                    <w:jc w:val="center"/>
                    <w:rPr>
                      <w:rFonts w:hint="default" w:ascii="Times New Roman" w:hAnsi="Times New Roman" w:eastAsia="宋体" w:cs="Times New Roman"/>
                      <w:b w:val="0"/>
                      <w:bCs w:val="0"/>
                      <w:i w:val="0"/>
                      <w:iCs w:val="0"/>
                      <w:color w:val="000000"/>
                      <w:sz w:val="21"/>
                      <w:szCs w:val="21"/>
                      <w:u w:val="none"/>
                    </w:rPr>
                  </w:pPr>
                </w:p>
              </w:tc>
            </w:tr>
            <w:tr w14:paraId="5E24F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3B7BEFF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190</w:t>
                  </w:r>
                </w:p>
              </w:tc>
              <w:tc>
                <w:tcPr>
                  <w:tcW w:w="1463" w:type="pct"/>
                  <w:shd w:val="clear" w:color="auto" w:fill="auto"/>
                  <w:vAlign w:val="center"/>
                </w:tcPr>
                <w:p w14:paraId="65D47F0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252.3</w:t>
                  </w:r>
                </w:p>
              </w:tc>
              <w:tc>
                <w:tcPr>
                  <w:tcW w:w="1033" w:type="pct"/>
                  <w:shd w:val="clear" w:color="auto" w:fill="auto"/>
                  <w:vAlign w:val="center"/>
                </w:tcPr>
                <w:p w14:paraId="0A29044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51.0</w:t>
                  </w:r>
                </w:p>
              </w:tc>
              <w:tc>
                <w:tcPr>
                  <w:tcW w:w="1079" w:type="pct"/>
                  <w:vMerge w:val="continue"/>
                  <w:shd w:val="clear" w:color="auto" w:fill="auto"/>
                  <w:vAlign w:val="center"/>
                </w:tcPr>
                <w:p w14:paraId="73773774">
                  <w:pPr>
                    <w:jc w:val="center"/>
                    <w:rPr>
                      <w:rFonts w:hint="default" w:ascii="Times New Roman" w:hAnsi="Times New Roman" w:eastAsia="宋体" w:cs="Times New Roman"/>
                      <w:b w:val="0"/>
                      <w:bCs w:val="0"/>
                      <w:i w:val="0"/>
                      <w:iCs w:val="0"/>
                      <w:color w:val="000000"/>
                      <w:sz w:val="21"/>
                      <w:szCs w:val="21"/>
                      <w:u w:val="none"/>
                    </w:rPr>
                  </w:pPr>
                </w:p>
              </w:tc>
            </w:tr>
            <w:tr w14:paraId="0DE0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23" w:type="pct"/>
                  <w:shd w:val="clear" w:color="auto" w:fill="auto"/>
                  <w:vAlign w:val="center"/>
                </w:tcPr>
                <w:p w14:paraId="658BBEB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200</w:t>
                  </w:r>
                </w:p>
              </w:tc>
              <w:tc>
                <w:tcPr>
                  <w:tcW w:w="1463" w:type="pct"/>
                  <w:shd w:val="clear" w:color="auto" w:fill="auto"/>
                  <w:vAlign w:val="center"/>
                </w:tcPr>
                <w:p w14:paraId="34D035D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259.9</w:t>
                  </w:r>
                </w:p>
              </w:tc>
              <w:tc>
                <w:tcPr>
                  <w:tcW w:w="1033" w:type="pct"/>
                  <w:shd w:val="clear" w:color="auto" w:fill="auto"/>
                  <w:vAlign w:val="center"/>
                </w:tcPr>
                <w:p w14:paraId="094ED93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50.7</w:t>
                  </w:r>
                </w:p>
              </w:tc>
              <w:tc>
                <w:tcPr>
                  <w:tcW w:w="1079" w:type="pct"/>
                  <w:vMerge w:val="continue"/>
                  <w:shd w:val="clear" w:color="auto" w:fill="auto"/>
                  <w:vAlign w:val="center"/>
                </w:tcPr>
                <w:p w14:paraId="2B7802D5">
                  <w:pPr>
                    <w:jc w:val="center"/>
                    <w:rPr>
                      <w:rFonts w:hint="default" w:ascii="Times New Roman" w:hAnsi="Times New Roman" w:eastAsia="宋体" w:cs="Times New Roman"/>
                      <w:b w:val="0"/>
                      <w:bCs w:val="0"/>
                      <w:i w:val="0"/>
                      <w:iCs w:val="0"/>
                      <w:color w:val="000000"/>
                      <w:sz w:val="21"/>
                      <w:szCs w:val="21"/>
                      <w:u w:val="none"/>
                    </w:rPr>
                  </w:pPr>
                </w:p>
              </w:tc>
            </w:tr>
            <w:tr w14:paraId="53F3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34DCD6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250</w:t>
                  </w:r>
                </w:p>
              </w:tc>
              <w:tc>
                <w:tcPr>
                  <w:tcW w:w="1463" w:type="pct"/>
                  <w:shd w:val="clear" w:color="auto" w:fill="auto"/>
                  <w:vAlign w:val="center"/>
                </w:tcPr>
                <w:p w14:paraId="7586CFA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300.1</w:t>
                  </w:r>
                </w:p>
              </w:tc>
              <w:tc>
                <w:tcPr>
                  <w:tcW w:w="1033" w:type="pct"/>
                  <w:shd w:val="clear" w:color="auto" w:fill="auto"/>
                  <w:vAlign w:val="center"/>
                </w:tcPr>
                <w:p w14:paraId="7D9377D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49.5</w:t>
                  </w:r>
                </w:p>
              </w:tc>
              <w:tc>
                <w:tcPr>
                  <w:tcW w:w="1079" w:type="pct"/>
                  <w:vMerge w:val="continue"/>
                  <w:shd w:val="clear" w:color="auto" w:fill="auto"/>
                  <w:vAlign w:val="center"/>
                </w:tcPr>
                <w:p w14:paraId="2611ECF0">
                  <w:pPr>
                    <w:jc w:val="center"/>
                    <w:rPr>
                      <w:rFonts w:hint="default" w:ascii="Times New Roman" w:hAnsi="Times New Roman" w:eastAsia="宋体" w:cs="Times New Roman"/>
                      <w:b w:val="0"/>
                      <w:bCs w:val="0"/>
                      <w:i w:val="0"/>
                      <w:iCs w:val="0"/>
                      <w:color w:val="000000"/>
                      <w:sz w:val="21"/>
                      <w:szCs w:val="21"/>
                      <w:u w:val="none"/>
                    </w:rPr>
                  </w:pPr>
                </w:p>
              </w:tc>
            </w:tr>
            <w:tr w14:paraId="301D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3A5C559C">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300</w:t>
                  </w:r>
                </w:p>
              </w:tc>
              <w:tc>
                <w:tcPr>
                  <w:tcW w:w="1463" w:type="pct"/>
                  <w:shd w:val="clear" w:color="auto" w:fill="auto"/>
                  <w:vAlign w:val="center"/>
                </w:tcPr>
                <w:p w14:paraId="15B521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342.9</w:t>
                  </w:r>
                </w:p>
              </w:tc>
              <w:tc>
                <w:tcPr>
                  <w:tcW w:w="1033" w:type="pct"/>
                  <w:shd w:val="clear" w:color="auto" w:fill="auto"/>
                  <w:vAlign w:val="center"/>
                </w:tcPr>
                <w:p w14:paraId="408057A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48.3</w:t>
                  </w:r>
                </w:p>
              </w:tc>
              <w:tc>
                <w:tcPr>
                  <w:tcW w:w="1079" w:type="pct"/>
                  <w:vMerge w:val="continue"/>
                  <w:shd w:val="clear" w:color="auto" w:fill="auto"/>
                  <w:vAlign w:val="center"/>
                </w:tcPr>
                <w:p w14:paraId="0172641C">
                  <w:pPr>
                    <w:jc w:val="center"/>
                    <w:rPr>
                      <w:rFonts w:hint="default" w:ascii="Times New Roman" w:hAnsi="Times New Roman" w:eastAsia="宋体" w:cs="Times New Roman"/>
                      <w:b w:val="0"/>
                      <w:bCs w:val="0"/>
                      <w:i w:val="0"/>
                      <w:iCs w:val="0"/>
                      <w:color w:val="000000"/>
                      <w:sz w:val="21"/>
                      <w:szCs w:val="21"/>
                      <w:u w:val="none"/>
                    </w:rPr>
                  </w:pPr>
                </w:p>
              </w:tc>
            </w:tr>
            <w:tr w14:paraId="3017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68F685C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340</w:t>
                  </w:r>
                </w:p>
              </w:tc>
              <w:tc>
                <w:tcPr>
                  <w:tcW w:w="1463" w:type="pct"/>
                  <w:shd w:val="clear" w:color="auto" w:fill="auto"/>
                  <w:vAlign w:val="center"/>
                </w:tcPr>
                <w:p w14:paraId="53E974E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378.4</w:t>
                  </w:r>
                </w:p>
              </w:tc>
              <w:tc>
                <w:tcPr>
                  <w:tcW w:w="1033" w:type="pct"/>
                  <w:shd w:val="clear" w:color="auto" w:fill="auto"/>
                  <w:vAlign w:val="center"/>
                </w:tcPr>
                <w:p w14:paraId="31557FD0">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47.4</w:t>
                  </w:r>
                </w:p>
              </w:tc>
              <w:tc>
                <w:tcPr>
                  <w:tcW w:w="1079" w:type="pct"/>
                  <w:vMerge w:val="continue"/>
                  <w:shd w:val="clear" w:color="auto" w:fill="auto"/>
                  <w:vAlign w:val="center"/>
                </w:tcPr>
                <w:p w14:paraId="06D5EB24">
                  <w:pPr>
                    <w:jc w:val="center"/>
                    <w:rPr>
                      <w:rFonts w:hint="default" w:ascii="Times New Roman" w:hAnsi="Times New Roman" w:eastAsia="宋体" w:cs="Times New Roman"/>
                      <w:b w:val="0"/>
                      <w:bCs w:val="0"/>
                      <w:i w:val="0"/>
                      <w:iCs w:val="0"/>
                      <w:color w:val="000000"/>
                      <w:sz w:val="21"/>
                      <w:szCs w:val="21"/>
                      <w:u w:val="none"/>
                    </w:rPr>
                  </w:pPr>
                </w:p>
              </w:tc>
            </w:tr>
            <w:tr w14:paraId="44188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312ECCE6">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350</w:t>
                  </w:r>
                </w:p>
              </w:tc>
              <w:tc>
                <w:tcPr>
                  <w:tcW w:w="1463" w:type="pct"/>
                  <w:shd w:val="clear" w:color="auto" w:fill="auto"/>
                  <w:vAlign w:val="center"/>
                </w:tcPr>
                <w:p w14:paraId="4748EBC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387.4</w:t>
                  </w:r>
                </w:p>
              </w:tc>
              <w:tc>
                <w:tcPr>
                  <w:tcW w:w="1033" w:type="pct"/>
                  <w:shd w:val="clear" w:color="auto" w:fill="auto"/>
                  <w:vAlign w:val="center"/>
                </w:tcPr>
                <w:p w14:paraId="30424CD1">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47.2</w:t>
                  </w:r>
                </w:p>
              </w:tc>
              <w:tc>
                <w:tcPr>
                  <w:tcW w:w="1079" w:type="pct"/>
                  <w:vMerge w:val="continue"/>
                  <w:shd w:val="clear" w:color="auto" w:fill="auto"/>
                  <w:vAlign w:val="center"/>
                </w:tcPr>
                <w:p w14:paraId="613F5BB4">
                  <w:pPr>
                    <w:jc w:val="center"/>
                    <w:rPr>
                      <w:rFonts w:hint="default" w:ascii="Times New Roman" w:hAnsi="Times New Roman" w:eastAsia="宋体" w:cs="Times New Roman"/>
                      <w:b w:val="0"/>
                      <w:bCs w:val="0"/>
                      <w:i w:val="0"/>
                      <w:iCs w:val="0"/>
                      <w:color w:val="000000"/>
                      <w:sz w:val="21"/>
                      <w:szCs w:val="21"/>
                      <w:u w:val="none"/>
                    </w:rPr>
                  </w:pPr>
                </w:p>
              </w:tc>
            </w:tr>
            <w:tr w14:paraId="4E18C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423" w:type="pct"/>
                  <w:shd w:val="clear" w:color="auto" w:fill="auto"/>
                  <w:vAlign w:val="center"/>
                </w:tcPr>
                <w:p w14:paraId="2553F0BE">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380</w:t>
                  </w:r>
                </w:p>
              </w:tc>
              <w:tc>
                <w:tcPr>
                  <w:tcW w:w="1463" w:type="pct"/>
                  <w:shd w:val="clear" w:color="auto" w:fill="auto"/>
                  <w:vAlign w:val="center"/>
                </w:tcPr>
                <w:p w14:paraId="5E30D9E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414.7</w:t>
                  </w:r>
                </w:p>
              </w:tc>
              <w:tc>
                <w:tcPr>
                  <w:tcW w:w="1033" w:type="pct"/>
                  <w:shd w:val="clear" w:color="auto" w:fill="auto"/>
                  <w:vAlign w:val="center"/>
                </w:tcPr>
                <w:p w14:paraId="6B5E4C2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46.6</w:t>
                  </w:r>
                </w:p>
              </w:tc>
              <w:tc>
                <w:tcPr>
                  <w:tcW w:w="1079" w:type="pct"/>
                  <w:vMerge w:val="continue"/>
                  <w:shd w:val="clear" w:color="auto" w:fill="auto"/>
                  <w:vAlign w:val="center"/>
                </w:tcPr>
                <w:p w14:paraId="6F4EF9E4">
                  <w:pPr>
                    <w:jc w:val="center"/>
                    <w:rPr>
                      <w:rFonts w:hint="default" w:ascii="Times New Roman" w:hAnsi="Times New Roman" w:eastAsia="宋体" w:cs="Times New Roman"/>
                      <w:b w:val="0"/>
                      <w:bCs w:val="0"/>
                      <w:i w:val="0"/>
                      <w:iCs w:val="0"/>
                      <w:color w:val="000000"/>
                      <w:sz w:val="21"/>
                      <w:szCs w:val="21"/>
                      <w:u w:val="none"/>
                    </w:rPr>
                  </w:pPr>
                </w:p>
              </w:tc>
            </w:tr>
            <w:tr w14:paraId="372B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611EA114">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400</w:t>
                  </w:r>
                </w:p>
              </w:tc>
              <w:tc>
                <w:tcPr>
                  <w:tcW w:w="1463" w:type="pct"/>
                  <w:shd w:val="clear" w:color="auto" w:fill="auto"/>
                  <w:vAlign w:val="center"/>
                </w:tcPr>
                <w:p w14:paraId="04F39EF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433.1</w:t>
                  </w:r>
                </w:p>
              </w:tc>
              <w:tc>
                <w:tcPr>
                  <w:tcW w:w="1033" w:type="pct"/>
                  <w:shd w:val="clear" w:color="auto" w:fill="auto"/>
                  <w:vAlign w:val="center"/>
                </w:tcPr>
                <w:p w14:paraId="317468E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46.3</w:t>
                  </w:r>
                </w:p>
              </w:tc>
              <w:tc>
                <w:tcPr>
                  <w:tcW w:w="1079" w:type="pct"/>
                  <w:vMerge w:val="continue"/>
                  <w:shd w:val="clear" w:color="auto" w:fill="auto"/>
                  <w:vAlign w:val="center"/>
                </w:tcPr>
                <w:p w14:paraId="4BFBE7B7">
                  <w:pPr>
                    <w:jc w:val="center"/>
                    <w:rPr>
                      <w:rFonts w:hint="default" w:ascii="Times New Roman" w:hAnsi="Times New Roman" w:eastAsia="宋体" w:cs="Times New Roman"/>
                      <w:b w:val="0"/>
                      <w:bCs w:val="0"/>
                      <w:i w:val="0"/>
                      <w:iCs w:val="0"/>
                      <w:color w:val="000000"/>
                      <w:sz w:val="21"/>
                      <w:szCs w:val="21"/>
                      <w:u w:val="none"/>
                    </w:rPr>
                  </w:pPr>
                </w:p>
              </w:tc>
            </w:tr>
            <w:tr w14:paraId="1004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96" w:hRule="atLeast"/>
                <w:jc w:val="center"/>
              </w:trPr>
              <w:tc>
                <w:tcPr>
                  <w:tcW w:w="1423" w:type="pct"/>
                  <w:shd w:val="clear" w:color="auto" w:fill="auto"/>
                  <w:vAlign w:val="center"/>
                </w:tcPr>
                <w:p w14:paraId="14050AF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450</w:t>
                  </w:r>
                </w:p>
              </w:tc>
              <w:tc>
                <w:tcPr>
                  <w:tcW w:w="1463" w:type="pct"/>
                  <w:shd w:val="clear" w:color="auto" w:fill="auto"/>
                  <w:vAlign w:val="center"/>
                </w:tcPr>
                <w:p w14:paraId="640901DB">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479.6</w:t>
                  </w:r>
                </w:p>
              </w:tc>
              <w:tc>
                <w:tcPr>
                  <w:tcW w:w="1033" w:type="pct"/>
                  <w:shd w:val="clear" w:color="auto" w:fill="auto"/>
                  <w:vAlign w:val="center"/>
                </w:tcPr>
                <w:p w14:paraId="0919253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45.4</w:t>
                  </w:r>
                </w:p>
              </w:tc>
              <w:tc>
                <w:tcPr>
                  <w:tcW w:w="1079" w:type="pct"/>
                  <w:vMerge w:val="continue"/>
                  <w:shd w:val="clear" w:color="auto" w:fill="auto"/>
                  <w:vAlign w:val="center"/>
                </w:tcPr>
                <w:p w14:paraId="2F295434">
                  <w:pPr>
                    <w:jc w:val="center"/>
                    <w:rPr>
                      <w:rFonts w:hint="default" w:ascii="Times New Roman" w:hAnsi="Times New Roman" w:eastAsia="宋体" w:cs="Times New Roman"/>
                      <w:b w:val="0"/>
                      <w:bCs w:val="0"/>
                      <w:i w:val="0"/>
                      <w:iCs w:val="0"/>
                      <w:color w:val="000000"/>
                      <w:sz w:val="21"/>
                      <w:szCs w:val="21"/>
                      <w:u w:val="none"/>
                    </w:rPr>
                  </w:pPr>
                </w:p>
              </w:tc>
            </w:tr>
            <w:tr w14:paraId="0F1A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7" w:hRule="atLeast"/>
                <w:jc w:val="center"/>
              </w:trPr>
              <w:tc>
                <w:tcPr>
                  <w:tcW w:w="1423" w:type="pct"/>
                  <w:shd w:val="clear" w:color="auto" w:fill="auto"/>
                  <w:vAlign w:val="center"/>
                </w:tcPr>
                <w:p w14:paraId="0FB22CC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cs="Times New Roman"/>
                      <w:b/>
                      <w:bCs/>
                      <w:i w:val="0"/>
                      <w:iCs w:val="0"/>
                      <w:color w:val="000000"/>
                      <w:kern w:val="0"/>
                      <w:sz w:val="21"/>
                      <w:szCs w:val="21"/>
                      <w:u w:val="none"/>
                      <w:lang w:val="en-US" w:eastAsia="zh-CN" w:bidi="ar"/>
                    </w:rPr>
                    <w:t>475</w:t>
                  </w:r>
                </w:p>
              </w:tc>
              <w:tc>
                <w:tcPr>
                  <w:tcW w:w="1463" w:type="pct"/>
                  <w:shd w:val="clear" w:color="auto" w:fill="auto"/>
                  <w:vAlign w:val="center"/>
                </w:tcPr>
                <w:p w14:paraId="61C225C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503.2</w:t>
                  </w:r>
                </w:p>
              </w:tc>
              <w:tc>
                <w:tcPr>
                  <w:tcW w:w="1033" w:type="pct"/>
                  <w:shd w:val="clear" w:color="auto" w:fill="auto"/>
                  <w:vAlign w:val="center"/>
                </w:tcPr>
                <w:p w14:paraId="249E84E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44.9</w:t>
                  </w:r>
                </w:p>
              </w:tc>
              <w:tc>
                <w:tcPr>
                  <w:tcW w:w="1079" w:type="pct"/>
                  <w:vMerge w:val="continue"/>
                  <w:shd w:val="clear" w:color="auto" w:fill="auto"/>
                  <w:vAlign w:val="center"/>
                </w:tcPr>
                <w:p w14:paraId="1236D572">
                  <w:pPr>
                    <w:jc w:val="center"/>
                    <w:rPr>
                      <w:rFonts w:hint="default" w:ascii="Times New Roman" w:hAnsi="Times New Roman" w:eastAsia="宋体" w:cs="Times New Roman"/>
                      <w:b w:val="0"/>
                      <w:bCs w:val="0"/>
                      <w:i w:val="0"/>
                      <w:iCs w:val="0"/>
                      <w:color w:val="000000"/>
                      <w:sz w:val="21"/>
                      <w:szCs w:val="21"/>
                      <w:u w:val="none"/>
                    </w:rPr>
                  </w:pPr>
                </w:p>
              </w:tc>
            </w:tr>
            <w:tr w14:paraId="3F54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 w:hRule="atLeast"/>
                <w:jc w:val="center"/>
              </w:trPr>
              <w:tc>
                <w:tcPr>
                  <w:tcW w:w="1423" w:type="pct"/>
                  <w:shd w:val="clear" w:color="auto" w:fill="auto"/>
                  <w:vAlign w:val="center"/>
                </w:tcPr>
                <w:p w14:paraId="64084F57">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500</w:t>
                  </w:r>
                </w:p>
              </w:tc>
              <w:tc>
                <w:tcPr>
                  <w:tcW w:w="1463" w:type="pct"/>
                  <w:shd w:val="clear" w:color="auto" w:fill="auto"/>
                  <w:vAlign w:val="center"/>
                </w:tcPr>
                <w:p w14:paraId="162AF96A">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526.8</w:t>
                  </w:r>
                </w:p>
              </w:tc>
              <w:tc>
                <w:tcPr>
                  <w:tcW w:w="1033" w:type="pct"/>
                  <w:shd w:val="clear" w:color="auto" w:fill="auto"/>
                  <w:vAlign w:val="center"/>
                </w:tcPr>
                <w:p w14:paraId="1F5A9C75">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sz w:val="21"/>
                      <w:szCs w:val="21"/>
                      <w:u w:val="none"/>
                    </w:rPr>
                  </w:pPr>
                  <w:r>
                    <w:rPr>
                      <w:rFonts w:hint="default" w:ascii="Times New Roman" w:hAnsi="Times New Roman" w:eastAsia="宋体" w:cs="Times New Roman"/>
                      <w:b w:val="0"/>
                      <w:bCs w:val="0"/>
                      <w:i w:val="0"/>
                      <w:iCs w:val="0"/>
                      <w:color w:val="000000"/>
                      <w:kern w:val="0"/>
                      <w:sz w:val="21"/>
                      <w:szCs w:val="21"/>
                      <w:u w:val="none"/>
                      <w:lang w:val="en-US" w:eastAsia="zh-CN" w:bidi="ar"/>
                    </w:rPr>
                    <w:t>44.6</w:t>
                  </w:r>
                </w:p>
              </w:tc>
              <w:tc>
                <w:tcPr>
                  <w:tcW w:w="1079" w:type="pct"/>
                  <w:vMerge w:val="continue"/>
                  <w:shd w:val="clear" w:color="auto" w:fill="auto"/>
                  <w:vAlign w:val="center"/>
                </w:tcPr>
                <w:p w14:paraId="2D1E6807">
                  <w:pPr>
                    <w:jc w:val="center"/>
                    <w:rPr>
                      <w:rFonts w:hint="default" w:ascii="Times New Roman" w:hAnsi="Times New Roman" w:eastAsia="宋体" w:cs="Times New Roman"/>
                      <w:b w:val="0"/>
                      <w:bCs w:val="0"/>
                      <w:i w:val="0"/>
                      <w:iCs w:val="0"/>
                      <w:color w:val="000000"/>
                      <w:sz w:val="21"/>
                      <w:szCs w:val="21"/>
                      <w:u w:val="none"/>
                    </w:rPr>
                  </w:pPr>
                </w:p>
              </w:tc>
            </w:tr>
          </w:tbl>
          <w:p w14:paraId="52E742F3">
            <w:pPr>
              <w:pStyle w:val="3"/>
              <w:spacing w:before="0" w:beforeLines="0" w:after="0" w:afterLines="0"/>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由表4-4预测结果可知，风机与预测点地面水平距离为</w:t>
            </w:r>
            <w:r>
              <w:rPr>
                <w:rFonts w:hint="eastAsia"/>
                <w:color w:val="000000" w:themeColor="text1"/>
                <w:sz w:val="24"/>
                <w:lang w:val="en-US" w:eastAsia="zh-CN"/>
                <w14:textFill>
                  <w14:solidFill>
                    <w14:schemeClr w14:val="tx1"/>
                  </w14:solidFill>
                </w14:textFill>
              </w:rPr>
              <w:t>475</w:t>
            </w:r>
            <w:r>
              <w:rPr>
                <w:rFonts w:hint="eastAsia"/>
                <w:color w:val="000000" w:themeColor="text1"/>
                <w:sz w:val="24"/>
                <w14:textFill>
                  <w14:solidFill>
                    <w14:schemeClr w14:val="tx1"/>
                  </w14:solidFill>
                </w14:textFill>
              </w:rPr>
              <w:t>m处</w:t>
            </w:r>
            <w:r>
              <w:rPr>
                <w:color w:val="000000" w:themeColor="text1"/>
                <w:sz w:val="24"/>
                <w14:textFill>
                  <w14:solidFill>
                    <w14:schemeClr w14:val="tx1"/>
                  </w14:solidFill>
                </w14:textFill>
              </w:rPr>
              <w:t>达到《</w:t>
            </w:r>
            <w:r>
              <w:rPr>
                <w:rFonts w:hint="eastAsia"/>
                <w:color w:val="000000" w:themeColor="text1"/>
                <w:sz w:val="24"/>
                <w14:textFill>
                  <w14:solidFill>
                    <w14:schemeClr w14:val="tx1"/>
                  </w14:solidFill>
                </w14:textFill>
              </w:rPr>
              <w:t>声环境质量标准</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GB 3096-2008</w:t>
            </w:r>
            <w:r>
              <w:rPr>
                <w:color w:val="000000" w:themeColor="text1"/>
                <w:sz w:val="24"/>
                <w14:textFill>
                  <w14:solidFill>
                    <w14:schemeClr w14:val="tx1"/>
                  </w14:solidFill>
                </w14:textFill>
              </w:rPr>
              <w:t>）中</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类标准要求（昼间≤</w:t>
            </w:r>
            <w:r>
              <w:rPr>
                <w:rFonts w:hint="eastAsia"/>
                <w:color w:val="000000" w:themeColor="text1"/>
                <w:sz w:val="24"/>
                <w:lang w:val="en-US" w:eastAsia="zh-CN"/>
                <w14:textFill>
                  <w14:solidFill>
                    <w14:schemeClr w14:val="tx1"/>
                  </w14:solidFill>
                </w14:textFill>
              </w:rPr>
              <w:t>55</w:t>
            </w:r>
            <w:r>
              <w:rPr>
                <w:color w:val="000000" w:themeColor="text1"/>
                <w:sz w:val="24"/>
                <w14:textFill>
                  <w14:solidFill>
                    <w14:schemeClr w14:val="tx1"/>
                  </w14:solidFill>
                </w14:textFill>
              </w:rPr>
              <w:t>dB（A）、夜间≤</w:t>
            </w:r>
            <w:r>
              <w:rPr>
                <w:rFonts w:hint="eastAsia"/>
                <w:color w:val="000000" w:themeColor="text1"/>
                <w:sz w:val="24"/>
                <w:lang w:val="en-US" w:eastAsia="zh-CN"/>
                <w14:textFill>
                  <w14:solidFill>
                    <w14:schemeClr w14:val="tx1"/>
                  </w14:solidFill>
                </w14:textFill>
              </w:rPr>
              <w:t>45</w:t>
            </w:r>
            <w:r>
              <w:rPr>
                <w:color w:val="000000" w:themeColor="text1"/>
                <w:sz w:val="24"/>
                <w14:textFill>
                  <w14:solidFill>
                    <w14:schemeClr w14:val="tx1"/>
                  </w14:solidFill>
                </w14:textFill>
              </w:rPr>
              <w:t>dB（A））。</w:t>
            </w:r>
          </w:p>
          <w:p w14:paraId="358795D3">
            <w:pPr>
              <w:spacing w:line="360" w:lineRule="auto"/>
              <w:ind w:firstLine="480" w:firstLineChars="200"/>
              <w:rPr>
                <w:color w:val="C0504D" w:themeColor="accent2"/>
                <w:sz w:val="24"/>
                <w14:textFill>
                  <w14:solidFill>
                    <w14:schemeClr w14:val="accent2"/>
                  </w14:solidFill>
                </w14:textFill>
              </w:rPr>
            </w:pPr>
            <w:r>
              <w:rPr>
                <w:rFonts w:hint="eastAsia"/>
                <w:color w:val="000000" w:themeColor="text1"/>
                <w:sz w:val="24"/>
                <w14:textFill>
                  <w14:solidFill>
                    <w14:schemeClr w14:val="tx1"/>
                  </w14:solidFill>
                </w14:textFill>
              </w:rPr>
              <w:t>根据</w:t>
            </w:r>
            <w:r>
              <w:rPr>
                <w:rFonts w:hint="eastAsia"/>
                <w:color w:val="000000" w:themeColor="text1"/>
                <w:sz w:val="24"/>
                <w:lang w:val="en-US" w:eastAsia="zh-CN"/>
                <w14:textFill>
                  <w14:solidFill>
                    <w14:schemeClr w14:val="tx1"/>
                  </w14:solidFill>
                </w14:textFill>
              </w:rPr>
              <w:t>企业提供项目周边住户搬迁证明，本项目</w:t>
            </w:r>
            <w:r>
              <w:rPr>
                <w:rFonts w:hint="eastAsia"/>
                <w:color w:val="000000" w:themeColor="text1"/>
                <w:sz w:val="24"/>
                <w14:textFill>
                  <w14:solidFill>
                    <w14:schemeClr w14:val="tx1"/>
                  </w14:solidFill>
                </w14:textFill>
              </w:rPr>
              <w:t>拟用地周边房屋属2006年搬迁户废弃老旧宅基地</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因此无声环境保护目标，</w:t>
            </w:r>
            <w:r>
              <w:rPr>
                <w:rFonts w:hint="eastAsia"/>
                <w:color w:val="000000" w:themeColor="text1"/>
                <w:sz w:val="24"/>
                <w14:textFill>
                  <w14:solidFill>
                    <w14:schemeClr w14:val="tx1"/>
                  </w14:solidFill>
                </w14:textFill>
              </w:rPr>
              <w:t>综上分析，运营期产生的噪声对周围环境影响较小。</w:t>
            </w:r>
          </w:p>
          <w:p w14:paraId="2D8B8EEE">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3、大气环境影响分析</w:t>
            </w:r>
          </w:p>
          <w:p w14:paraId="5DF6FAAE">
            <w:pPr>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w:t>
            </w:r>
            <w:r>
              <w:rPr>
                <w:rFonts w:hint="eastAsia"/>
                <w:color w:val="000000" w:themeColor="text1"/>
                <w:sz w:val="24"/>
                <w14:textFill>
                  <w14:solidFill>
                    <w14:schemeClr w14:val="tx1"/>
                  </w14:solidFill>
                </w14:textFill>
              </w:rPr>
              <w:t>风电场内</w:t>
            </w:r>
            <w:r>
              <w:rPr>
                <w:color w:val="000000" w:themeColor="text1"/>
                <w:sz w:val="24"/>
                <w14:textFill>
                  <w14:solidFill>
                    <w14:schemeClr w14:val="tx1"/>
                  </w14:solidFill>
                </w14:textFill>
              </w:rPr>
              <w:t>无废气产生</w:t>
            </w:r>
            <w:r>
              <w:rPr>
                <w:rFonts w:hint="eastAsia"/>
                <w:color w:val="000000" w:themeColor="text1"/>
                <w:sz w:val="24"/>
                <w14:textFill>
                  <w14:solidFill>
                    <w14:schemeClr w14:val="tx1"/>
                  </w14:solidFill>
                </w14:textFill>
              </w:rPr>
              <w:t>。</w:t>
            </w:r>
          </w:p>
          <w:p w14:paraId="66FBC438">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4、地表水环境影响分析</w:t>
            </w:r>
          </w:p>
          <w:p w14:paraId="0B3C9F9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w:t>
            </w:r>
            <w:r>
              <w:rPr>
                <w:rFonts w:hint="eastAsia"/>
                <w:color w:val="000000" w:themeColor="text1"/>
                <w:sz w:val="24"/>
                <w14:textFill>
                  <w14:solidFill>
                    <w14:schemeClr w14:val="tx1"/>
                  </w14:solidFill>
                </w14:textFill>
              </w:rPr>
              <w:t>风电场内无废水产生与排放，工作人员生活污水纳入升压站管理，不在本次评价范围内。</w:t>
            </w:r>
          </w:p>
          <w:p w14:paraId="401F6896">
            <w:pPr>
              <w:spacing w:line="360" w:lineRule="auto"/>
              <w:ind w:firstLine="482" w:firstLineChars="200"/>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t>5、固体废物影响分析</w:t>
            </w:r>
          </w:p>
          <w:p w14:paraId="0FFC0B2D">
            <w:pPr>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运营期产生的固体废物主要为风电场产生的废箱变、风机设备更换的废润滑油和润滑油桶、</w:t>
            </w:r>
            <w:r>
              <w:rPr>
                <w:color w:val="000000" w:themeColor="text1"/>
                <w:sz w:val="24"/>
                <w14:textFill>
                  <w14:solidFill>
                    <w14:schemeClr w14:val="tx1"/>
                  </w14:solidFill>
                </w14:textFill>
              </w:rPr>
              <w:t>箱式变废油</w:t>
            </w:r>
            <w:r>
              <w:rPr>
                <w:rFonts w:hint="eastAsia"/>
                <w:color w:val="000000" w:themeColor="text1"/>
                <w:sz w:val="24"/>
                <w14:textFill>
                  <w14:solidFill>
                    <w14:schemeClr w14:val="tx1"/>
                  </w14:solidFill>
                </w14:textFill>
              </w:rPr>
              <w:t>。</w:t>
            </w:r>
          </w:p>
          <w:p w14:paraId="5345782A">
            <w:pPr>
              <w:spacing w:line="360" w:lineRule="auto"/>
              <w:ind w:firstLine="480" w:firstLineChars="200"/>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r>
              <w:rPr>
                <w:bCs/>
                <w:color w:val="000000" w:themeColor="text1"/>
                <w:sz w:val="24"/>
                <w14:textFill>
                  <w14:solidFill>
                    <w14:schemeClr w14:val="tx1"/>
                  </w14:solidFill>
                </w14:textFill>
              </w:rPr>
              <w:t>废箱变</w:t>
            </w:r>
          </w:p>
          <w:p w14:paraId="2B1FD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项目风电场内35kV箱式变压器采用油浸式变压器</w:t>
            </w:r>
            <w:r>
              <w:rPr>
                <w:rFonts w:hint="eastAsia"/>
                <w:bCs/>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运行过程中</w:t>
            </w:r>
            <w:r>
              <w:rPr>
                <w:color w:val="000000" w:themeColor="text1"/>
                <w:sz w:val="24"/>
                <w14:textFill>
                  <w14:solidFill>
                    <w14:schemeClr w14:val="tx1"/>
                  </w14:solidFill>
                </w14:textFill>
              </w:rPr>
              <w:t>会产生少量损坏、报废的变压器</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根据《国家危险废物名录》（2021年），废变压器属于危险废物</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废物类别为HW10</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多氯（溴）联苯类废物</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，废物代码为900-008-10。废变压器更换委托设备生产厂家进行</w:t>
            </w:r>
            <w:r>
              <w:rPr>
                <w:rFonts w:hint="eastAsia"/>
                <w:color w:val="000000" w:themeColor="text1"/>
                <w:sz w:val="24"/>
                <w14:textFill>
                  <w14:solidFill>
                    <w14:schemeClr w14:val="tx1"/>
                  </w14:solidFill>
                </w14:textFill>
              </w:rPr>
              <w:t>更</w:t>
            </w:r>
            <w:r>
              <w:rPr>
                <w:color w:val="000000" w:themeColor="text1"/>
                <w:sz w:val="24"/>
                <w14:textFill>
                  <w14:solidFill>
                    <w14:schemeClr w14:val="tx1"/>
                  </w14:solidFill>
                </w14:textFill>
              </w:rPr>
              <w:t>换</w:t>
            </w:r>
            <w:r>
              <w:rPr>
                <w:rFonts w:hint="eastAsia"/>
                <w:color w:val="000000" w:themeColor="text1"/>
                <w:sz w:val="24"/>
                <w14:textFill>
                  <w14:solidFill>
                    <w14:schemeClr w14:val="tx1"/>
                  </w14:solidFill>
                </w14:textFill>
              </w:rPr>
              <w:t>后，</w:t>
            </w:r>
            <w:r>
              <w:rPr>
                <w:rFonts w:hint="eastAsia"/>
                <w:color w:val="000000" w:themeColor="text1"/>
                <w:sz w:val="24"/>
                <w:lang w:val="en-US" w:eastAsia="zh-CN"/>
                <w14:textFill>
                  <w14:solidFill>
                    <w14:schemeClr w14:val="tx1"/>
                  </w14:solidFill>
                </w14:textFill>
              </w:rPr>
              <w:t>采用汽车运输，</w:t>
            </w:r>
            <w:r>
              <w:rPr>
                <w:bCs/>
                <w:color w:val="000000" w:themeColor="text1"/>
                <w:sz w:val="24"/>
                <w14:textFill>
                  <w14:solidFill>
                    <w14:schemeClr w14:val="tx1"/>
                  </w14:solidFill>
                </w14:textFill>
              </w:rPr>
              <w:t>暂存于</w:t>
            </w:r>
            <w:r>
              <w:rPr>
                <w:rFonts w:hint="eastAsia"/>
                <w:bCs/>
                <w:color w:val="000000" w:themeColor="text1"/>
                <w:sz w:val="24"/>
                <w14:textFill>
                  <w14:solidFill>
                    <w14:schemeClr w14:val="tx1"/>
                  </w14:solidFill>
                </w14:textFill>
              </w:rPr>
              <w:t>升压站</w:t>
            </w:r>
            <w:r>
              <w:rPr>
                <w:bCs/>
                <w:color w:val="000000" w:themeColor="text1"/>
                <w:sz w:val="24"/>
                <w14:textFill>
                  <w14:solidFill>
                    <w14:schemeClr w14:val="tx1"/>
                  </w14:solidFill>
                </w14:textFill>
              </w:rPr>
              <w:t>危险废物暂存间</w:t>
            </w:r>
            <w:r>
              <w:rPr>
                <w:rFonts w:hint="eastAsia"/>
                <w:bCs/>
                <w:color w:val="000000" w:themeColor="text1"/>
                <w:sz w:val="24"/>
                <w14:textFill>
                  <w14:solidFill>
                    <w14:schemeClr w14:val="tx1"/>
                  </w14:solidFill>
                </w14:textFill>
              </w:rPr>
              <w:t>，定期</w:t>
            </w:r>
            <w:r>
              <w:rPr>
                <w:color w:val="000000" w:themeColor="text1"/>
                <w:sz w:val="24"/>
                <w14:textFill>
                  <w14:solidFill>
                    <w14:schemeClr w14:val="tx1"/>
                  </w14:solidFill>
                </w14:textFill>
              </w:rPr>
              <w:t>交</w:t>
            </w:r>
            <w:r>
              <w:rPr>
                <w:rFonts w:hint="eastAsia"/>
                <w:color w:val="000000" w:themeColor="text1"/>
                <w:sz w:val="24"/>
                <w14:textFill>
                  <w14:solidFill>
                    <w14:schemeClr w14:val="tx1"/>
                  </w14:solidFill>
                </w14:textFill>
              </w:rPr>
              <w:t>由</w:t>
            </w:r>
            <w:r>
              <w:rPr>
                <w:color w:val="000000" w:themeColor="text1"/>
                <w:sz w:val="24"/>
                <w14:textFill>
                  <w14:solidFill>
                    <w14:schemeClr w14:val="tx1"/>
                  </w14:solidFill>
                </w14:textFill>
              </w:rPr>
              <w:t>有资质单位</w:t>
            </w:r>
            <w:r>
              <w:rPr>
                <w:rFonts w:hint="eastAsia"/>
                <w:color w:val="000000" w:themeColor="text1"/>
                <w:sz w:val="24"/>
                <w14:textFill>
                  <w14:solidFill>
                    <w14:schemeClr w14:val="tx1"/>
                  </w14:solidFill>
                </w14:textFill>
              </w:rPr>
              <w:t>回收</w:t>
            </w:r>
            <w:r>
              <w:rPr>
                <w:color w:val="000000" w:themeColor="text1"/>
                <w:sz w:val="24"/>
                <w14:textFill>
                  <w14:solidFill>
                    <w14:schemeClr w14:val="tx1"/>
                  </w14:solidFill>
                </w14:textFill>
              </w:rPr>
              <w:t>处置。</w:t>
            </w:r>
          </w:p>
          <w:p w14:paraId="7F0772D3">
            <w:pPr>
              <w:pStyle w:val="14"/>
              <w:spacing w:after="0" w:line="360" w:lineRule="auto"/>
              <w:ind w:left="0" w:leftChars="0" w:right="0" w:rightChars="0" w:firstLine="480" w:firstLineChars="200"/>
              <w:rPr>
                <w:rFonts w:ascii="Times New Roman" w:hAnsi="Times New Roman"/>
                <w:bCs/>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ascii="Times New Roman" w:hAnsi="Times New Roman"/>
                <w:bCs/>
                <w:color w:val="000000" w:themeColor="text1"/>
                <w:sz w:val="24"/>
                <w:szCs w:val="24"/>
                <w14:textFill>
                  <w14:solidFill>
                    <w14:schemeClr w14:val="tx1"/>
                  </w14:solidFill>
                </w14:textFill>
              </w:rPr>
              <w:t>风机废油</w:t>
            </w:r>
          </w:p>
          <w:p w14:paraId="5BCCFB97">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风机在运转过程中会使用润滑油，润滑油分为液态的润滑油和固态的润滑脂，润滑油的使用部位主要有轮毂、机仓和发电机。润滑油一般不会发生渗漏，仅在设备密封条件差时才会有少量的渗漏。在风机轮毂和发电机可能发生渗漏的地方均设有专用润滑油收集桶，在机仓内设置多个专用润滑油收集瓶以收集可能渗漏的润滑油，收集桶及收集瓶的容积均大于该处润滑油的总用量，因此润滑油不会散漏到地上。同时巡检人员每天都会对风机进行检查，如发现收集桶或收集瓶内渗有润滑油，将立即查找渗漏原因，对渗漏处进行密封处理。</w:t>
            </w:r>
          </w:p>
          <w:p w14:paraId="61DCC245">
            <w:pPr>
              <w:pStyle w:val="14"/>
              <w:spacing w:after="0" w:line="360" w:lineRule="auto"/>
              <w:ind w:left="0" w:leftChars="0" w:right="0" w:rightChars="0" w:firstLine="480" w:firstLineChars="200"/>
              <w:rPr>
                <w:rFonts w:ascii="Times New Roman" w:hAnsi="Times New Roman"/>
                <w:bCs/>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风机设备每2年更换一次润滑油，</w:t>
            </w:r>
            <w:r>
              <w:rPr>
                <w:rFonts w:ascii="Times New Roman" w:hAnsi="Times New Roman"/>
                <w:color w:val="000000" w:themeColor="text1"/>
                <w:sz w:val="24"/>
                <w:szCs w:val="24"/>
                <w14:textFill>
                  <w14:solidFill>
                    <w14:schemeClr w14:val="tx1"/>
                  </w14:solidFill>
                </w14:textFill>
              </w:rPr>
              <w:t>废润滑油产</w:t>
            </w:r>
            <w:r>
              <w:rPr>
                <w:rFonts w:ascii="Times New Roman" w:hAnsi="Times New Roman"/>
                <w:color w:val="auto"/>
                <w:sz w:val="24"/>
                <w:szCs w:val="24"/>
              </w:rPr>
              <w:t>生量约0.</w:t>
            </w:r>
            <w:r>
              <w:rPr>
                <w:rFonts w:hint="eastAsia" w:ascii="Times New Roman" w:hAnsi="Times New Roman"/>
                <w:color w:val="auto"/>
                <w:sz w:val="24"/>
                <w:szCs w:val="24"/>
              </w:rPr>
              <w:t>8</w:t>
            </w:r>
            <w:r>
              <w:rPr>
                <w:rFonts w:ascii="Times New Roman" w:hAnsi="Times New Roman"/>
                <w:color w:val="auto"/>
                <w:sz w:val="24"/>
                <w:szCs w:val="24"/>
              </w:rPr>
              <w:t>t/a</w:t>
            </w:r>
            <w:r>
              <w:rPr>
                <w:rFonts w:ascii="Times New Roman" w:hAnsi="Times New Roman"/>
                <w:color w:val="000000" w:themeColor="text1"/>
                <w:sz w:val="24"/>
                <w:szCs w:val="24"/>
                <w14:textFill>
                  <w14:solidFill>
                    <w14:schemeClr w14:val="tx1"/>
                  </w14:solidFill>
                </w14:textFill>
              </w:rPr>
              <w:t>，根据《国家危险废物名录》（2021年），废润滑油属危险废物</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废物类别为HW08</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废矿物油与含矿物油废物</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，废物代码为900-214-08</w:t>
            </w:r>
            <w:r>
              <w:rPr>
                <w:color w:val="000000" w:themeColor="text1"/>
                <w:sz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更换后的废弃润滑油</w:t>
            </w:r>
            <w:r>
              <w:rPr>
                <w:rFonts w:hint="eastAsia" w:ascii="Times New Roman" w:hAnsi="Times New Roman"/>
                <w:color w:val="000000" w:themeColor="text1"/>
                <w:sz w:val="24"/>
                <w:szCs w:val="24"/>
                <w14:textFill>
                  <w14:solidFill>
                    <w14:schemeClr w14:val="tx1"/>
                  </w14:solidFill>
                </w14:textFill>
              </w:rPr>
              <w:t>采用</w:t>
            </w:r>
            <w:r>
              <w:rPr>
                <w:rFonts w:ascii="Times New Roman" w:hAnsi="Times New Roman"/>
                <w:color w:val="000000" w:themeColor="text1"/>
                <w:sz w:val="24"/>
                <w:szCs w:val="24"/>
                <w14:textFill>
                  <w14:solidFill>
                    <w14:schemeClr w14:val="tx1"/>
                  </w14:solidFill>
                </w14:textFill>
              </w:rPr>
              <w:t>专用收集容器收集后，</w:t>
            </w:r>
            <w:r>
              <w:rPr>
                <w:rFonts w:ascii="Times New Roman" w:hAnsi="Times New Roman"/>
                <w:bCs/>
                <w:color w:val="000000" w:themeColor="text1"/>
                <w:sz w:val="24"/>
                <w:szCs w:val="24"/>
                <w14:textFill>
                  <w14:solidFill>
                    <w14:schemeClr w14:val="tx1"/>
                  </w14:solidFill>
                </w14:textFill>
              </w:rPr>
              <w:t>暂存于</w:t>
            </w:r>
            <w:r>
              <w:rPr>
                <w:rFonts w:hint="eastAsia" w:ascii="Times New Roman" w:hAnsi="Times New Roman"/>
                <w:bCs/>
                <w:color w:val="000000" w:themeColor="text1"/>
                <w:sz w:val="24"/>
                <w:szCs w:val="24"/>
                <w14:textFill>
                  <w14:solidFill>
                    <w14:schemeClr w14:val="tx1"/>
                  </w14:solidFill>
                </w14:textFill>
              </w:rPr>
              <w:t>升压站</w:t>
            </w:r>
            <w:r>
              <w:rPr>
                <w:rFonts w:ascii="Times New Roman" w:hAnsi="Times New Roman"/>
                <w:bCs/>
                <w:color w:val="000000" w:themeColor="text1"/>
                <w:sz w:val="24"/>
                <w:szCs w:val="24"/>
                <w14:textFill>
                  <w14:solidFill>
                    <w14:schemeClr w14:val="tx1"/>
                  </w14:solidFill>
                </w14:textFill>
              </w:rPr>
              <w:t>危险废物暂存间，</w:t>
            </w:r>
            <w:r>
              <w:rPr>
                <w:rFonts w:hint="eastAsia" w:ascii="Times New Roman" w:hAnsi="Times New Roman"/>
                <w:bCs/>
                <w:color w:val="000000" w:themeColor="text1"/>
                <w:sz w:val="24"/>
                <w:szCs w:val="24"/>
                <w14:textFill>
                  <w14:solidFill>
                    <w14:schemeClr w14:val="tx1"/>
                  </w14:solidFill>
                </w14:textFill>
              </w:rPr>
              <w:t>定期</w:t>
            </w:r>
            <w:r>
              <w:rPr>
                <w:color w:val="000000" w:themeColor="text1"/>
                <w:sz w:val="24"/>
                <w14:textFill>
                  <w14:solidFill>
                    <w14:schemeClr w14:val="tx1"/>
                  </w14:solidFill>
                </w14:textFill>
              </w:rPr>
              <w:t>交</w:t>
            </w:r>
            <w:r>
              <w:rPr>
                <w:rFonts w:hint="eastAsia"/>
                <w:color w:val="000000" w:themeColor="text1"/>
                <w:sz w:val="24"/>
                <w14:textFill>
                  <w14:solidFill>
                    <w14:schemeClr w14:val="tx1"/>
                  </w14:solidFill>
                </w14:textFill>
              </w:rPr>
              <w:t>由</w:t>
            </w:r>
            <w:r>
              <w:rPr>
                <w:color w:val="000000" w:themeColor="text1"/>
                <w:sz w:val="24"/>
                <w14:textFill>
                  <w14:solidFill>
                    <w14:schemeClr w14:val="tx1"/>
                  </w14:solidFill>
                </w14:textFill>
              </w:rPr>
              <w:t>有资质单位</w:t>
            </w:r>
            <w:r>
              <w:rPr>
                <w:rFonts w:hint="eastAsia"/>
                <w:color w:val="000000" w:themeColor="text1"/>
                <w:sz w:val="24"/>
                <w14:textFill>
                  <w14:solidFill>
                    <w14:schemeClr w14:val="tx1"/>
                  </w14:solidFill>
                </w14:textFill>
              </w:rPr>
              <w:t>回收</w:t>
            </w:r>
            <w:r>
              <w:rPr>
                <w:color w:val="000000" w:themeColor="text1"/>
                <w:sz w:val="24"/>
                <w14:textFill>
                  <w14:solidFill>
                    <w14:schemeClr w14:val="tx1"/>
                  </w14:solidFill>
                </w14:textFill>
              </w:rPr>
              <w:t>处置</w:t>
            </w:r>
            <w:r>
              <w:rPr>
                <w:rFonts w:ascii="Times New Roman" w:hAnsi="Times New Roman"/>
                <w:bCs/>
                <w:color w:val="000000" w:themeColor="text1"/>
                <w:sz w:val="24"/>
                <w:szCs w:val="24"/>
                <w14:textFill>
                  <w14:solidFill>
                    <w14:schemeClr w14:val="tx1"/>
                  </w14:solidFill>
                </w14:textFill>
              </w:rPr>
              <w:t>。</w:t>
            </w:r>
          </w:p>
          <w:p w14:paraId="6D15B8EA">
            <w:pPr>
              <w:pStyle w:val="14"/>
              <w:spacing w:after="0" w:line="360" w:lineRule="auto"/>
              <w:ind w:left="0" w:leftChars="0" w:right="0" w:righ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bCs/>
                <w:color w:val="000000" w:themeColor="text1"/>
                <w:sz w:val="24"/>
                <w:szCs w:val="24"/>
                <w14:textFill>
                  <w14:solidFill>
                    <w14:schemeClr w14:val="tx1"/>
                  </w14:solidFill>
                </w14:textFill>
              </w:rPr>
              <w:t>（</w:t>
            </w:r>
            <w:r>
              <w:rPr>
                <w:rFonts w:hint="eastAsia" w:ascii="Times New Roman" w:hAnsi="Times New Roman"/>
                <w:bCs/>
                <w:color w:val="000000" w:themeColor="text1"/>
                <w:sz w:val="24"/>
                <w:szCs w:val="24"/>
                <w14:textFill>
                  <w14:solidFill>
                    <w14:schemeClr w14:val="tx1"/>
                  </w14:solidFill>
                </w14:textFill>
              </w:rPr>
              <w:t>3</w:t>
            </w:r>
            <w:r>
              <w:rPr>
                <w:rFonts w:ascii="Times New Roman" w:hAnsi="Times New Roman"/>
                <w:bCs/>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废润滑油桶</w:t>
            </w:r>
          </w:p>
          <w:p w14:paraId="7563DFC4">
            <w:pPr>
              <w:pStyle w:val="14"/>
              <w:spacing w:after="0" w:line="360" w:lineRule="auto"/>
              <w:ind w:left="0" w:leftChars="0" w:right="0" w:rightChars="0"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废润滑油桶的产生量较小，产生量约</w:t>
            </w:r>
            <w:r>
              <w:rPr>
                <w:rFonts w:hint="eastAsia" w:ascii="Times New Roman" w:hAnsi="Times New Roman"/>
                <w:color w:val="000000" w:themeColor="text1"/>
                <w:sz w:val="24"/>
                <w:szCs w:val="24"/>
                <w14:textFill>
                  <w14:solidFill>
                    <w14:schemeClr w14:val="tx1"/>
                  </w14:solidFill>
                </w14:textFill>
              </w:rPr>
              <w:t>0.05</w:t>
            </w:r>
            <w:r>
              <w:rPr>
                <w:rFonts w:ascii="Times New Roman" w:hAnsi="Times New Roman"/>
                <w:color w:val="000000" w:themeColor="text1"/>
                <w:sz w:val="24"/>
                <w:szCs w:val="24"/>
                <w14:textFill>
                  <w14:solidFill>
                    <w14:schemeClr w14:val="tx1"/>
                  </w14:solidFill>
                </w14:textFill>
              </w:rPr>
              <w:t>/a，根据《国家危险废物名录》（2021年）</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废润滑油桶属于危险废物</w:t>
            </w:r>
            <w:r>
              <w:rPr>
                <w:rFonts w:hint="eastAsia" w:ascii="Times New Roman" w:hAnsi="Times New Roman"/>
                <w:color w:val="000000" w:themeColor="text1"/>
                <w:sz w:val="24"/>
                <w:szCs w:val="24"/>
                <w14:textFill>
                  <w14:solidFill>
                    <w14:schemeClr w14:val="tx1"/>
                  </w14:solidFill>
                </w14:textFill>
              </w:rPr>
              <w:t>，废物类别为</w:t>
            </w:r>
            <w:r>
              <w:rPr>
                <w:rFonts w:ascii="Times New Roman" w:hAnsi="Times New Roman"/>
                <w:color w:val="000000" w:themeColor="text1"/>
                <w:sz w:val="24"/>
                <w:szCs w:val="24"/>
                <w14:textFill>
                  <w14:solidFill>
                    <w14:schemeClr w14:val="tx1"/>
                  </w14:solidFill>
                </w14:textFill>
              </w:rPr>
              <w:t>HW08</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废矿物油与含矿物油废物</w:t>
            </w:r>
            <w:r>
              <w:rPr>
                <w:rFonts w:hint="eastAsia" w:ascii="Times New Roman" w:hAnsi="Times New Roman"/>
                <w:color w:val="000000" w:themeColor="text1"/>
                <w:sz w:val="24"/>
                <w:szCs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，废物代码为900-249-08</w:t>
            </w:r>
            <w:r>
              <w:rPr>
                <w:color w:val="000000" w:themeColor="text1"/>
                <w:sz w:val="24"/>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废润滑油桶</w:t>
            </w:r>
            <w:r>
              <w:rPr>
                <w:rFonts w:hint="eastAsia" w:ascii="Times New Roman" w:hAnsi="Times New Roman"/>
                <w:color w:val="000000" w:themeColor="text1"/>
                <w:sz w:val="24"/>
                <w:szCs w:val="24"/>
                <w14:textFill>
                  <w14:solidFill>
                    <w14:schemeClr w14:val="tx1"/>
                  </w14:solidFill>
                </w14:textFill>
              </w:rPr>
              <w:t>采用专用容器收集后，</w:t>
            </w:r>
            <w:r>
              <w:rPr>
                <w:rFonts w:ascii="Times New Roman" w:hAnsi="Times New Roman"/>
                <w:bCs/>
                <w:color w:val="000000" w:themeColor="text1"/>
                <w:sz w:val="24"/>
                <w:szCs w:val="24"/>
                <w14:textFill>
                  <w14:solidFill>
                    <w14:schemeClr w14:val="tx1"/>
                  </w14:solidFill>
                </w14:textFill>
              </w:rPr>
              <w:t>暂存于</w:t>
            </w:r>
            <w:r>
              <w:rPr>
                <w:rFonts w:hint="eastAsia" w:ascii="Times New Roman" w:hAnsi="Times New Roman"/>
                <w:bCs/>
                <w:color w:val="000000" w:themeColor="text1"/>
                <w:sz w:val="24"/>
                <w:szCs w:val="24"/>
                <w14:textFill>
                  <w14:solidFill>
                    <w14:schemeClr w14:val="tx1"/>
                  </w14:solidFill>
                </w14:textFill>
              </w:rPr>
              <w:t>升压站</w:t>
            </w:r>
            <w:r>
              <w:rPr>
                <w:rFonts w:ascii="Times New Roman" w:hAnsi="Times New Roman"/>
                <w:bCs/>
                <w:color w:val="000000" w:themeColor="text1"/>
                <w:sz w:val="24"/>
                <w:szCs w:val="24"/>
                <w14:textFill>
                  <w14:solidFill>
                    <w14:schemeClr w14:val="tx1"/>
                  </w14:solidFill>
                </w14:textFill>
              </w:rPr>
              <w:t>危险废物暂存间，</w:t>
            </w:r>
            <w:r>
              <w:rPr>
                <w:rFonts w:hint="eastAsia" w:ascii="Times New Roman" w:hAnsi="Times New Roman"/>
                <w:bCs/>
                <w:color w:val="000000" w:themeColor="text1"/>
                <w:sz w:val="24"/>
                <w:szCs w:val="24"/>
                <w14:textFill>
                  <w14:solidFill>
                    <w14:schemeClr w14:val="tx1"/>
                  </w14:solidFill>
                </w14:textFill>
              </w:rPr>
              <w:t>定期</w:t>
            </w:r>
            <w:r>
              <w:rPr>
                <w:color w:val="000000" w:themeColor="text1"/>
                <w:sz w:val="24"/>
                <w14:textFill>
                  <w14:solidFill>
                    <w14:schemeClr w14:val="tx1"/>
                  </w14:solidFill>
                </w14:textFill>
              </w:rPr>
              <w:t>交</w:t>
            </w:r>
            <w:r>
              <w:rPr>
                <w:rFonts w:hint="eastAsia"/>
                <w:color w:val="000000" w:themeColor="text1"/>
                <w:sz w:val="24"/>
                <w14:textFill>
                  <w14:solidFill>
                    <w14:schemeClr w14:val="tx1"/>
                  </w14:solidFill>
                </w14:textFill>
              </w:rPr>
              <w:t>由</w:t>
            </w:r>
            <w:r>
              <w:rPr>
                <w:color w:val="000000" w:themeColor="text1"/>
                <w:sz w:val="24"/>
                <w14:textFill>
                  <w14:solidFill>
                    <w14:schemeClr w14:val="tx1"/>
                  </w14:solidFill>
                </w14:textFill>
              </w:rPr>
              <w:t>有资质单位</w:t>
            </w:r>
            <w:r>
              <w:rPr>
                <w:rFonts w:hint="eastAsia"/>
                <w:color w:val="000000" w:themeColor="text1"/>
                <w:sz w:val="24"/>
                <w14:textFill>
                  <w14:solidFill>
                    <w14:schemeClr w14:val="tx1"/>
                  </w14:solidFill>
                </w14:textFill>
              </w:rPr>
              <w:t>回收</w:t>
            </w:r>
            <w:r>
              <w:rPr>
                <w:color w:val="000000" w:themeColor="text1"/>
                <w:sz w:val="24"/>
                <w14:textFill>
                  <w14:solidFill>
                    <w14:schemeClr w14:val="tx1"/>
                  </w14:solidFill>
                </w14:textFill>
              </w:rPr>
              <w:t>处置</w:t>
            </w:r>
            <w:r>
              <w:rPr>
                <w:rFonts w:ascii="Times New Roman" w:hAnsi="Times New Roman"/>
                <w:bCs/>
                <w:color w:val="000000" w:themeColor="text1"/>
                <w:sz w:val="24"/>
                <w:szCs w:val="24"/>
                <w14:textFill>
                  <w14:solidFill>
                    <w14:schemeClr w14:val="tx1"/>
                  </w14:solidFill>
                </w14:textFill>
              </w:rPr>
              <w:t>。</w:t>
            </w:r>
          </w:p>
          <w:p w14:paraId="138C5EA9">
            <w:pPr>
              <w:pStyle w:val="81"/>
              <w:ind w:left="420" w:leftChars="200" w:firstLine="0" w:firstLineChars="0"/>
              <w:rPr>
                <w:rFonts w:hAnsi="Times New Roman" w:cs="Times New Roman"/>
                <w:color w:val="000000" w:themeColor="text1"/>
                <w14:textFill>
                  <w14:solidFill>
                    <w14:schemeClr w14:val="tx1"/>
                  </w14:solidFill>
                </w14:textFill>
              </w:rPr>
            </w:pPr>
            <w:r>
              <w:rPr>
                <w:rFonts w:hAnsi="Times New Roman" w:cs="Times New Roman"/>
                <w:color w:val="000000" w:themeColor="text1"/>
                <w14:textFill>
                  <w14:solidFill>
                    <w14:schemeClr w14:val="tx1"/>
                  </w14:solidFill>
                </w14:textFill>
              </w:rPr>
              <w:t>（</w:t>
            </w:r>
            <w:r>
              <w:rPr>
                <w:rFonts w:hint="eastAsia" w:hAnsi="Times New Roman" w:cs="Times New Roman"/>
                <w:color w:val="000000" w:themeColor="text1"/>
                <w14:textFill>
                  <w14:solidFill>
                    <w14:schemeClr w14:val="tx1"/>
                  </w14:solidFill>
                </w14:textFill>
              </w:rPr>
              <w:t>4</w:t>
            </w:r>
            <w:r>
              <w:rPr>
                <w:rFonts w:hAnsi="Times New Roman" w:cs="Times New Roman"/>
                <w:color w:val="000000" w:themeColor="text1"/>
                <w14:textFill>
                  <w14:solidFill>
                    <w14:schemeClr w14:val="tx1"/>
                  </w14:solidFill>
                </w14:textFill>
              </w:rPr>
              <w:t>）箱式变废油</w:t>
            </w:r>
          </w:p>
          <w:p w14:paraId="0B1847FF">
            <w:pPr>
              <w:pStyle w:val="81"/>
              <w:ind w:firstLine="480"/>
              <w:rPr>
                <w:rFonts w:hAnsi="Times New Roman" w:cs="Times New Roman"/>
                <w:color w:val="000000" w:themeColor="text1"/>
                <w14:textFill>
                  <w14:solidFill>
                    <w14:schemeClr w14:val="tx1"/>
                  </w14:solidFill>
                </w14:textFill>
              </w:rPr>
            </w:pPr>
            <w:r>
              <w:rPr>
                <w:rFonts w:hint="default"/>
                <w:color w:val="auto"/>
                <w:sz w:val="24"/>
                <w:szCs w:val="32"/>
                <w:highlight w:val="none"/>
                <w:lang w:val="en-US" w:eastAsia="zh-CN"/>
              </w:rPr>
              <w:t>本项目风电场箱变正常运行时不产生废油，发生事故时，箱变中变压器油泄漏于下方的事故油池内。根据《国家危险废物名录（2021年版）》，变压器油属于</w:t>
            </w:r>
            <w:r>
              <w:rPr>
                <w:rFonts w:hint="default" w:ascii="宋体" w:hAnsi="宋体" w:eastAsia="宋体" w:cs="宋体"/>
                <w:color w:val="auto"/>
                <w:sz w:val="24"/>
                <w:szCs w:val="32"/>
                <w:highlight w:val="none"/>
                <w:lang w:val="en-US" w:eastAsia="zh-CN"/>
              </w:rPr>
              <w:t>“</w:t>
            </w:r>
            <w:r>
              <w:rPr>
                <w:rFonts w:hint="default"/>
                <w:color w:val="auto"/>
                <w:sz w:val="24"/>
                <w:szCs w:val="32"/>
                <w:highlight w:val="none"/>
                <w:lang w:val="en-US" w:eastAsia="zh-CN"/>
              </w:rPr>
              <w:t>HW08废矿物油与含矿物油废物 非特定行业中的900-220-08变压器维护、更换和拆解过程中产生的废变压器油</w:t>
            </w:r>
            <w:r>
              <w:rPr>
                <w:rFonts w:hint="default" w:ascii="宋体" w:hAnsi="宋体" w:eastAsia="宋体" w:cs="宋体"/>
                <w:color w:val="auto"/>
                <w:sz w:val="24"/>
                <w:szCs w:val="32"/>
                <w:highlight w:val="none"/>
                <w:lang w:val="en-US" w:eastAsia="zh-CN"/>
              </w:rPr>
              <w:t>”</w:t>
            </w:r>
            <w:r>
              <w:rPr>
                <w:rFonts w:hint="default"/>
                <w:color w:val="auto"/>
                <w:sz w:val="24"/>
                <w:szCs w:val="32"/>
                <w:highlight w:val="none"/>
                <w:lang w:val="en-US" w:eastAsia="zh-CN"/>
              </w:rPr>
              <w:t>。项目建成后单台风机箱变油重约为1.8t。变压器油密度为895kg/m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，通过计算可知，每台箱变事故时的最大泄油量（按全部</w:t>
            </w:r>
            <w:r>
              <w:rPr>
                <w:rFonts w:hint="eastAsia"/>
                <w:color w:val="auto"/>
                <w:sz w:val="24"/>
                <w:szCs w:val="32"/>
                <w:highlight w:val="none"/>
                <w:lang w:val="en-US" w:eastAsia="zh-CN"/>
              </w:rPr>
              <w:t>泄漏</w:t>
            </w:r>
            <w:r>
              <w:rPr>
                <w:rFonts w:hint="default"/>
                <w:color w:val="auto"/>
                <w:sz w:val="24"/>
                <w:szCs w:val="32"/>
                <w:highlight w:val="none"/>
                <w:lang w:val="en-US" w:eastAsia="zh-CN"/>
              </w:rPr>
              <w:t>）为2.01m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，本次环评要求每台箱变事故油池设置容积不小于</w:t>
            </w:r>
            <w:r>
              <w:rPr>
                <w:rFonts w:hint="eastAsia"/>
                <w:color w:val="auto"/>
                <w:sz w:val="24"/>
                <w:szCs w:val="32"/>
                <w:highlight w:val="none"/>
                <w:lang w:val="en-US" w:eastAsia="zh-CN"/>
              </w:rPr>
              <w:t>2.5</w:t>
            </w:r>
            <w:r>
              <w:rPr>
                <w:rFonts w:hint="default"/>
                <w:color w:val="auto"/>
                <w:sz w:val="24"/>
                <w:szCs w:val="32"/>
                <w:highlight w:val="none"/>
                <w:lang w:val="en-US" w:eastAsia="zh-CN"/>
              </w:rPr>
              <w:t>m</w:t>
            </w:r>
            <w:r>
              <w:rPr>
                <w:rFonts w:hint="default"/>
                <w:color w:val="auto"/>
                <w:sz w:val="24"/>
                <w:szCs w:val="32"/>
                <w:highlight w:val="none"/>
                <w:vertAlign w:val="superscript"/>
                <w:lang w:val="en-US" w:eastAsia="zh-CN"/>
              </w:rPr>
              <w:t>3</w:t>
            </w:r>
            <w:r>
              <w:rPr>
                <w:rFonts w:hint="default"/>
                <w:color w:val="auto"/>
                <w:sz w:val="24"/>
                <w:szCs w:val="32"/>
                <w:highlight w:val="none"/>
                <w:lang w:val="en-US" w:eastAsia="zh-CN"/>
              </w:rPr>
              <w:t>即可。发生事故时</w:t>
            </w:r>
            <w:r>
              <w:rPr>
                <w:rFonts w:hint="eastAsia"/>
                <w:color w:val="auto"/>
                <w:sz w:val="24"/>
                <w:szCs w:val="32"/>
                <w:highlight w:val="none"/>
                <w:lang w:val="en-US" w:eastAsia="zh-CN"/>
              </w:rPr>
              <w:t>泄漏</w:t>
            </w:r>
            <w:r>
              <w:rPr>
                <w:rFonts w:hint="default"/>
                <w:color w:val="auto"/>
                <w:sz w:val="24"/>
                <w:szCs w:val="32"/>
                <w:highlight w:val="none"/>
                <w:lang w:val="en-US" w:eastAsia="zh-CN"/>
              </w:rPr>
              <w:t>到事故油池储存，最终委托有资质的单位回收处置</w:t>
            </w:r>
            <w:r>
              <w:rPr>
                <w:rFonts w:hAnsi="Times New Roman" w:cs="Times New Roman"/>
                <w:color w:val="000000" w:themeColor="text1"/>
                <w14:textFill>
                  <w14:solidFill>
                    <w14:schemeClr w14:val="tx1"/>
                  </w14:solidFill>
                </w14:textFill>
              </w:rPr>
              <w:t>。</w:t>
            </w:r>
          </w:p>
          <w:p w14:paraId="3D8EC9DE">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本项目固体废物产排情况见表4-6。</w:t>
            </w:r>
          </w:p>
          <w:p w14:paraId="29E32763">
            <w:pPr>
              <w:pStyle w:val="3"/>
              <w:spacing w:before="0" w:beforeLines="0" w:after="0" w:afterLines="0" w:line="240" w:lineRule="auto"/>
              <w:jc w:val="center"/>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表4-</w:t>
            </w:r>
            <w:r>
              <w:rPr>
                <w:rFonts w:hint="eastAsia" w:eastAsiaTheme="minorEastAsia"/>
                <w:b/>
                <w:bCs/>
                <w:color w:val="000000" w:themeColor="text1"/>
                <w:sz w:val="21"/>
                <w:szCs w:val="21"/>
                <w14:textFill>
                  <w14:solidFill>
                    <w14:schemeClr w14:val="tx1"/>
                  </w14:solidFill>
                </w14:textFill>
              </w:rPr>
              <w:t>6</w:t>
            </w:r>
            <w:r>
              <w:rPr>
                <w:rFonts w:eastAsiaTheme="minorEastAsia"/>
                <w:b/>
                <w:bCs/>
                <w:color w:val="000000" w:themeColor="text1"/>
                <w:sz w:val="21"/>
                <w:szCs w:val="21"/>
                <w14:textFill>
                  <w14:solidFill>
                    <w14:schemeClr w14:val="tx1"/>
                  </w14:solidFill>
                </w14:textFill>
              </w:rPr>
              <w:t xml:space="preserve"> 本项目固体废物产生情况一览表</w:t>
            </w:r>
          </w:p>
          <w:tbl>
            <w:tblPr>
              <w:tblStyle w:val="32"/>
              <w:tblW w:w="7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6"/>
              <w:gridCol w:w="931"/>
              <w:gridCol w:w="700"/>
              <w:gridCol w:w="714"/>
              <w:gridCol w:w="978"/>
              <w:gridCol w:w="819"/>
              <w:gridCol w:w="1196"/>
              <w:gridCol w:w="743"/>
              <w:gridCol w:w="1408"/>
            </w:tblGrid>
            <w:tr w14:paraId="1664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71" w:type="dxa"/>
                  <w:vAlign w:val="center"/>
                </w:tcPr>
                <w:p w14:paraId="0A6ABD5C">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序号</w:t>
                  </w:r>
                </w:p>
              </w:tc>
              <w:tc>
                <w:tcPr>
                  <w:tcW w:w="1002" w:type="dxa"/>
                  <w:vAlign w:val="center"/>
                </w:tcPr>
                <w:p w14:paraId="3BEF3555">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名称</w:t>
                  </w:r>
                </w:p>
              </w:tc>
              <w:tc>
                <w:tcPr>
                  <w:tcW w:w="739" w:type="dxa"/>
                  <w:vAlign w:val="center"/>
                </w:tcPr>
                <w:p w14:paraId="62DDDF95">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产生工序</w:t>
                  </w:r>
                </w:p>
              </w:tc>
              <w:tc>
                <w:tcPr>
                  <w:tcW w:w="755" w:type="dxa"/>
                  <w:vAlign w:val="center"/>
                </w:tcPr>
                <w:p w14:paraId="74D751EF">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属性</w:t>
                  </w:r>
                </w:p>
              </w:tc>
              <w:tc>
                <w:tcPr>
                  <w:tcW w:w="997" w:type="dxa"/>
                  <w:vAlign w:val="center"/>
                </w:tcPr>
                <w:p w14:paraId="036F32DE">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主要成分</w:t>
                  </w:r>
                </w:p>
              </w:tc>
              <w:tc>
                <w:tcPr>
                  <w:tcW w:w="825" w:type="dxa"/>
                  <w:vAlign w:val="center"/>
                </w:tcPr>
                <w:p w14:paraId="5BFF17A2">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废物类别</w:t>
                  </w:r>
                </w:p>
              </w:tc>
              <w:tc>
                <w:tcPr>
                  <w:tcW w:w="855" w:type="dxa"/>
                  <w:vAlign w:val="center"/>
                </w:tcPr>
                <w:p w14:paraId="643A8967">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废物代码</w:t>
                  </w:r>
                </w:p>
              </w:tc>
              <w:tc>
                <w:tcPr>
                  <w:tcW w:w="765" w:type="dxa"/>
                  <w:vAlign w:val="center"/>
                </w:tcPr>
                <w:p w14:paraId="34B60F4F">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年产生量</w:t>
                  </w:r>
                  <w:r>
                    <w:rPr>
                      <w:rFonts w:eastAsiaTheme="minorEastAsia"/>
                      <w:color w:val="000000" w:themeColor="text1"/>
                      <w:kern w:val="0"/>
                      <w:szCs w:val="21"/>
                      <w:lang w:bidi="ar"/>
                      <w14:textFill>
                        <w14:solidFill>
                          <w14:schemeClr w14:val="tx1"/>
                        </w14:solidFill>
                      </w14:textFill>
                    </w:rPr>
                    <w:t>t/a</w:t>
                  </w:r>
                </w:p>
              </w:tc>
              <w:tc>
                <w:tcPr>
                  <w:tcW w:w="1546" w:type="dxa"/>
                  <w:vAlign w:val="center"/>
                </w:tcPr>
                <w:p w14:paraId="477609D6">
                  <w:pPr>
                    <w:widowControl/>
                    <w:jc w:val="center"/>
                    <w:textAlignment w:val="top"/>
                    <w:rPr>
                      <w:rFonts w:eastAsiaTheme="minorEastAsia"/>
                      <w:b/>
                      <w:bCs/>
                      <w:color w:val="000000" w:themeColor="text1"/>
                      <w:szCs w:val="21"/>
                      <w14:textFill>
                        <w14:solidFill>
                          <w14:schemeClr w14:val="tx1"/>
                        </w14:solidFill>
                      </w14:textFill>
                    </w:rPr>
                  </w:pPr>
                  <w:r>
                    <w:rPr>
                      <w:rStyle w:val="90"/>
                      <w:rFonts w:hint="default" w:ascii="Times New Roman" w:hAnsi="Times New Roman" w:cs="Times New Roman" w:eastAsiaTheme="minorEastAsia"/>
                      <w:b/>
                      <w:bCs/>
                      <w:color w:val="000000" w:themeColor="text1"/>
                      <w:sz w:val="21"/>
                      <w:szCs w:val="21"/>
                      <w:lang w:bidi="ar"/>
                      <w14:textFill>
                        <w14:solidFill>
                          <w14:schemeClr w14:val="tx1"/>
                        </w14:solidFill>
                      </w14:textFill>
                    </w:rPr>
                    <w:t>处置方式</w:t>
                  </w:r>
                </w:p>
              </w:tc>
            </w:tr>
            <w:tr w14:paraId="64E0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71" w:type="dxa"/>
                  <w:vAlign w:val="center"/>
                </w:tcPr>
                <w:p w14:paraId="1F7175BB">
                  <w:pPr>
                    <w:widowControl/>
                    <w:jc w:val="center"/>
                    <w:textAlignment w:val="top"/>
                    <w:rPr>
                      <w:rFonts w:eastAsiaTheme="minorEastAsia"/>
                      <w:color w:val="000000" w:themeColor="text1"/>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1</w:t>
                  </w:r>
                </w:p>
              </w:tc>
              <w:tc>
                <w:tcPr>
                  <w:tcW w:w="1002" w:type="dxa"/>
                  <w:vAlign w:val="center"/>
                </w:tcPr>
                <w:p w14:paraId="5EBE47BF">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废箱变</w:t>
                  </w:r>
                </w:p>
              </w:tc>
              <w:tc>
                <w:tcPr>
                  <w:tcW w:w="739" w:type="dxa"/>
                  <w:vAlign w:val="center"/>
                </w:tcPr>
                <w:p w14:paraId="44D348CC">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检修</w:t>
                  </w:r>
                </w:p>
              </w:tc>
              <w:tc>
                <w:tcPr>
                  <w:tcW w:w="755" w:type="dxa"/>
                  <w:vAlign w:val="center"/>
                </w:tcPr>
                <w:p w14:paraId="789C8EDA">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危险废物</w:t>
                  </w:r>
                </w:p>
              </w:tc>
              <w:tc>
                <w:tcPr>
                  <w:tcW w:w="997" w:type="dxa"/>
                  <w:vAlign w:val="center"/>
                </w:tcPr>
                <w:p w14:paraId="29212BBF">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含多氯（溴）联苯类</w:t>
                  </w:r>
                </w:p>
              </w:tc>
              <w:tc>
                <w:tcPr>
                  <w:tcW w:w="825" w:type="dxa"/>
                  <w:vAlign w:val="center"/>
                </w:tcPr>
                <w:p w14:paraId="7897FD40">
                  <w:pPr>
                    <w:widowControl/>
                    <w:jc w:val="center"/>
                    <w:textAlignment w:val="center"/>
                    <w:rPr>
                      <w:rFonts w:eastAsiaTheme="minorEastAsia"/>
                      <w:color w:val="000000" w:themeColor="text1"/>
                      <w:szCs w:val="21"/>
                      <w14:textFill>
                        <w14:solidFill>
                          <w14:schemeClr w14:val="tx1"/>
                        </w14:solidFill>
                      </w14:textFill>
                    </w:rPr>
                  </w:pPr>
                  <w:r>
                    <w:rPr>
                      <w:rStyle w:val="102"/>
                      <w:rFonts w:eastAsiaTheme="minorEastAsia"/>
                      <w:color w:val="000000" w:themeColor="text1"/>
                      <w:sz w:val="21"/>
                      <w:szCs w:val="21"/>
                      <w:lang w:bidi="ar"/>
                      <w14:textFill>
                        <w14:solidFill>
                          <w14:schemeClr w14:val="tx1"/>
                        </w14:solidFill>
                      </w14:textFill>
                    </w:rPr>
                    <w:t>HW10</w:t>
                  </w:r>
                </w:p>
              </w:tc>
              <w:tc>
                <w:tcPr>
                  <w:tcW w:w="855" w:type="dxa"/>
                  <w:vAlign w:val="center"/>
                </w:tcPr>
                <w:p w14:paraId="79DB694C">
                  <w:pPr>
                    <w:widowControl/>
                    <w:jc w:val="center"/>
                    <w:textAlignment w:val="center"/>
                    <w:rPr>
                      <w:rFonts w:eastAsiaTheme="minorEastAsia"/>
                      <w:color w:val="000000" w:themeColor="text1"/>
                      <w:szCs w:val="21"/>
                      <w14:textFill>
                        <w14:solidFill>
                          <w14:schemeClr w14:val="tx1"/>
                        </w14:solidFill>
                      </w14:textFill>
                    </w:rPr>
                  </w:pPr>
                  <w:r>
                    <w:rPr>
                      <w:rStyle w:val="102"/>
                      <w:rFonts w:eastAsiaTheme="minorEastAsia"/>
                      <w:color w:val="000000" w:themeColor="text1"/>
                      <w:sz w:val="21"/>
                      <w:szCs w:val="21"/>
                      <w:lang w:bidi="ar"/>
                      <w14:textFill>
                        <w14:solidFill>
                          <w14:schemeClr w14:val="tx1"/>
                        </w14:solidFill>
                      </w14:textFill>
                    </w:rPr>
                    <w:t>900-008-10</w:t>
                  </w:r>
                </w:p>
              </w:tc>
              <w:tc>
                <w:tcPr>
                  <w:tcW w:w="765" w:type="dxa"/>
                  <w:vAlign w:val="center"/>
                </w:tcPr>
                <w:p w14:paraId="71637BEC">
                  <w:pPr>
                    <w:widowControl/>
                    <w:jc w:val="center"/>
                    <w:textAlignment w:val="top"/>
                    <w:rPr>
                      <w:rFonts w:hint="eastAsia" w:eastAsiaTheme="minorEastAsia"/>
                      <w:color w:val="000000" w:themeColor="text1"/>
                      <w:szCs w:val="21"/>
                      <w:lang w:eastAsia="zh-CN"/>
                      <w14:textFill>
                        <w14:solidFill>
                          <w14:schemeClr w14:val="tx1"/>
                        </w14:solidFill>
                      </w14:textFill>
                    </w:rPr>
                  </w:pPr>
                  <w:r>
                    <w:rPr>
                      <w:rFonts w:hint="eastAsia" w:eastAsiaTheme="minorEastAsia"/>
                      <w:color w:val="000000" w:themeColor="text1"/>
                      <w:kern w:val="0"/>
                      <w:szCs w:val="21"/>
                      <w:lang w:val="en-US" w:eastAsia="zh-CN" w:bidi="ar"/>
                      <w14:textFill>
                        <w14:solidFill>
                          <w14:schemeClr w14:val="tx1"/>
                        </w14:solidFill>
                      </w14:textFill>
                    </w:rPr>
                    <w:t>/</w:t>
                  </w:r>
                </w:p>
              </w:tc>
              <w:tc>
                <w:tcPr>
                  <w:tcW w:w="1546" w:type="dxa"/>
                  <w:vAlign w:val="center"/>
                </w:tcPr>
                <w:p w14:paraId="1095FB8E">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交</w:t>
                  </w:r>
                  <w:r>
                    <w:rPr>
                      <w:rStyle w:val="90"/>
                      <w:rFonts w:hint="default" w:cs="Times New Roman" w:eastAsiaTheme="minorEastAsia"/>
                      <w:color w:val="000000" w:themeColor="text1"/>
                      <w:sz w:val="21"/>
                      <w:szCs w:val="21"/>
                      <w:lang w:bidi="ar"/>
                      <w14:textFill>
                        <w14:solidFill>
                          <w14:schemeClr w14:val="tx1"/>
                        </w14:solidFill>
                      </w14:textFill>
                    </w:rPr>
                    <w:t>由</w:t>
                  </w: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有资质单位回收处置</w:t>
                  </w:r>
                </w:p>
              </w:tc>
            </w:tr>
            <w:tr w14:paraId="47E5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71" w:type="dxa"/>
                  <w:vAlign w:val="center"/>
                </w:tcPr>
                <w:p w14:paraId="0A74CE8D">
                  <w:pPr>
                    <w:widowControl/>
                    <w:jc w:val="center"/>
                    <w:textAlignment w:val="top"/>
                    <w:rPr>
                      <w:rFonts w:eastAsiaTheme="minorEastAsia"/>
                      <w:color w:val="000000" w:themeColor="text1"/>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2</w:t>
                  </w:r>
                </w:p>
              </w:tc>
              <w:tc>
                <w:tcPr>
                  <w:tcW w:w="1002" w:type="dxa"/>
                  <w:vAlign w:val="center"/>
                </w:tcPr>
                <w:p w14:paraId="3E24B723">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风机废油</w:t>
                  </w:r>
                </w:p>
              </w:tc>
              <w:tc>
                <w:tcPr>
                  <w:tcW w:w="739" w:type="dxa"/>
                  <w:vAlign w:val="center"/>
                </w:tcPr>
                <w:p w14:paraId="2192913C">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运转</w:t>
                  </w:r>
                </w:p>
              </w:tc>
              <w:tc>
                <w:tcPr>
                  <w:tcW w:w="755" w:type="dxa"/>
                  <w:vAlign w:val="center"/>
                </w:tcPr>
                <w:p w14:paraId="0EDA6445">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危险废物</w:t>
                  </w:r>
                </w:p>
              </w:tc>
              <w:tc>
                <w:tcPr>
                  <w:tcW w:w="997" w:type="dxa"/>
                  <w:vAlign w:val="center"/>
                </w:tcPr>
                <w:p w14:paraId="6B456AC1">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含废矿物油</w:t>
                  </w:r>
                </w:p>
              </w:tc>
              <w:tc>
                <w:tcPr>
                  <w:tcW w:w="825" w:type="dxa"/>
                  <w:vAlign w:val="center"/>
                </w:tcPr>
                <w:p w14:paraId="611D5716">
                  <w:pPr>
                    <w:widowControl/>
                    <w:jc w:val="center"/>
                    <w:textAlignment w:val="top"/>
                    <w:rPr>
                      <w:rFonts w:eastAsiaTheme="minorEastAsia"/>
                      <w:color w:val="000000" w:themeColor="text1"/>
                      <w:szCs w:val="21"/>
                      <w14:textFill>
                        <w14:solidFill>
                          <w14:schemeClr w14:val="tx1"/>
                        </w14:solidFill>
                      </w14:textFill>
                    </w:rPr>
                  </w:pPr>
                  <w:r>
                    <w:rPr>
                      <w:rStyle w:val="101"/>
                      <w:rFonts w:eastAsiaTheme="minorEastAsia"/>
                      <w:color w:val="000000" w:themeColor="text1"/>
                      <w:lang w:bidi="ar"/>
                      <w14:textFill>
                        <w14:solidFill>
                          <w14:schemeClr w14:val="tx1"/>
                        </w14:solidFill>
                      </w14:textFill>
                    </w:rPr>
                    <w:t>HW08</w:t>
                  </w:r>
                </w:p>
              </w:tc>
              <w:tc>
                <w:tcPr>
                  <w:tcW w:w="855" w:type="dxa"/>
                  <w:vAlign w:val="center"/>
                </w:tcPr>
                <w:p w14:paraId="3DA2D344">
                  <w:pPr>
                    <w:widowControl/>
                    <w:jc w:val="center"/>
                    <w:textAlignment w:val="center"/>
                    <w:rPr>
                      <w:rFonts w:eastAsiaTheme="minorEastAsia"/>
                      <w:color w:val="000000" w:themeColor="text1"/>
                      <w:szCs w:val="21"/>
                      <w14:textFill>
                        <w14:solidFill>
                          <w14:schemeClr w14:val="tx1"/>
                        </w14:solidFill>
                      </w14:textFill>
                    </w:rPr>
                  </w:pPr>
                  <w:r>
                    <w:rPr>
                      <w:rStyle w:val="102"/>
                      <w:rFonts w:eastAsiaTheme="minorEastAsia"/>
                      <w:color w:val="000000" w:themeColor="text1"/>
                      <w:sz w:val="21"/>
                      <w:szCs w:val="21"/>
                      <w:lang w:bidi="ar"/>
                      <w14:textFill>
                        <w14:solidFill>
                          <w14:schemeClr w14:val="tx1"/>
                        </w14:solidFill>
                      </w14:textFill>
                    </w:rPr>
                    <w:t>900-214-08</w:t>
                  </w:r>
                </w:p>
              </w:tc>
              <w:tc>
                <w:tcPr>
                  <w:tcW w:w="765" w:type="dxa"/>
                  <w:vAlign w:val="center"/>
                </w:tcPr>
                <w:p w14:paraId="2A8F9D3D">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0.</w:t>
                  </w:r>
                  <w:r>
                    <w:rPr>
                      <w:rFonts w:hint="eastAsia" w:eastAsiaTheme="minorEastAsia"/>
                      <w:color w:val="000000" w:themeColor="text1"/>
                      <w:kern w:val="0"/>
                      <w:szCs w:val="21"/>
                      <w:lang w:bidi="ar"/>
                      <w14:textFill>
                        <w14:solidFill>
                          <w14:schemeClr w14:val="tx1"/>
                        </w14:solidFill>
                      </w14:textFill>
                    </w:rPr>
                    <w:t>8</w:t>
                  </w:r>
                </w:p>
              </w:tc>
              <w:tc>
                <w:tcPr>
                  <w:tcW w:w="1546" w:type="dxa"/>
                  <w:vAlign w:val="center"/>
                </w:tcPr>
                <w:p w14:paraId="628FF637">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交</w:t>
                  </w:r>
                  <w:r>
                    <w:rPr>
                      <w:rStyle w:val="90"/>
                      <w:rFonts w:hint="default" w:cs="Times New Roman" w:eastAsiaTheme="minorEastAsia"/>
                      <w:color w:val="000000" w:themeColor="text1"/>
                      <w:sz w:val="21"/>
                      <w:szCs w:val="21"/>
                      <w:lang w:bidi="ar"/>
                      <w14:textFill>
                        <w14:solidFill>
                          <w14:schemeClr w14:val="tx1"/>
                        </w14:solidFill>
                      </w14:textFill>
                    </w:rPr>
                    <w:t>由</w:t>
                  </w: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有资质单位回收处置</w:t>
                  </w:r>
                </w:p>
              </w:tc>
            </w:tr>
            <w:tr w14:paraId="0A81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vAlign w:val="center"/>
                </w:tcPr>
                <w:p w14:paraId="4978645D">
                  <w:pPr>
                    <w:widowControl/>
                    <w:jc w:val="center"/>
                    <w:textAlignment w:val="top"/>
                    <w:rPr>
                      <w:rFonts w:eastAsiaTheme="minorEastAsia"/>
                      <w:color w:val="000000" w:themeColor="text1"/>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3</w:t>
                  </w:r>
                </w:p>
              </w:tc>
              <w:tc>
                <w:tcPr>
                  <w:tcW w:w="1002" w:type="dxa"/>
                  <w:vAlign w:val="center"/>
                </w:tcPr>
                <w:p w14:paraId="2AAF312F">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废润滑油桶</w:t>
                  </w:r>
                </w:p>
              </w:tc>
              <w:tc>
                <w:tcPr>
                  <w:tcW w:w="739" w:type="dxa"/>
                  <w:vAlign w:val="center"/>
                </w:tcPr>
                <w:p w14:paraId="1DFE930C">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运行</w:t>
                  </w:r>
                </w:p>
              </w:tc>
              <w:tc>
                <w:tcPr>
                  <w:tcW w:w="755" w:type="dxa"/>
                  <w:vAlign w:val="center"/>
                </w:tcPr>
                <w:p w14:paraId="4A5BE4F6">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危险废物</w:t>
                  </w:r>
                </w:p>
              </w:tc>
              <w:tc>
                <w:tcPr>
                  <w:tcW w:w="997" w:type="dxa"/>
                  <w:vAlign w:val="center"/>
                </w:tcPr>
                <w:p w14:paraId="426B94A6">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含废矿物油</w:t>
                  </w:r>
                </w:p>
              </w:tc>
              <w:tc>
                <w:tcPr>
                  <w:tcW w:w="825" w:type="dxa"/>
                  <w:vAlign w:val="center"/>
                </w:tcPr>
                <w:p w14:paraId="343271A2">
                  <w:pPr>
                    <w:widowControl/>
                    <w:jc w:val="center"/>
                    <w:textAlignment w:val="top"/>
                    <w:rPr>
                      <w:rFonts w:eastAsiaTheme="minorEastAsia"/>
                      <w:color w:val="000000" w:themeColor="text1"/>
                      <w:szCs w:val="21"/>
                      <w14:textFill>
                        <w14:solidFill>
                          <w14:schemeClr w14:val="tx1"/>
                        </w14:solidFill>
                      </w14:textFill>
                    </w:rPr>
                  </w:pPr>
                  <w:r>
                    <w:rPr>
                      <w:rStyle w:val="101"/>
                      <w:rFonts w:eastAsiaTheme="minorEastAsia"/>
                      <w:color w:val="000000" w:themeColor="text1"/>
                      <w:lang w:bidi="ar"/>
                      <w14:textFill>
                        <w14:solidFill>
                          <w14:schemeClr w14:val="tx1"/>
                        </w14:solidFill>
                      </w14:textFill>
                    </w:rPr>
                    <w:t>HW08</w:t>
                  </w:r>
                </w:p>
              </w:tc>
              <w:tc>
                <w:tcPr>
                  <w:tcW w:w="855" w:type="dxa"/>
                  <w:vAlign w:val="center"/>
                </w:tcPr>
                <w:p w14:paraId="0E3E18B7">
                  <w:pPr>
                    <w:widowControl/>
                    <w:jc w:val="center"/>
                    <w:textAlignment w:val="center"/>
                    <w:rPr>
                      <w:rFonts w:eastAsiaTheme="minorEastAsia"/>
                      <w:color w:val="000000" w:themeColor="text1"/>
                      <w:szCs w:val="21"/>
                      <w14:textFill>
                        <w14:solidFill>
                          <w14:schemeClr w14:val="tx1"/>
                        </w14:solidFill>
                      </w14:textFill>
                    </w:rPr>
                  </w:pPr>
                  <w:r>
                    <w:rPr>
                      <w:rStyle w:val="102"/>
                      <w:rFonts w:eastAsiaTheme="minorEastAsia"/>
                      <w:color w:val="000000" w:themeColor="text1"/>
                      <w:sz w:val="21"/>
                      <w:szCs w:val="21"/>
                      <w:lang w:bidi="ar"/>
                      <w14:textFill>
                        <w14:solidFill>
                          <w14:schemeClr w14:val="tx1"/>
                        </w14:solidFill>
                      </w14:textFill>
                    </w:rPr>
                    <w:t>900-249-08</w:t>
                  </w:r>
                </w:p>
              </w:tc>
              <w:tc>
                <w:tcPr>
                  <w:tcW w:w="765" w:type="dxa"/>
                  <w:vAlign w:val="center"/>
                </w:tcPr>
                <w:p w14:paraId="7F46D52E">
                  <w:pPr>
                    <w:widowControl/>
                    <w:jc w:val="center"/>
                    <w:textAlignment w:val="top"/>
                    <w:rPr>
                      <w:rFonts w:eastAsiaTheme="minorEastAsia"/>
                      <w:color w:val="000000" w:themeColor="text1"/>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0.05</w:t>
                  </w:r>
                </w:p>
              </w:tc>
              <w:tc>
                <w:tcPr>
                  <w:tcW w:w="1546" w:type="dxa"/>
                  <w:vAlign w:val="center"/>
                </w:tcPr>
                <w:p w14:paraId="5B6D4876">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交</w:t>
                  </w:r>
                  <w:r>
                    <w:rPr>
                      <w:rStyle w:val="90"/>
                      <w:rFonts w:hint="default" w:cs="Times New Roman" w:eastAsiaTheme="minorEastAsia"/>
                      <w:color w:val="000000" w:themeColor="text1"/>
                      <w:sz w:val="21"/>
                      <w:szCs w:val="21"/>
                      <w:lang w:bidi="ar"/>
                      <w14:textFill>
                        <w14:solidFill>
                          <w14:schemeClr w14:val="tx1"/>
                        </w14:solidFill>
                      </w14:textFill>
                    </w:rPr>
                    <w:t>由</w:t>
                  </w: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有资质单位回收处置</w:t>
                  </w:r>
                </w:p>
              </w:tc>
            </w:tr>
            <w:tr w14:paraId="4995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71" w:type="dxa"/>
                  <w:vAlign w:val="center"/>
                </w:tcPr>
                <w:p w14:paraId="2C3123C1">
                  <w:pPr>
                    <w:widowControl/>
                    <w:jc w:val="center"/>
                    <w:textAlignment w:val="top"/>
                    <w:rPr>
                      <w:rFonts w:eastAsiaTheme="minorEastAsia"/>
                      <w:color w:val="000000" w:themeColor="text1"/>
                      <w:szCs w:val="21"/>
                      <w14:textFill>
                        <w14:solidFill>
                          <w14:schemeClr w14:val="tx1"/>
                        </w14:solidFill>
                      </w14:textFill>
                    </w:rPr>
                  </w:pPr>
                  <w:r>
                    <w:rPr>
                      <w:rFonts w:hint="eastAsia" w:eastAsiaTheme="minorEastAsia"/>
                      <w:color w:val="000000" w:themeColor="text1"/>
                      <w:kern w:val="0"/>
                      <w:szCs w:val="21"/>
                      <w:lang w:bidi="ar"/>
                      <w14:textFill>
                        <w14:solidFill>
                          <w14:schemeClr w14:val="tx1"/>
                        </w14:solidFill>
                      </w14:textFill>
                    </w:rPr>
                    <w:t>4</w:t>
                  </w:r>
                </w:p>
              </w:tc>
              <w:tc>
                <w:tcPr>
                  <w:tcW w:w="1002" w:type="dxa"/>
                  <w:vAlign w:val="center"/>
                </w:tcPr>
                <w:p w14:paraId="743579F4">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箱式变废油</w:t>
                  </w:r>
                </w:p>
              </w:tc>
              <w:tc>
                <w:tcPr>
                  <w:tcW w:w="739" w:type="dxa"/>
                  <w:vAlign w:val="center"/>
                </w:tcPr>
                <w:p w14:paraId="4294737C">
                  <w:pPr>
                    <w:widowControl/>
                    <w:jc w:val="center"/>
                    <w:textAlignment w:val="center"/>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检修</w:t>
                  </w:r>
                </w:p>
              </w:tc>
              <w:tc>
                <w:tcPr>
                  <w:tcW w:w="755" w:type="dxa"/>
                  <w:vAlign w:val="center"/>
                </w:tcPr>
                <w:p w14:paraId="541F40F9">
                  <w:pPr>
                    <w:widowControl/>
                    <w:jc w:val="center"/>
                    <w:textAlignment w:val="top"/>
                    <w:rPr>
                      <w:rFonts w:eastAsiaTheme="minorEastAsia"/>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危险废物</w:t>
                  </w:r>
                </w:p>
              </w:tc>
              <w:tc>
                <w:tcPr>
                  <w:tcW w:w="997" w:type="dxa"/>
                  <w:vAlign w:val="center"/>
                </w:tcPr>
                <w:p w14:paraId="4E0C83FF">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含废矿物油</w:t>
                  </w:r>
                </w:p>
              </w:tc>
              <w:tc>
                <w:tcPr>
                  <w:tcW w:w="825" w:type="dxa"/>
                  <w:vAlign w:val="center"/>
                </w:tcPr>
                <w:p w14:paraId="5130AAEC">
                  <w:pPr>
                    <w:widowControl/>
                    <w:jc w:val="center"/>
                    <w:textAlignment w:val="top"/>
                    <w:rPr>
                      <w:rFonts w:eastAsiaTheme="minorEastAsia"/>
                      <w:color w:val="000000" w:themeColor="text1"/>
                      <w:szCs w:val="21"/>
                      <w14:textFill>
                        <w14:solidFill>
                          <w14:schemeClr w14:val="tx1"/>
                        </w14:solidFill>
                      </w14:textFill>
                    </w:rPr>
                  </w:pPr>
                  <w:r>
                    <w:rPr>
                      <w:rStyle w:val="101"/>
                      <w:rFonts w:eastAsiaTheme="minorEastAsia"/>
                      <w:color w:val="000000" w:themeColor="text1"/>
                      <w:lang w:bidi="ar"/>
                      <w14:textFill>
                        <w14:solidFill>
                          <w14:schemeClr w14:val="tx1"/>
                        </w14:solidFill>
                      </w14:textFill>
                    </w:rPr>
                    <w:t>HW08</w:t>
                  </w:r>
                </w:p>
              </w:tc>
              <w:tc>
                <w:tcPr>
                  <w:tcW w:w="855" w:type="dxa"/>
                  <w:vAlign w:val="center"/>
                </w:tcPr>
                <w:p w14:paraId="5319FF0B">
                  <w:pPr>
                    <w:widowControl/>
                    <w:jc w:val="center"/>
                    <w:textAlignment w:val="center"/>
                    <w:rPr>
                      <w:rFonts w:eastAsiaTheme="minorEastAsia"/>
                      <w:color w:val="000000" w:themeColor="text1"/>
                      <w:szCs w:val="21"/>
                      <w14:textFill>
                        <w14:solidFill>
                          <w14:schemeClr w14:val="tx1"/>
                        </w14:solidFill>
                      </w14:textFill>
                    </w:rPr>
                  </w:pPr>
                  <w:r>
                    <w:rPr>
                      <w:rStyle w:val="101"/>
                      <w:rFonts w:eastAsiaTheme="minorEastAsia"/>
                      <w:color w:val="000000" w:themeColor="text1"/>
                      <w:lang w:bidi="ar"/>
                      <w14:textFill>
                        <w14:solidFill>
                          <w14:schemeClr w14:val="tx1"/>
                        </w14:solidFill>
                      </w14:textFill>
                    </w:rPr>
                    <w:t>900-214-08</w:t>
                  </w:r>
                </w:p>
              </w:tc>
              <w:tc>
                <w:tcPr>
                  <w:tcW w:w="765" w:type="dxa"/>
                  <w:vAlign w:val="center"/>
                </w:tcPr>
                <w:p w14:paraId="275A24A3">
                  <w:pPr>
                    <w:widowControl/>
                    <w:jc w:val="center"/>
                    <w:textAlignment w:val="center"/>
                    <w:rPr>
                      <w:rFonts w:eastAsiaTheme="minorEastAsia"/>
                      <w:color w:val="000000" w:themeColor="text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1.8t/次</w:t>
                  </w:r>
                </w:p>
              </w:tc>
              <w:tc>
                <w:tcPr>
                  <w:tcW w:w="1546" w:type="dxa"/>
                  <w:vAlign w:val="center"/>
                </w:tcPr>
                <w:p w14:paraId="483C3A4F">
                  <w:pPr>
                    <w:widowControl/>
                    <w:jc w:val="center"/>
                    <w:textAlignment w:val="top"/>
                    <w:rPr>
                      <w:rFonts w:eastAsiaTheme="minorEastAsia"/>
                      <w:color w:val="000000" w:themeColor="text1"/>
                      <w:szCs w:val="21"/>
                      <w14:textFill>
                        <w14:solidFill>
                          <w14:schemeClr w14:val="tx1"/>
                        </w14:solidFill>
                      </w14:textFill>
                    </w:rPr>
                  </w:pP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交</w:t>
                  </w:r>
                  <w:r>
                    <w:rPr>
                      <w:rStyle w:val="90"/>
                      <w:rFonts w:hint="default" w:cs="Times New Roman" w:eastAsiaTheme="minorEastAsia"/>
                      <w:color w:val="000000" w:themeColor="text1"/>
                      <w:sz w:val="21"/>
                      <w:szCs w:val="21"/>
                      <w:lang w:bidi="ar"/>
                      <w14:textFill>
                        <w14:solidFill>
                          <w14:schemeClr w14:val="tx1"/>
                        </w14:solidFill>
                      </w14:textFill>
                    </w:rPr>
                    <w:t>由</w:t>
                  </w:r>
                  <w:r>
                    <w:rPr>
                      <w:rStyle w:val="90"/>
                      <w:rFonts w:hint="default" w:ascii="Times New Roman" w:hAnsi="Times New Roman" w:cs="Times New Roman" w:eastAsiaTheme="minorEastAsia"/>
                      <w:color w:val="000000" w:themeColor="text1"/>
                      <w:sz w:val="21"/>
                      <w:szCs w:val="21"/>
                      <w:lang w:bidi="ar"/>
                      <w14:textFill>
                        <w14:solidFill>
                          <w14:schemeClr w14:val="tx1"/>
                        </w14:solidFill>
                      </w14:textFill>
                    </w:rPr>
                    <w:t>有资质单位回收处置</w:t>
                  </w:r>
                </w:p>
              </w:tc>
            </w:tr>
          </w:tbl>
          <w:p w14:paraId="13B09EA6">
            <w:pPr>
              <w:pStyle w:val="8"/>
              <w:spacing w:line="360" w:lineRule="auto"/>
              <w:ind w:firstLine="480" w:firstLineChars="200"/>
              <w:rPr>
                <w:color w:val="000000" w:themeColor="text1"/>
                <w:szCs w:val="24"/>
                <w14:textFill>
                  <w14:solidFill>
                    <w14:schemeClr w14:val="tx1"/>
                  </w14:solidFill>
                </w14:textFill>
              </w:rPr>
            </w:pPr>
            <w:r>
              <w:rPr>
                <w:color w:val="000000" w:themeColor="text1"/>
                <w:szCs w:val="24"/>
                <w14:textFill>
                  <w14:solidFill>
                    <w14:schemeClr w14:val="tx1"/>
                  </w14:solidFill>
                </w14:textFill>
              </w:rPr>
              <w:t>项目产生的固体废弃物经上述处理处置后，处理处置率达100％，符合国家固体废弃物处理处置政策，不会产生二次污染，对环境影响小。</w:t>
            </w:r>
          </w:p>
          <w:p w14:paraId="3E0A97E9">
            <w:pPr>
              <w:keepNext w:val="0"/>
              <w:keepLines w:val="0"/>
              <w:pageBreakBefore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6、运营期土壤及地下水影响分析</w:t>
            </w:r>
          </w:p>
          <w:p w14:paraId="1BADFF36">
            <w:pPr>
              <w:keepNext w:val="0"/>
              <w:keepLines w:val="0"/>
              <w:pageBreakBefore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 土壤环境（试行）》（</w:t>
            </w:r>
            <w:r>
              <w:rPr>
                <w:rFonts w:hint="default" w:ascii="Times New Roman" w:hAnsi="Times New Roman" w:eastAsia="宋体" w:cs="Times New Roman"/>
                <w:color w:val="auto"/>
                <w:sz w:val="24"/>
                <w:szCs w:val="24"/>
                <w:highlight w:val="none"/>
                <w:lang w:val="en-US" w:eastAsia="zh-CN"/>
              </w:rPr>
              <w:t>HJ964-2018</w:t>
            </w:r>
            <w:r>
              <w:rPr>
                <w:rFonts w:hint="eastAsia" w:ascii="Times New Roman" w:hAnsi="Times New Roman" w:eastAsia="宋体" w:cs="Times New Roman"/>
                <w:color w:val="auto"/>
                <w:sz w:val="24"/>
                <w:szCs w:val="24"/>
                <w:highlight w:val="none"/>
                <w:lang w:val="en-US" w:eastAsia="zh-CN"/>
              </w:rPr>
              <w:t>）附录</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，本项目属于“电力热力燃气及水生产和供应业”中“其他”，土壤环境影响评价项目类别为</w:t>
            </w:r>
            <w:r>
              <w:rPr>
                <w:rFonts w:hint="default" w:ascii="Times New Roman" w:hAnsi="Times New Roman" w:eastAsia="宋体" w:cs="Times New Roman"/>
                <w:color w:val="auto"/>
                <w:sz w:val="24"/>
                <w:szCs w:val="24"/>
                <w:highlight w:val="none"/>
                <w:lang w:val="en-US" w:eastAsia="zh-CN"/>
              </w:rPr>
              <w:t>IV</w:t>
            </w:r>
            <w:r>
              <w:rPr>
                <w:rFonts w:hint="eastAsia" w:ascii="Times New Roman" w:hAnsi="Times New Roman" w:eastAsia="宋体" w:cs="Times New Roman"/>
                <w:color w:val="auto"/>
                <w:sz w:val="24"/>
                <w:szCs w:val="24"/>
                <w:highlight w:val="none"/>
                <w:lang w:val="en-US" w:eastAsia="zh-CN"/>
              </w:rPr>
              <w:t>类，可不开展土壤环境影响评价。</w:t>
            </w:r>
          </w:p>
          <w:p w14:paraId="5D23A7CA">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根据《环境影响评价技术导则 地下水环境》（</w:t>
            </w:r>
            <w:r>
              <w:rPr>
                <w:rFonts w:hint="default" w:ascii="Times New Roman" w:hAnsi="Times New Roman" w:eastAsia="宋体" w:cs="Times New Roman"/>
                <w:color w:val="auto"/>
                <w:sz w:val="24"/>
                <w:szCs w:val="24"/>
                <w:highlight w:val="none"/>
                <w:lang w:val="en-US" w:eastAsia="zh-CN"/>
              </w:rPr>
              <w:t>HJ610-2016</w:t>
            </w:r>
            <w:r>
              <w:rPr>
                <w:rFonts w:hint="eastAsia" w:ascii="Times New Roman" w:hAnsi="Times New Roman" w:eastAsia="宋体" w:cs="Times New Roman"/>
                <w:color w:val="auto"/>
                <w:sz w:val="24"/>
                <w:szCs w:val="24"/>
                <w:highlight w:val="none"/>
                <w:lang w:val="en-US" w:eastAsia="zh-CN"/>
              </w:rPr>
              <w:t>）附录</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，本项目属于“</w:t>
            </w:r>
            <w:r>
              <w:rPr>
                <w:rFonts w:hint="default" w:ascii="Times New Roman" w:hAnsi="Times New Roman" w:eastAsia="宋体" w:cs="Times New Roman"/>
                <w:color w:val="auto"/>
                <w:sz w:val="24"/>
                <w:szCs w:val="24"/>
                <w:highlight w:val="none"/>
                <w:lang w:val="en-US" w:eastAsia="zh-CN"/>
              </w:rPr>
              <w:t>E</w:t>
            </w:r>
            <w:r>
              <w:rPr>
                <w:rFonts w:hint="eastAsia" w:ascii="Times New Roman" w:hAnsi="Times New Roman" w:eastAsia="宋体" w:cs="Times New Roman"/>
                <w:color w:val="auto"/>
                <w:sz w:val="24"/>
                <w:szCs w:val="24"/>
                <w:highlight w:val="none"/>
                <w:lang w:val="en-US" w:eastAsia="zh-CN"/>
              </w:rPr>
              <w:t>电力，</w:t>
            </w:r>
            <w:r>
              <w:rPr>
                <w:rFonts w:hint="default" w:ascii="Times New Roman" w:hAnsi="Times New Roman" w:eastAsia="宋体" w:cs="Times New Roman"/>
                <w:color w:val="auto"/>
                <w:sz w:val="24"/>
                <w:szCs w:val="24"/>
                <w:highlight w:val="none"/>
                <w:lang w:val="en-US" w:eastAsia="zh-CN"/>
              </w:rPr>
              <w:t>34</w:t>
            </w:r>
            <w:r>
              <w:rPr>
                <w:rFonts w:hint="eastAsia" w:ascii="Times New Roman" w:hAnsi="Times New Roman" w:eastAsia="宋体" w:cs="Times New Roman"/>
                <w:color w:val="auto"/>
                <w:sz w:val="24"/>
                <w:szCs w:val="24"/>
                <w:highlight w:val="none"/>
                <w:lang w:val="en-US" w:eastAsia="zh-CN"/>
              </w:rPr>
              <w:t>、其他能源发电及</w:t>
            </w:r>
            <w:r>
              <w:rPr>
                <w:rFonts w:hint="eastAsia" w:cs="Times New Roman"/>
                <w:color w:val="auto"/>
                <w:sz w:val="24"/>
                <w:szCs w:val="24"/>
                <w:highlight w:val="none"/>
                <w:lang w:val="en-US" w:eastAsia="zh-CN"/>
              </w:rPr>
              <w:t>16</w:t>
            </w:r>
            <w:r>
              <w:rPr>
                <w:rFonts w:hint="eastAsia" w:ascii="Times New Roman" w:hAnsi="Times New Roman" w:eastAsia="宋体" w:cs="Times New Roman"/>
                <w:color w:val="auto"/>
                <w:sz w:val="24"/>
                <w:szCs w:val="24"/>
                <w:highlight w:val="none"/>
                <w:lang w:val="en-US" w:eastAsia="zh-CN"/>
              </w:rPr>
              <w:t>、送（输）变电工程”，地下水评价类别为</w:t>
            </w:r>
            <w:r>
              <w:rPr>
                <w:rFonts w:hint="default" w:ascii="Times New Roman" w:hAnsi="Times New Roman" w:eastAsia="宋体" w:cs="Times New Roman"/>
                <w:color w:val="auto"/>
                <w:sz w:val="24"/>
                <w:szCs w:val="24"/>
                <w:highlight w:val="none"/>
                <w:lang w:val="en-US" w:eastAsia="zh-CN"/>
              </w:rPr>
              <w:t>IV</w:t>
            </w:r>
            <w:r>
              <w:rPr>
                <w:rFonts w:hint="eastAsia" w:ascii="Times New Roman" w:hAnsi="Times New Roman" w:eastAsia="宋体" w:cs="Times New Roman"/>
                <w:color w:val="auto"/>
                <w:sz w:val="24"/>
                <w:szCs w:val="24"/>
                <w:highlight w:val="none"/>
                <w:lang w:val="en-US" w:eastAsia="zh-CN"/>
              </w:rPr>
              <w:t>类，可不开展地下水环境影响评价。</w:t>
            </w:r>
          </w:p>
          <w:p w14:paraId="79C30A43">
            <w:pPr>
              <w:spacing w:line="360" w:lineRule="auto"/>
              <w:ind w:firstLine="482" w:firstLineChars="200"/>
              <w:rPr>
                <w:color w:val="000000" w:themeColor="text1"/>
                <w:kern w:val="0"/>
                <w:sz w:val="24"/>
                <w14:textFill>
                  <w14:solidFill>
                    <w14:schemeClr w14:val="tx1"/>
                  </w14:solidFill>
                </w14:textFill>
              </w:rPr>
            </w:pPr>
            <w:r>
              <w:rPr>
                <w:rFonts w:hint="eastAsia"/>
                <w:b/>
                <w:bCs/>
                <w:color w:val="000000" w:themeColor="text1"/>
                <w:sz w:val="24"/>
                <w14:textFill>
                  <w14:solidFill>
                    <w14:schemeClr w14:val="tx1"/>
                  </w14:solidFill>
                </w14:textFill>
              </w:rPr>
              <w:t>7</w:t>
            </w:r>
            <w:r>
              <w:rPr>
                <w:b/>
                <w:bCs/>
                <w:color w:val="000000" w:themeColor="text1"/>
                <w:sz w:val="24"/>
                <w14:textFill>
                  <w14:solidFill>
                    <w14:schemeClr w14:val="tx1"/>
                  </w14:solidFill>
                </w14:textFill>
              </w:rPr>
              <w:t>、环境风险影响分析</w:t>
            </w:r>
          </w:p>
          <w:p w14:paraId="4A6DA2E0">
            <w:pPr>
              <w:autoSpaceDE w:val="0"/>
              <w:autoSpaceDN w:val="0"/>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根据《建设项目环境风险评价技术导则》（HJ169-2018），对本项目所涉及的有毒有害、易燃易爆物质进行危险性识别和综合评价。</w:t>
            </w:r>
          </w:p>
          <w:p w14:paraId="6B0E5300">
            <w:pPr>
              <w:autoSpaceDE w:val="0"/>
              <w:autoSpaceDN w:val="0"/>
              <w:adjustRightInd w:val="0"/>
              <w:snapToGrid w:val="0"/>
              <w:spacing w:line="360" w:lineRule="auto"/>
              <w:ind w:firstLine="48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（1）</w:t>
            </w:r>
            <w:r>
              <w:rPr>
                <w:b/>
                <w:bCs/>
                <w:color w:val="000000" w:themeColor="text1"/>
                <w:sz w:val="24"/>
                <w14:textFill>
                  <w14:solidFill>
                    <w14:schemeClr w14:val="tx1"/>
                  </w14:solidFill>
                </w14:textFill>
              </w:rPr>
              <w:t>风险调查</w:t>
            </w:r>
          </w:p>
          <w:p w14:paraId="1F9308DC">
            <w:pPr>
              <w:autoSpaceDE w:val="0"/>
              <w:autoSpaceDN w:val="0"/>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根据《建设项目环境风险评价技术导则》（HJ/T169-20</w:t>
            </w:r>
            <w:r>
              <w:rPr>
                <w:rFonts w:hint="eastAsia"/>
                <w:color w:val="000000" w:themeColor="text1"/>
                <w:sz w:val="24"/>
                <w:lang w:val="en-US" w:eastAsia="zh-CN"/>
                <w14:textFill>
                  <w14:solidFill>
                    <w14:schemeClr w14:val="tx1"/>
                  </w14:solidFill>
                </w14:textFill>
              </w:rPr>
              <w:t>18</w:t>
            </w:r>
            <w:r>
              <w:rPr>
                <w:rFonts w:hint="eastAsia"/>
                <w:color w:val="000000" w:themeColor="text1"/>
                <w:sz w:val="24"/>
                <w14:textFill>
                  <w14:solidFill>
                    <w14:schemeClr w14:val="tx1"/>
                  </w14:solidFill>
                </w14:textFill>
              </w:rPr>
              <w:t>附录A.1和《危险化学品重大危险源</w:t>
            </w:r>
            <w:r>
              <w:rPr>
                <w:rFonts w:hint="eastAsia"/>
                <w:color w:val="000000" w:themeColor="text1"/>
                <w:sz w:val="24"/>
                <w:lang w:eastAsia="zh-CN"/>
                <w14:textFill>
                  <w14:solidFill>
                    <w14:schemeClr w14:val="tx1"/>
                  </w14:solidFill>
                </w14:textFill>
              </w:rPr>
              <w:t>辨</w:t>
            </w:r>
            <w:r>
              <w:rPr>
                <w:rFonts w:hint="eastAsia"/>
                <w:color w:val="000000" w:themeColor="text1"/>
                <w:sz w:val="24"/>
                <w14:textFill>
                  <w14:solidFill>
                    <w14:schemeClr w14:val="tx1"/>
                  </w14:solidFill>
                </w14:textFill>
              </w:rPr>
              <w:t>识》（GB18218-2009），本项目涉及的危险物质主要为</w:t>
            </w:r>
            <w:r>
              <w:rPr>
                <w:rFonts w:eastAsiaTheme="minorEastAsia"/>
                <w:bCs/>
                <w:color w:val="000000" w:themeColor="text1"/>
                <w:sz w:val="24"/>
                <w14:textFill>
                  <w14:solidFill>
                    <w14:schemeClr w14:val="tx1"/>
                  </w14:solidFill>
                </w14:textFill>
              </w:rPr>
              <w:t>箱式变</w:t>
            </w:r>
            <w:r>
              <w:rPr>
                <w:rFonts w:hint="eastAsia" w:eastAsiaTheme="minorEastAsia"/>
                <w:bCs/>
                <w:color w:val="000000" w:themeColor="text1"/>
                <w:sz w:val="24"/>
                <w14:textFill>
                  <w14:solidFill>
                    <w14:schemeClr w14:val="tx1"/>
                  </w14:solidFill>
                </w14:textFill>
              </w:rPr>
              <w:t>废</w:t>
            </w:r>
            <w:r>
              <w:rPr>
                <w:rFonts w:eastAsiaTheme="minorEastAsia"/>
                <w:bCs/>
                <w:color w:val="000000" w:themeColor="text1"/>
                <w:sz w:val="24"/>
                <w14:textFill>
                  <w14:solidFill>
                    <w14:schemeClr w14:val="tx1"/>
                  </w14:solidFill>
                </w14:textFill>
              </w:rPr>
              <w:t>油</w:t>
            </w:r>
            <w:r>
              <w:rPr>
                <w:rFonts w:hint="eastAsia"/>
                <w:bCs/>
                <w:color w:val="000000" w:themeColor="text1"/>
                <w:sz w:val="24"/>
                <w14:textFill>
                  <w14:solidFill>
                    <w14:schemeClr w14:val="tx1"/>
                  </w14:solidFill>
                </w14:textFill>
              </w:rPr>
              <w:t>，分散存放于风电场各个箱式变压器中</w:t>
            </w:r>
            <w:r>
              <w:rPr>
                <w:rFonts w:hint="eastAsia"/>
                <w:color w:val="000000" w:themeColor="text1"/>
                <w:sz w:val="24"/>
                <w14:textFill>
                  <w14:solidFill>
                    <w14:schemeClr w14:val="tx1"/>
                  </w14:solidFill>
                </w14:textFill>
              </w:rPr>
              <w:t>。</w:t>
            </w:r>
          </w:p>
          <w:p w14:paraId="66C79C16">
            <w:pPr>
              <w:autoSpaceDE w:val="0"/>
              <w:autoSpaceDN w:val="0"/>
              <w:adjustRightInd w:val="0"/>
              <w:snapToGri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（2）</w:t>
            </w:r>
            <w:r>
              <w:rPr>
                <w:b/>
                <w:bCs/>
                <w:color w:val="000000" w:themeColor="text1"/>
                <w:sz w:val="24"/>
                <w14:textFill>
                  <w14:solidFill>
                    <w14:schemeClr w14:val="tx1"/>
                  </w14:solidFill>
                </w14:textFill>
              </w:rPr>
              <w:t>环境风险潜势初判</w:t>
            </w:r>
          </w:p>
          <w:p w14:paraId="12BBF2BA">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当只涉及一种危险物质时，计算该物质的总量与其临界量比值，即为Q；当存在多种危险物质时，则按下式计算物质总量与其临界量比值Q：</w:t>
            </w:r>
          </w:p>
          <w:p w14:paraId="4F5B9147">
            <w:pPr>
              <w:pStyle w:val="40"/>
              <w:snapToGrid w:val="0"/>
              <w:spacing w:line="360" w:lineRule="auto"/>
              <w:jc w:val="center"/>
              <w:rPr>
                <w:rFonts w:hint="eastAsia"/>
                <w:color w:val="000000" w:themeColor="text1"/>
                <w:szCs w:val="24"/>
                <w14:textFill>
                  <w14:solidFill>
                    <w14:schemeClr w14:val="tx1"/>
                  </w14:solidFill>
                </w14:textFill>
              </w:rPr>
            </w:pPr>
            <w:r>
              <w:rPr>
                <w:color w:val="000000" w:themeColor="text1"/>
                <w:position w:val="-30"/>
                <w:szCs w:val="24"/>
                <w14:textFill>
                  <w14:solidFill>
                    <w14:schemeClr w14:val="tx1"/>
                  </w14:solidFill>
                </w14:textFill>
              </w:rPr>
              <w:object>
                <v:shape id="_x0000_i1027" o:spt="75" type="#_x0000_t75" style="height:34.3pt;width:112.3pt;" o:ole="t" filled="f" o:preferrelative="t" stroked="f" coordsize="21600,21600">
                  <v:path/>
                  <v:fill on="f" focussize="0,0"/>
                  <v:stroke on="f" joinstyle="miter"/>
                  <v:imagedata r:id="rId25" o:title=""/>
                  <o:lock v:ext="edit" aspectratio="t"/>
                  <w10:wrap type="none"/>
                  <w10:anchorlock/>
                </v:shape>
                <o:OLEObject Type="Embed" ProgID="Equation.KSEE3" ShapeID="_x0000_i1027" DrawAspect="Content" ObjectID="_1468075727" r:id="rId24">
                  <o:LockedField>false</o:LockedField>
                </o:OLEObject>
              </w:object>
            </w:r>
          </w:p>
          <w:p w14:paraId="06E1241E">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式中：</w:t>
            </w:r>
          </w:p>
          <w:p w14:paraId="063345C7">
            <w:pPr>
              <w:autoSpaceDE w:val="0"/>
              <w:autoSpaceDN w:val="0"/>
              <w:adjustRightInd w:val="0"/>
              <w:snapToGrid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——每种危险物质的最大存在总量，t；</w:t>
            </w:r>
          </w:p>
          <w:p w14:paraId="7808A394">
            <w:pPr>
              <w:autoSpaceDE w:val="0"/>
              <w:autoSpaceDN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1</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2</w:t>
            </w:r>
            <w:r>
              <w:rPr>
                <w:color w:val="000000" w:themeColor="text1"/>
                <w:sz w:val="24"/>
                <w14:textFill>
                  <w14:solidFill>
                    <w14:schemeClr w14:val="tx1"/>
                  </w14:solidFill>
                </w14:textFill>
              </w:rPr>
              <w:t>……Q</w:t>
            </w:r>
            <w:r>
              <w:rPr>
                <w:color w:val="000000" w:themeColor="text1"/>
                <w:sz w:val="24"/>
                <w:vertAlign w:val="subscript"/>
                <w14:textFill>
                  <w14:solidFill>
                    <w14:schemeClr w14:val="tx1"/>
                  </w14:solidFill>
                </w14:textFill>
              </w:rPr>
              <w:t>n</w:t>
            </w:r>
            <w:r>
              <w:rPr>
                <w:color w:val="000000" w:themeColor="text1"/>
                <w:sz w:val="24"/>
                <w14:textFill>
                  <w14:solidFill>
                    <w14:schemeClr w14:val="tx1"/>
                  </w14:solidFill>
                </w14:textFill>
              </w:rPr>
              <w:t>——各种危险物质的临界量，t。</w:t>
            </w:r>
          </w:p>
          <w:p w14:paraId="7E785F1F">
            <w:pPr>
              <w:autoSpaceDE w:val="0"/>
              <w:autoSpaceDN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当Q＜1时，该项目环境风险潜势为I。</w:t>
            </w:r>
          </w:p>
          <w:p w14:paraId="6AE619ED">
            <w:pPr>
              <w:autoSpaceDE w:val="0"/>
              <w:autoSpaceDN w:val="0"/>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当Q≥1时，将Q值划分为：（1）1≤Q＜10；（2）10≤Q＜100；（3）Q≥100。</w:t>
            </w:r>
          </w:p>
          <w:p w14:paraId="187D8812">
            <w:pPr>
              <w:widowControl/>
              <w:autoSpaceDE w:val="0"/>
              <w:autoSpaceDN w:val="0"/>
              <w:adjustRightInd w:val="0"/>
              <w:spacing w:line="360" w:lineRule="auto"/>
              <w:ind w:firstLine="480" w:firstLineChars="200"/>
              <w:rPr>
                <w:b/>
                <w:bCs/>
                <w:color w:val="000000" w:themeColor="text1"/>
                <w:sz w:val="24"/>
                <w14:textFill>
                  <w14:solidFill>
                    <w14:schemeClr w14:val="tx1"/>
                  </w14:solidFill>
                </w14:textFill>
              </w:rPr>
            </w:pPr>
            <w:r>
              <w:rPr>
                <w:color w:val="000000" w:themeColor="text1"/>
                <w:sz w:val="24"/>
                <w14:textFill>
                  <w14:solidFill>
                    <w14:schemeClr w14:val="tx1"/>
                  </w14:solidFill>
                </w14:textFill>
              </w:rPr>
              <w:t>项目主要风险源为</w:t>
            </w:r>
            <w:r>
              <w:rPr>
                <w:rFonts w:eastAsiaTheme="minorEastAsia"/>
                <w:bCs/>
                <w:color w:val="000000" w:themeColor="text1"/>
                <w:sz w:val="24"/>
                <w14:textFill>
                  <w14:solidFill>
                    <w14:schemeClr w14:val="tx1"/>
                  </w14:solidFill>
                </w14:textFill>
              </w:rPr>
              <w:t>箱式</w:t>
            </w:r>
            <w:r>
              <w:rPr>
                <w:color w:val="000000" w:themeColor="text1"/>
                <w:sz w:val="24"/>
                <w14:textFill>
                  <w14:solidFill>
                    <w14:schemeClr w14:val="tx1"/>
                  </w14:solidFill>
                </w14:textFill>
              </w:rPr>
              <w:t>变</w:t>
            </w:r>
            <w:r>
              <w:rPr>
                <w:rFonts w:eastAsiaTheme="minorEastAsia"/>
                <w:bCs/>
                <w:color w:val="000000" w:themeColor="text1"/>
                <w:sz w:val="24"/>
                <w14:textFill>
                  <w14:solidFill>
                    <w14:schemeClr w14:val="tx1"/>
                  </w14:solidFill>
                </w14:textFill>
              </w:rPr>
              <w:t>油</w:t>
            </w:r>
            <w:r>
              <w:rPr>
                <w:color w:val="000000" w:themeColor="text1"/>
                <w:sz w:val="24"/>
                <w14:textFill>
                  <w14:solidFill>
                    <w14:schemeClr w14:val="tx1"/>
                  </w14:solidFill>
                </w14:textFill>
              </w:rPr>
              <w:t>。若</w:t>
            </w:r>
            <w:r>
              <w:rPr>
                <w:rFonts w:hint="eastAsia"/>
                <w:color w:val="000000" w:themeColor="text1"/>
                <w:sz w:val="24"/>
                <w14:textFill>
                  <w14:solidFill>
                    <w14:schemeClr w14:val="tx1"/>
                  </w14:solidFill>
                </w14:textFill>
              </w:rPr>
              <w:t>泄漏</w:t>
            </w:r>
            <w:r>
              <w:rPr>
                <w:color w:val="000000" w:themeColor="text1"/>
                <w:sz w:val="24"/>
                <w14:textFill>
                  <w14:solidFill>
                    <w14:schemeClr w14:val="tx1"/>
                  </w14:solidFill>
                </w14:textFill>
              </w:rPr>
              <w:t>会对地表水、土壤、地下水造成污染。</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Q值确定见表4-</w:t>
            </w:r>
            <w:r>
              <w:rPr>
                <w:rFonts w:hint="eastAsia"/>
                <w:color w:val="000000" w:themeColor="text1"/>
                <w:sz w:val="24"/>
                <w14:textFill>
                  <w14:solidFill>
                    <w14:schemeClr w14:val="tx1"/>
                  </w14:solidFill>
                </w14:textFill>
              </w:rPr>
              <w:t>7</w:t>
            </w:r>
            <w:r>
              <w:rPr>
                <w:color w:val="000000" w:themeColor="text1"/>
                <w:sz w:val="24"/>
                <w14:textFill>
                  <w14:solidFill>
                    <w14:schemeClr w14:val="tx1"/>
                  </w14:solidFill>
                </w14:textFill>
              </w:rPr>
              <w:t>。</w:t>
            </w:r>
          </w:p>
          <w:p w14:paraId="22D9CE77">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表4-7  Q值计算一览表</w:t>
            </w:r>
          </w:p>
          <w:tbl>
            <w:tblPr>
              <w:tblStyle w:val="31"/>
              <w:tblW w:w="5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33"/>
              <w:gridCol w:w="1957"/>
              <w:gridCol w:w="2305"/>
              <w:gridCol w:w="1680"/>
            </w:tblGrid>
            <w:tr w14:paraId="5168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274" w:type="pct"/>
                  <w:tcBorders>
                    <w:tl2br w:val="nil"/>
                    <w:tr2bl w:val="nil"/>
                  </w:tcBorders>
                  <w:vAlign w:val="center"/>
                </w:tcPr>
                <w:p w14:paraId="18D2805A">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危险物质名称</w:t>
                  </w:r>
                </w:p>
              </w:tc>
              <w:tc>
                <w:tcPr>
                  <w:tcW w:w="1227" w:type="pct"/>
                  <w:tcBorders>
                    <w:tl2br w:val="nil"/>
                    <w:tr2bl w:val="nil"/>
                  </w:tcBorders>
                  <w:vAlign w:val="center"/>
                </w:tcPr>
                <w:p w14:paraId="5E92BD5B">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临界量（t）</w:t>
                  </w:r>
                </w:p>
              </w:tc>
              <w:tc>
                <w:tcPr>
                  <w:tcW w:w="1444" w:type="pct"/>
                  <w:tcBorders>
                    <w:tl2br w:val="nil"/>
                    <w:tr2bl w:val="nil"/>
                  </w:tcBorders>
                  <w:vAlign w:val="center"/>
                </w:tcPr>
                <w:p w14:paraId="3E7742E5">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项目厂区存在量（t）</w:t>
                  </w:r>
                </w:p>
              </w:tc>
              <w:tc>
                <w:tcPr>
                  <w:tcW w:w="1053" w:type="pct"/>
                  <w:tcBorders>
                    <w:tl2br w:val="nil"/>
                    <w:tr2bl w:val="nil"/>
                  </w:tcBorders>
                  <w:vAlign w:val="center"/>
                </w:tcPr>
                <w:p w14:paraId="004E282E">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Q</w:t>
                  </w:r>
                </w:p>
              </w:tc>
            </w:tr>
            <w:tr w14:paraId="7956D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9" w:hRule="atLeast"/>
                <w:jc w:val="center"/>
              </w:trPr>
              <w:tc>
                <w:tcPr>
                  <w:tcW w:w="1274" w:type="pct"/>
                  <w:tcBorders>
                    <w:tl2br w:val="nil"/>
                    <w:tr2bl w:val="nil"/>
                  </w:tcBorders>
                  <w:vAlign w:val="center"/>
                </w:tcPr>
                <w:p w14:paraId="250BE791">
                  <w:pPr>
                    <w:jc w:val="center"/>
                    <w:rPr>
                      <w:color w:val="000000" w:themeColor="text1"/>
                      <w14:textFill>
                        <w14:solidFill>
                          <w14:schemeClr w14:val="tx1"/>
                        </w14:solidFill>
                      </w14:textFill>
                    </w:rPr>
                  </w:pPr>
                  <w:r>
                    <w:rPr>
                      <w:rFonts w:eastAsiaTheme="minorEastAsia"/>
                      <w:bCs/>
                      <w:color w:val="000000" w:themeColor="text1"/>
                      <w:szCs w:val="21"/>
                      <w14:textFill>
                        <w14:solidFill>
                          <w14:schemeClr w14:val="tx1"/>
                        </w14:solidFill>
                      </w14:textFill>
                    </w:rPr>
                    <w:t>箱式变油</w:t>
                  </w:r>
                </w:p>
              </w:tc>
              <w:tc>
                <w:tcPr>
                  <w:tcW w:w="1227" w:type="pct"/>
                  <w:tcBorders>
                    <w:tl2br w:val="nil"/>
                    <w:tr2bl w:val="nil"/>
                  </w:tcBorders>
                  <w:vAlign w:val="center"/>
                </w:tcPr>
                <w:p w14:paraId="54BF6BA8">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1444" w:type="pct"/>
                  <w:tcBorders>
                    <w:tl2br w:val="nil"/>
                    <w:tr2bl w:val="nil"/>
                  </w:tcBorders>
                  <w:vAlign w:val="center"/>
                </w:tcPr>
                <w:p w14:paraId="4E91FEE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0.3</w:t>
                  </w:r>
                </w:p>
              </w:tc>
              <w:tc>
                <w:tcPr>
                  <w:tcW w:w="1053" w:type="pct"/>
                  <w:tcBorders>
                    <w:tl2br w:val="nil"/>
                    <w:tr2bl w:val="nil"/>
                  </w:tcBorders>
                  <w:vAlign w:val="center"/>
                </w:tcPr>
                <w:p w14:paraId="51EC827D">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0.00012</w:t>
                  </w:r>
                </w:p>
              </w:tc>
            </w:tr>
          </w:tbl>
          <w:p w14:paraId="12FA94AF">
            <w:pPr>
              <w:adjustRightInd w:val="0"/>
              <w:snapToGrid w:val="0"/>
              <w:spacing w:line="360" w:lineRule="auto"/>
              <w:ind w:firstLine="480" w:firstLineChars="200"/>
              <w:jc w:val="left"/>
              <w:rPr>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由上表可知，本项目Q=0.00012＜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，本项目风险潜势为</w:t>
            </w:r>
            <w:r>
              <w:rPr>
                <w:color w:val="000000" w:themeColor="text1"/>
                <w:sz w:val="24"/>
                <w14:textFill>
                  <w14:solidFill>
                    <w14:schemeClr w14:val="tx1"/>
                  </w14:solidFill>
                </w14:textFill>
              </w:rPr>
              <w:t>Ⅰ</w:t>
            </w:r>
            <w:r>
              <w:rPr>
                <w:rFonts w:hint="eastAsia"/>
                <w:color w:val="000000" w:themeColor="text1"/>
                <w:sz w:val="24"/>
                <w14:textFill>
                  <w14:solidFill>
                    <w14:schemeClr w14:val="tx1"/>
                  </w14:solidFill>
                </w14:textFill>
              </w:rPr>
              <w:t>。</w:t>
            </w:r>
          </w:p>
          <w:p w14:paraId="3226B027">
            <w:pPr>
              <w:widowControl/>
              <w:spacing w:line="360" w:lineRule="auto"/>
              <w:ind w:firstLine="482" w:firstLineChars="200"/>
              <w:jc w:val="left"/>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（3）评价等级</w:t>
            </w:r>
          </w:p>
          <w:p w14:paraId="114092F3">
            <w:pPr>
              <w:widowControl/>
              <w:autoSpaceDE w:val="0"/>
              <w:autoSpaceDN w:val="0"/>
              <w:adjustRightInd w:val="0"/>
              <w:spacing w:line="360" w:lineRule="auto"/>
              <w:ind w:firstLine="480"/>
              <w:rPr>
                <w:color w:val="000000" w:themeColor="text1"/>
                <w:sz w:val="24"/>
                <w14:textFill>
                  <w14:solidFill>
                    <w14:schemeClr w14:val="tx1"/>
                  </w14:solidFill>
                </w14:textFill>
              </w:rPr>
            </w:pPr>
            <w:r>
              <w:rPr>
                <w:color w:val="000000" w:themeColor="text1"/>
                <w:sz w:val="24"/>
                <w14:textFill>
                  <w14:solidFill>
                    <w14:schemeClr w14:val="tx1"/>
                  </w14:solidFill>
                </w14:textFill>
              </w:rPr>
              <w:t>根据《建设项目环境风险评价技术导则》（HJ169-2018）评价工作等级划分见表4-</w:t>
            </w:r>
            <w:r>
              <w:rPr>
                <w:rFonts w:hint="eastAsia"/>
                <w:color w:val="000000" w:themeColor="text1"/>
                <w:sz w:val="24"/>
                <w14:textFill>
                  <w14:solidFill>
                    <w14:schemeClr w14:val="tx1"/>
                  </w14:solidFill>
                </w14:textFill>
              </w:rPr>
              <w:t>8。</w:t>
            </w:r>
          </w:p>
          <w:p w14:paraId="75523264">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表4-8 风险评价工作等级划分</w:t>
            </w:r>
          </w:p>
          <w:tbl>
            <w:tblPr>
              <w:tblStyle w:val="31"/>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8"/>
              <w:gridCol w:w="1624"/>
              <w:gridCol w:w="1914"/>
              <w:gridCol w:w="1393"/>
              <w:gridCol w:w="1398"/>
            </w:tblGrid>
            <w:tr w14:paraId="1D3F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1052" w:type="pct"/>
                  <w:tcBorders>
                    <w:tl2br w:val="nil"/>
                    <w:tr2bl w:val="nil"/>
                  </w:tcBorders>
                  <w:vAlign w:val="center"/>
                </w:tcPr>
                <w:p w14:paraId="6D64166B">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环境风险潜势</w:t>
                  </w:r>
                </w:p>
              </w:tc>
              <w:tc>
                <w:tcPr>
                  <w:tcW w:w="1013" w:type="pct"/>
                  <w:tcBorders>
                    <w:tl2br w:val="nil"/>
                    <w:tr2bl w:val="nil"/>
                  </w:tcBorders>
                  <w:vAlign w:val="center"/>
                </w:tcPr>
                <w:p w14:paraId="33BCFCE2">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Ⅳ</w:t>
                  </w:r>
                </w:p>
              </w:tc>
              <w:tc>
                <w:tcPr>
                  <w:tcW w:w="1194" w:type="pct"/>
                  <w:tcBorders>
                    <w:tl2br w:val="nil"/>
                    <w:tr2bl w:val="nil"/>
                  </w:tcBorders>
                  <w:vAlign w:val="center"/>
                </w:tcPr>
                <w:p w14:paraId="743E473C">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Ⅲ</w:t>
                  </w:r>
                </w:p>
              </w:tc>
              <w:tc>
                <w:tcPr>
                  <w:tcW w:w="869" w:type="pct"/>
                  <w:tcBorders>
                    <w:tl2br w:val="nil"/>
                    <w:tr2bl w:val="nil"/>
                  </w:tcBorders>
                  <w:vAlign w:val="center"/>
                </w:tcPr>
                <w:p w14:paraId="143FC089">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Ⅱ</w:t>
                  </w:r>
                </w:p>
              </w:tc>
              <w:tc>
                <w:tcPr>
                  <w:tcW w:w="869" w:type="pct"/>
                  <w:tcBorders>
                    <w:tl2br w:val="nil"/>
                    <w:tr2bl w:val="nil"/>
                  </w:tcBorders>
                  <w:vAlign w:val="center"/>
                </w:tcPr>
                <w:p w14:paraId="6CCA056F">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Ⅰ</w:t>
                  </w:r>
                </w:p>
              </w:tc>
            </w:tr>
            <w:tr w14:paraId="42AA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jc w:val="center"/>
              </w:trPr>
              <w:tc>
                <w:tcPr>
                  <w:tcW w:w="1052" w:type="pct"/>
                  <w:tcBorders>
                    <w:tl2br w:val="nil"/>
                    <w:tr2bl w:val="nil"/>
                  </w:tcBorders>
                  <w:vAlign w:val="center"/>
                </w:tcPr>
                <w:p w14:paraId="2351959F">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评价工作等级</w:t>
                  </w:r>
                </w:p>
              </w:tc>
              <w:tc>
                <w:tcPr>
                  <w:tcW w:w="1013" w:type="pct"/>
                  <w:tcBorders>
                    <w:tl2br w:val="nil"/>
                    <w:tr2bl w:val="nil"/>
                  </w:tcBorders>
                  <w:vAlign w:val="center"/>
                </w:tcPr>
                <w:p w14:paraId="0BE5B727">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1194" w:type="pct"/>
                  <w:tcBorders>
                    <w:tl2br w:val="nil"/>
                    <w:tr2bl w:val="nil"/>
                  </w:tcBorders>
                  <w:vAlign w:val="center"/>
                </w:tcPr>
                <w:p w14:paraId="06B0041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869" w:type="pct"/>
                  <w:tcBorders>
                    <w:tl2br w:val="nil"/>
                    <w:tr2bl w:val="nil"/>
                  </w:tcBorders>
                  <w:vAlign w:val="center"/>
                </w:tcPr>
                <w:p w14:paraId="2999FE0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869" w:type="pct"/>
                  <w:tcBorders>
                    <w:tl2br w:val="nil"/>
                    <w:tr2bl w:val="nil"/>
                  </w:tcBorders>
                  <w:vAlign w:val="center"/>
                </w:tcPr>
                <w:p w14:paraId="13B28525">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简单分析a</w:t>
                  </w:r>
                </w:p>
              </w:tc>
            </w:tr>
            <w:tr w14:paraId="1EC4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jc w:val="center"/>
              </w:trPr>
              <w:tc>
                <w:tcPr>
                  <w:tcW w:w="5000" w:type="pct"/>
                  <w:gridSpan w:val="5"/>
                  <w:tcBorders>
                    <w:tl2br w:val="nil"/>
                    <w:tr2bl w:val="nil"/>
                  </w:tcBorders>
                  <w:vAlign w:val="center"/>
                </w:tcPr>
                <w:p w14:paraId="267983DC">
                  <w:pPr>
                    <w:widowControl/>
                    <w:jc w:val="left"/>
                    <w:rPr>
                      <w:color w:val="000000" w:themeColor="text1"/>
                      <w14:textFill>
                        <w14:solidFill>
                          <w14:schemeClr w14:val="tx1"/>
                        </w14:solidFill>
                      </w14:textFill>
                    </w:rPr>
                  </w:pPr>
                  <w:r>
                    <w:rPr>
                      <w:color w:val="000000" w:themeColor="text1"/>
                      <w14:textFill>
                        <w14:solidFill>
                          <w14:schemeClr w14:val="tx1"/>
                        </w14:solidFill>
                      </w14:textFill>
                    </w:rPr>
                    <w:t>a</w:t>
                  </w:r>
                  <w:r>
                    <w:rPr>
                      <w:rFonts w:hint="eastAsia"/>
                      <w:color w:val="000000" w:themeColor="text1"/>
                      <w14:textFill>
                        <w14:solidFill>
                          <w14:schemeClr w14:val="tx1"/>
                        </w14:solidFill>
                      </w14:textFill>
                    </w:rPr>
                    <w:t>是相对于详细评价工作内容而言，在描述危险物质、环境影响途经、环境危害后果、风险防范措施等方面给出定性的说明。</w:t>
                  </w:r>
                </w:p>
              </w:tc>
            </w:tr>
          </w:tbl>
          <w:p w14:paraId="6F61391B">
            <w:pPr>
              <w:widowControl/>
              <w:autoSpaceDE w:val="0"/>
              <w:autoSpaceDN w:val="0"/>
              <w:adjustRightIn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w:t>
            </w:r>
            <w:r>
              <w:rPr>
                <w:color w:val="000000" w:themeColor="text1"/>
                <w:sz w:val="24"/>
                <w14:textFill>
                  <w14:solidFill>
                    <w14:schemeClr w14:val="tx1"/>
                  </w14:solidFill>
                </w14:textFill>
              </w:rPr>
              <w:t>Q=0.00</w:t>
            </w:r>
            <w:r>
              <w:rPr>
                <w:rFonts w:hint="eastAsia"/>
                <w:color w:val="000000" w:themeColor="text1"/>
                <w:sz w:val="24"/>
                <w14:textFill>
                  <w14:solidFill>
                    <w14:schemeClr w14:val="tx1"/>
                  </w14:solidFill>
                </w14:textFill>
              </w:rPr>
              <w:t>012＜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，本项目风险潜势为Ⅰ。因此，最终确定本项目环境风险评价工作等级为简单分析。</w:t>
            </w:r>
          </w:p>
          <w:p w14:paraId="7FD8AC8D">
            <w:pPr>
              <w:widowControl/>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（4）环境风险识别</w:t>
            </w:r>
          </w:p>
          <w:p w14:paraId="3660A538">
            <w:pPr>
              <w:widowControl/>
              <w:autoSpaceDE w:val="0"/>
              <w:autoSpaceDN w:val="0"/>
              <w:adjustRightInd w:val="0"/>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废油在贮存或转运的过程中处置不当等因素可能造成的泄</w:t>
            </w:r>
            <w:r>
              <w:rPr>
                <w:rFonts w:hint="eastAsia"/>
                <w:color w:val="000000" w:themeColor="text1"/>
                <w:sz w:val="24"/>
                <w:lang w:eastAsia="zh-CN"/>
                <w14:textFill>
                  <w14:solidFill>
                    <w14:schemeClr w14:val="tx1"/>
                  </w14:solidFill>
                </w14:textFill>
              </w:rPr>
              <w:t>漏</w:t>
            </w:r>
            <w:r>
              <w:rPr>
                <w:rFonts w:hint="eastAsia"/>
                <w:color w:val="000000" w:themeColor="text1"/>
                <w:sz w:val="24"/>
                <w14:textFill>
                  <w14:solidFill>
                    <w14:schemeClr w14:val="tx1"/>
                  </w14:solidFill>
                </w14:textFill>
              </w:rPr>
              <w:t>和火灾事故。</w:t>
            </w:r>
          </w:p>
          <w:p w14:paraId="34AF22E5">
            <w:pPr>
              <w:widowControl/>
              <w:autoSpaceDE w:val="0"/>
              <w:autoSpaceDN w:val="0"/>
              <w:adjustRightIn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表4-9 环境风险识别一览表</w:t>
            </w:r>
          </w:p>
          <w:tbl>
            <w:tblPr>
              <w:tblStyle w:val="31"/>
              <w:tblW w:w="7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530"/>
              <w:gridCol w:w="1620"/>
              <w:gridCol w:w="2975"/>
            </w:tblGrid>
            <w:tr w14:paraId="69A0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7" w:type="dxa"/>
                  <w:vAlign w:val="center"/>
                </w:tcPr>
                <w:p w14:paraId="3DDA84F5">
                  <w:pPr>
                    <w:autoSpaceDE w:val="0"/>
                    <w:autoSpaceDN w:val="0"/>
                    <w:adjustRightIn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事故类型</w:t>
                  </w:r>
                </w:p>
              </w:tc>
              <w:tc>
                <w:tcPr>
                  <w:tcW w:w="1530" w:type="dxa"/>
                  <w:vAlign w:val="center"/>
                </w:tcPr>
                <w:p w14:paraId="032B75B6">
                  <w:pPr>
                    <w:autoSpaceDE w:val="0"/>
                    <w:autoSpaceDN w:val="0"/>
                    <w:adjustRightIn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事故情景</w:t>
                  </w:r>
                </w:p>
              </w:tc>
              <w:tc>
                <w:tcPr>
                  <w:tcW w:w="1620" w:type="dxa"/>
                  <w:vAlign w:val="center"/>
                </w:tcPr>
                <w:p w14:paraId="354F7E44">
                  <w:pPr>
                    <w:autoSpaceDE w:val="0"/>
                    <w:autoSpaceDN w:val="0"/>
                    <w:adjustRightIn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影响因子</w:t>
                  </w:r>
                </w:p>
              </w:tc>
              <w:tc>
                <w:tcPr>
                  <w:tcW w:w="2975" w:type="dxa"/>
                  <w:vAlign w:val="center"/>
                </w:tcPr>
                <w:p w14:paraId="45ABC48E">
                  <w:pPr>
                    <w:autoSpaceDE w:val="0"/>
                    <w:autoSpaceDN w:val="0"/>
                    <w:adjustRightInd w:val="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可能影响环境的途径</w:t>
                  </w:r>
                </w:p>
              </w:tc>
            </w:tr>
            <w:tr w14:paraId="14EC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837" w:type="dxa"/>
                  <w:vAlign w:val="center"/>
                </w:tcPr>
                <w:p w14:paraId="48D732CD">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泄漏</w:t>
                  </w:r>
                </w:p>
              </w:tc>
              <w:tc>
                <w:tcPr>
                  <w:tcW w:w="1530" w:type="dxa"/>
                  <w:vAlign w:val="center"/>
                </w:tcPr>
                <w:p w14:paraId="02C4C24F">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废油泄漏</w:t>
                  </w:r>
                </w:p>
              </w:tc>
              <w:tc>
                <w:tcPr>
                  <w:tcW w:w="1620" w:type="dxa"/>
                  <w:vAlign w:val="center"/>
                </w:tcPr>
                <w:p w14:paraId="515F1063">
                  <w:pPr>
                    <w:autoSpaceDE w:val="0"/>
                    <w:autoSpaceDN w:val="0"/>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石油类</w:t>
                  </w:r>
                </w:p>
              </w:tc>
              <w:tc>
                <w:tcPr>
                  <w:tcW w:w="2975" w:type="dxa"/>
                  <w:vAlign w:val="center"/>
                </w:tcPr>
                <w:p w14:paraId="47048EF1">
                  <w:pPr>
                    <w:autoSpaceDE w:val="0"/>
                    <w:autoSpaceDN w:val="0"/>
                    <w:adjustRightInd w:val="0"/>
                    <w:jc w:val="center"/>
                    <w:rPr>
                      <w:color w:val="000000" w:themeColor="text1"/>
                      <w14:textFill>
                        <w14:solidFill>
                          <w14:schemeClr w14:val="tx1"/>
                        </w14:solidFill>
                      </w14:textFill>
                    </w:rPr>
                  </w:pPr>
                  <w:r>
                    <w:rPr>
                      <w:color w:val="000000" w:themeColor="text1"/>
                      <w:szCs w:val="21"/>
                      <w:lang w:bidi="ar"/>
                      <w14:textFill>
                        <w14:solidFill>
                          <w14:schemeClr w14:val="tx1"/>
                        </w14:solidFill>
                      </w14:textFill>
                    </w:rPr>
                    <w:t>大气、地表水、地下水、土壤</w:t>
                  </w:r>
                </w:p>
              </w:tc>
            </w:tr>
          </w:tbl>
          <w:p w14:paraId="526C01D3">
            <w:pPr>
              <w:widowControl/>
              <w:autoSpaceDE w:val="0"/>
              <w:autoSpaceDN w:val="0"/>
              <w:adjustRightInd w:val="0"/>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（5）可能影响途径</w:t>
            </w:r>
          </w:p>
          <w:p w14:paraId="148EF00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本项目涉及的危险化学品为变压器油，为油品类物质，若遇到明火将引发火灾。另外，若变压器油发生泄漏，油品流入土壤、地表水体将对环境产生严重污染。</w:t>
            </w:r>
          </w:p>
          <w:p w14:paraId="4A9AA6AA">
            <w:pPr>
              <w:spacing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环境风险分析</w:t>
            </w:r>
          </w:p>
          <w:p w14:paraId="29F8A01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大气环境影响</w:t>
            </w:r>
          </w:p>
          <w:p w14:paraId="4222BED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涉及的油品物质储存量较小且处于密闭常温状态，不会对大气环境产生不良影响。当发生泄漏时，油品溢出后在地面呈不规则的面源分布，油品发生挥发，对周围大气环境会产生一定影响。一旦泄漏的油品遇火发生火灾，其未完全燃烧的危险物质在高温下会迅速挥发释放至大气环境，燃烧过程中产生的伴生/次生污染物也会释放到大气环境，在短时间内对周围大气环境造成不利影响。</w:t>
            </w:r>
          </w:p>
          <w:p w14:paraId="4A001D3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水环境影响</w:t>
            </w:r>
          </w:p>
          <w:p w14:paraId="1626C820">
            <w:pPr>
              <w:spacing w:line="360" w:lineRule="auto"/>
              <w:ind w:firstLine="480" w:firstLineChars="200"/>
            </w:pPr>
            <w:r>
              <w:rPr>
                <w:color w:val="000000" w:themeColor="text1"/>
                <w:sz w:val="24"/>
                <w14:textFill>
                  <w14:solidFill>
                    <w14:schemeClr w14:val="tx1"/>
                  </w14:solidFill>
                </w14:textFill>
              </w:rPr>
              <w:t>本拟建项目风场范围内无</w:t>
            </w:r>
            <w:r>
              <w:rPr>
                <w:rFonts w:hint="eastAsia"/>
                <w:color w:val="000000" w:themeColor="text1"/>
                <w:sz w:val="24"/>
                <w14:textFill>
                  <w14:solidFill>
                    <w14:schemeClr w14:val="tx1"/>
                  </w14:solidFill>
                </w14:textFill>
              </w:rPr>
              <w:t>河流</w:t>
            </w:r>
            <w:r>
              <w:rPr>
                <w:color w:val="000000" w:themeColor="text1"/>
                <w:sz w:val="24"/>
                <w14:textFill>
                  <w14:solidFill>
                    <w14:schemeClr w14:val="tx1"/>
                  </w14:solidFill>
                </w14:textFill>
              </w:rPr>
              <w:t>分布，若发生变压器油泄漏，对地表水环境无影响。泄漏时，对地下水环境的影响，取决于其在土壤中的迁移转化、地面污染程度以及泄漏点的地质构造，一旦油品经过包气带进入地下水，对地下水环境会造成不利影响。</w:t>
            </w:r>
            <w:r>
              <w:rPr>
                <w:rFonts w:hint="default" w:ascii="Times New Roman" w:hAnsi="Times New Roman" w:eastAsia="宋体" w:cs="Times New Roman"/>
                <w:b w:val="0"/>
                <w:bCs w:val="0"/>
                <w:color w:val="auto"/>
                <w:sz w:val="24"/>
                <w:szCs w:val="24"/>
                <w:highlight w:val="none"/>
                <w:lang w:val="en-US" w:eastAsia="zh-CN"/>
              </w:rPr>
              <w:t>本项目在箱式变压器的下方均设置了</w:t>
            </w:r>
            <w:r>
              <w:rPr>
                <w:rFonts w:hint="eastAsia" w:cs="Times New Roman"/>
                <w:b w:val="0"/>
                <w:bCs w:val="0"/>
                <w:color w:val="auto"/>
                <w:sz w:val="24"/>
                <w:szCs w:val="24"/>
                <w:highlight w:val="none"/>
                <w:lang w:val="en-US" w:eastAsia="zh-CN"/>
              </w:rPr>
              <w:t>事故油池</w:t>
            </w:r>
            <w:r>
              <w:rPr>
                <w:rFonts w:hint="default" w:ascii="Times New Roman" w:hAnsi="Times New Roman" w:eastAsia="宋体" w:cs="Times New Roman"/>
                <w:b w:val="0"/>
                <w:bCs w:val="0"/>
                <w:color w:val="auto"/>
                <w:sz w:val="24"/>
                <w:szCs w:val="24"/>
                <w:highlight w:val="none"/>
                <w:lang w:val="en-US" w:eastAsia="zh-CN"/>
              </w:rPr>
              <w:t>底部铺设1m粘土层（保护层，同时作为辅助防渗层）压实平整，粘土层上铺设HDPE防渗系统，上部外加耐腐蚀混凝土15cm（保护层）等防渗，渗透系数≤10-10cm/s。故即使是在事故状况下，检修废变压器油可以做到不外排，对水环境的影响极小。</w:t>
            </w:r>
          </w:p>
          <w:p w14:paraId="4063F83A">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土壤环境影响</w:t>
            </w:r>
          </w:p>
          <w:p w14:paraId="5636B18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若发生泄漏，变压器油在土壤内部由于重力作用沿垂直方向向地下渗透，油粘度较大，渗透深度有限，泄漏后覆盖表土或渗入土壤后，将堵塞土壤孔隙，使土壤板结，通透性变差，从而造成土壤长期处于缺氧还原状态，土壤养分释放慢，不能满足农作物生长发育的需要而致其死亡，对土壤环境造成不利影响。</w:t>
            </w:r>
          </w:p>
          <w:p w14:paraId="0B45289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④</w:t>
            </w:r>
            <w:r>
              <w:rPr>
                <w:color w:val="000000" w:themeColor="text1"/>
                <w:sz w:val="24"/>
                <w14:textFill>
                  <w14:solidFill>
                    <w14:schemeClr w14:val="tx1"/>
                  </w14:solidFill>
                </w14:textFill>
              </w:rPr>
              <w:t>生态环境影响</w:t>
            </w:r>
          </w:p>
          <w:p w14:paraId="7731EFB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变压油泄漏可影响区域生态环境，减少农作物产量或降低有机物的生物量，危害最显著的表现为植物，油品黏附于枝叶，阻止植物进行光合作用，可使植物枯萎死亡；在土壤中黏附于植物根系，可阻止植物吸收水分和矿物质而死亡。</w:t>
            </w:r>
          </w:p>
          <w:p w14:paraId="4CF790EC">
            <w:pPr>
              <w:spacing w:line="360" w:lineRule="auto"/>
              <w:ind w:firstLine="482" w:firstLineChars="200"/>
              <w:rPr>
                <w:b/>
                <w:bCs/>
                <w:color w:val="000000" w:themeColor="text1"/>
                <w:kern w:val="0"/>
                <w:sz w:val="24"/>
                <w14:textFill>
                  <w14:solidFill>
                    <w14:schemeClr w14:val="tx1"/>
                  </w14:solidFill>
                </w14:textFill>
              </w:rPr>
            </w:pPr>
            <w:r>
              <w:rPr>
                <w:rFonts w:hint="eastAsia"/>
                <w:b/>
                <w:bCs/>
                <w:color w:val="000000" w:themeColor="text1"/>
                <w:sz w:val="24"/>
                <w14:textFill>
                  <w14:solidFill>
                    <w14:schemeClr w14:val="tx1"/>
                  </w14:solidFill>
                </w14:textFill>
              </w:rPr>
              <w:t>8</w:t>
            </w:r>
            <w:r>
              <w:rPr>
                <w:b/>
                <w:bCs/>
                <w:color w:val="000000" w:themeColor="text1"/>
                <w:kern w:val="0"/>
                <w:sz w:val="24"/>
                <w14:textFill>
                  <w14:solidFill>
                    <w14:schemeClr w14:val="tx1"/>
                  </w14:solidFill>
                </w14:textFill>
              </w:rPr>
              <w:t>、碳排放影响分析</w:t>
            </w:r>
          </w:p>
          <w:p w14:paraId="507F9BCE">
            <w:pPr>
              <w:spacing w:line="360" w:lineRule="auto"/>
              <w:ind w:firstLine="480" w:firstLineChars="200"/>
              <w:rPr>
                <w:color w:val="000000" w:themeColor="text1"/>
                <w:szCs w:val="21"/>
                <w14:textFill>
                  <w14:solidFill>
                    <w14:schemeClr w14:val="tx1"/>
                  </w14:solidFill>
                </w14:textFill>
              </w:rPr>
            </w:pPr>
            <w:r>
              <w:rPr>
                <w:color w:val="000000" w:themeColor="text1"/>
                <w:sz w:val="24"/>
                <w14:textFill>
                  <w14:solidFill>
                    <w14:schemeClr w14:val="tx1"/>
                  </w14:solidFill>
                </w14:textFill>
              </w:rPr>
              <w:t>本项目为风力发电项目，项目建成预计年上网电量为</w:t>
            </w:r>
            <w:r>
              <w:rPr>
                <w:rFonts w:hint="eastAsia"/>
                <w:color w:val="000000" w:themeColor="text1"/>
                <w:sz w:val="24"/>
                <w14:textFill>
                  <w14:solidFill>
                    <w14:schemeClr w14:val="tx1"/>
                  </w14:solidFill>
                </w14:textFill>
              </w:rPr>
              <w:t>85493.2</w:t>
            </w:r>
            <w:r>
              <w:rPr>
                <w:rFonts w:eastAsiaTheme="minorEastAsia"/>
                <w:color w:val="000000" w:themeColor="text1"/>
                <w:sz w:val="24"/>
                <w14:textFill>
                  <w14:solidFill>
                    <w14:schemeClr w14:val="tx1"/>
                  </w14:solidFill>
                </w14:textFill>
              </w:rPr>
              <w:t>MW•h</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本项目按照《企业温室气体排放核算方法与报告指南 发电设施》（环办气候〔2020〕修正版），电网排放因子调整为0.581tCO</w:t>
            </w:r>
            <w:r>
              <w:rPr>
                <w:rFonts w:hint="eastAsia"/>
                <w:color w:val="000000" w:themeColor="text1"/>
                <w:sz w:val="24"/>
                <w:vertAlign w:val="subscript"/>
                <w14:textFill>
                  <w14:solidFill>
                    <w14:schemeClr w14:val="tx1"/>
                  </w14:solidFill>
                </w14:textFill>
              </w:rPr>
              <w:t>2</w:t>
            </w:r>
            <w:r>
              <w:rPr>
                <w:rFonts w:hint="eastAsia"/>
                <w:color w:val="000000" w:themeColor="text1"/>
                <w:sz w:val="24"/>
                <w14:textFill>
                  <w14:solidFill>
                    <w14:schemeClr w14:val="tx1"/>
                  </w14:solidFill>
                </w14:textFill>
              </w:rPr>
              <w:t>/MWh，</w:t>
            </w:r>
            <w:r>
              <w:rPr>
                <w:color w:val="000000" w:themeColor="text1"/>
                <w:kern w:val="0"/>
                <w:sz w:val="24"/>
                <w14:textFill>
                  <w14:solidFill>
                    <w14:schemeClr w14:val="tx1"/>
                  </w14:solidFill>
                </w14:textFill>
              </w:rPr>
              <w:t>本项目预计年上网电量为</w:t>
            </w:r>
            <w:r>
              <w:rPr>
                <w:rFonts w:hint="eastAsia"/>
                <w:color w:val="000000" w:themeColor="text1"/>
                <w:kern w:val="0"/>
                <w:sz w:val="24"/>
                <w14:textFill>
                  <w14:solidFill>
                    <w14:schemeClr w14:val="tx1"/>
                  </w14:solidFill>
                </w14:textFill>
              </w:rPr>
              <w:t>85493.2</w:t>
            </w:r>
            <w:r>
              <w:rPr>
                <w:rFonts w:eastAsiaTheme="minorEastAsia"/>
                <w:color w:val="000000" w:themeColor="text1"/>
                <w:sz w:val="24"/>
                <w14:textFill>
                  <w14:solidFill>
                    <w14:schemeClr w14:val="tx1"/>
                  </w14:solidFill>
                </w14:textFill>
              </w:rPr>
              <w:t>MW•h</w:t>
            </w:r>
            <w:r>
              <w:rPr>
                <w:rFonts w:hint="eastAsia" w:eastAsiaTheme="minorEastAsia"/>
                <w:color w:val="000000" w:themeColor="text1"/>
                <w:sz w:val="24"/>
                <w14:textFill>
                  <w14:solidFill>
                    <w14:schemeClr w14:val="tx1"/>
                  </w14:solidFill>
                </w14:textFill>
              </w:rPr>
              <w:t>，</w:t>
            </w:r>
            <w:r>
              <w:rPr>
                <w:color w:val="000000" w:themeColor="text1"/>
                <w:kern w:val="0"/>
                <w:sz w:val="24"/>
                <w14:textFill>
                  <w14:solidFill>
                    <w14:schemeClr w14:val="tx1"/>
                  </w14:solidFill>
                </w14:textFill>
              </w:rPr>
              <w:t>由此计算出本项目碳减排量为</w:t>
            </w:r>
            <w:r>
              <w:rPr>
                <w:rFonts w:hint="eastAsia"/>
                <w:color w:val="000000" w:themeColor="text1"/>
                <w:kern w:val="0"/>
                <w:sz w:val="24"/>
                <w:lang w:val="en-US" w:eastAsia="zh-CN"/>
                <w14:textFill>
                  <w14:solidFill>
                    <w14:schemeClr w14:val="tx1"/>
                  </w14:solidFill>
                </w14:textFill>
              </w:rPr>
              <w:t>49671.55</w:t>
            </w:r>
            <w:r>
              <w:rPr>
                <w:color w:val="000000" w:themeColor="text1"/>
                <w:kern w:val="0"/>
                <w:sz w:val="24"/>
                <w14:textFill>
                  <w14:solidFill>
                    <w14:schemeClr w14:val="tx1"/>
                  </w14:solidFill>
                </w14:textFill>
              </w:rPr>
              <w:t>t/a。</w:t>
            </w:r>
          </w:p>
        </w:tc>
      </w:tr>
      <w:tr w14:paraId="61CB4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tcMar>
              <w:left w:w="28" w:type="dxa"/>
              <w:right w:w="28" w:type="dxa"/>
            </w:tcMar>
            <w:vAlign w:val="center"/>
          </w:tcPr>
          <w:p w14:paraId="04FE34C6">
            <w:pPr>
              <w:pStyle w:val="26"/>
              <w:adjustRightInd w:val="0"/>
              <w:snapToGrid w:val="0"/>
              <w:spacing w:before="0" w:beforeAutospacing="0" w:after="0" w:afterAutospacing="0"/>
              <w:jc w:val="center"/>
              <w:rPr>
                <w:rFonts w:ascii="Times New Roman" w:hAnsi="Times New Roman"/>
                <w:bCs/>
                <w:color w:val="000000" w:themeColor="text1"/>
                <w:szCs w:val="24"/>
                <w14:textFill>
                  <w14:solidFill>
                    <w14:schemeClr w14:val="tx1"/>
                  </w14:solidFill>
                </w14:textFill>
              </w:rPr>
            </w:pPr>
            <w:r>
              <w:rPr>
                <w:rFonts w:hint="eastAsia" w:ascii="Times New Roman" w:hAnsi="Times New Roman"/>
                <w:bCs/>
                <w:color w:val="000000" w:themeColor="text1"/>
                <w:szCs w:val="24"/>
                <w14:textFill>
                  <w14:solidFill>
                    <w14:schemeClr w14:val="tx1"/>
                  </w14:solidFill>
                </w14:textFill>
              </w:rPr>
              <w:t>选址选线环境合理性分析</w:t>
            </w:r>
          </w:p>
        </w:tc>
        <w:tc>
          <w:tcPr>
            <w:tcW w:w="8158" w:type="dxa"/>
            <w:vAlign w:val="center"/>
          </w:tcPr>
          <w:p w14:paraId="273B5038">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1、风电场土地利用现状与规划合理性分析</w:t>
            </w:r>
          </w:p>
          <w:p w14:paraId="29814857">
            <w:pPr>
              <w:spacing w:line="360" w:lineRule="auto"/>
              <w:ind w:firstLine="480" w:firstLineChars="200"/>
              <w:rPr>
                <w:rFonts w:hint="eastAsia" w:eastAsia="宋体"/>
                <w:color w:val="000000" w:themeColor="text1"/>
                <w:sz w:val="24"/>
                <w:lang w:eastAsia="zh-CN"/>
                <w14:textFill>
                  <w14:solidFill>
                    <w14:schemeClr w14:val="tx1"/>
                  </w14:solidFill>
                </w14:textFill>
              </w:rPr>
            </w:pPr>
            <w:r>
              <w:rPr>
                <w:rFonts w:hint="eastAsia"/>
                <w:color w:val="000000" w:themeColor="text1"/>
                <w:sz w:val="24"/>
                <w14:textFill>
                  <w14:solidFill>
                    <w14:schemeClr w14:val="tx1"/>
                  </w14:solidFill>
                </w14:textFill>
              </w:rPr>
              <w:t>2024年3月20日取得宝鸡市自然资源和规划局陈仓分局《关于大唐陈仓5万千瓦风电项目建设用地情况的函》，符合陈仓区“</w:t>
            </w:r>
            <w:r>
              <w:rPr>
                <w:rFonts w:hint="eastAsia"/>
                <w:color w:val="000000" w:themeColor="text1"/>
                <w:sz w:val="24"/>
                <w:lang w:eastAsia="zh-CN"/>
                <w14:textFill>
                  <w14:solidFill>
                    <w14:schemeClr w14:val="tx1"/>
                  </w14:solidFill>
                </w14:textFill>
              </w:rPr>
              <w:t>三区</w:t>
            </w:r>
            <w:r>
              <w:rPr>
                <w:rFonts w:hint="eastAsia"/>
                <w:color w:val="000000" w:themeColor="text1"/>
                <w:sz w:val="24"/>
                <w14:textFill>
                  <w14:solidFill>
                    <w14:schemeClr w14:val="tx1"/>
                  </w14:solidFill>
                </w14:textFill>
              </w:rPr>
              <w:t>三线”成果。该项目不占用永久基本农田和生态保护红线，不压覆重要矿产资源。</w:t>
            </w:r>
            <w:r>
              <w:rPr>
                <w:rFonts w:hint="eastAsia"/>
                <w:color w:val="000000" w:themeColor="text1"/>
                <w:sz w:val="24"/>
                <w:lang w:val="en-US" w:eastAsia="zh-CN"/>
                <w14:textFill>
                  <w14:solidFill>
                    <w14:schemeClr w14:val="tx1"/>
                  </w14:solidFill>
                </w14:textFill>
              </w:rPr>
              <w:t>项目建设地</w:t>
            </w:r>
            <w:r>
              <w:rPr>
                <w:rFonts w:hint="eastAsia"/>
                <w:color w:val="000000" w:themeColor="text1"/>
                <w:sz w:val="24"/>
                <w14:textFill>
                  <w14:solidFill>
                    <w14:schemeClr w14:val="tx1"/>
                  </w14:solidFill>
                </w14:textFill>
              </w:rPr>
              <w:t>不涉及、自然保护区、国家级公益林、森林公园、湿地公园、鸟类迁徙地”</w:t>
            </w:r>
            <w:r>
              <w:rPr>
                <w:rFonts w:hint="eastAsia"/>
                <w:color w:val="000000" w:themeColor="text1"/>
                <w:sz w:val="24"/>
                <w:lang w:eastAsia="zh-CN"/>
                <w14:textFill>
                  <w14:solidFill>
                    <w14:schemeClr w14:val="tx1"/>
                  </w14:solidFill>
                </w14:textFill>
              </w:rPr>
              <w:t>。</w:t>
            </w:r>
          </w:p>
          <w:p w14:paraId="5FC0FCD5">
            <w:pPr>
              <w:pStyle w:val="10"/>
              <w:spacing w:after="0" w:line="360" w:lineRule="auto"/>
              <w:ind w:left="0" w:leftChars="0" w:firstLine="480" w:firstLineChars="200"/>
              <w:rPr>
                <w:color w:val="000000" w:themeColor="text1"/>
                <w:szCs w:val="24"/>
                <w14:textFill>
                  <w14:solidFill>
                    <w14:schemeClr w14:val="tx1"/>
                  </w14:solidFill>
                </w14:textFill>
              </w:rPr>
            </w:pPr>
            <w:r>
              <w:rPr>
                <w:rFonts w:hint="eastAsia"/>
                <w:color w:val="000000" w:themeColor="text1"/>
                <w:szCs w:val="21"/>
                <w14:textFill>
                  <w14:solidFill>
                    <w14:schemeClr w14:val="tx1"/>
                  </w14:solidFill>
                </w14:textFill>
              </w:rPr>
              <w:t>2024年8月28日取得《陕西省发展和改革委员会关于</w:t>
            </w:r>
            <w:r>
              <w:rPr>
                <w:rFonts w:hint="eastAsia"/>
                <w:color w:val="000000" w:themeColor="text1"/>
                <w:szCs w:val="21"/>
                <w:lang w:val="en-US" w:eastAsia="zh-CN"/>
                <w14:textFill>
                  <w14:solidFill>
                    <w14:schemeClr w14:val="tx1"/>
                  </w14:solidFill>
                </w14:textFill>
              </w:rPr>
              <w:t>大唐陈仓</w:t>
            </w:r>
            <w:r>
              <w:rPr>
                <w:rFonts w:hint="eastAsia"/>
                <w:color w:val="000000" w:themeColor="text1"/>
                <w:szCs w:val="21"/>
                <w14:textFill>
                  <w14:solidFill>
                    <w14:schemeClr w14:val="tx1"/>
                  </w14:solidFill>
                </w14:textFill>
              </w:rPr>
              <w:t>5万千瓦风电项目核准的批复》（陕发改能新能源〔2024〕14</w:t>
            </w:r>
            <w:r>
              <w:rPr>
                <w:rFonts w:hint="eastAsia"/>
                <w:color w:val="000000" w:themeColor="text1"/>
                <w:szCs w:val="21"/>
                <w:lang w:val="en-US" w:eastAsia="zh-CN"/>
                <w14:textFill>
                  <w14:solidFill>
                    <w14:schemeClr w14:val="tx1"/>
                  </w14:solidFill>
                </w14:textFill>
              </w:rPr>
              <w:t>79</w:t>
            </w:r>
            <w:r>
              <w:rPr>
                <w:rFonts w:hint="eastAsia"/>
                <w:color w:val="000000" w:themeColor="text1"/>
                <w:szCs w:val="21"/>
                <w14:textFill>
                  <w14:solidFill>
                    <w14:schemeClr w14:val="tx1"/>
                  </w14:solidFill>
                </w14:textFill>
              </w:rPr>
              <w:t>号），</w:t>
            </w:r>
            <w:r>
              <w:rPr>
                <w:rFonts w:hint="eastAsia"/>
                <w:color w:val="000000" w:themeColor="text1"/>
                <w:szCs w:val="21"/>
                <w:lang w:val="en-US" w:eastAsia="zh-CN"/>
                <w14:textFill>
                  <w14:solidFill>
                    <w14:schemeClr w14:val="tx1"/>
                  </w14:solidFill>
                </w14:textFill>
              </w:rPr>
              <w:t>且</w:t>
            </w:r>
            <w:r>
              <w:rPr>
                <w:rFonts w:hint="eastAsia"/>
                <w:color w:val="000000" w:themeColor="text1"/>
                <w:szCs w:val="21"/>
                <w14:textFill>
                  <w14:solidFill>
                    <w14:schemeClr w14:val="tx1"/>
                  </w14:solidFill>
                </w14:textFill>
              </w:rPr>
              <w:t>不占用</w:t>
            </w:r>
            <w:r>
              <w:rPr>
                <w:color w:val="000000" w:themeColor="text1"/>
                <w:kern w:val="0"/>
                <w:szCs w:val="21"/>
                <w14:textFill>
                  <w14:solidFill>
                    <w14:schemeClr w14:val="tx1"/>
                  </w14:solidFill>
                </w14:textFill>
              </w:rPr>
              <w:t>基本农田和生态林地，</w:t>
            </w:r>
            <w:r>
              <w:rPr>
                <w:rFonts w:hint="eastAsia"/>
                <w:color w:val="000000" w:themeColor="text1"/>
                <w:kern w:val="0"/>
                <w:szCs w:val="21"/>
                <w14:textFill>
                  <w14:solidFill>
                    <w14:schemeClr w14:val="tx1"/>
                  </w14:solidFill>
                </w14:textFill>
              </w:rPr>
              <w:t>不涉及</w:t>
            </w:r>
            <w:r>
              <w:rPr>
                <w:color w:val="000000" w:themeColor="text1"/>
                <w:kern w:val="0"/>
                <w:szCs w:val="21"/>
                <w14:textFill>
                  <w14:solidFill>
                    <w14:schemeClr w14:val="tx1"/>
                  </w14:solidFill>
                </w14:textFill>
              </w:rPr>
              <w:t>交通要道、特高压路线、各类管线、军事敏感区等</w:t>
            </w:r>
            <w:r>
              <w:rPr>
                <w:rFonts w:hint="eastAsia"/>
                <w:color w:val="000000" w:themeColor="text1"/>
                <w:szCs w:val="24"/>
                <w14:textFill>
                  <w14:solidFill>
                    <w14:schemeClr w14:val="tx1"/>
                  </w14:solidFill>
                </w14:textFill>
              </w:rPr>
              <w:t>”</w:t>
            </w:r>
          </w:p>
          <w:p w14:paraId="4E450AB4">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2、选址区域生态、</w:t>
            </w:r>
            <w:r>
              <w:rPr>
                <w:rFonts w:hint="eastAsia"/>
                <w:b/>
                <w:bCs/>
                <w:color w:val="000000" w:themeColor="text1"/>
                <w:sz w:val="24"/>
                <w14:textFill>
                  <w14:solidFill>
                    <w14:schemeClr w14:val="tx1"/>
                  </w14:solidFill>
                </w14:textFill>
              </w:rPr>
              <w:t>水利、</w:t>
            </w:r>
            <w:r>
              <w:rPr>
                <w:b/>
                <w:bCs/>
                <w:color w:val="000000" w:themeColor="text1"/>
                <w:sz w:val="24"/>
                <w14:textFill>
                  <w14:solidFill>
                    <w14:schemeClr w14:val="tx1"/>
                  </w14:solidFill>
                </w14:textFill>
              </w:rPr>
              <w:t>文物、军事和非重要矿产资源的核查</w:t>
            </w:r>
          </w:p>
          <w:p w14:paraId="5B124EC9">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宝鸡市陈仓区</w:t>
            </w:r>
            <w:r>
              <w:rPr>
                <w:color w:val="000000" w:themeColor="text1"/>
                <w:sz w:val="24"/>
                <w14:textFill>
                  <w14:solidFill>
                    <w14:schemeClr w14:val="tx1"/>
                  </w14:solidFill>
                </w14:textFill>
              </w:rPr>
              <w:t>林业局《关于</w:t>
            </w:r>
            <w:r>
              <w:rPr>
                <w:rFonts w:hint="eastAsia"/>
                <w:color w:val="000000" w:themeColor="text1"/>
                <w:sz w:val="24"/>
                <w:lang w:val="en-US" w:eastAsia="zh-CN"/>
                <w14:textFill>
                  <w14:solidFill>
                    <w14:schemeClr w14:val="tx1"/>
                  </w14:solidFill>
                </w14:textFill>
              </w:rPr>
              <w:t>大唐陈仓5万千瓦风电</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选址</w:t>
            </w:r>
            <w:r>
              <w:rPr>
                <w:rFonts w:hint="eastAsia"/>
                <w:color w:val="000000" w:themeColor="text1"/>
                <w:sz w:val="24"/>
                <w:lang w:val="en-US" w:eastAsia="zh-CN"/>
                <w14:textFill>
                  <w14:solidFill>
                    <w14:schemeClr w14:val="tx1"/>
                  </w14:solidFill>
                </w14:textFill>
              </w:rPr>
              <w:t>涉林草情况</w:t>
            </w:r>
            <w:r>
              <w:rPr>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复</w:t>
            </w:r>
            <w:r>
              <w:rPr>
                <w:rFonts w:hint="eastAsia"/>
                <w:color w:val="000000" w:themeColor="text1"/>
                <w:sz w:val="24"/>
                <w14:textFill>
                  <w14:solidFill>
                    <w14:schemeClr w14:val="tx1"/>
                  </w14:solidFill>
                </w14:textFill>
              </w:rPr>
              <w:t>函</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涉及林业用地</w:t>
            </w:r>
            <w:r>
              <w:rPr>
                <w:rFonts w:hint="eastAsia"/>
                <w:color w:val="000000" w:themeColor="text1"/>
                <w:sz w:val="24"/>
                <w:lang w:val="en-US" w:eastAsia="zh-CN"/>
                <w14:textFill>
                  <w14:solidFill>
                    <w14:schemeClr w14:val="tx1"/>
                  </w14:solidFill>
                </w14:textFill>
              </w:rPr>
              <w:t>主要是地方级公益林、商品林</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5</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宝鸡市陈仓区文</w:t>
            </w:r>
            <w:r>
              <w:rPr>
                <w:rFonts w:hint="eastAsia"/>
                <w:color w:val="000000" w:themeColor="text1"/>
                <w:sz w:val="24"/>
                <w:lang w:val="en-US" w:eastAsia="zh-CN"/>
                <w14:textFill>
                  <w14:solidFill>
                    <w14:schemeClr w14:val="tx1"/>
                  </w14:solidFill>
                </w14:textFill>
              </w:rPr>
              <w:t>物</w:t>
            </w:r>
            <w:r>
              <w:rPr>
                <w:color w:val="000000" w:themeColor="text1"/>
                <w:sz w:val="24"/>
                <w14:textFill>
                  <w14:solidFill>
                    <w14:schemeClr w14:val="tx1"/>
                  </w14:solidFill>
                </w14:textFill>
              </w:rPr>
              <w:t>局《关于关于</w:t>
            </w:r>
            <w:r>
              <w:rPr>
                <w:rFonts w:hint="eastAsia"/>
                <w:color w:val="000000" w:themeColor="text1"/>
                <w:sz w:val="24"/>
                <w:lang w:val="en-US" w:eastAsia="zh-CN"/>
                <w14:textFill>
                  <w14:solidFill>
                    <w14:schemeClr w14:val="tx1"/>
                  </w14:solidFill>
                </w14:textFill>
              </w:rPr>
              <w:t>大唐陈仓5万千瓦风电</w:t>
            </w:r>
            <w:r>
              <w:rPr>
                <w:color w:val="000000" w:themeColor="text1"/>
                <w:sz w:val="24"/>
                <w14:textFill>
                  <w14:solidFill>
                    <w14:schemeClr w14:val="tx1"/>
                  </w14:solidFill>
                </w14:textFill>
              </w:rPr>
              <w:t>项目选址</w:t>
            </w:r>
            <w:r>
              <w:rPr>
                <w:rFonts w:hint="eastAsia"/>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复函</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宝陈</w:t>
            </w:r>
            <w:r>
              <w:rPr>
                <w:rFonts w:hint="eastAsia"/>
                <w:color w:val="000000" w:themeColor="text1"/>
                <w:sz w:val="24"/>
                <w14:textFill>
                  <w14:solidFill>
                    <w14:schemeClr w14:val="tx1"/>
                  </w14:solidFill>
                </w14:textFill>
              </w:rPr>
              <w:t>文</w:t>
            </w:r>
            <w:r>
              <w:rPr>
                <w:rFonts w:hint="eastAsia"/>
                <w:color w:val="000000" w:themeColor="text1"/>
                <w:sz w:val="24"/>
                <w:lang w:val="en-US" w:eastAsia="zh-CN"/>
                <w14:textFill>
                  <w14:solidFill>
                    <w14:schemeClr w14:val="tx1"/>
                  </w14:solidFill>
                </w14:textFill>
              </w:rPr>
              <w:t>物</w:t>
            </w:r>
            <w:r>
              <w:rPr>
                <w:color w:val="000000" w:themeColor="text1"/>
                <w:sz w:val="24"/>
                <w14:textFill>
                  <w14:solidFill>
                    <w14:schemeClr w14:val="tx1"/>
                  </w14:solidFill>
                </w14:textFill>
              </w:rPr>
              <w:t>函〔202</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号）</w:t>
            </w:r>
            <w:r>
              <w:rPr>
                <w:rFonts w:hint="eastAsia"/>
                <w:color w:val="000000" w:themeColor="text1"/>
                <w:sz w:val="24"/>
                <w14:textFill>
                  <w14:solidFill>
                    <w14:schemeClr w14:val="tx1"/>
                  </w14:solidFill>
                </w14:textFill>
              </w:rPr>
              <w:t>中“大唐陈仓</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万千瓦风电项目拟选厂址位于宝鸡市陈仓区拓石镇(拓石村、九峰村、通洞村)等周边区域，总占地面积约为</w:t>
            </w:r>
            <w:r>
              <w:rPr>
                <w:rFonts w:hint="eastAsia"/>
                <w:color w:val="000000" w:themeColor="text1"/>
                <w:sz w:val="24"/>
                <w:lang w:val="en-US" w:eastAsia="zh-CN"/>
                <w14:textFill>
                  <w14:solidFill>
                    <w14:schemeClr w14:val="tx1"/>
                  </w14:solidFill>
                </w14:textFill>
              </w:rPr>
              <w:t>30</w:t>
            </w:r>
            <w:r>
              <w:rPr>
                <w:rFonts w:hint="eastAsia"/>
                <w:color w:val="000000" w:themeColor="text1"/>
                <w:sz w:val="24"/>
                <w14:textFill>
                  <w14:solidFill>
                    <w14:schemeClr w14:val="tx1"/>
                  </w14:solidFill>
                </w14:textFill>
              </w:rPr>
              <w:t>余亩，共计</w:t>
            </w:r>
            <w:r>
              <w:rPr>
                <w:rFonts w:hint="eastAsia"/>
                <w:color w:val="000000" w:themeColor="text1"/>
                <w:sz w:val="24"/>
                <w:lang w:val="en-US" w:eastAsia="zh-CN"/>
                <w14:textFill>
                  <w14:solidFill>
                    <w14:schemeClr w14:val="tx1"/>
                  </w14:solidFill>
                </w14:textFill>
              </w:rPr>
              <w:t>10</w:t>
            </w:r>
            <w:r>
              <w:rPr>
                <w:rFonts w:hint="eastAsia"/>
                <w:color w:val="000000" w:themeColor="text1"/>
                <w:sz w:val="24"/>
                <w14:textFill>
                  <w14:solidFill>
                    <w14:schemeClr w14:val="tx1"/>
                  </w14:solidFill>
                </w14:textFill>
              </w:rPr>
              <w:t>个风机点位。该项目用地区域不涉及各级文物保护单位和不可移动文物保护点</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155D93C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2023年</w:t>
            </w:r>
            <w:r>
              <w:rPr>
                <w:rFonts w:hint="eastAsia"/>
                <w:color w:val="000000" w:themeColor="text1"/>
                <w:sz w:val="24"/>
                <w14:textFill>
                  <w14:solidFill>
                    <w14:schemeClr w14:val="tx1"/>
                  </w14:solidFill>
                </w14:textFill>
              </w:rPr>
              <w:t>1</w:t>
            </w:r>
            <w:r>
              <w:rPr>
                <w:rFonts w:hint="eastAsia"/>
                <w:color w:val="000000" w:themeColor="text1"/>
                <w:sz w:val="24"/>
                <w:lang w:val="en-US" w:eastAsia="zh-CN"/>
                <w14:textFill>
                  <w14:solidFill>
                    <w14:schemeClr w14:val="tx1"/>
                  </w14:solidFill>
                </w14:textFill>
              </w:rPr>
              <w:t>0</w:t>
            </w:r>
            <w:r>
              <w:rPr>
                <w:color w:val="000000" w:themeColor="text1"/>
                <w:sz w:val="24"/>
                <w14:textFill>
                  <w14:solidFill>
                    <w14:schemeClr w14:val="tx1"/>
                  </w14:solidFill>
                </w14:textFill>
              </w:rPr>
              <w:t>月</w:t>
            </w:r>
            <w:r>
              <w:rPr>
                <w:rFonts w:hint="eastAsia"/>
                <w:color w:val="000000" w:themeColor="text1"/>
                <w:sz w:val="24"/>
                <w:lang w:val="en-US" w:eastAsia="zh-CN"/>
                <w14:textFill>
                  <w14:solidFill>
                    <w14:schemeClr w14:val="tx1"/>
                  </w14:solidFill>
                </w14:textFill>
              </w:rPr>
              <w:t>20</w:t>
            </w:r>
            <w:r>
              <w:rPr>
                <w:color w:val="000000" w:themeColor="text1"/>
                <w:sz w:val="24"/>
                <w14:textFill>
                  <w14:solidFill>
                    <w14:schemeClr w14:val="tx1"/>
                  </w14:solidFill>
                </w14:textFill>
              </w:rPr>
              <w:t>日</w:t>
            </w:r>
            <w:r>
              <w:rPr>
                <w:rFonts w:hint="eastAsia"/>
                <w:color w:val="000000" w:themeColor="text1"/>
                <w:sz w:val="24"/>
                <w:lang w:val="en-US" w:eastAsia="zh-CN"/>
                <w14:textFill>
                  <w14:solidFill>
                    <w14:schemeClr w14:val="tx1"/>
                  </w14:solidFill>
                </w14:textFill>
              </w:rPr>
              <w:t>宝鸡</w:t>
            </w:r>
            <w:r>
              <w:rPr>
                <w:rFonts w:hint="eastAsia"/>
                <w:color w:val="000000" w:themeColor="text1"/>
                <w:sz w:val="24"/>
                <w14:textFill>
                  <w14:solidFill>
                    <w14:schemeClr w14:val="tx1"/>
                  </w14:solidFill>
                </w14:textFill>
              </w:rPr>
              <w:t>市</w:t>
            </w:r>
            <w:r>
              <w:rPr>
                <w:rFonts w:hint="eastAsia"/>
                <w:color w:val="000000" w:themeColor="text1"/>
                <w:sz w:val="24"/>
                <w:lang w:val="en-US" w:eastAsia="zh-CN"/>
                <w14:textFill>
                  <w14:solidFill>
                    <w14:schemeClr w14:val="tx1"/>
                  </w14:solidFill>
                </w14:textFill>
              </w:rPr>
              <w:t>陈仓区</w:t>
            </w:r>
            <w:r>
              <w:rPr>
                <w:rFonts w:hint="eastAsia"/>
                <w:color w:val="000000" w:themeColor="text1"/>
                <w:sz w:val="24"/>
                <w14:textFill>
                  <w14:solidFill>
                    <w14:schemeClr w14:val="tx1"/>
                  </w14:solidFill>
                </w14:textFill>
              </w:rPr>
              <w:t>人民</w:t>
            </w:r>
            <w:r>
              <w:rPr>
                <w:color w:val="000000" w:themeColor="text1"/>
                <w:sz w:val="24"/>
                <w14:textFill>
                  <w14:solidFill>
                    <w14:schemeClr w14:val="tx1"/>
                  </w14:solidFill>
                </w14:textFill>
              </w:rPr>
              <w:t>武装部《关于</w:t>
            </w:r>
            <w:r>
              <w:rPr>
                <w:rFonts w:hint="eastAsia"/>
                <w:color w:val="000000" w:themeColor="text1"/>
                <w:sz w:val="24"/>
                <w:lang w:val="en-US" w:eastAsia="zh-CN"/>
                <w14:textFill>
                  <w14:solidFill>
                    <w14:schemeClr w14:val="tx1"/>
                  </w14:solidFill>
                </w14:textFill>
              </w:rPr>
              <w:t>协助做好我区2023</w:t>
            </w:r>
            <w:r>
              <w:rPr>
                <w:color w:val="000000" w:themeColor="text1"/>
                <w:sz w:val="24"/>
                <w14:textFill>
                  <w14:solidFill>
                    <w14:schemeClr w14:val="tx1"/>
                  </w14:solidFill>
                </w14:textFill>
              </w:rPr>
              <w:t>风电</w:t>
            </w:r>
            <w:r>
              <w:rPr>
                <w:rFonts w:hint="eastAsia"/>
                <w:color w:val="000000" w:themeColor="text1"/>
                <w:sz w:val="24"/>
                <w:lang w:val="en-US" w:eastAsia="zh-CN"/>
                <w14:textFill>
                  <w14:solidFill>
                    <w14:schemeClr w14:val="tx1"/>
                  </w14:solidFill>
                </w14:textFill>
              </w:rPr>
              <w:t>光伏发电开发建设</w:t>
            </w:r>
            <w:r>
              <w:rPr>
                <w:color w:val="000000" w:themeColor="text1"/>
                <w:sz w:val="24"/>
                <w14:textFill>
                  <w14:solidFill>
                    <w14:schemeClr w14:val="tx1"/>
                  </w14:solidFill>
                </w14:textFill>
              </w:rPr>
              <w:t>项目</w:t>
            </w:r>
            <w:r>
              <w:rPr>
                <w:rFonts w:hint="eastAsia"/>
                <w:color w:val="000000" w:themeColor="text1"/>
                <w:sz w:val="24"/>
                <w:lang w:val="en-US" w:eastAsia="zh-CN"/>
                <w14:textFill>
                  <w14:solidFill>
                    <w14:schemeClr w14:val="tx1"/>
                  </w14:solidFill>
                </w14:textFill>
              </w:rPr>
              <w:t>申报有关工作</w:t>
            </w:r>
            <w:r>
              <w:rPr>
                <w:color w:val="000000" w:themeColor="text1"/>
                <w:sz w:val="24"/>
                <w14:textFill>
                  <w14:solidFill>
                    <w14:schemeClr w14:val="tx1"/>
                  </w14:solidFill>
                </w14:textFill>
              </w:rPr>
              <w:t>的</w:t>
            </w:r>
            <w:r>
              <w:rPr>
                <w:rFonts w:hint="eastAsia"/>
                <w:color w:val="000000" w:themeColor="text1"/>
                <w:sz w:val="24"/>
                <w:lang w:val="en-US" w:eastAsia="zh-CN"/>
                <w14:textFill>
                  <w14:solidFill>
                    <w14:schemeClr w14:val="tx1"/>
                  </w14:solidFill>
                </w14:textFill>
              </w:rPr>
              <w:t>回函</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中“5月31日上午收到你局《关于协助做好我区 2023 风电光伏发电开发建设项目申报有关工作的函》，其中大唐陈仓</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万千瓦风电项目、宝鸡中车时代陈仓100MW复合光伏发电项目、中电工程陕西宝鸡香泉镇100MW农光互补光伏发电项目、三峡能源陈仓100MW光伏项目、陕西华电陈仓100MW风电项目共5个项目，根据当前了解情况，未发现其提供的项目选址坐标与军事设施重合，待与驻军和上级核查后，再正式复函</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w:t>
            </w:r>
          </w:p>
          <w:p w14:paraId="41FA1C8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综上，项目选址区域无国家级、省级重点保护野生动物，不涉及水源保护区及村镇分散水源地，也不涉及风景名胜区、自然保护区、基本农田、文物保护单位等敏感区域。</w:t>
            </w:r>
          </w:p>
          <w:p w14:paraId="3325DAA3">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3、风电机组选址合理性分析</w:t>
            </w:r>
          </w:p>
          <w:p w14:paraId="4E41666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风机在容量满足的条件下，选用基础占地较小方案。风机运输采用叶片举升－旋转－液压后轮转向的特种运输车，减少道路改造成本。经过收集资料、现场踏勘，项目区范围内不存在鸟类迁徙通道，且鸟类活动较少，属于鸟类的觅食区域，且运行期产生的风机噪声也会使鸟类主动回避风机。项目产生的污染物在采取本报告提出的污染防治措施后，均能做到达标排放或合理处置，不会对周围环境产生明显不利影响。</w:t>
            </w:r>
          </w:p>
          <w:p w14:paraId="55EBAB66">
            <w:pPr>
              <w:spacing w:line="360" w:lineRule="auto"/>
              <w:ind w:firstLine="480" w:firstLineChars="200"/>
              <w:rPr>
                <w:color w:val="4F81BD" w:themeColor="accent1"/>
                <w:sz w:val="24"/>
                <w14:textFill>
                  <w14:solidFill>
                    <w14:schemeClr w14:val="accent1"/>
                  </w14:solidFill>
                </w14:textFill>
              </w:rPr>
            </w:pPr>
            <w:r>
              <w:rPr>
                <w:rFonts w:hint="eastAsia"/>
                <w:color w:val="auto"/>
                <w:sz w:val="24"/>
              </w:rPr>
              <w:t>本</w:t>
            </w:r>
            <w:r>
              <w:rPr>
                <w:color w:val="auto"/>
                <w:sz w:val="24"/>
              </w:rPr>
              <w:t>项目光影防护距离为西北偏北至东北偏北</w:t>
            </w:r>
            <w:r>
              <w:rPr>
                <w:rFonts w:hint="eastAsia"/>
                <w:color w:val="auto"/>
                <w:sz w:val="24"/>
              </w:rPr>
              <w:t>50</w:t>
            </w:r>
            <w:r>
              <w:rPr>
                <w:rFonts w:hint="eastAsia"/>
                <w:color w:val="auto"/>
                <w:sz w:val="24"/>
                <w:lang w:val="en-US" w:eastAsia="zh-CN"/>
              </w:rPr>
              <w:t>4</w:t>
            </w:r>
            <w:r>
              <w:rPr>
                <w:color w:val="auto"/>
                <w:sz w:val="24"/>
              </w:rPr>
              <w:t>m范围内</w:t>
            </w:r>
            <w:r>
              <w:rPr>
                <w:rFonts w:hint="eastAsia"/>
                <w:color w:val="auto"/>
                <w:sz w:val="24"/>
              </w:rPr>
              <w:t>，</w:t>
            </w:r>
            <w:r>
              <w:rPr>
                <w:rFonts w:hint="default" w:ascii="Times New Roman" w:hAnsi="Times New Roman" w:eastAsia="宋体" w:cs="Times New Roman"/>
                <w:b w:val="0"/>
                <w:bCs w:val="0"/>
                <w:color w:val="auto"/>
                <w:kern w:val="0"/>
                <w:sz w:val="24"/>
                <w:szCs w:val="24"/>
                <w:highlight w:val="none"/>
                <w:lang w:val="en-US" w:eastAsia="zh-CN" w:bidi="ar"/>
              </w:rPr>
              <w:t>对照风电场范围内敏感点分布情况，各</w:t>
            </w:r>
            <w:r>
              <w:rPr>
                <w:rFonts w:hint="eastAsia" w:cs="Times New Roman"/>
                <w:b w:val="0"/>
                <w:bCs w:val="0"/>
                <w:color w:val="auto"/>
                <w:kern w:val="0"/>
                <w:sz w:val="24"/>
                <w:szCs w:val="24"/>
                <w:highlight w:val="none"/>
                <w:lang w:val="en-US" w:eastAsia="zh-CN" w:bidi="ar"/>
              </w:rPr>
              <w:t>个</w:t>
            </w:r>
            <w:r>
              <w:rPr>
                <w:rFonts w:hint="eastAsia" w:ascii="Times New Roman" w:hAnsi="Times New Roman" w:eastAsia="宋体" w:cs="Times New Roman"/>
                <w:b w:val="0"/>
                <w:bCs w:val="0"/>
                <w:color w:val="auto"/>
                <w:kern w:val="0"/>
                <w:sz w:val="24"/>
                <w:szCs w:val="24"/>
                <w:highlight w:val="none"/>
                <w:lang w:val="en-US" w:eastAsia="zh-CN" w:bidi="ar"/>
              </w:rPr>
              <w:t>拟选机位</w:t>
            </w:r>
            <w:r>
              <w:rPr>
                <w:rFonts w:hint="default" w:ascii="Times New Roman" w:hAnsi="Times New Roman" w:eastAsia="宋体" w:cs="Times New Roman"/>
                <w:b w:val="0"/>
                <w:bCs w:val="0"/>
                <w:color w:val="auto"/>
                <w:kern w:val="0"/>
                <w:sz w:val="24"/>
                <w:szCs w:val="24"/>
                <w:highlight w:val="none"/>
                <w:lang w:val="en-US" w:eastAsia="zh-CN" w:bidi="ar"/>
              </w:rPr>
              <w:t>光影防护距离范围内无环境保护目标。</w:t>
            </w:r>
          </w:p>
          <w:p w14:paraId="55BF5662">
            <w:pPr>
              <w:pStyle w:val="3"/>
              <w:spacing w:before="0" w:beforeLines="0" w:after="0" w:afterLines="0"/>
              <w:ind w:firstLine="480" w:firstLineChars="200"/>
              <w:rPr>
                <w:color w:val="000000" w:themeColor="text1"/>
                <w14:textFill>
                  <w14:solidFill>
                    <w14:schemeClr w14:val="tx1"/>
                  </w14:solidFill>
                </w14:textFill>
              </w:rPr>
            </w:pPr>
            <w:r>
              <w:rPr>
                <w:rFonts w:hint="eastAsia"/>
                <w:color w:val="000000" w:themeColor="text1"/>
                <w:sz w:val="24"/>
                <w:lang w:val="en-US" w:eastAsia="zh-CN"/>
                <w14:textFill>
                  <w14:solidFill>
                    <w14:schemeClr w14:val="tx1"/>
                  </w14:solidFill>
                </w14:textFill>
              </w:rPr>
              <w:t>根据</w:t>
            </w:r>
            <w:r>
              <w:rPr>
                <w:rFonts w:hint="eastAsia"/>
                <w:color w:val="000000" w:themeColor="text1"/>
                <w:sz w:val="24"/>
                <w14:textFill>
                  <w14:solidFill>
                    <w14:schemeClr w14:val="tx1"/>
                  </w14:solidFill>
                </w14:textFill>
              </w:rPr>
              <w:t>噪声预测结果</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项目噪声影响范围</w:t>
            </w:r>
            <w:r>
              <w:rPr>
                <w:rFonts w:hint="eastAsia"/>
                <w:color w:val="000000" w:themeColor="text1"/>
                <w:sz w:val="24"/>
                <w14:textFill>
                  <w14:solidFill>
                    <w14:schemeClr w14:val="tx1"/>
                  </w14:solidFill>
                </w14:textFill>
              </w:rPr>
              <w:t>为</w:t>
            </w:r>
            <w:r>
              <w:rPr>
                <w:rFonts w:hint="eastAsia"/>
                <w:color w:val="000000" w:themeColor="text1"/>
                <w:sz w:val="24"/>
                <w:lang w:val="en-US" w:eastAsia="zh-CN"/>
                <w14:textFill>
                  <w14:solidFill>
                    <w14:schemeClr w14:val="tx1"/>
                  </w14:solidFill>
                </w14:textFill>
              </w:rPr>
              <w:t>475</w:t>
            </w:r>
            <w:r>
              <w:rPr>
                <w:color w:val="000000" w:themeColor="text1"/>
                <w:sz w:val="24"/>
                <w14:textFill>
                  <w14:solidFill>
                    <w14:schemeClr w14:val="tx1"/>
                  </w14:solidFill>
                </w14:textFill>
              </w:rPr>
              <w:t>m，</w:t>
            </w:r>
            <w:r>
              <w:rPr>
                <w:rFonts w:hint="eastAsia"/>
                <w:color w:val="000000" w:themeColor="text1"/>
                <w:sz w:val="24"/>
                <w:lang w:val="en-US" w:eastAsia="zh-CN"/>
                <w14:textFill>
                  <w14:solidFill>
                    <w14:schemeClr w14:val="tx1"/>
                  </w14:solidFill>
                </w14:textFill>
              </w:rPr>
              <w:t>影响</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范围内无</w:t>
            </w:r>
            <w:r>
              <w:rPr>
                <w:rFonts w:hint="eastAsia" w:eastAsia="宋体" w:cs="Times New Roman"/>
                <w:b w:val="0"/>
                <w:bCs w:val="0"/>
                <w:color w:val="000000" w:themeColor="text1"/>
                <w:kern w:val="0"/>
                <w:sz w:val="24"/>
                <w:szCs w:val="24"/>
                <w:highlight w:val="none"/>
                <w:lang w:val="en-US" w:eastAsia="zh-CN" w:bidi="ar"/>
                <w14:textFill>
                  <w14:solidFill>
                    <w14:schemeClr w14:val="tx1"/>
                  </w14:solidFill>
                </w14:textFill>
              </w:rPr>
              <w:t>声</w:t>
            </w:r>
            <w:r>
              <w:rPr>
                <w:rFonts w:hint="default" w:ascii="Times New Roman" w:hAnsi="Times New Roman" w:eastAsia="宋体" w:cs="Times New Roman"/>
                <w:b w:val="0"/>
                <w:bCs w:val="0"/>
                <w:color w:val="000000" w:themeColor="text1"/>
                <w:kern w:val="0"/>
                <w:sz w:val="24"/>
                <w:szCs w:val="24"/>
                <w:highlight w:val="none"/>
                <w:lang w:val="en-US" w:eastAsia="zh-CN" w:bidi="ar"/>
                <w14:textFill>
                  <w14:solidFill>
                    <w14:schemeClr w14:val="tx1"/>
                  </w14:solidFill>
                </w14:textFill>
              </w:rPr>
              <w:t>环境保护目标</w:t>
            </w:r>
            <w:r>
              <w:rPr>
                <w:rFonts w:hint="eastAsia"/>
                <w:color w:val="000000" w:themeColor="text1"/>
                <w:sz w:val="24"/>
                <w14:textFill>
                  <w14:solidFill>
                    <w14:schemeClr w14:val="tx1"/>
                  </w14:solidFill>
                </w14:textFill>
              </w:rPr>
              <w:t>。</w:t>
            </w:r>
          </w:p>
          <w:p w14:paraId="1396CF78">
            <w:pPr>
              <w:spacing w:line="360" w:lineRule="auto"/>
              <w:ind w:firstLine="480" w:firstLineChars="200"/>
              <w:rPr>
                <w:color w:val="000000" w:themeColor="text1"/>
                <w14:textFill>
                  <w14:solidFill>
                    <w14:schemeClr w14:val="tx1"/>
                  </w14:solidFill>
                </w14:textFill>
              </w:rPr>
            </w:pPr>
            <w:r>
              <w:rPr>
                <w:color w:val="000000" w:themeColor="text1"/>
                <w:sz w:val="24"/>
                <w14:textFill>
                  <w14:solidFill>
                    <w14:schemeClr w14:val="tx1"/>
                  </w14:solidFill>
                </w14:textFill>
              </w:rPr>
              <w:t>综上所述，</w:t>
            </w: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w:t>
            </w:r>
            <w:r>
              <w:rPr>
                <w:rFonts w:hint="eastAsia"/>
                <w:color w:val="000000" w:themeColor="text1"/>
                <w:sz w:val="24"/>
                <w14:textFill>
                  <w14:solidFill>
                    <w14:schemeClr w14:val="tx1"/>
                  </w14:solidFill>
                </w14:textFill>
              </w:rPr>
              <w:t>拟</w:t>
            </w:r>
            <w:r>
              <w:rPr>
                <w:rFonts w:eastAsiaTheme="minorEastAsia"/>
                <w:color w:val="000000" w:themeColor="text1"/>
                <w:sz w:val="24"/>
                <w14:textFill>
                  <w14:solidFill>
                    <w14:schemeClr w14:val="tx1"/>
                  </w14:solidFill>
                </w14:textFill>
              </w:rPr>
              <w:t>选址</w:t>
            </w:r>
            <w:r>
              <w:rPr>
                <w:rFonts w:hint="eastAsia" w:eastAsiaTheme="minorEastAsia"/>
                <w:color w:val="000000" w:themeColor="text1"/>
                <w:sz w:val="24"/>
                <w14:textFill>
                  <w14:solidFill>
                    <w14:schemeClr w14:val="tx1"/>
                  </w14:solidFill>
                </w14:textFill>
              </w:rPr>
              <w:t>的1</w:t>
            </w:r>
            <w:r>
              <w:rPr>
                <w:rFonts w:hint="eastAsia" w:eastAsiaTheme="minorEastAsia"/>
                <w:color w:val="000000" w:themeColor="text1"/>
                <w:sz w:val="24"/>
                <w:lang w:val="en-US" w:eastAsia="zh-CN"/>
                <w14:textFill>
                  <w14:solidFill>
                    <w14:schemeClr w14:val="tx1"/>
                  </w14:solidFill>
                </w14:textFill>
              </w:rPr>
              <w:t>0</w:t>
            </w:r>
            <w:r>
              <w:rPr>
                <w:rFonts w:eastAsiaTheme="minorEastAsia"/>
                <w:color w:val="000000" w:themeColor="text1"/>
                <w:sz w:val="24"/>
                <w14:textFill>
                  <w14:solidFill>
                    <w14:schemeClr w14:val="tx1"/>
                  </w14:solidFill>
                </w14:textFill>
              </w:rPr>
              <w:t>处风机</w:t>
            </w:r>
            <w:r>
              <w:rPr>
                <w:rFonts w:hint="eastAsia" w:eastAsiaTheme="minorEastAsia"/>
                <w:color w:val="000000" w:themeColor="text1"/>
                <w:sz w:val="24"/>
                <w14:textFill>
                  <w14:solidFill>
                    <w14:schemeClr w14:val="tx1"/>
                  </w14:solidFill>
                </w14:textFill>
              </w:rPr>
              <w:t>点位</w:t>
            </w:r>
            <w:r>
              <w:rPr>
                <w:color w:val="000000" w:themeColor="text1"/>
                <w:sz w:val="24"/>
                <w14:textFill>
                  <w14:solidFill>
                    <w14:schemeClr w14:val="tx1"/>
                  </w14:solidFill>
                </w14:textFill>
              </w:rPr>
              <w:t>对周边居民影响较小，选址合理。</w:t>
            </w:r>
          </w:p>
        </w:tc>
      </w:tr>
    </w:tbl>
    <w:p w14:paraId="6FA7BC86">
      <w:pPr>
        <w:pStyle w:val="26"/>
        <w:adjustRightInd w:val="0"/>
        <w:snapToGrid w:val="0"/>
        <w:spacing w:before="0" w:beforeAutospacing="0" w:after="0" w:afterAutospacing="0"/>
        <w:jc w:val="center"/>
        <w:rPr>
          <w:rFonts w:ascii="Times New Roman" w:hAnsi="Times New Roman"/>
          <w:bCs/>
          <w:color w:val="000000" w:themeColor="text1"/>
          <w:szCs w:val="21"/>
          <w14:textFill>
            <w14:solidFill>
              <w14:schemeClr w14:val="tx1"/>
            </w14:solidFill>
          </w14:textFill>
        </w:rPr>
        <w:sectPr>
          <w:pgSz w:w="11907" w:h="16840"/>
          <w:pgMar w:top="1701" w:right="1531" w:bottom="2127" w:left="1531" w:header="851" w:footer="851" w:gutter="0"/>
          <w:cols w:space="720" w:num="1"/>
          <w:docGrid w:linePitch="312" w:charSpace="0"/>
        </w:sectPr>
      </w:pPr>
    </w:p>
    <w:p w14:paraId="45F0BE0B">
      <w:pPr>
        <w:pStyle w:val="26"/>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五</w:t>
      </w:r>
      <w:r>
        <w:rPr>
          <w:rFonts w:ascii="Times New Roman" w:hAnsi="Times New Roman" w:eastAsia="黑体"/>
          <w:snapToGrid w:val="0"/>
          <w:color w:val="000000" w:themeColor="text1"/>
          <w:sz w:val="30"/>
          <w:szCs w:val="30"/>
          <w14:textFill>
            <w14:solidFill>
              <w14:schemeClr w14:val="tx1"/>
            </w14:solidFill>
          </w14:textFill>
        </w:rPr>
        <w:t>、</w:t>
      </w:r>
      <w:r>
        <w:rPr>
          <w:rFonts w:hint="eastAsia" w:ascii="Times New Roman" w:hAnsi="Times New Roman" w:eastAsia="黑体"/>
          <w:snapToGrid w:val="0"/>
          <w:color w:val="000000" w:themeColor="text1"/>
          <w:sz w:val="30"/>
          <w:szCs w:val="30"/>
          <w14:textFill>
            <w14:solidFill>
              <w14:schemeClr w14:val="tx1"/>
            </w14:solidFill>
          </w14:textFill>
        </w:rPr>
        <w:t>主要生态环境保护措施</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41AB5B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3FB78BE8">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施工期生态环境保护措施</w:t>
            </w:r>
          </w:p>
        </w:tc>
        <w:tc>
          <w:tcPr>
            <w:tcW w:w="8190" w:type="dxa"/>
            <w:vAlign w:val="center"/>
          </w:tcPr>
          <w:p w14:paraId="7F7F09EF">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1、施工期生态环境保护措施</w:t>
            </w:r>
          </w:p>
          <w:p w14:paraId="47AD210A">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植被保护措施</w:t>
            </w:r>
          </w:p>
          <w:p w14:paraId="57D9695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①加强施工人员生态保护教育，施工过程中尽量减少植被破坏，各种施工活动应严格控制在施工区域内，并将临时占地面积控制在最低限度，以免造成植被不必要的破坏。</w:t>
            </w:r>
          </w:p>
          <w:p w14:paraId="4AAB910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②在排列风力发电机组时，应尽量避开有树木、植被的地方，减少植被生态环境破坏；对无法避让的林木尽量采取异地种植，以减少对植被的砍伐、损坏。</w:t>
            </w:r>
          </w:p>
          <w:p w14:paraId="32E8035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③在项目设计中除考虑选择适合当地适生速成树种外，在绿化布局上还应考虑多树种的交错分布，以增强生态系统的稳定性。绿化树种选择是应避免采用对当地植被和作物产生生态入侵危害的树种。</w:t>
            </w:r>
          </w:p>
          <w:p w14:paraId="09D46710">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④制定详细的植被恢复方案，在施工作业完成后，应种植适应当地自然条件的优势灌草植被，及时进行植被恢复。</w:t>
            </w:r>
          </w:p>
          <w:p w14:paraId="34829779">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农用地保护措施</w:t>
            </w:r>
          </w:p>
          <w:p w14:paraId="10F9BB7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①</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建设单位在项目建设过程中应认真贯彻落实《中华人民共和国土地管理法》，按时、按数缴纳土地补偿费、安置补助费以及青苗补偿费。根据地方土地管理部门规定，需要缴纳耕地开垦费的应按有关规定办理。</w:t>
            </w:r>
          </w:p>
          <w:p w14:paraId="5798F0FC">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②</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施工单位要严格控制临时用地面积，施工场地要根据工程进度统筹考虑，尽可能设置在道路永久用地范围内或利用荒坡、废弃地解决，减少占用农用地面积。</w:t>
            </w:r>
          </w:p>
          <w:p w14:paraId="2161D4F5">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③</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在经过优良农用地路段，在工程可行的情况下应尽量收缩干扰边坡，以减少占用农用地，对于坡面工程应及时采取工程或植物措施加以防护以减少水土流失现象。</w:t>
            </w:r>
          </w:p>
          <w:p w14:paraId="41337393">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④</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道路建设中废弃的旧路等要尽可能造地复垦，不能复垦的要尽量绿化，避免闲置浪费。</w:t>
            </w:r>
          </w:p>
          <w:p w14:paraId="6DE5AD8F">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GB3 \* MERGEFORMAT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⑤</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合理安排施工时间，保证不违农时和不留工程隐患，道路排水不直接排入农田水体，以免冲刷和污染农田。保护道路排水系统和农灌沟渠系统，避免施工对沿线农业灌溉系统的影响。</w:t>
            </w:r>
          </w:p>
          <w:p w14:paraId="1F403B04">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GB2 \* MERGEFORMAT </w:instrText>
            </w:r>
            <w:r>
              <w:rPr>
                <w:color w:val="000000" w:themeColor="text1"/>
                <w:sz w:val="24"/>
                <w14:textFill>
                  <w14:solidFill>
                    <w14:schemeClr w14:val="tx1"/>
                  </w14:solidFill>
                </w14:textFill>
              </w:rPr>
              <w:fldChar w:fldCharType="separate"/>
            </w:r>
            <w:r>
              <w:t>⑶</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表土保护措施</w:t>
            </w:r>
          </w:p>
          <w:p w14:paraId="7E24C9DD">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项目在挖填土石方作业过程中，施工时，采取“分层开挖、分层堆放、分层回填压实”原则，保护植被生长层所需的熟土，地表30cm厚的表土层堆放在下层，用无纺布进行隔离，其他土方需采用无纺布进行苫盖，并设置草袋装土进行拦挡压盖，同时采取洒水降尘措施，减少对土壤理化性质的影响，待施工结束后将表层土回覆于场区，尽量恢复土壤生产力，以利于耕地的恢复。</w:t>
            </w:r>
          </w:p>
          <w:p w14:paraId="6461131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GB2 \* MERGEFORMAT </w:instrText>
            </w:r>
            <w:r>
              <w:rPr>
                <w:color w:val="000000" w:themeColor="text1"/>
                <w:sz w:val="24"/>
                <w14:textFill>
                  <w14:solidFill>
                    <w14:schemeClr w14:val="tx1"/>
                  </w14:solidFill>
                </w14:textFill>
              </w:rPr>
              <w:fldChar w:fldCharType="separate"/>
            </w:r>
            <w:r>
              <w:t>⑷</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野生动物减缓及保护措施</w:t>
            </w:r>
          </w:p>
          <w:p w14:paraId="7B25C06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应加强对施工的管理，加强施工人员的环保教育。开工前，应在工地及周边设立保护植被和野生动物的宣传牌。预计在施工期，本区的野生动物都将产生规避反应，远离这一地区，特别是鸟类，其栖息和繁殖环境需要相对的安静。因此，本区的鸟类会受到一定影响。根据当地居民反映，项目区主要野生鸟类为</w:t>
            </w:r>
            <w:r>
              <w:rPr>
                <w:color w:val="000000" w:themeColor="text1"/>
                <w:kern w:val="0"/>
                <w:sz w:val="24"/>
                <w:lang w:val="zh-CN"/>
                <w14:textFill>
                  <w14:solidFill>
                    <w14:schemeClr w14:val="tx1"/>
                  </w14:solidFill>
                </w14:textFill>
              </w:rPr>
              <w:t>麻雀、喜鹊、啄木鸟、乌鸦</w:t>
            </w:r>
            <w:r>
              <w:rPr>
                <w:color w:val="000000" w:themeColor="text1"/>
                <w:sz w:val="24"/>
                <w14:textFill>
                  <w14:solidFill>
                    <w14:schemeClr w14:val="tx1"/>
                  </w14:solidFill>
                </w14:textFill>
              </w:rPr>
              <w:t>等常见鸟类，区域内未发现较为珍稀的野生鸟类。据调查，本区无大型野生动物，哺乳动物主要是鼠、兔等小型动物。</w:t>
            </w:r>
          </w:p>
          <w:p w14:paraId="72531CF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严禁施工人员捕杀野生动物。施工期应避开鸟类迁徙高峰期，尽量避开鸟类集群及繁殖的高峰期。尤其是在有大雾、小雨或强逆风的天气，应该停止施工。</w:t>
            </w:r>
          </w:p>
          <w:p w14:paraId="798AF8C8">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GB2 \* MERGEFORMAT </w:instrText>
            </w:r>
            <w:r>
              <w:rPr>
                <w:color w:val="000000" w:themeColor="text1"/>
                <w:sz w:val="24"/>
                <w14:textFill>
                  <w14:solidFill>
                    <w14:schemeClr w14:val="tx1"/>
                  </w14:solidFill>
                </w14:textFill>
              </w:rPr>
              <w:fldChar w:fldCharType="separate"/>
            </w:r>
            <w:r>
              <w:t>⑸</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项目施工分区具体生态恢复措施</w:t>
            </w:r>
          </w:p>
          <w:p w14:paraId="637714C1">
            <w:pPr>
              <w:spacing w:line="360" w:lineRule="auto"/>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w:t>
            </w:r>
            <w:r>
              <w:rPr>
                <w:color w:val="000000" w:themeColor="text1"/>
                <w:sz w:val="24"/>
                <w14:textFill>
                  <w14:solidFill>
                    <w14:schemeClr w14:val="tx1"/>
                  </w14:solidFill>
                </w14:textFill>
              </w:rPr>
              <w:t>风机及箱变施工区恢复措施</w:t>
            </w:r>
          </w:p>
          <w:p w14:paraId="6A6412F1">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风机及箱变施工区</w:t>
            </w:r>
            <w:r>
              <w:rPr>
                <w:rFonts w:hint="eastAsia"/>
                <w:color w:val="000000" w:themeColor="text1"/>
                <w:sz w:val="24"/>
                <w14:textFill>
                  <w14:solidFill>
                    <w14:schemeClr w14:val="tx1"/>
                  </w14:solidFill>
                </w14:textFill>
              </w:rPr>
              <w:t>占地类型主要为果园、旱地，</w:t>
            </w:r>
            <w:r>
              <w:rPr>
                <w:color w:val="000000" w:themeColor="text1"/>
                <w:sz w:val="24"/>
                <w14:textFill>
                  <w14:solidFill>
                    <w14:schemeClr w14:val="tx1"/>
                  </w14:solidFill>
                </w14:textFill>
              </w:rPr>
              <w:t>施工结束后，对临时施工场地和吊装场地进行表土回填、土地平整，对平整后的临时占地进行全面整地，基础与周围地面形成的渣体边坡采取植物护坡；</w:t>
            </w:r>
            <w:r>
              <w:rPr>
                <w:rFonts w:hint="eastAsia"/>
                <w:color w:val="000000" w:themeColor="text1"/>
                <w:sz w:val="24"/>
                <w14:textFill>
                  <w14:solidFill>
                    <w14:schemeClr w14:val="tx1"/>
                  </w14:solidFill>
                </w14:textFill>
              </w:rPr>
              <w:t>对于</w:t>
            </w:r>
            <w:r>
              <w:rPr>
                <w:color w:val="000000" w:themeColor="text1"/>
                <w:sz w:val="24"/>
                <w14:textFill>
                  <w14:solidFill>
                    <w14:schemeClr w14:val="tx1"/>
                  </w14:solidFill>
                </w14:textFill>
              </w:rPr>
              <w:t>占地内原为</w:t>
            </w:r>
            <w:r>
              <w:rPr>
                <w:rFonts w:hint="eastAsia"/>
                <w:color w:val="000000" w:themeColor="text1"/>
                <w:sz w:val="24"/>
                <w14:textFill>
                  <w14:solidFill>
                    <w14:schemeClr w14:val="tx1"/>
                  </w14:solidFill>
                </w14:textFill>
              </w:rPr>
              <w:t>果园、旱地的</w:t>
            </w:r>
            <w:r>
              <w:rPr>
                <w:color w:val="000000" w:themeColor="text1"/>
                <w:sz w:val="24"/>
                <w14:textFill>
                  <w14:solidFill>
                    <w14:schemeClr w14:val="tx1"/>
                  </w14:solidFill>
                </w14:textFill>
              </w:rPr>
              <w:t>，复垦回原有农用地，交给当地农民耕作。</w:t>
            </w:r>
          </w:p>
          <w:p w14:paraId="1C3797CC">
            <w:pPr>
              <w:spacing w:line="360" w:lineRule="auto"/>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w:t>
            </w:r>
            <w:r>
              <w:rPr>
                <w:color w:val="000000" w:themeColor="text1"/>
                <w:sz w:val="24"/>
                <w14:textFill>
                  <w14:solidFill>
                    <w14:schemeClr w14:val="tx1"/>
                  </w14:solidFill>
                </w14:textFill>
              </w:rPr>
              <w:t>集电线路施工区恢复措施</w:t>
            </w:r>
          </w:p>
          <w:p w14:paraId="1BC7245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集电线路占地类型</w:t>
            </w:r>
            <w:r>
              <w:rPr>
                <w:rFonts w:hint="eastAsia"/>
                <w:color w:val="000000" w:themeColor="text1"/>
                <w:sz w:val="24"/>
                <w14:textFill>
                  <w14:solidFill>
                    <w14:schemeClr w14:val="tx1"/>
                  </w14:solidFill>
                </w14:textFill>
              </w:rPr>
              <w:t>主要</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果园、旱地</w:t>
            </w:r>
            <w:r>
              <w:rPr>
                <w:color w:val="000000" w:themeColor="text1"/>
                <w:sz w:val="24"/>
                <w14:textFill>
                  <w14:solidFill>
                    <w14:schemeClr w14:val="tx1"/>
                  </w14:solidFill>
                </w14:textFill>
              </w:rPr>
              <w:t>。施工前对电缆沟及塔杆基础可剥离的表土进行剥离，施工结束后对电缆沟和铁塔占地进行土地平整，后进行绿化。对于占地原为</w:t>
            </w:r>
            <w:r>
              <w:rPr>
                <w:rFonts w:hint="eastAsia"/>
                <w:color w:val="000000" w:themeColor="text1"/>
                <w:sz w:val="24"/>
                <w14:textFill>
                  <w14:solidFill>
                    <w14:schemeClr w14:val="tx1"/>
                  </w14:solidFill>
                </w14:textFill>
              </w:rPr>
              <w:t>果园、旱地</w:t>
            </w:r>
            <w:r>
              <w:rPr>
                <w:color w:val="000000" w:themeColor="text1"/>
                <w:sz w:val="24"/>
                <w14:textFill>
                  <w14:solidFill>
                    <w14:schemeClr w14:val="tx1"/>
                  </w14:solidFill>
                </w14:textFill>
              </w:rPr>
              <w:t>的，复垦回原有农用地，交给当地农民耕作。</w:t>
            </w:r>
          </w:p>
          <w:p w14:paraId="41C9A5B3">
            <w:pPr>
              <w:spacing w:line="360" w:lineRule="auto"/>
              <w:ind w:left="420" w:left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③</w:t>
            </w:r>
            <w:r>
              <w:rPr>
                <w:color w:val="000000" w:themeColor="text1"/>
                <w:sz w:val="24"/>
                <w14:textFill>
                  <w14:solidFill>
                    <w14:schemeClr w14:val="tx1"/>
                  </w14:solidFill>
                </w14:textFill>
              </w:rPr>
              <w:t>道路工程施工区恢复措施</w:t>
            </w:r>
          </w:p>
          <w:p w14:paraId="6FE68F2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场内道路两侧占地类型主要为</w:t>
            </w:r>
            <w:r>
              <w:rPr>
                <w:rFonts w:hint="eastAsia"/>
                <w:color w:val="000000" w:themeColor="text1"/>
                <w:sz w:val="24"/>
                <w14:textFill>
                  <w14:solidFill>
                    <w14:schemeClr w14:val="tx1"/>
                  </w14:solidFill>
                </w14:textFill>
              </w:rPr>
              <w:t>果园、旱地</w:t>
            </w:r>
            <w:r>
              <w:rPr>
                <w:color w:val="000000" w:themeColor="text1"/>
                <w:sz w:val="24"/>
                <w14:textFill>
                  <w14:solidFill>
                    <w14:schemeClr w14:val="tx1"/>
                  </w14:solidFill>
                </w14:textFill>
              </w:rPr>
              <w:t>。施工结束后，进行土地平整，后进行绿化。对于占地原为</w:t>
            </w:r>
            <w:r>
              <w:rPr>
                <w:rFonts w:hint="eastAsia"/>
                <w:color w:val="000000" w:themeColor="text1"/>
                <w:sz w:val="24"/>
                <w14:textFill>
                  <w14:solidFill>
                    <w14:schemeClr w14:val="tx1"/>
                  </w14:solidFill>
                </w14:textFill>
              </w:rPr>
              <w:t>果园、旱地</w:t>
            </w:r>
            <w:r>
              <w:rPr>
                <w:color w:val="000000" w:themeColor="text1"/>
                <w:sz w:val="24"/>
                <w14:textFill>
                  <w14:solidFill>
                    <w14:schemeClr w14:val="tx1"/>
                  </w14:solidFill>
                </w14:textFill>
              </w:rPr>
              <w:t>的，复垦回原有农用地，交给当地农民耕作。</w:t>
            </w:r>
          </w:p>
          <w:p w14:paraId="7B0FB8AA">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6 \* GB2 \* MERGEFORMAT </w:instrText>
            </w:r>
            <w:r>
              <w:rPr>
                <w:color w:val="000000" w:themeColor="text1"/>
                <w:sz w:val="24"/>
                <w14:textFill>
                  <w14:solidFill>
                    <w14:schemeClr w14:val="tx1"/>
                  </w14:solidFill>
                </w14:textFill>
              </w:rPr>
              <w:fldChar w:fldCharType="separate"/>
            </w:r>
            <w:r>
              <w:t>⑹</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其他生态保护及恢复措施</w:t>
            </w:r>
          </w:p>
          <w:p w14:paraId="252C53C3">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①</w:t>
            </w:r>
            <w:r>
              <w:rPr>
                <w:color w:val="000000" w:themeColor="text1"/>
                <w:kern w:val="0"/>
                <w:sz w:val="24"/>
                <w:lang w:bidi="ar"/>
                <w14:textFill>
                  <w14:solidFill>
                    <w14:schemeClr w14:val="tx1"/>
                  </w14:solidFill>
                </w14:textFill>
              </w:rPr>
              <w:t>施工过程中要采取有效措施防止污染耕地，项目完工后临时用地按要求认真恢复。凡因施工破坏植被而裸露的土地均应在施工结束后立即整治利用，恢复植被。</w:t>
            </w:r>
          </w:p>
          <w:p w14:paraId="30961903">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②</w:t>
            </w:r>
            <w:r>
              <w:rPr>
                <w:color w:val="000000" w:themeColor="text1"/>
                <w:kern w:val="0"/>
                <w:sz w:val="24"/>
                <w:lang w:bidi="ar"/>
                <w14:textFill>
                  <w14:solidFill>
                    <w14:schemeClr w14:val="tx1"/>
                  </w14:solidFill>
                </w14:textFill>
              </w:rPr>
              <w:t>在经过优良耕地路段，在工程可行的情况下应尽量收缩干扰边坡，以减少占用耕地，对于坡面工程应及时采取工程或植物措施加以防护以减少水土流失现象发生。</w:t>
            </w:r>
          </w:p>
          <w:p w14:paraId="094A5246">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③</w:t>
            </w:r>
            <w:r>
              <w:rPr>
                <w:color w:val="000000" w:themeColor="text1"/>
                <w:kern w:val="0"/>
                <w:sz w:val="24"/>
                <w:lang w:bidi="ar"/>
                <w14:textFill>
                  <w14:solidFill>
                    <w14:schemeClr w14:val="tx1"/>
                  </w14:solidFill>
                </w14:textFill>
              </w:rPr>
              <w:t>当管沟回填后有多余土方，应将土方均匀分散在两侧，使其自然过渡到周围，不得形成汇水环境，防止水土流失。</w:t>
            </w:r>
          </w:p>
          <w:p w14:paraId="0342F42A">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④</w:t>
            </w:r>
            <w:r>
              <w:rPr>
                <w:color w:val="000000" w:themeColor="text1"/>
                <w:kern w:val="0"/>
                <w:sz w:val="24"/>
                <w:lang w:bidi="ar"/>
                <w14:textFill>
                  <w14:solidFill>
                    <w14:schemeClr w14:val="tx1"/>
                  </w14:solidFill>
                </w14:textFill>
              </w:rPr>
              <w:t>尽可能地缩短疏松地面、坡面的裸露时间，合理安排施工时间，尽量避开大风和雨天施工，在雨季和汛期到来之前，应备齐土体临时防护用的物料及各种防汛物资，随时采取临时防护措施，以减少土壤的流失。</w:t>
            </w:r>
          </w:p>
          <w:p w14:paraId="3A9DB398">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⑤</w:t>
            </w:r>
            <w:r>
              <w:rPr>
                <w:color w:val="000000" w:themeColor="text1"/>
                <w:kern w:val="0"/>
                <w:sz w:val="24"/>
                <w:lang w:bidi="ar"/>
                <w14:textFill>
                  <w14:solidFill>
                    <w14:schemeClr w14:val="tx1"/>
                  </w14:solidFill>
                </w14:textFill>
              </w:rPr>
              <w:t>风机安装场地开挖前在下游坡脚设置挡土墙，在场地内设排水沟，以排除场内积水。施工期间要求尽量做到挖填同步，确需临时堆置的场地四周采取土袋防护以及苫盖措施，并对施工区扰动地表采取碾压、洒水等临时防护措施。施工结束后，及时对场地进行平整和恢复植被。</w:t>
            </w:r>
          </w:p>
          <w:p w14:paraId="4EFF9ADF">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⑥</w:t>
            </w:r>
            <w:r>
              <w:rPr>
                <w:color w:val="000000" w:themeColor="text1"/>
                <w:kern w:val="0"/>
                <w:sz w:val="24"/>
                <w:lang w:bidi="ar"/>
                <w14:textFill>
                  <w14:solidFill>
                    <w14:schemeClr w14:val="tx1"/>
                  </w14:solidFill>
                </w14:textFill>
              </w:rPr>
              <w:t>施工前制定详细的植被恢复方案，在施工作业完成之后，应尽快按生长季节特点种植适宜的作物，及时进行植被恢复。植被恢复要有专项资金保证，并做到专款专用。</w:t>
            </w:r>
          </w:p>
          <w:p w14:paraId="3EE546E3">
            <w:pPr>
              <w:widowControl/>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kern w:val="0"/>
                <w:sz w:val="24"/>
                <w:lang w:bidi="ar"/>
                <w14:textFill>
                  <w14:solidFill>
                    <w14:schemeClr w14:val="tx1"/>
                  </w14:solidFill>
                </w14:textFill>
              </w:rPr>
              <w:t>⑦</w:t>
            </w:r>
            <w:r>
              <w:rPr>
                <w:color w:val="000000" w:themeColor="text1"/>
                <w:kern w:val="0"/>
                <w:sz w:val="24"/>
                <w:lang w:bidi="ar"/>
                <w14:textFill>
                  <w14:solidFill>
                    <w14:schemeClr w14:val="tx1"/>
                  </w14:solidFill>
                </w14:textFill>
              </w:rPr>
              <w:t>施工时所有车辆、机械设备、施工人员的活动严格限制在施工作业带内，对于临时占地要严格控制面积，减少对土壤及植被的不必要破坏。</w:t>
            </w:r>
          </w:p>
          <w:p w14:paraId="7CDD3F30">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2、施工期废气防治措施</w:t>
            </w:r>
          </w:p>
          <w:p w14:paraId="4ECE14A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施工扬尘防治措施</w:t>
            </w:r>
          </w:p>
          <w:p w14:paraId="52FAA95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为降低建设期扬尘对区域空气环境质量的影响，环评要求施工单位按照以下措施和要求进行施工的环境保护：</w:t>
            </w:r>
          </w:p>
          <w:p w14:paraId="753EB58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①在对地面开挖时，对于干燥土面应适当洒水，使作业面保持一定的湿度；回填土方时，在表面土质干燥时适当洒水，防止回填作业时产生扬尘。</w:t>
            </w:r>
          </w:p>
          <w:p w14:paraId="01C62CB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②施工现场必须设置固定垃圾存放点，垃圾应分类集中堆放并覆盖，及时清运，严禁焚烧、填埋和随意丢弃。</w:t>
            </w:r>
          </w:p>
          <w:p w14:paraId="2AAD74D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③施工现场对运输土方、渣土等散装货物的车辆，装载的物料、渣土高度不得超过车辆槽帮上沿，车斗用苫布遮盖或者采用密闭车斗，严禁沿路遗漏或抛撒。</w:t>
            </w:r>
          </w:p>
          <w:p w14:paraId="5B693813">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④对工地内部道路、场地要进行硬化或半硬化，其余场地必须绿化或固化，严禁使用其他软质材料铺设；同时为了减少影响，要求配备专门的清洗设备和人员负责对出入施工场地口的运输车辆车体和车轮及时冲洗，保证运输车辆不得携带泥土驶出工地。</w:t>
            </w:r>
          </w:p>
          <w:p w14:paraId="6E99100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⑤施工现场集中堆放的开挖土方必须覆盖，对易引起扬尘的物料采用绿色遮阳网、密目网进行全部覆盖，严禁裸露；及时清理堆放在场地和道路上的弃土、弃渣及抛撒料，要适时洒水灭尘，对不能及时清运的，必须采取覆盖等措施，防止二次扬尘对敏感目标的影响。</w:t>
            </w:r>
          </w:p>
          <w:p w14:paraId="010A038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⑥遇到干燥、易起尘的土方工程作业时，尽量缩短起尘操作时间，遇到四级或四级以上大风天气，应停止土方作业，同时作业处覆以防尘网。</w:t>
            </w:r>
          </w:p>
          <w:p w14:paraId="7835A05D">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⑦施工期使用混凝土应使用预拌商品混凝土，不得现场露天搅拌混凝土。</w:t>
            </w:r>
          </w:p>
          <w:p w14:paraId="3C55FF94">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运输车辆尾气控制措施</w:t>
            </w:r>
          </w:p>
          <w:p w14:paraId="4A3AB671">
            <w:pPr>
              <w:pStyle w:val="103"/>
              <w:adjustRightInd/>
              <w:snapToGrid/>
              <w:spacing w:line="360" w:lineRule="auto"/>
              <w:ind w:firstLine="480" w:firstLineChars="200"/>
              <w:jc w:val="both"/>
              <w:rPr>
                <w:color w:val="000000" w:themeColor="text1"/>
                <w:szCs w:val="24"/>
                <w14:textFill>
                  <w14:solidFill>
                    <w14:schemeClr w14:val="tx1"/>
                  </w14:solidFill>
                </w14:textFill>
              </w:rPr>
            </w:pPr>
            <w:r>
              <w:rPr>
                <w:color w:val="000000" w:themeColor="text1"/>
                <w:szCs w:val="24"/>
                <w14:textFill>
                  <w14:solidFill>
                    <w14:schemeClr w14:val="tx1"/>
                  </w14:solidFill>
                </w14:textFill>
              </w:rPr>
              <w:t>拟采取如下控制措施减少燃油废气及汽车尾气的影响：</w:t>
            </w:r>
          </w:p>
          <w:p w14:paraId="4975F98C">
            <w:pPr>
              <w:spacing w:line="360" w:lineRule="auto"/>
              <w:ind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①</w:t>
            </w:r>
            <w:r>
              <w:rPr>
                <w:snapToGrid w:val="0"/>
                <w:color w:val="000000" w:themeColor="text1"/>
                <w:kern w:val="0"/>
                <w:sz w:val="24"/>
                <w14:textFill>
                  <w14:solidFill>
                    <w14:schemeClr w14:val="tx1"/>
                  </w14:solidFill>
                </w14:textFill>
              </w:rPr>
              <w:t>尽可能使用气动和电动设备及机械，</w:t>
            </w:r>
            <w:r>
              <w:rPr>
                <w:color w:val="000000" w:themeColor="text1"/>
                <w:sz w:val="24"/>
                <w14:textFill>
                  <w14:solidFill>
                    <w14:schemeClr w14:val="tx1"/>
                  </w14:solidFill>
                </w14:textFill>
              </w:rPr>
              <w:t>本环评要求施工机械及运输车辆采用满足重型柴油车中国第六阶段排放标准要求的柴油，采取节能环保型和使用清洁能源的机动车及非道路移动机械，改善道路交通状况，提高机动车通行效率，减少大气污染物排放。确保尾气排放满足《重型柴油车污染物排放限值及测量方法（中国第六阶段）》（GB 17691—2018）相关要求。</w:t>
            </w:r>
          </w:p>
          <w:p w14:paraId="4DF34A4C">
            <w:pPr>
              <w:spacing w:line="360" w:lineRule="auto"/>
              <w:ind w:firstLine="480" w:firstLineChars="200"/>
              <w:rPr>
                <w:snapToGrid w:val="0"/>
                <w:color w:val="000000" w:themeColor="text1"/>
                <w:kern w:val="0"/>
                <w:sz w:val="24"/>
                <w14:textFill>
                  <w14:solidFill>
                    <w14:schemeClr w14:val="tx1"/>
                  </w14:solidFill>
                </w14:textFill>
              </w:rPr>
            </w:pPr>
            <w:r>
              <w:rPr>
                <w:color w:val="000000" w:themeColor="text1"/>
                <w:sz w:val="24"/>
                <w14:textFill>
                  <w14:solidFill>
                    <w14:schemeClr w14:val="tx1"/>
                  </w14:solidFill>
                </w14:textFill>
              </w:rPr>
              <w:t>②</w:t>
            </w:r>
            <w:r>
              <w:rPr>
                <w:snapToGrid w:val="0"/>
                <w:color w:val="000000" w:themeColor="text1"/>
                <w:kern w:val="0"/>
                <w:sz w:val="24"/>
                <w14:textFill>
                  <w14:solidFill>
                    <w14:schemeClr w14:val="tx1"/>
                  </w14:solidFill>
                </w14:textFill>
              </w:rPr>
              <w:t>加强对施工机械及施工车辆的检修和维护，严禁使用超期服役和尾气超标的施工机械及车辆</w:t>
            </w:r>
            <w:r>
              <w:rPr>
                <w:rFonts w:hint="eastAsia"/>
                <w:snapToGrid w:val="0"/>
                <w:color w:val="000000" w:themeColor="text1"/>
                <w:kern w:val="0"/>
                <w:sz w:val="24"/>
                <w14:textFill>
                  <w14:solidFill>
                    <w14:schemeClr w14:val="tx1"/>
                  </w14:solidFill>
                </w14:textFill>
              </w:rPr>
              <w:t>。</w:t>
            </w:r>
          </w:p>
          <w:p w14:paraId="097628AB">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由于本项目施工期运输车辆、施工机械尾气产生量较小，属间断性、分散性排放，对周围环境影响较小。</w:t>
            </w:r>
          </w:p>
          <w:p w14:paraId="1502E08C">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3、施工期废水处理措施</w:t>
            </w:r>
          </w:p>
          <w:p w14:paraId="2A6D05B8">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施工期产生的施工废水设置临时简易沉淀池，经沉淀池沉淀后全部回用，无废水排放，施工人员食宿依托附近村庄，无生活污水产生。</w:t>
            </w:r>
          </w:p>
          <w:p w14:paraId="338139CA">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4、施工噪声减缓措施</w:t>
            </w:r>
          </w:p>
          <w:p w14:paraId="7F92BAF8">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为减轻施工期噪声对施工人员以及周围环境的影响，环评要求建设单位应严格按照环境噪声污染防治管理的有关规定，采取以下措施：</w:t>
            </w:r>
          </w:p>
          <w:p w14:paraId="3B1BABF6">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制定施工计划时，应尽可能避免大量噪声设备同时使用。禁止在夜间（22:00至次日6:00）进行产生噪声污染的施工作业。因生产工艺要求或其他特殊需要，确需在夜间进行施工时，应取得工程所在地建设行政主管部门核发的准予夜间施工的批准文件。进行夜间施工作业，应当向周围居民公告。公告内容包括：施工项目名称、施工单位名称、夜间施工批准文号、夜间施工起止时间、夜间施工内容、工地负责人及其联系方式、监督电话等。</w:t>
            </w:r>
          </w:p>
          <w:p w14:paraId="2FA0DD8D">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合理布置施工场地施工设备，优化施工布局，将噪声较大的设备布置在远离周边敏感点一侧，避免同一地点噪声级较大的机械设备过多，局部声级过高，减少对周围环境的影响。尽可能将施工阶段的噪声减至最小。</w:t>
            </w:r>
          </w:p>
          <w:p w14:paraId="49603440">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GB2 \* MERGEFORMAT </w:instrText>
            </w:r>
            <w:r>
              <w:rPr>
                <w:color w:val="000000" w:themeColor="text1"/>
                <w:sz w:val="24"/>
                <w14:textFill>
                  <w14:solidFill>
                    <w14:schemeClr w14:val="tx1"/>
                  </w14:solidFill>
                </w14:textFill>
              </w:rPr>
              <w:fldChar w:fldCharType="separate"/>
            </w:r>
            <w:r>
              <w:t>⑶</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在施工设备的选型上尽量采用低噪声设备；高噪声设备在使用时，应尽量采用固定式或活动式隔声罩或隔声屏障进行局部遮挡。加强对设备的维护、养护，闲置设备及时关闭；同时，尽可能采用外加工材料，减少现场加工的工作量。</w:t>
            </w:r>
          </w:p>
          <w:p w14:paraId="0AC166C7">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4 \* GB2 \* MERGEFORMAT </w:instrText>
            </w:r>
            <w:r>
              <w:rPr>
                <w:color w:val="000000" w:themeColor="text1"/>
                <w:sz w:val="24"/>
                <w14:textFill>
                  <w14:solidFill>
                    <w14:schemeClr w14:val="tx1"/>
                  </w14:solidFill>
                </w14:textFill>
              </w:rPr>
              <w:fldChar w:fldCharType="separate"/>
            </w:r>
            <w:r>
              <w:t>⑷</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按操作规范操作机械设备，减少碰撞噪声，并对工人进行环保方面的教育，文明施工，禁止野蛮作业，尽量减少作业噪声，加强施工设备的维护与管理。</w:t>
            </w:r>
          </w:p>
          <w:p w14:paraId="38908682">
            <w:pPr>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5 \* GB2 \* MERGEFORMAT </w:instrText>
            </w:r>
            <w:r>
              <w:rPr>
                <w:color w:val="000000" w:themeColor="text1"/>
                <w:sz w:val="24"/>
                <w14:textFill>
                  <w14:solidFill>
                    <w14:schemeClr w14:val="tx1"/>
                  </w14:solidFill>
                </w14:textFill>
              </w:rPr>
              <w:fldChar w:fldCharType="separate"/>
            </w:r>
            <w:r>
              <w:t>⑸</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加强管理、控制运输</w:t>
            </w:r>
            <w:r>
              <w:rPr>
                <w:rFonts w:hint="eastAsia"/>
                <w:color w:val="000000" w:themeColor="text1"/>
                <w:sz w:val="24"/>
                <w14:textFill>
                  <w14:solidFill>
                    <w14:schemeClr w14:val="tx1"/>
                  </w14:solidFill>
                </w14:textFill>
              </w:rPr>
              <w:t>噪声</w:t>
            </w:r>
            <w:r>
              <w:rPr>
                <w:color w:val="000000" w:themeColor="text1"/>
                <w:sz w:val="24"/>
                <w14:textFill>
                  <w14:solidFill>
                    <w14:schemeClr w14:val="tx1"/>
                  </w14:solidFill>
                </w14:textFill>
              </w:rPr>
              <w:t>，运输车辆经过沿途村庄时禁止鸣笛、减速慢行，</w:t>
            </w:r>
            <w:r>
              <w:rPr>
                <w:rFonts w:hint="eastAsia"/>
                <w:color w:val="000000" w:themeColor="text1"/>
                <w:sz w:val="24"/>
                <w14:textFill>
                  <w14:solidFill>
                    <w14:schemeClr w14:val="tx1"/>
                  </w14:solidFill>
                </w14:textFill>
              </w:rPr>
              <w:t>夜间不运输，</w:t>
            </w:r>
            <w:r>
              <w:rPr>
                <w:color w:val="000000" w:themeColor="text1"/>
                <w:sz w:val="24"/>
                <w14:textFill>
                  <w14:solidFill>
                    <w14:schemeClr w14:val="tx1"/>
                  </w14:solidFill>
                </w14:textFill>
              </w:rPr>
              <w:t>减少噪声排放。</w:t>
            </w:r>
          </w:p>
          <w:p w14:paraId="1B84F522">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期噪声具有临时性、阶段性和不固定性等特点，在严格落实环评提出的降噪措施后，施工噪声排放满足《建筑施工场界环境噪声排放标准》（GB12523-2011）中的相关要求。随着施工的结束噪声也随之结束，则项目施工期噪声对周围声环境影响较小。</w:t>
            </w:r>
          </w:p>
          <w:p w14:paraId="56BCCCE7">
            <w:pPr>
              <w:spacing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5、固体废物治理措施</w:t>
            </w:r>
          </w:p>
          <w:p w14:paraId="240D928F">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施工期固体废物主要包括施工渣土、施工建筑垃圾和施工人员的生活垃圾等。</w:t>
            </w:r>
          </w:p>
          <w:p w14:paraId="37BC4D38">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1 \* GB2 \* MERGEFORMAT </w:instrText>
            </w:r>
            <w:r>
              <w:rPr>
                <w:color w:val="000000" w:themeColor="text1"/>
                <w:kern w:val="0"/>
                <w:sz w:val="24"/>
                <w14:textFill>
                  <w14:solidFill>
                    <w14:schemeClr w14:val="tx1"/>
                  </w14:solidFill>
                </w14:textFill>
              </w:rPr>
              <w:fldChar w:fldCharType="separate"/>
            </w:r>
            <w:r>
              <w:t>⑴</w:t>
            </w:r>
            <w:r>
              <w:rPr>
                <w:color w:val="000000" w:themeColor="text1"/>
                <w:kern w:val="0"/>
                <w:sz w:val="24"/>
                <w14:textFill>
                  <w14:solidFill>
                    <w14:schemeClr w14:val="tx1"/>
                  </w14:solidFill>
                </w14:textFill>
              </w:rPr>
              <w:fldChar w:fldCharType="end"/>
            </w:r>
            <w:r>
              <w:rPr>
                <w:color w:val="000000" w:themeColor="text1"/>
                <w:kern w:val="0"/>
                <w:sz w:val="24"/>
                <w14:textFill>
                  <w14:solidFill>
                    <w14:schemeClr w14:val="tx1"/>
                  </w14:solidFill>
                </w14:textFill>
              </w:rPr>
              <w:t>施工渣土</w:t>
            </w:r>
          </w:p>
          <w:p w14:paraId="4DEB2BF1">
            <w:pPr>
              <w:spacing w:line="360" w:lineRule="auto"/>
              <w:ind w:firstLine="480" w:firstLineChars="200"/>
              <w:rPr>
                <w:color w:val="000000" w:themeColor="text1"/>
                <w:kern w:val="0"/>
                <w:sz w:val="24"/>
                <w14:textFill>
                  <w14:solidFill>
                    <w14:schemeClr w14:val="tx1"/>
                  </w14:solidFill>
                </w14:textFill>
              </w:rPr>
            </w:pPr>
            <w:r>
              <w:rPr>
                <w:color w:val="000000" w:themeColor="text1"/>
                <w:sz w:val="24"/>
                <w14:textFill>
                  <w14:solidFill>
                    <w14:schemeClr w14:val="tx1"/>
                  </w14:solidFill>
                </w14:textFill>
              </w:rPr>
              <w:t>临时堆土点状分布在每个风机基座和施工生产生活区周边。回填后产生的余土就近用于风机及箱变周边基础的平整填方。表土就近堆放于道路工程区周边及风机安装平台一角，施工结束后用作绿化覆土。根据现场实际情况，土方可在施工初期表土剥离时，预留表层腐殖土，作为后期复耕及绿化恢复用土（可在风机施工的临时场地上堆填）。剩余土方就地用于地场平整。本项目不设取弃土场，无弃方产生。</w:t>
            </w:r>
          </w:p>
          <w:p w14:paraId="5201AB25">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建筑垃圾</w:t>
            </w:r>
          </w:p>
          <w:p w14:paraId="250F882E">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本项目施工时产生少量建筑垃圾，建筑垃圾主要包括砂石、废金属、废钢筋等杂物，其中废金属、废钢筋等回收利用，不能利用部分及时送至建筑垃圾综合利用企业进行处置。</w:t>
            </w:r>
          </w:p>
          <w:p w14:paraId="5FE8091A">
            <w:pPr>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fldChar w:fldCharType="begin"/>
            </w:r>
            <w:r>
              <w:rPr>
                <w:color w:val="000000" w:themeColor="text1"/>
                <w:kern w:val="0"/>
                <w:sz w:val="24"/>
                <w14:textFill>
                  <w14:solidFill>
                    <w14:schemeClr w14:val="tx1"/>
                  </w14:solidFill>
                </w14:textFill>
              </w:rPr>
              <w:instrText xml:space="preserve"> = 3 \* GB2 \* MERGEFORMAT </w:instrText>
            </w:r>
            <w:r>
              <w:rPr>
                <w:color w:val="000000" w:themeColor="text1"/>
                <w:kern w:val="0"/>
                <w:sz w:val="24"/>
                <w14:textFill>
                  <w14:solidFill>
                    <w14:schemeClr w14:val="tx1"/>
                  </w14:solidFill>
                </w14:textFill>
              </w:rPr>
              <w:fldChar w:fldCharType="separate"/>
            </w:r>
            <w:r>
              <w:t>⑶</w:t>
            </w:r>
            <w:r>
              <w:rPr>
                <w:color w:val="000000" w:themeColor="text1"/>
                <w:kern w:val="0"/>
                <w:sz w:val="24"/>
                <w14:textFill>
                  <w14:solidFill>
                    <w14:schemeClr w14:val="tx1"/>
                  </w14:solidFill>
                </w14:textFill>
              </w:rPr>
              <w:fldChar w:fldCharType="end"/>
            </w:r>
            <w:r>
              <w:rPr>
                <w:color w:val="000000" w:themeColor="text1"/>
                <w:kern w:val="0"/>
                <w:sz w:val="24"/>
                <w14:textFill>
                  <w14:solidFill>
                    <w14:schemeClr w14:val="tx1"/>
                  </w14:solidFill>
                </w14:textFill>
              </w:rPr>
              <w:t>职工生活垃圾</w:t>
            </w:r>
          </w:p>
          <w:p w14:paraId="63B213B8">
            <w:pPr>
              <w:keepLines/>
              <w:widowControl/>
              <w:adjustRightInd w:val="0"/>
              <w:snapToGrid w:val="0"/>
              <w:spacing w:line="360" w:lineRule="auto"/>
              <w:ind w:firstLine="480" w:firstLineChars="200"/>
              <w:rPr>
                <w:color w:val="000000" w:themeColor="text1"/>
                <w14:textFill>
                  <w14:solidFill>
                    <w14:schemeClr w14:val="tx1"/>
                  </w14:solidFill>
                </w14:textFill>
              </w:rPr>
            </w:pPr>
            <w:r>
              <w:rPr>
                <w:color w:val="000000" w:themeColor="text1"/>
                <w:kern w:val="0"/>
                <w:sz w:val="24"/>
                <w14:textFill>
                  <w14:solidFill>
                    <w14:schemeClr w14:val="tx1"/>
                  </w14:solidFill>
                </w14:textFill>
              </w:rPr>
              <w:t>项目产生的生活垃圾定点存放，由环卫部门收集处理。</w:t>
            </w:r>
          </w:p>
        </w:tc>
      </w:tr>
      <w:tr w14:paraId="28ABC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800" w:type="dxa"/>
            <w:vAlign w:val="center"/>
          </w:tcPr>
          <w:p w14:paraId="65E404AA">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运营期生态环境保护措施</w:t>
            </w:r>
          </w:p>
        </w:tc>
        <w:tc>
          <w:tcPr>
            <w:tcW w:w="8190" w:type="dxa"/>
            <w:vAlign w:val="center"/>
          </w:tcPr>
          <w:p w14:paraId="7793E2CB">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1、生态环境保护措施</w:t>
            </w:r>
          </w:p>
          <w:p w14:paraId="7F707B4E">
            <w:pPr>
              <w:autoSpaceDE w:val="0"/>
              <w:autoSpaceDN w:val="0"/>
              <w:spacing w:line="360" w:lineRule="auto"/>
              <w:ind w:firstLine="482" w:firstLineChars="200"/>
              <w:jc w:val="left"/>
              <w:rPr>
                <w:b/>
                <w:color w:val="000000" w:themeColor="text1"/>
                <w:kern w:val="0"/>
                <w:sz w:val="24"/>
                <w14:textFill>
                  <w14:solidFill>
                    <w14:schemeClr w14:val="tx1"/>
                  </w14:solidFill>
                </w14:textFill>
              </w:rPr>
            </w:pPr>
            <w:r>
              <w:rPr>
                <w:b/>
                <w:color w:val="000000" w:themeColor="text1"/>
                <w:kern w:val="0"/>
                <w:sz w:val="24"/>
                <w14:textFill>
                  <w14:solidFill>
                    <w14:schemeClr w14:val="tx1"/>
                  </w14:solidFill>
                </w14:textFill>
              </w:rPr>
              <w:fldChar w:fldCharType="begin"/>
            </w:r>
            <w:r>
              <w:rPr>
                <w:b/>
                <w:color w:val="000000" w:themeColor="text1"/>
                <w:kern w:val="0"/>
                <w:sz w:val="24"/>
                <w14:textFill>
                  <w14:solidFill>
                    <w14:schemeClr w14:val="tx1"/>
                  </w14:solidFill>
                </w14:textFill>
              </w:rPr>
              <w:instrText xml:space="preserve"> = 1 \* GB2 \* MERGEFORMAT </w:instrText>
            </w:r>
            <w:r>
              <w:rPr>
                <w:b/>
                <w:color w:val="000000" w:themeColor="text1"/>
                <w:kern w:val="0"/>
                <w:sz w:val="24"/>
                <w14:textFill>
                  <w14:solidFill>
                    <w14:schemeClr w14:val="tx1"/>
                  </w14:solidFill>
                </w14:textFill>
              </w:rPr>
              <w:fldChar w:fldCharType="separate"/>
            </w:r>
            <w:r>
              <w:t>⑴</w:t>
            </w:r>
            <w:r>
              <w:rPr>
                <w:b/>
                <w:color w:val="000000" w:themeColor="text1"/>
                <w:kern w:val="0"/>
                <w:sz w:val="24"/>
                <w14:textFill>
                  <w14:solidFill>
                    <w14:schemeClr w14:val="tx1"/>
                  </w14:solidFill>
                </w14:textFill>
              </w:rPr>
              <w:fldChar w:fldCharType="end"/>
            </w:r>
            <w:r>
              <w:rPr>
                <w:b/>
                <w:color w:val="000000" w:themeColor="text1"/>
                <w:kern w:val="0"/>
                <w:sz w:val="24"/>
                <w14:textFill>
                  <w14:solidFill>
                    <w14:schemeClr w14:val="tx1"/>
                  </w14:solidFill>
                </w14:textFill>
              </w:rPr>
              <w:t>对植物的生态环保措施</w:t>
            </w:r>
          </w:p>
          <w:p w14:paraId="19375F64">
            <w:pPr>
              <w:autoSpaceDE w:val="0"/>
              <w:autoSpaceDN w:val="0"/>
              <w:spacing w:line="360" w:lineRule="auto"/>
              <w:ind w:firstLine="480" w:firstLineChars="200"/>
              <w:jc w:val="left"/>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在项目运营期间，要坚持利用与管护相结合的原则，经常检查，保证环保措施发挥应有效应。</w:t>
            </w:r>
          </w:p>
          <w:p w14:paraId="7C534323">
            <w:pPr>
              <w:autoSpaceDE w:val="0"/>
              <w:autoSpaceDN w:val="0"/>
              <w:spacing w:line="360" w:lineRule="auto"/>
              <w:ind w:firstLine="480" w:firstLineChars="200"/>
              <w:jc w:val="left"/>
              <w:rPr>
                <w:bCs/>
                <w:color w:val="000000" w:themeColor="text1"/>
                <w:kern w:val="0"/>
                <w:sz w:val="24"/>
                <w14:textFill>
                  <w14:solidFill>
                    <w14:schemeClr w14:val="tx1"/>
                  </w14:solidFill>
                </w14:textFill>
              </w:rPr>
            </w:pPr>
            <w:r>
              <w:rPr>
                <w:bCs/>
                <w:color w:val="000000" w:themeColor="text1"/>
                <w:kern w:val="0"/>
                <w:sz w:val="24"/>
                <w14:textFill>
                  <w14:solidFill>
                    <w14:schemeClr w14:val="tx1"/>
                  </w14:solidFill>
                </w14:textFill>
              </w:rPr>
              <w:t>本项目运行后，仍有部分土地不可恢复而成为永久占地，主要为风电机组基础、箱变基础等，因此减少</w:t>
            </w:r>
            <w:r>
              <w:rPr>
                <w:rFonts w:hint="eastAsia"/>
                <w:bCs/>
                <w:color w:val="000000" w:themeColor="text1"/>
                <w:kern w:val="0"/>
                <w:sz w:val="24"/>
                <w14:textFill>
                  <w14:solidFill>
                    <w14:schemeClr w14:val="tx1"/>
                  </w14:solidFill>
                </w14:textFill>
              </w:rPr>
              <w:t>农作物量、</w:t>
            </w:r>
            <w:r>
              <w:rPr>
                <w:bCs/>
                <w:color w:val="000000" w:themeColor="text1"/>
                <w:kern w:val="0"/>
                <w:sz w:val="24"/>
                <w14:textFill>
                  <w14:solidFill>
                    <w14:schemeClr w14:val="tx1"/>
                  </w14:solidFill>
                </w14:textFill>
              </w:rPr>
              <w:t>植被生物量。本项目永久性占地采取异地种植植被的方式进行生态补偿，建议就近或在场内植树和种草，合理绿化，增加场地及周边草地绿化覆盖率</w:t>
            </w:r>
            <w:r>
              <w:rPr>
                <w:rFonts w:hint="eastAsia"/>
                <w:bCs/>
                <w:color w:val="000000" w:themeColor="text1"/>
                <w:kern w:val="0"/>
                <w:sz w:val="24"/>
                <w14:textFill>
                  <w14:solidFill>
                    <w14:schemeClr w14:val="tx1"/>
                  </w14:solidFill>
                </w14:textFill>
              </w:rPr>
              <w:t>。</w:t>
            </w:r>
            <w:r>
              <w:rPr>
                <w:bCs/>
                <w:color w:val="000000" w:themeColor="text1"/>
                <w:kern w:val="0"/>
                <w:sz w:val="24"/>
                <w14:textFill>
                  <w14:solidFill>
                    <w14:schemeClr w14:val="tx1"/>
                  </w14:solidFill>
                </w14:textFill>
              </w:rPr>
              <w:t>在项目运行期间，要坚持利用与管护相结合的原则，经常检查，保证环保措施发挥应有效应。</w:t>
            </w:r>
          </w:p>
          <w:p w14:paraId="21437E51">
            <w:pPr>
              <w:autoSpaceDE w:val="0"/>
              <w:autoSpaceDN w:val="0"/>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①</w:t>
            </w:r>
            <w:r>
              <w:rPr>
                <w:bCs/>
                <w:color w:val="000000" w:themeColor="text1"/>
                <w:kern w:val="0"/>
                <w:sz w:val="24"/>
                <w14:textFill>
                  <w14:solidFill>
                    <w14:schemeClr w14:val="tx1"/>
                  </w14:solidFill>
                </w14:textFill>
              </w:rPr>
              <w:t>完善施工期未实施到位的植被保护措施及水土保持的工程措施，确保项目建设区内（除永久占地）</w:t>
            </w:r>
            <w:r>
              <w:rPr>
                <w:rFonts w:hint="eastAsia"/>
                <w:bCs/>
                <w:color w:val="000000" w:themeColor="text1"/>
                <w:kern w:val="0"/>
                <w:sz w:val="24"/>
                <w14:textFill>
                  <w14:solidFill>
                    <w14:schemeClr w14:val="tx1"/>
                  </w14:solidFill>
                </w14:textFill>
              </w:rPr>
              <w:t>耕地复垦率、</w:t>
            </w:r>
            <w:r>
              <w:rPr>
                <w:bCs/>
                <w:color w:val="000000" w:themeColor="text1"/>
                <w:kern w:val="0"/>
                <w:sz w:val="24"/>
                <w14:textFill>
                  <w14:solidFill>
                    <w14:schemeClr w14:val="tx1"/>
                  </w14:solidFill>
                </w14:textFill>
              </w:rPr>
              <w:t>植被覆盖率和成活率。</w:t>
            </w:r>
          </w:p>
          <w:p w14:paraId="3551B2C8">
            <w:pPr>
              <w:autoSpaceDE w:val="0"/>
              <w:autoSpaceDN w:val="0"/>
              <w:spacing w:line="360" w:lineRule="auto"/>
              <w:ind w:firstLine="480" w:firstLineChars="200"/>
              <w:jc w:val="left"/>
              <w:rPr>
                <w:bCs/>
                <w:color w:val="000000" w:themeColor="text1"/>
                <w:kern w:val="0"/>
                <w:sz w:val="24"/>
                <w14:textFill>
                  <w14:solidFill>
                    <w14:schemeClr w14:val="tx1"/>
                  </w14:solidFill>
                </w14:textFill>
              </w:rPr>
            </w:pPr>
            <w:r>
              <w:rPr>
                <w:rFonts w:hint="eastAsia"/>
                <w:bCs/>
                <w:color w:val="000000" w:themeColor="text1"/>
                <w:kern w:val="0"/>
                <w:sz w:val="24"/>
                <w14:textFill>
                  <w14:solidFill>
                    <w14:schemeClr w14:val="tx1"/>
                  </w14:solidFill>
                </w14:textFill>
              </w:rPr>
              <w:t>②</w:t>
            </w:r>
            <w:r>
              <w:rPr>
                <w:bCs/>
                <w:color w:val="000000" w:themeColor="text1"/>
                <w:kern w:val="0"/>
                <w:sz w:val="24"/>
                <w14:textFill>
                  <w14:solidFill>
                    <w14:schemeClr w14:val="tx1"/>
                  </w14:solidFill>
                </w14:textFill>
              </w:rPr>
              <w:t>项目运行期可能存在主体工程（风电机组等）的维修，在维修过程中，存在周边植被被占压破坏等情况，因此，需对破坏后植被进行恢复，防止水土流失加剧。</w:t>
            </w:r>
          </w:p>
          <w:p w14:paraId="1A4475D4">
            <w:pPr>
              <w:autoSpaceDE w:val="0"/>
              <w:autoSpaceDN w:val="0"/>
              <w:spacing w:line="360" w:lineRule="auto"/>
              <w:ind w:firstLine="480" w:firstLineChars="200"/>
              <w:jc w:val="left"/>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③保证主体工程完成后生态恢复费用的落实和兑现。</w:t>
            </w:r>
          </w:p>
          <w:p w14:paraId="4F691151">
            <w:pPr>
              <w:autoSpaceDE w:val="0"/>
              <w:autoSpaceDN w:val="0"/>
              <w:spacing w:line="360" w:lineRule="auto"/>
              <w:ind w:firstLine="482" w:firstLineChars="200"/>
              <w:jc w:val="left"/>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fldChar w:fldCharType="begin"/>
            </w:r>
            <w:r>
              <w:rPr>
                <w:rFonts w:hint="default" w:ascii="Times New Roman" w:hAnsi="Times New Roman" w:cs="Times New Roman"/>
                <w:b/>
                <w:color w:val="000000" w:themeColor="text1"/>
                <w:kern w:val="0"/>
                <w:sz w:val="24"/>
                <w:szCs w:val="24"/>
                <w14:textFill>
                  <w14:solidFill>
                    <w14:schemeClr w14:val="tx1"/>
                  </w14:solidFill>
                </w14:textFill>
              </w:rPr>
              <w:instrText xml:space="preserve"> = 2 \* GB2 \* MERGEFORMAT </w:instrText>
            </w:r>
            <w:r>
              <w:rPr>
                <w:rFonts w:hint="default" w:ascii="Times New Roman" w:hAnsi="Times New Roman" w:cs="Times New Roman"/>
                <w:b/>
                <w:color w:val="000000" w:themeColor="text1"/>
                <w:kern w:val="0"/>
                <w:sz w:val="24"/>
                <w:szCs w:val="24"/>
                <w14:textFill>
                  <w14:solidFill>
                    <w14:schemeClr w14:val="tx1"/>
                  </w14:solidFill>
                </w14:textFill>
              </w:rPr>
              <w:fldChar w:fldCharType="separate"/>
            </w:r>
            <w:r>
              <w:rPr>
                <w:rFonts w:hint="default" w:ascii="Times New Roman" w:hAnsi="Times New Roman" w:cs="Times New Roman"/>
                <w:sz w:val="24"/>
                <w:szCs w:val="24"/>
              </w:rPr>
              <w:t>⑵</w:t>
            </w:r>
            <w:r>
              <w:rPr>
                <w:rFonts w:hint="default" w:ascii="Times New Roman" w:hAnsi="Times New Roman" w:cs="Times New Roman"/>
                <w:b/>
                <w:color w:val="000000" w:themeColor="text1"/>
                <w:kern w:val="0"/>
                <w:sz w:val="24"/>
                <w:szCs w:val="24"/>
                <w14:textFill>
                  <w14:solidFill>
                    <w14:schemeClr w14:val="tx1"/>
                  </w14:solidFill>
                </w14:textFill>
              </w:rPr>
              <w:fldChar w:fldCharType="end"/>
            </w:r>
            <w:r>
              <w:rPr>
                <w:rFonts w:hint="default" w:ascii="Times New Roman" w:hAnsi="Times New Roman" w:cs="Times New Roman"/>
                <w:b/>
                <w:color w:val="000000" w:themeColor="text1"/>
                <w:kern w:val="0"/>
                <w:sz w:val="24"/>
                <w:szCs w:val="24"/>
                <w14:textFill>
                  <w14:solidFill>
                    <w14:schemeClr w14:val="tx1"/>
                  </w14:solidFill>
                </w14:textFill>
              </w:rPr>
              <w:t>对野生动物的生态保护措施</w:t>
            </w:r>
          </w:p>
          <w:p w14:paraId="0CCA3F53">
            <w:pPr>
              <w:autoSpaceDE w:val="0"/>
              <w:autoSpaceDN w:val="0"/>
              <w:spacing w:line="360" w:lineRule="auto"/>
              <w:ind w:firstLine="480" w:firstLineChars="200"/>
              <w:jc w:val="left"/>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风电场除必要的照明外，减少夜间灯光投射，减少对兽类惊扰影响；防火、禁猎，保护风电场周边农作物、灌丛、草丛等植被，保护动物的生存环境；项目施工期与运行期，如果发现重点保护动物，应及时上报相关部门，采取有效保护措施，防止项目建设运行对重点保护动物造成不良影响。</w:t>
            </w:r>
          </w:p>
          <w:p w14:paraId="45EC0009">
            <w:pPr>
              <w:autoSpaceDE w:val="0"/>
              <w:autoSpaceDN w:val="0"/>
              <w:spacing w:line="360" w:lineRule="auto"/>
              <w:ind w:firstLine="482" w:firstLineChars="200"/>
              <w:jc w:val="left"/>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fldChar w:fldCharType="begin"/>
            </w:r>
            <w:r>
              <w:rPr>
                <w:rFonts w:hint="default" w:ascii="Times New Roman" w:hAnsi="Times New Roman" w:cs="Times New Roman"/>
                <w:b/>
                <w:color w:val="000000" w:themeColor="text1"/>
                <w:kern w:val="0"/>
                <w:sz w:val="24"/>
                <w:szCs w:val="24"/>
                <w14:textFill>
                  <w14:solidFill>
                    <w14:schemeClr w14:val="tx1"/>
                  </w14:solidFill>
                </w14:textFill>
              </w:rPr>
              <w:instrText xml:space="preserve"> = 3 \* GB2 \* MERGEFORMAT </w:instrText>
            </w:r>
            <w:r>
              <w:rPr>
                <w:rFonts w:hint="default" w:ascii="Times New Roman" w:hAnsi="Times New Roman" w:cs="Times New Roman"/>
                <w:b/>
                <w:color w:val="000000" w:themeColor="text1"/>
                <w:kern w:val="0"/>
                <w:sz w:val="24"/>
                <w:szCs w:val="24"/>
                <w14:textFill>
                  <w14:solidFill>
                    <w14:schemeClr w14:val="tx1"/>
                  </w14:solidFill>
                </w14:textFill>
              </w:rPr>
              <w:fldChar w:fldCharType="separate"/>
            </w:r>
            <w:r>
              <w:rPr>
                <w:rFonts w:hint="default" w:ascii="Times New Roman" w:hAnsi="Times New Roman" w:cs="Times New Roman"/>
                <w:sz w:val="24"/>
                <w:szCs w:val="24"/>
              </w:rPr>
              <w:t>⑶</w:t>
            </w:r>
            <w:r>
              <w:rPr>
                <w:rFonts w:hint="default" w:ascii="Times New Roman" w:hAnsi="Times New Roman" w:cs="Times New Roman"/>
                <w:b/>
                <w:color w:val="000000" w:themeColor="text1"/>
                <w:kern w:val="0"/>
                <w:sz w:val="24"/>
                <w:szCs w:val="24"/>
                <w14:textFill>
                  <w14:solidFill>
                    <w14:schemeClr w14:val="tx1"/>
                  </w14:solidFill>
                </w14:textFill>
              </w:rPr>
              <w:fldChar w:fldCharType="end"/>
            </w:r>
            <w:r>
              <w:rPr>
                <w:rFonts w:hint="default" w:ascii="Times New Roman" w:hAnsi="Times New Roman" w:cs="Times New Roman"/>
                <w:b/>
                <w:color w:val="000000" w:themeColor="text1"/>
                <w:kern w:val="0"/>
                <w:sz w:val="24"/>
                <w:szCs w:val="24"/>
                <w14:textFill>
                  <w14:solidFill>
                    <w14:schemeClr w14:val="tx1"/>
                  </w14:solidFill>
                </w14:textFill>
              </w:rPr>
              <w:t>风机光影影响减缓措施</w:t>
            </w:r>
          </w:p>
          <w:p w14:paraId="7A45C4FA">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以每台风机为中心，东西方向为轴</w:t>
            </w:r>
            <w:r>
              <w:rPr>
                <w:rFonts w:hint="default" w:ascii="Times New Roman" w:hAnsi="Times New Roman" w:cs="Times New Roman"/>
                <w:color w:val="C0504D" w:themeColor="accent2"/>
                <w:sz w:val="24"/>
                <w:szCs w:val="24"/>
                <w14:textFill>
                  <w14:solidFill>
                    <w14:schemeClr w14:val="accent2"/>
                  </w14:solidFill>
                </w14:textFill>
              </w:rPr>
              <w:t>，</w:t>
            </w:r>
            <w:r>
              <w:rPr>
                <w:rFonts w:hint="default" w:ascii="Times New Roman" w:hAnsi="Times New Roman" w:cs="Times New Roman"/>
                <w:color w:val="000000" w:themeColor="text1"/>
                <w:sz w:val="24"/>
                <w:szCs w:val="24"/>
                <w14:textFill>
                  <w14:solidFill>
                    <w14:schemeClr w14:val="tx1"/>
                  </w14:solidFill>
                </w14:textFill>
              </w:rPr>
              <w:t>以每台风机为中</w:t>
            </w:r>
            <w:r>
              <w:rPr>
                <w:rFonts w:hint="default" w:ascii="Times New Roman" w:hAnsi="Times New Roman" w:cs="Times New Roman"/>
                <w:color w:val="auto"/>
                <w:sz w:val="24"/>
                <w:szCs w:val="24"/>
              </w:rPr>
              <w:t>心，东西方向为轴，以</w:t>
            </w:r>
            <w:r>
              <w:rPr>
                <w:rFonts w:hint="default" w:ascii="Times New Roman" w:hAnsi="Times New Roman" w:cs="Times New Roman"/>
                <w:color w:val="auto"/>
                <w:sz w:val="24"/>
                <w:szCs w:val="24"/>
                <w:lang w:val="en-US" w:eastAsia="zh-CN"/>
              </w:rPr>
              <w:t>504</w:t>
            </w:r>
            <w:r>
              <w:rPr>
                <w:rFonts w:hint="default" w:ascii="Times New Roman" w:hAnsi="Times New Roman" w:cs="Times New Roman"/>
                <w:color w:val="auto"/>
                <w:sz w:val="24"/>
                <w:szCs w:val="24"/>
              </w:rPr>
              <w:t>m为半径画圆，轴北侧半圆区域定为本工程的风机光影影响防护距离。经现场调查，项目风机北侧</w:t>
            </w:r>
            <w:r>
              <w:rPr>
                <w:rFonts w:hint="default" w:ascii="Times New Roman" w:hAnsi="Times New Roman" w:cs="Times New Roman"/>
                <w:color w:val="auto"/>
                <w:sz w:val="24"/>
                <w:szCs w:val="24"/>
                <w:lang w:val="en-US" w:eastAsia="zh-CN"/>
              </w:rPr>
              <w:t>504</w:t>
            </w:r>
            <w:r>
              <w:rPr>
                <w:rFonts w:hint="default" w:ascii="Times New Roman" w:hAnsi="Times New Roman" w:cs="Times New Roman"/>
                <w:color w:val="auto"/>
                <w:sz w:val="24"/>
                <w:szCs w:val="24"/>
              </w:rPr>
              <w:t>m范围内无居民居住，风机光影对周边村庄无影响。</w:t>
            </w:r>
          </w:p>
          <w:p w14:paraId="2BF537E8">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2、噪声</w:t>
            </w:r>
          </w:p>
          <w:p w14:paraId="796E92E6">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本项目噪声源主要为风力发电机、箱式变压器噪声。为降低噪声影响，项目拟采取的降噪措施有：</w:t>
            </w:r>
          </w:p>
          <w:p w14:paraId="220676AB">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1 \* GB2 \* MERGEFORMAT </w:instrText>
            </w:r>
            <w:r>
              <w:rPr>
                <w:color w:val="000000" w:themeColor="text1"/>
                <w:sz w:val="24"/>
                <w14:textFill>
                  <w14:solidFill>
                    <w14:schemeClr w14:val="tx1"/>
                  </w14:solidFill>
                </w14:textFill>
              </w:rPr>
              <w:fldChar w:fldCharType="separate"/>
            </w:r>
            <w:r>
              <w:t>⑴</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项目在选购设备时，选用低噪声设备，如风电机选用隔音防</w:t>
            </w:r>
            <w:r>
              <w:rPr>
                <w:rFonts w:hint="eastAsia"/>
                <w:color w:val="000000" w:themeColor="text1"/>
                <w:sz w:val="24"/>
                <w:lang w:eastAsia="zh-CN"/>
                <w14:textFill>
                  <w14:solidFill>
                    <w14:schemeClr w14:val="tx1"/>
                  </w14:solidFill>
                </w14:textFill>
              </w:rPr>
              <w:t>振型</w:t>
            </w:r>
            <w:r>
              <w:rPr>
                <w:color w:val="000000" w:themeColor="text1"/>
                <w:sz w:val="24"/>
                <w14:textFill>
                  <w14:solidFill>
                    <w14:schemeClr w14:val="tx1"/>
                  </w14:solidFill>
                </w14:textFill>
              </w:rPr>
              <w:t>、变速齿轮箱为减噪型、叶片选用减速叶片等，运行期加强风电机组的日常保养和维护，使其良好运行，减小相关机械因素产生的噪声。</w:t>
            </w:r>
          </w:p>
          <w:p w14:paraId="6D03545C">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2 \* GB2 \* MERGEFORMAT </w:instrText>
            </w:r>
            <w:r>
              <w:rPr>
                <w:color w:val="000000" w:themeColor="text1"/>
                <w:sz w:val="24"/>
                <w14:textFill>
                  <w14:solidFill>
                    <w14:schemeClr w14:val="tx1"/>
                  </w14:solidFill>
                </w14:textFill>
              </w:rPr>
              <w:fldChar w:fldCharType="separate"/>
            </w:r>
            <w:r>
              <w:t>⑵</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环评要求项目在微观风机选址时，对项目区的居民进行进一步详查，保证单台风机距最近居民点距离在</w:t>
            </w:r>
            <w:r>
              <w:rPr>
                <w:rFonts w:hint="eastAsia"/>
                <w:color w:val="000000" w:themeColor="text1"/>
                <w:sz w:val="24"/>
                <w:lang w:val="en-US" w:eastAsia="zh-CN"/>
                <w14:textFill>
                  <w14:solidFill>
                    <w14:schemeClr w14:val="tx1"/>
                  </w14:solidFill>
                </w14:textFill>
              </w:rPr>
              <w:t>475</w:t>
            </w:r>
            <w:r>
              <w:rPr>
                <w:color w:val="000000" w:themeColor="text1"/>
                <w:sz w:val="24"/>
                <w14:textFill>
                  <w14:solidFill>
                    <w14:schemeClr w14:val="tx1"/>
                  </w14:solidFill>
                </w14:textFill>
              </w:rPr>
              <w:t>m以上，确保居民点噪声满足《声环境质量标准》（GB3096-2008）</w:t>
            </w:r>
            <w:r>
              <w:rPr>
                <w:rFonts w:hint="eastAsia"/>
                <w:color w:val="000000" w:themeColor="text1"/>
                <w:sz w:val="24"/>
                <w:lang w:val="en-US" w:eastAsia="zh-CN"/>
                <w14:textFill>
                  <w14:solidFill>
                    <w14:schemeClr w14:val="tx1"/>
                  </w14:solidFill>
                </w14:textFill>
              </w:rPr>
              <w:t>1</w:t>
            </w:r>
            <w:r>
              <w:rPr>
                <w:color w:val="000000" w:themeColor="text1"/>
                <w:sz w:val="24"/>
                <w14:textFill>
                  <w14:solidFill>
                    <w14:schemeClr w14:val="tx1"/>
                  </w14:solidFill>
                </w14:textFill>
              </w:rPr>
              <w:t>类区标准。</w:t>
            </w:r>
          </w:p>
          <w:p w14:paraId="33C8503F">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 3 \* GB2 \* MERGEFORMAT </w:instrText>
            </w:r>
            <w:r>
              <w:rPr>
                <w:color w:val="000000" w:themeColor="text1"/>
                <w:sz w:val="24"/>
                <w14:textFill>
                  <w14:solidFill>
                    <w14:schemeClr w14:val="tx1"/>
                  </w14:solidFill>
                </w14:textFill>
              </w:rPr>
              <w:fldChar w:fldCharType="separate"/>
            </w:r>
            <w:r>
              <w:t>⑶</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合理布局，优化设计，选用低噪声设备。</w:t>
            </w:r>
          </w:p>
          <w:p w14:paraId="26BB606C">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3、废气</w:t>
            </w:r>
          </w:p>
          <w:p w14:paraId="7D6ED969">
            <w:pPr>
              <w:adjustRightInd w:val="0"/>
              <w:snapToGrid w:val="0"/>
              <w:spacing w:line="360" w:lineRule="auto"/>
              <w:ind w:firstLine="480" w:firstLineChars="200"/>
              <w:rPr>
                <w:bCs/>
                <w:color w:val="000000" w:themeColor="text1"/>
                <w:sz w:val="24"/>
                <w14:textFill>
                  <w14:solidFill>
                    <w14:schemeClr w14:val="tx1"/>
                  </w14:solidFill>
                </w14:textFill>
              </w:rPr>
            </w:pPr>
            <w:r>
              <w:rPr>
                <w:color w:val="000000" w:themeColor="text1"/>
                <w:sz w:val="24"/>
                <w14:textFill>
                  <w14:solidFill>
                    <w14:schemeClr w14:val="tx1"/>
                  </w14:solidFill>
                </w14:textFill>
              </w:rPr>
              <w:t>本项目运营期</w:t>
            </w:r>
            <w:r>
              <w:rPr>
                <w:rFonts w:hint="eastAsia"/>
                <w:color w:val="000000" w:themeColor="text1"/>
                <w:sz w:val="24"/>
                <w14:textFill>
                  <w14:solidFill>
                    <w14:schemeClr w14:val="tx1"/>
                  </w14:solidFill>
                </w14:textFill>
              </w:rPr>
              <w:t>风电场内无</w:t>
            </w:r>
            <w:r>
              <w:rPr>
                <w:color w:val="000000" w:themeColor="text1"/>
                <w:sz w:val="24"/>
                <w14:textFill>
                  <w14:solidFill>
                    <w14:schemeClr w14:val="tx1"/>
                  </w14:solidFill>
                </w14:textFill>
              </w:rPr>
              <w:t>废气</w:t>
            </w:r>
            <w:r>
              <w:rPr>
                <w:rFonts w:hint="eastAsia"/>
                <w:color w:val="000000" w:themeColor="text1"/>
                <w:sz w:val="24"/>
                <w14:textFill>
                  <w14:solidFill>
                    <w14:schemeClr w14:val="tx1"/>
                  </w14:solidFill>
                </w14:textFill>
              </w:rPr>
              <w:t>产生</w:t>
            </w:r>
            <w:r>
              <w:rPr>
                <w:rFonts w:hint="eastAsia"/>
                <w:color w:val="000000" w:themeColor="text1"/>
                <w14:textFill>
                  <w14:solidFill>
                    <w14:schemeClr w14:val="tx1"/>
                  </w14:solidFill>
                </w14:textFill>
              </w:rPr>
              <w:t>。</w:t>
            </w:r>
          </w:p>
          <w:p w14:paraId="20978A9B">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4、废水</w:t>
            </w:r>
          </w:p>
          <w:p w14:paraId="70AD20B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本项目运营期风电场内无废水产生与排放，工作人员生活污水纳入升压站管理，不在本次评价范围内。</w:t>
            </w:r>
          </w:p>
          <w:p w14:paraId="3CCD0677">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5、固体废物</w:t>
            </w:r>
          </w:p>
          <w:p w14:paraId="207DD1FB">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风机设备更换的废润滑油、润滑油桶、风电场内废35kV变压器均属于危险废物</w:t>
            </w:r>
            <w:r>
              <w:rPr>
                <w:rFonts w:hint="eastAsia"/>
                <w:bCs/>
                <w:color w:val="000000" w:themeColor="text1"/>
                <w:sz w:val="24"/>
                <w14:textFill>
                  <w14:solidFill>
                    <w14:schemeClr w14:val="tx1"/>
                  </w14:solidFill>
                </w14:textFill>
              </w:rPr>
              <w:t>；危险废物均依托</w:t>
            </w:r>
            <w:r>
              <w:rPr>
                <w:bCs/>
                <w:color w:val="000000" w:themeColor="text1"/>
                <w:sz w:val="24"/>
                <w14:textFill>
                  <w14:solidFill>
                    <w14:schemeClr w14:val="tx1"/>
                  </w14:solidFill>
                </w14:textFill>
              </w:rPr>
              <w:t>升压站内危险废物暂存间</w:t>
            </w:r>
            <w:r>
              <w:rPr>
                <w:rFonts w:hint="eastAsia"/>
                <w:bCs/>
                <w:color w:val="000000" w:themeColor="text1"/>
                <w:sz w:val="24"/>
                <w14:textFill>
                  <w14:solidFill>
                    <w14:schemeClr w14:val="tx1"/>
                  </w14:solidFill>
                </w14:textFill>
              </w:rPr>
              <w:t>贮存。</w:t>
            </w:r>
            <w:r>
              <w:rPr>
                <w:bCs/>
                <w:color w:val="000000" w:themeColor="text1"/>
                <w:sz w:val="24"/>
                <w14:textFill>
                  <w14:solidFill>
                    <w14:schemeClr w14:val="tx1"/>
                  </w14:solidFill>
                </w14:textFill>
              </w:rPr>
              <w:t>危险废物暂存于危险废物暂存间后，及时交有资质单位</w:t>
            </w:r>
            <w:r>
              <w:rPr>
                <w:rFonts w:hint="eastAsia"/>
                <w:bCs/>
                <w:color w:val="000000" w:themeColor="text1"/>
                <w:sz w:val="24"/>
                <w14:textFill>
                  <w14:solidFill>
                    <w14:schemeClr w14:val="tx1"/>
                  </w14:solidFill>
                </w14:textFill>
              </w:rPr>
              <w:t>回收</w:t>
            </w:r>
            <w:r>
              <w:rPr>
                <w:bCs/>
                <w:color w:val="000000" w:themeColor="text1"/>
                <w:sz w:val="24"/>
                <w14:textFill>
                  <w14:solidFill>
                    <w14:schemeClr w14:val="tx1"/>
                  </w14:solidFill>
                </w14:textFill>
              </w:rPr>
              <w:t>处置。</w:t>
            </w:r>
          </w:p>
          <w:p w14:paraId="15ED605B">
            <w:pPr>
              <w:spacing w:line="360" w:lineRule="auto"/>
              <w:ind w:firstLine="480" w:firstLineChars="200"/>
              <w:rPr>
                <w:bCs/>
                <w:color w:val="000000" w:themeColor="text1"/>
                <w:sz w:val="24"/>
                <w14:textFill>
                  <w14:solidFill>
                    <w14:schemeClr w14:val="tx1"/>
                  </w14:solidFill>
                </w14:textFill>
              </w:rPr>
            </w:pPr>
            <w:r>
              <w:rPr>
                <w:bCs/>
                <w:color w:val="000000" w:themeColor="text1"/>
                <w:sz w:val="24"/>
                <w14:textFill>
                  <w14:solidFill>
                    <w14:schemeClr w14:val="tx1"/>
                  </w14:solidFill>
                </w14:textFill>
              </w:rPr>
              <w:t>因此本次评价要求：建设单位应与有资质单位签订</w:t>
            </w:r>
            <w:r>
              <w:rPr>
                <w:rFonts w:hint="eastAsia"/>
                <w:bCs/>
                <w:color w:val="000000" w:themeColor="text1"/>
                <w:sz w:val="24"/>
                <w14:textFill>
                  <w14:solidFill>
                    <w14:schemeClr w14:val="tx1"/>
                  </w14:solidFill>
                </w14:textFill>
              </w:rPr>
              <w:t>危险废物</w:t>
            </w:r>
            <w:r>
              <w:rPr>
                <w:bCs/>
                <w:color w:val="000000" w:themeColor="text1"/>
                <w:sz w:val="24"/>
                <w14:textFill>
                  <w14:solidFill>
                    <w14:schemeClr w14:val="tx1"/>
                  </w14:solidFill>
                </w14:textFill>
              </w:rPr>
              <w:t>处置协议，同时应严格按照《危险废物贮存污染控制标准》（GB18597-20</w:t>
            </w:r>
            <w:r>
              <w:rPr>
                <w:rFonts w:hint="eastAsia"/>
                <w:bCs/>
                <w:color w:val="000000" w:themeColor="text1"/>
                <w:sz w:val="24"/>
                <w14:textFill>
                  <w14:solidFill>
                    <w14:schemeClr w14:val="tx1"/>
                  </w14:solidFill>
                </w14:textFill>
              </w:rPr>
              <w:t>23</w:t>
            </w:r>
            <w:r>
              <w:rPr>
                <w:bCs/>
                <w:color w:val="000000" w:themeColor="text1"/>
                <w:sz w:val="24"/>
                <w14:textFill>
                  <w14:solidFill>
                    <w14:schemeClr w14:val="tx1"/>
                  </w14:solidFill>
                </w14:textFill>
              </w:rPr>
              <w:t>）</w:t>
            </w:r>
            <w:r>
              <w:rPr>
                <w:rFonts w:hint="eastAsia"/>
                <w:bCs/>
                <w:color w:val="000000" w:themeColor="text1"/>
                <w:sz w:val="24"/>
                <w14:textFill>
                  <w14:solidFill>
                    <w14:schemeClr w14:val="tx1"/>
                  </w14:solidFill>
                </w14:textFill>
              </w:rPr>
              <w:t>中相关</w:t>
            </w:r>
            <w:r>
              <w:rPr>
                <w:bCs/>
                <w:color w:val="000000" w:themeColor="text1"/>
                <w:sz w:val="24"/>
                <w14:textFill>
                  <w14:solidFill>
                    <w14:schemeClr w14:val="tx1"/>
                  </w14:solidFill>
                </w14:textFill>
              </w:rPr>
              <w:t>要求，设置符合危险废物暂存要求的专用贮存容器，做好防渗漏、防火等措施。项目应设有专人专职负责危险废物的收集、暂存和保管，加强对危险废物的管理，保证得到及时处理，防止造成二次污染。收集后的危废必须委托有危废处置资质的单位进行回收处置。</w:t>
            </w:r>
          </w:p>
          <w:p w14:paraId="4E963230">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1 \* GB2 \* MERGEFORMAT </w:instrText>
            </w:r>
            <w:r>
              <w:rPr>
                <w:rFonts w:hint="eastAsia"/>
                <w:color w:val="000000" w:themeColor="text1"/>
                <w:sz w:val="24"/>
                <w14:textFill>
                  <w14:solidFill>
                    <w14:schemeClr w14:val="tx1"/>
                  </w14:solidFill>
                </w14:textFill>
              </w:rPr>
              <w:fldChar w:fldCharType="separate"/>
            </w:r>
            <w:r>
              <w:t>⑴</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危险废物的收集</w:t>
            </w:r>
          </w:p>
          <w:p w14:paraId="73103EF1">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产生的危险废物按照《国家危险废物名录（2021版）》分类放入有明显标识的容器或包装物，由专人定时、定路线用防渗漏、防遗撒的专用运输工具转移到危废暂存间，定期委托有相应资质的单位转运和处置。</w:t>
            </w:r>
          </w:p>
          <w:p w14:paraId="514B85C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2 \* GB2 \* MERGEFORMAT </w:instrText>
            </w:r>
            <w:r>
              <w:rPr>
                <w:rFonts w:hint="eastAsia"/>
                <w:color w:val="000000" w:themeColor="text1"/>
                <w:sz w:val="24"/>
                <w14:textFill>
                  <w14:solidFill>
                    <w14:schemeClr w14:val="tx1"/>
                  </w14:solidFill>
                </w14:textFill>
              </w:rPr>
              <w:fldChar w:fldCharType="separate"/>
            </w:r>
            <w:r>
              <w:t>⑵</w:t>
            </w:r>
            <w:r>
              <w:rPr>
                <w:rFonts w:hint="eastAsia"/>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危险废物的贮存</w:t>
            </w:r>
          </w:p>
          <w:p w14:paraId="59582897">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①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olor w:val="000000" w:themeColor="text1"/>
                <w:sz w:val="24"/>
                <w:vertAlign w:val="superscript"/>
                <w14:textFill>
                  <w14:solidFill>
                    <w14:schemeClr w14:val="tx1"/>
                  </w14:solidFill>
                </w14:textFill>
              </w:rPr>
              <w:t>-7</w:t>
            </w:r>
            <w:r>
              <w:rPr>
                <w:rFonts w:hint="eastAsia"/>
                <w:color w:val="000000" w:themeColor="text1"/>
                <w:sz w:val="24"/>
                <w14:textFill>
                  <w14:solidFill>
                    <w14:schemeClr w14:val="tx1"/>
                  </w14:solidFill>
                </w14:textFill>
              </w:rPr>
              <w:t>cm/s），或至少2mm厚高密度聚乙烯膜等人工防渗材料（渗透系数不大于10</w:t>
            </w:r>
            <w:r>
              <w:rPr>
                <w:rFonts w:hint="eastAsia"/>
                <w:color w:val="000000" w:themeColor="text1"/>
                <w:sz w:val="24"/>
                <w:vertAlign w:val="superscript"/>
                <w14:textFill>
                  <w14:solidFill>
                    <w14:schemeClr w14:val="tx1"/>
                  </w14:solidFill>
                </w14:textFill>
              </w:rPr>
              <w:t>-10</w:t>
            </w:r>
            <w:r>
              <w:rPr>
                <w:rFonts w:hint="eastAsia"/>
                <w:color w:val="000000" w:themeColor="text1"/>
                <w:sz w:val="24"/>
                <w14:textFill>
                  <w14:solidFill>
                    <w14:schemeClr w14:val="tx1"/>
                  </w14:solidFill>
                </w14:textFill>
              </w:rPr>
              <w:t>cm/s），或其他防渗性能等效的材料。</w:t>
            </w:r>
          </w:p>
          <w:p w14:paraId="261A0804">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②同一贮存设施宜采用相同的防渗、防腐工艺（包括防渗、防腐结构或材料），防渗、防腐材料应覆盖所有可能与废物及其渗滤液、渗漏液等接触的构筑物表面；采用不同防渗、防腐工艺应分别建设贮存分区。</w:t>
            </w:r>
          </w:p>
          <w:p w14:paraId="4FB24F27">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③贮存库内不同贮存分区之间应采取隔离措施。隔离措施可根据危险废物特性采用过道、隔板或隔墙等方式。</w:t>
            </w:r>
          </w:p>
          <w:p w14:paraId="069372DF">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④贮存设施应采取技术和管理措施防止无关人员进入。</w:t>
            </w:r>
          </w:p>
          <w:p w14:paraId="61AA9779">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⑤应按照《环境保护图形标志—固体废物贮存（处置）场》（GB 15562.2-1995）修改单的规定设置警示标志。</w:t>
            </w:r>
          </w:p>
          <w:p w14:paraId="6881DB37">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fldChar w:fldCharType="begin"/>
            </w:r>
            <w:r>
              <w:rPr>
                <w:rFonts w:hint="default" w:ascii="Times New Roman" w:hAnsi="Times New Roman" w:cs="Times New Roman"/>
                <w:color w:val="000000" w:themeColor="text1"/>
                <w:sz w:val="24"/>
                <w:szCs w:val="24"/>
                <w14:textFill>
                  <w14:solidFill>
                    <w14:schemeClr w14:val="tx1"/>
                  </w14:solidFill>
                </w14:textFill>
              </w:rPr>
              <w:instrText xml:space="preserve"> = 3 \* GB2 \* MERGEFORMAT </w:instrText>
            </w:r>
            <w:r>
              <w:rPr>
                <w:rFonts w:hint="default" w:ascii="Times New Roman" w:hAnsi="Times New Roman" w:cs="Times New Roman"/>
                <w:color w:val="000000" w:themeColor="text1"/>
                <w:sz w:val="24"/>
                <w:szCs w:val="24"/>
                <w14:textFill>
                  <w14:solidFill>
                    <w14:schemeClr w14:val="tx1"/>
                  </w14:solidFill>
                </w14:textFill>
              </w:rPr>
              <w:fldChar w:fldCharType="separate"/>
            </w:r>
            <w:r>
              <w:rPr>
                <w:rFonts w:hint="default" w:ascii="Times New Roman" w:hAnsi="Times New Roman" w:cs="Times New Roman"/>
                <w:sz w:val="24"/>
                <w:szCs w:val="24"/>
              </w:rPr>
              <w:t>⑶</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危险废物的转移</w:t>
            </w:r>
          </w:p>
          <w:p w14:paraId="58C3BA26">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危险废物的转移严格按照《陕西省危险废物转移电子联单管理办法（试行）》中的规定执行“五联单”制度，保证运输安全，防止非法转移和非法处理，保证危险废物的安全监控，防止危险废物污染事故发生。</w:t>
            </w:r>
          </w:p>
          <w:p w14:paraId="67C93698">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综上所述，本项目运营期固体废物去向明确，经妥善处置后对环境的影响不大，不会造成二次污染。</w:t>
            </w:r>
          </w:p>
          <w:p w14:paraId="2D40498D">
            <w:pPr>
              <w:spacing w:line="360" w:lineRule="auto"/>
              <w:ind w:firstLine="482" w:firstLineChars="20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6</w:t>
            </w:r>
            <w:r>
              <w:rPr>
                <w:b/>
                <w:bCs/>
                <w:color w:val="000000" w:themeColor="text1"/>
                <w:sz w:val="24"/>
                <w14:textFill>
                  <w14:solidFill>
                    <w14:schemeClr w14:val="tx1"/>
                  </w14:solidFill>
                </w14:textFill>
              </w:rPr>
              <w:t>、环境风险</w:t>
            </w:r>
          </w:p>
          <w:p w14:paraId="1652620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为使环境风险减小到最低限度，必须加强劳动安全管理，制备完善、有效、</w:t>
            </w:r>
            <w:r>
              <w:rPr>
                <w:rFonts w:hint="default" w:ascii="Times New Roman" w:hAnsi="Times New Roman" w:eastAsia="宋体" w:cs="Times New Roman"/>
                <w:color w:val="000000" w:themeColor="text1"/>
                <w:sz w:val="24"/>
                <w14:textFill>
                  <w14:solidFill>
                    <w14:schemeClr w14:val="tx1"/>
                  </w14:solidFill>
                </w14:textFill>
              </w:rPr>
              <w:t>长效的安全防范措施，尽可能降低项目环境风险事故发生的概率。</w:t>
            </w:r>
          </w:p>
          <w:p w14:paraId="71870B5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①制定应急操作规程，如在规程中应说明事故时的操作步骤，规定抢修进度，事故处理措施，说明与操作人员有关的安全问题。</w:t>
            </w:r>
          </w:p>
          <w:p w14:paraId="64CB0B4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②严禁野外生火、乱丢烟头等可能引发火灾的不良行为；在秋收季节火灾高风险时期严禁一切野外用火；对进入风机附近的人员进行必要的监管，对进入的人员及车辆进行细致的检查工作，防止各类火种入场。</w:t>
            </w:r>
          </w:p>
          <w:p w14:paraId="5C7C9A9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③定期检查库区各种贮存设备，杜绝事故隐患，降低事故发生概率。按计划检查和更换油品的输送储存设备，并有专门档案记录，以保证设备在寿命期限内不发生事故。</w:t>
            </w:r>
          </w:p>
          <w:p w14:paraId="3343F0CB">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4 \* GB3 \* MERGEFORMAT </w:instrText>
            </w:r>
            <w:r>
              <w:rPr>
                <w:rFonts w:hint="eastAsia"/>
                <w:color w:val="000000" w:themeColor="text1"/>
                <w:sz w:val="24"/>
                <w14:textFill>
                  <w14:solidFill>
                    <w14:schemeClr w14:val="tx1"/>
                  </w14:solidFill>
                </w14:textFill>
              </w:rPr>
              <w:fldChar w:fldCharType="separate"/>
            </w:r>
            <w:r>
              <w:t>④</w:t>
            </w:r>
            <w:r>
              <w:rPr>
                <w:rFonts w:hint="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建立严格的环境管理制度，加强对工作人员和运行管理人员的防火意识和宣传教育，成立防火工作领导小组，进行定期和随机监督检查，发现隐患及时解决，并采取一定的奖惩制度机制，对引起火灾的责任者追究行政和法律责任。</w:t>
            </w:r>
          </w:p>
          <w:p w14:paraId="50797655">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5 \* GB3 \* MERGEFORMAT </w:instrText>
            </w:r>
            <w:r>
              <w:rPr>
                <w:rFonts w:hint="eastAsia"/>
                <w:color w:val="000000" w:themeColor="text1"/>
                <w:sz w:val="24"/>
                <w14:textFill>
                  <w14:solidFill>
                    <w14:schemeClr w14:val="tx1"/>
                  </w14:solidFill>
                </w14:textFill>
              </w:rPr>
              <w:fldChar w:fldCharType="separate"/>
            </w:r>
            <w:r>
              <w:t>⑤</w:t>
            </w:r>
            <w:r>
              <w:rPr>
                <w:rFonts w:hint="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严格按照相关防火防爆设计要求和危险物质存贮设计要求进行施工，并配置相关防护工程设施。</w:t>
            </w:r>
          </w:p>
          <w:p w14:paraId="5EBD8BDF">
            <w:pPr>
              <w:keepLines/>
              <w:widowControl/>
              <w:adjustRightInd w:val="0"/>
              <w:snapToGrid w:val="0"/>
              <w:spacing w:line="360" w:lineRule="auto"/>
              <w:ind w:firstLine="480" w:firstLineChars="200"/>
              <w:rPr>
                <w:color w:val="000000" w:themeColor="text1"/>
                <w:kern w:val="0"/>
                <w:sz w:val="24"/>
                <w14:textFill>
                  <w14:solidFill>
                    <w14:schemeClr w14:val="tx1"/>
                  </w14:solidFill>
                </w14:textFill>
              </w:rPr>
            </w:pPr>
            <w:r>
              <w:rPr>
                <w:rFonts w:hint="eastAsia"/>
                <w:color w:val="000000" w:themeColor="text1"/>
                <w:sz w:val="24"/>
                <w14:textFill>
                  <w14:solidFill>
                    <w14:schemeClr w14:val="tx1"/>
                  </w14:solidFill>
                </w14:textFill>
              </w:rPr>
              <w:fldChar w:fldCharType="begin"/>
            </w:r>
            <w:r>
              <w:rPr>
                <w:rFonts w:hint="eastAsia"/>
                <w:color w:val="000000" w:themeColor="text1"/>
                <w:sz w:val="24"/>
                <w14:textFill>
                  <w14:solidFill>
                    <w14:schemeClr w14:val="tx1"/>
                  </w14:solidFill>
                </w14:textFill>
              </w:rPr>
              <w:instrText xml:space="preserve"> = 6 \* GB3 \* MERGEFORMAT </w:instrText>
            </w:r>
            <w:r>
              <w:rPr>
                <w:rFonts w:hint="eastAsia"/>
                <w:color w:val="000000" w:themeColor="text1"/>
                <w:sz w:val="24"/>
                <w14:textFill>
                  <w14:solidFill>
                    <w14:schemeClr w14:val="tx1"/>
                  </w14:solidFill>
                </w14:textFill>
              </w:rPr>
              <w:fldChar w:fldCharType="separate"/>
            </w:r>
            <w:r>
              <w:t>⑥</w:t>
            </w:r>
            <w:r>
              <w:rPr>
                <w:rFonts w:hint="eastAsia"/>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及时制定突发环境事件应急预案。</w:t>
            </w:r>
          </w:p>
        </w:tc>
      </w:tr>
      <w:tr w14:paraId="2775B7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006D98E">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其他</w:t>
            </w:r>
          </w:p>
        </w:tc>
        <w:tc>
          <w:tcPr>
            <w:tcW w:w="8190" w:type="dxa"/>
            <w:vAlign w:val="center"/>
          </w:tcPr>
          <w:p w14:paraId="01D511DA">
            <w:pPr>
              <w:spacing w:line="360" w:lineRule="auto"/>
              <w:ind w:firstLine="482" w:firstLineChars="200"/>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1、环境管理</w:t>
            </w:r>
          </w:p>
          <w:p w14:paraId="7C78D08E">
            <w:pPr>
              <w:spacing w:line="360" w:lineRule="auto"/>
              <w:ind w:firstLine="480" w:firstLineChars="200"/>
              <w:rPr>
                <w:snapToGrid w:val="0"/>
                <w:color w:val="000000" w:themeColor="text1"/>
                <w:kern w:val="0"/>
                <w:sz w:val="24"/>
                <w14:textFill>
                  <w14:solidFill>
                    <w14:schemeClr w14:val="tx1"/>
                  </w14:solidFill>
                </w14:textFill>
              </w:rPr>
            </w:pPr>
            <w:r>
              <w:rPr>
                <w:snapToGrid w:val="0"/>
                <w:color w:val="000000" w:themeColor="text1"/>
                <w:kern w:val="0"/>
                <w:sz w:val="24"/>
                <w14:textFill>
                  <w14:solidFill>
                    <w14:schemeClr w14:val="tx1"/>
                  </w14:solidFill>
                </w14:textFill>
              </w:rPr>
              <w:t>设环保管理人员1人。主要工作职责如下：</w:t>
            </w:r>
          </w:p>
          <w:p w14:paraId="5526669B">
            <w:pPr>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①贯彻国家有关环境保护政策、法规，制定项目的环保规划，环保规章制度，并实施检查和监督。</w:t>
            </w:r>
          </w:p>
          <w:p w14:paraId="455AA3D1">
            <w:pPr>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②严格执行建设项目“三同时”制度。</w:t>
            </w:r>
          </w:p>
          <w:p w14:paraId="58DFF5A5">
            <w:pPr>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t>③拟定环保工作计划，配合领导完成环境保护责任目标。</w:t>
            </w:r>
          </w:p>
          <w:p w14:paraId="206296B3">
            <w:pPr>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begin"/>
            </w:r>
            <w:r>
              <w:rPr>
                <w:rFonts w:hint="default" w:ascii="Times New Roman" w:hAnsi="Times New Roman" w:cs="Times New Roman"/>
                <w:snapToGrid w:val="0"/>
                <w:color w:val="000000" w:themeColor="text1"/>
                <w:kern w:val="0"/>
                <w:sz w:val="24"/>
                <w:szCs w:val="24"/>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separate"/>
            </w:r>
            <w:r>
              <w:rPr>
                <w:rFonts w:hint="default" w:ascii="Times New Roman" w:hAnsi="Times New Roman" w:cs="Times New Roman"/>
                <w:sz w:val="24"/>
                <w:szCs w:val="24"/>
              </w:rPr>
              <w:t>④</w:t>
            </w: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end"/>
            </w:r>
            <w:r>
              <w:rPr>
                <w:rFonts w:hint="default" w:ascii="Times New Roman" w:hAnsi="Times New Roman" w:cs="Times New Roman"/>
                <w:snapToGrid w:val="0"/>
                <w:color w:val="000000" w:themeColor="text1"/>
                <w:kern w:val="0"/>
                <w:sz w:val="24"/>
                <w:szCs w:val="24"/>
                <w14:textFill>
                  <w14:solidFill>
                    <w14:schemeClr w14:val="tx1"/>
                  </w14:solidFill>
                </w14:textFill>
              </w:rPr>
              <w:t>配合环保部门，做好日常环境保护管理和监测工作。</w:t>
            </w:r>
          </w:p>
          <w:p w14:paraId="56C9731F">
            <w:pPr>
              <w:spacing w:line="360" w:lineRule="auto"/>
              <w:ind w:firstLine="480" w:firstLineChars="200"/>
              <w:rPr>
                <w:rFonts w:hint="default" w:ascii="Times New Roman" w:hAnsi="Times New Roman" w:cs="Times New Roman"/>
                <w:snapToGrid w:val="0"/>
                <w:color w:val="000000" w:themeColor="text1"/>
                <w:kern w:val="0"/>
                <w:sz w:val="24"/>
                <w:szCs w:val="24"/>
                <w14:textFill>
                  <w14:solidFill>
                    <w14:schemeClr w14:val="tx1"/>
                  </w14:solidFill>
                </w14:textFill>
              </w:rPr>
            </w:pP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begin"/>
            </w:r>
            <w:r>
              <w:rPr>
                <w:rFonts w:hint="default" w:ascii="Times New Roman" w:hAnsi="Times New Roman" w:cs="Times New Roman"/>
                <w:snapToGrid w:val="0"/>
                <w:color w:val="000000" w:themeColor="text1"/>
                <w:kern w:val="0"/>
                <w:sz w:val="24"/>
                <w:szCs w:val="24"/>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separate"/>
            </w:r>
            <w:r>
              <w:rPr>
                <w:rFonts w:hint="default" w:ascii="Times New Roman" w:hAnsi="Times New Roman" w:cs="Times New Roman"/>
                <w:sz w:val="24"/>
                <w:szCs w:val="24"/>
              </w:rPr>
              <w:t>⑤</w:t>
            </w:r>
            <w:r>
              <w:rPr>
                <w:rFonts w:hint="default" w:ascii="Times New Roman" w:hAnsi="Times New Roman" w:cs="Times New Roman"/>
                <w:snapToGrid w:val="0"/>
                <w:color w:val="000000" w:themeColor="text1"/>
                <w:kern w:val="0"/>
                <w:sz w:val="24"/>
                <w:szCs w:val="24"/>
                <w14:textFill>
                  <w14:solidFill>
                    <w14:schemeClr w14:val="tx1"/>
                  </w14:solidFill>
                </w14:textFill>
              </w:rPr>
              <w:fldChar w:fldCharType="end"/>
            </w:r>
            <w:r>
              <w:rPr>
                <w:rFonts w:hint="default" w:ascii="Times New Roman" w:hAnsi="Times New Roman" w:cs="Times New Roman"/>
                <w:snapToGrid w:val="0"/>
                <w:color w:val="000000" w:themeColor="text1"/>
                <w:kern w:val="0"/>
                <w:sz w:val="24"/>
                <w:szCs w:val="24"/>
                <w14:textFill>
                  <w14:solidFill>
                    <w14:schemeClr w14:val="tx1"/>
                  </w14:solidFill>
                </w14:textFill>
              </w:rPr>
              <w:t>做好污染事故的应急处理。</w:t>
            </w:r>
          </w:p>
          <w:p w14:paraId="273F877D">
            <w:pPr>
              <w:spacing w:line="360" w:lineRule="auto"/>
              <w:ind w:firstLine="482" w:firstLineChars="200"/>
              <w:rPr>
                <w:b/>
                <w:bCs/>
                <w:snapToGrid w:val="0"/>
                <w:color w:val="000000" w:themeColor="text1"/>
                <w:kern w:val="0"/>
                <w:sz w:val="24"/>
                <w14:textFill>
                  <w14:solidFill>
                    <w14:schemeClr w14:val="tx1"/>
                  </w14:solidFill>
                </w14:textFill>
              </w:rPr>
            </w:pPr>
            <w:r>
              <w:rPr>
                <w:b/>
                <w:bCs/>
                <w:snapToGrid w:val="0"/>
                <w:color w:val="000000" w:themeColor="text1"/>
                <w:kern w:val="0"/>
                <w:sz w:val="24"/>
                <w14:textFill>
                  <w14:solidFill>
                    <w14:schemeClr w14:val="tx1"/>
                  </w14:solidFill>
                </w14:textFill>
              </w:rPr>
              <w:t>2、监测计划</w:t>
            </w:r>
          </w:p>
          <w:p w14:paraId="4B3D7D42">
            <w:pPr>
              <w:topLinePunct/>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建设单位应委托有资质的环境监测站定期开展施工期扬尘、噪声等监测工作，将监测数据汇总后及时上报当地环保部门，以便检查、监督建设方落实所有环保措施情况。</w:t>
            </w:r>
          </w:p>
          <w:p w14:paraId="10FB2552">
            <w:pPr>
              <w:topLinePunct/>
              <w:autoSpaceDE w:val="0"/>
              <w:autoSpaceDN w:val="0"/>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施工期环境监测</w:t>
            </w:r>
            <w:r>
              <w:rPr>
                <w:rFonts w:hint="eastAsia"/>
                <w:color w:val="000000" w:themeColor="text1"/>
                <w:sz w:val="24"/>
                <w14:textFill>
                  <w14:solidFill>
                    <w14:schemeClr w14:val="tx1"/>
                  </w14:solidFill>
                </w14:textFill>
              </w:rPr>
              <w:t>计划见</w:t>
            </w:r>
            <w:r>
              <w:rPr>
                <w:color w:val="000000" w:themeColor="text1"/>
                <w:sz w:val="24"/>
                <w14:textFill>
                  <w14:solidFill>
                    <w14:schemeClr w14:val="tx1"/>
                  </w14:solidFill>
                </w14:textFill>
              </w:rPr>
              <w:t>表5-1。</w:t>
            </w:r>
          </w:p>
          <w:p w14:paraId="0DD37430">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表5-1  施工期环境监测计划表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059"/>
              <w:gridCol w:w="2130"/>
              <w:gridCol w:w="1150"/>
              <w:gridCol w:w="1404"/>
            </w:tblGrid>
            <w:tr w14:paraId="43CB5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pct"/>
                  <w:vAlign w:val="center"/>
                </w:tcPr>
                <w:p w14:paraId="041D0E2A">
                  <w:pPr>
                    <w:topLinePunct/>
                    <w:autoSpaceDE w:val="0"/>
                    <w:autoSpaceDN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监测类别</w:t>
                  </w:r>
                </w:p>
              </w:tc>
              <w:tc>
                <w:tcPr>
                  <w:tcW w:w="1292" w:type="pct"/>
                  <w:vAlign w:val="center"/>
                </w:tcPr>
                <w:p w14:paraId="69B501A0">
                  <w:pPr>
                    <w:topLinePunct/>
                    <w:autoSpaceDE w:val="0"/>
                    <w:autoSpaceDN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337" w:type="pct"/>
                  <w:vAlign w:val="center"/>
                </w:tcPr>
                <w:p w14:paraId="600C42F2">
                  <w:pPr>
                    <w:topLinePunct/>
                    <w:autoSpaceDE w:val="0"/>
                    <w:autoSpaceDN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监测点位置</w:t>
                  </w:r>
                </w:p>
              </w:tc>
              <w:tc>
                <w:tcPr>
                  <w:tcW w:w="722" w:type="pct"/>
                  <w:vAlign w:val="center"/>
                </w:tcPr>
                <w:p w14:paraId="5171265D">
                  <w:pPr>
                    <w:topLinePunct/>
                    <w:autoSpaceDE w:val="0"/>
                    <w:autoSpaceDN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测点数</w:t>
                  </w:r>
                </w:p>
              </w:tc>
              <w:tc>
                <w:tcPr>
                  <w:tcW w:w="881" w:type="pct"/>
                  <w:vAlign w:val="center"/>
                </w:tcPr>
                <w:p w14:paraId="7CD99F90">
                  <w:pPr>
                    <w:topLinePunct/>
                    <w:autoSpaceDE w:val="0"/>
                    <w:autoSpaceDN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监测频次</w:t>
                  </w:r>
                </w:p>
              </w:tc>
            </w:tr>
            <w:tr w14:paraId="48AA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pct"/>
                  <w:vAlign w:val="center"/>
                </w:tcPr>
                <w:p w14:paraId="6B2591E8">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场界噪声</w:t>
                  </w:r>
                </w:p>
              </w:tc>
              <w:tc>
                <w:tcPr>
                  <w:tcW w:w="1292" w:type="pct"/>
                  <w:vAlign w:val="center"/>
                </w:tcPr>
                <w:p w14:paraId="1B5B6739">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施工场界Leq[dB(A)]</w:t>
                  </w:r>
                </w:p>
              </w:tc>
              <w:tc>
                <w:tcPr>
                  <w:tcW w:w="1337" w:type="pct"/>
                  <w:vAlign w:val="center"/>
                </w:tcPr>
                <w:p w14:paraId="1C93A597">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施工场界四周</w:t>
                  </w:r>
                </w:p>
              </w:tc>
              <w:tc>
                <w:tcPr>
                  <w:tcW w:w="722" w:type="pct"/>
                  <w:vAlign w:val="center"/>
                </w:tcPr>
                <w:p w14:paraId="674447F4">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81" w:type="pct"/>
                  <w:vAlign w:val="center"/>
                </w:tcPr>
                <w:p w14:paraId="41893B06">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每季一次</w:t>
                  </w:r>
                </w:p>
              </w:tc>
            </w:tr>
            <w:tr w14:paraId="34BA8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pct"/>
                  <w:vAlign w:val="center"/>
                </w:tcPr>
                <w:p w14:paraId="452AF55B">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环境空气</w:t>
                  </w:r>
                </w:p>
              </w:tc>
              <w:tc>
                <w:tcPr>
                  <w:tcW w:w="1292" w:type="pct"/>
                  <w:vAlign w:val="center"/>
                </w:tcPr>
                <w:p w14:paraId="1C138E02">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TSP</w:t>
                  </w:r>
                </w:p>
              </w:tc>
              <w:tc>
                <w:tcPr>
                  <w:tcW w:w="1337" w:type="pct"/>
                  <w:vAlign w:val="center"/>
                </w:tcPr>
                <w:p w14:paraId="353BB66C">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施工场地上、下风向</w:t>
                  </w:r>
                </w:p>
              </w:tc>
              <w:tc>
                <w:tcPr>
                  <w:tcW w:w="722" w:type="pct"/>
                  <w:vAlign w:val="center"/>
                </w:tcPr>
                <w:p w14:paraId="4ED222F4">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w:t>
                  </w:r>
                </w:p>
              </w:tc>
              <w:tc>
                <w:tcPr>
                  <w:tcW w:w="881" w:type="pct"/>
                  <w:vAlign w:val="center"/>
                </w:tcPr>
                <w:p w14:paraId="6E93BCAF">
                  <w:pPr>
                    <w:topLinePunct/>
                    <w:autoSpaceDE w:val="0"/>
                    <w:autoSpaceDN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每季一次</w:t>
                  </w:r>
                </w:p>
              </w:tc>
            </w:tr>
          </w:tbl>
          <w:p w14:paraId="72129BF7">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运营期污染源与环境监测计划见表5-2。</w:t>
            </w:r>
          </w:p>
          <w:p w14:paraId="09CE94B8">
            <w:pPr>
              <w:pStyle w:val="3"/>
              <w:spacing w:before="0" w:beforeLines="0" w:after="0" w:afterLines="0" w:line="240" w:lineRule="auto"/>
              <w:jc w:val="center"/>
              <w:rPr>
                <w:b/>
                <w:bCs/>
                <w:color w:val="000000" w:themeColor="text1"/>
                <w:sz w:val="21"/>
                <w:szCs w:val="21"/>
                <w14:textFill>
                  <w14:solidFill>
                    <w14:schemeClr w14:val="tx1"/>
                  </w14:solidFill>
                </w14:textFill>
              </w:rPr>
            </w:pPr>
          </w:p>
          <w:p w14:paraId="76AB4C2F">
            <w:pPr>
              <w:pStyle w:val="3"/>
              <w:spacing w:before="0" w:beforeLines="0" w:after="0" w:afterLines="0" w:line="240" w:lineRule="auto"/>
              <w:jc w:val="center"/>
              <w:rPr>
                <w:b/>
                <w:bCs/>
                <w:color w:val="000000" w:themeColor="text1"/>
                <w:sz w:val="21"/>
                <w:szCs w:val="21"/>
                <w14:textFill>
                  <w14:solidFill>
                    <w14:schemeClr w14:val="tx1"/>
                  </w14:solidFill>
                </w14:textFill>
              </w:rPr>
            </w:pPr>
          </w:p>
          <w:p w14:paraId="4EF654A8">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表5-2  污染源与环境监测计划表</w:t>
            </w:r>
          </w:p>
          <w:tbl>
            <w:tblPr>
              <w:tblStyle w:val="31"/>
              <w:tblW w:w="795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320"/>
              <w:gridCol w:w="1439"/>
              <w:gridCol w:w="1379"/>
              <w:gridCol w:w="2924"/>
            </w:tblGrid>
            <w:tr w14:paraId="2F18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95" w:type="dxa"/>
                  <w:vAlign w:val="center"/>
                </w:tcPr>
                <w:p w14:paraId="5B1A89AC">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w:t>
                  </w:r>
                </w:p>
              </w:tc>
              <w:tc>
                <w:tcPr>
                  <w:tcW w:w="1320" w:type="dxa"/>
                  <w:vAlign w:val="center"/>
                </w:tcPr>
                <w:p w14:paraId="242060C1">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监测项目</w:t>
                  </w:r>
                </w:p>
              </w:tc>
              <w:tc>
                <w:tcPr>
                  <w:tcW w:w="1439" w:type="dxa"/>
                  <w:vAlign w:val="center"/>
                </w:tcPr>
                <w:p w14:paraId="092C9AB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监测点位置</w:t>
                  </w:r>
                </w:p>
              </w:tc>
              <w:tc>
                <w:tcPr>
                  <w:tcW w:w="1379" w:type="dxa"/>
                  <w:vAlign w:val="center"/>
                </w:tcPr>
                <w:p w14:paraId="0F3826B7">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监测频率</w:t>
                  </w:r>
                </w:p>
              </w:tc>
              <w:tc>
                <w:tcPr>
                  <w:tcW w:w="2924" w:type="dxa"/>
                  <w:vAlign w:val="center"/>
                </w:tcPr>
                <w:p w14:paraId="7831F1D9">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控制指标</w:t>
                  </w:r>
                </w:p>
              </w:tc>
            </w:tr>
            <w:tr w14:paraId="1439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95" w:type="dxa"/>
                  <w:vAlign w:val="center"/>
                </w:tcPr>
                <w:p w14:paraId="4ACEC5B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风机噪声</w:t>
                  </w:r>
                </w:p>
              </w:tc>
              <w:tc>
                <w:tcPr>
                  <w:tcW w:w="1320" w:type="dxa"/>
                  <w:vAlign w:val="center"/>
                </w:tcPr>
                <w:p w14:paraId="798353A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Leq(A)</w:t>
                  </w:r>
                </w:p>
              </w:tc>
              <w:tc>
                <w:tcPr>
                  <w:tcW w:w="1439" w:type="dxa"/>
                  <w:vAlign w:val="center"/>
                </w:tcPr>
                <w:p w14:paraId="3E2DB9B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正常运行时随机抽取1个风机进行监测</w:t>
                  </w:r>
                </w:p>
              </w:tc>
              <w:tc>
                <w:tcPr>
                  <w:tcW w:w="1379" w:type="dxa"/>
                  <w:vAlign w:val="center"/>
                </w:tcPr>
                <w:p w14:paraId="7B39646F">
                  <w:pPr>
                    <w:snapToGrid w:val="0"/>
                    <w:jc w:val="center"/>
                    <w:rPr>
                      <w:color w:val="000000" w:themeColor="text1"/>
                      <w:szCs w:val="21"/>
                      <w14:textFill>
                        <w14:solidFill>
                          <w14:schemeClr w14:val="tx1"/>
                        </w14:solidFill>
                      </w14:textFill>
                    </w:rPr>
                  </w:pPr>
                  <w:r>
                    <w:rPr>
                      <w:color w:val="000000" w:themeColor="text1"/>
                      <w:kern w:val="24"/>
                      <w:szCs w:val="21"/>
                      <w14:textFill>
                        <w14:solidFill>
                          <w14:schemeClr w14:val="tx1"/>
                        </w14:solidFill>
                      </w14:textFill>
                    </w:rPr>
                    <w:t>竣工验收及有投诉时</w:t>
                  </w:r>
                </w:p>
              </w:tc>
              <w:tc>
                <w:tcPr>
                  <w:tcW w:w="2924" w:type="dxa"/>
                  <w:vAlign w:val="center"/>
                </w:tcPr>
                <w:p w14:paraId="63CEEBC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《声环境质量标准》（GB 3096-2008）</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类标准要求</w:t>
                  </w:r>
                </w:p>
              </w:tc>
            </w:tr>
          </w:tbl>
          <w:p w14:paraId="77B9A181">
            <w:pPr>
              <w:keepLines/>
              <w:widowControl/>
              <w:adjustRightInd w:val="0"/>
              <w:snapToGrid w:val="0"/>
              <w:spacing w:line="360" w:lineRule="auto"/>
              <w:ind w:firstLine="480" w:firstLineChars="200"/>
              <w:rPr>
                <w:color w:val="000000" w:themeColor="text1"/>
                <w:sz w:val="24"/>
                <w14:textFill>
                  <w14:solidFill>
                    <w14:schemeClr w14:val="tx1"/>
                  </w14:solidFill>
                </w14:textFill>
              </w:rPr>
            </w:pPr>
          </w:p>
        </w:tc>
      </w:tr>
      <w:tr w14:paraId="06CED7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6A039638">
            <w:pPr>
              <w:adjustRightInd w:val="0"/>
              <w:snapToGrid w:val="0"/>
              <w:jc w:val="center"/>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环保投资</w:t>
            </w:r>
          </w:p>
        </w:tc>
        <w:tc>
          <w:tcPr>
            <w:tcW w:w="8190" w:type="dxa"/>
            <w:vAlign w:val="center"/>
          </w:tcPr>
          <w:p w14:paraId="26A6D43D">
            <w:pPr>
              <w:spacing w:line="360" w:lineRule="auto"/>
              <w:ind w:firstLine="480" w:firstLineChars="200"/>
              <w:rPr>
                <w:color w:val="FF0000"/>
                <w:sz w:val="24"/>
              </w:rPr>
            </w:pPr>
            <w:r>
              <w:rPr>
                <w:color w:val="000000" w:themeColor="text1"/>
                <w:sz w:val="24"/>
                <w14:textFill>
                  <w14:solidFill>
                    <w14:schemeClr w14:val="tx1"/>
                  </w14:solidFill>
                </w14:textFill>
              </w:rPr>
              <w:t>本项目</w:t>
            </w:r>
            <w:r>
              <w:rPr>
                <w:rFonts w:hint="eastAsia"/>
                <w:color w:val="auto"/>
                <w:sz w:val="24"/>
              </w:rPr>
              <w:t>总投资24425.66万元，</w:t>
            </w:r>
            <w:r>
              <w:rPr>
                <w:color w:val="auto"/>
                <w:sz w:val="24"/>
              </w:rPr>
              <w:t>环保投资</w:t>
            </w:r>
            <w:r>
              <w:rPr>
                <w:rFonts w:hint="eastAsia"/>
                <w:color w:val="auto"/>
                <w:sz w:val="24"/>
                <w:lang w:val="en-US" w:eastAsia="zh-CN"/>
              </w:rPr>
              <w:t>120.08</w:t>
            </w:r>
            <w:r>
              <w:rPr>
                <w:color w:val="auto"/>
                <w:sz w:val="24"/>
              </w:rPr>
              <w:t>万元，占总投资</w:t>
            </w:r>
            <w:r>
              <w:rPr>
                <w:rFonts w:hint="eastAsia"/>
                <w:color w:val="auto"/>
                <w:sz w:val="24"/>
              </w:rPr>
              <w:t>额的</w:t>
            </w:r>
            <w:r>
              <w:rPr>
                <w:color w:val="auto"/>
                <w:sz w:val="24"/>
              </w:rPr>
              <w:t>0.</w:t>
            </w:r>
            <w:r>
              <w:rPr>
                <w:rFonts w:hint="eastAsia"/>
                <w:color w:val="auto"/>
                <w:sz w:val="24"/>
                <w:lang w:val="en-US" w:eastAsia="zh-CN"/>
              </w:rPr>
              <w:t>49</w:t>
            </w:r>
            <w:r>
              <w:rPr>
                <w:color w:val="auto"/>
                <w:sz w:val="24"/>
              </w:rPr>
              <w:t>%</w:t>
            </w:r>
            <w:r>
              <w:rPr>
                <w:rFonts w:hint="eastAsia"/>
                <w:color w:val="auto"/>
                <w:sz w:val="24"/>
              </w:rPr>
              <w:t>。</w:t>
            </w:r>
            <w:r>
              <w:rPr>
                <w:color w:val="auto"/>
                <w:sz w:val="24"/>
              </w:rPr>
              <w:t>项目</w:t>
            </w:r>
            <w:r>
              <w:rPr>
                <w:rFonts w:hint="eastAsia"/>
                <w:color w:val="auto"/>
                <w:sz w:val="24"/>
              </w:rPr>
              <w:t>具体的</w:t>
            </w:r>
            <w:r>
              <w:rPr>
                <w:color w:val="auto"/>
                <w:sz w:val="24"/>
              </w:rPr>
              <w:t>环保投资</w:t>
            </w:r>
            <w:r>
              <w:rPr>
                <w:rFonts w:hint="eastAsia"/>
                <w:color w:val="auto"/>
                <w:sz w:val="24"/>
              </w:rPr>
              <w:t>见</w:t>
            </w:r>
            <w:r>
              <w:rPr>
                <w:color w:val="auto"/>
                <w:sz w:val="24"/>
              </w:rPr>
              <w:t>表5-3。</w:t>
            </w:r>
          </w:p>
          <w:p w14:paraId="011A77F3">
            <w:pPr>
              <w:pStyle w:val="3"/>
              <w:spacing w:before="0" w:beforeLines="0" w:after="0" w:afterLines="0" w:line="240" w:lineRule="auto"/>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 xml:space="preserve">表5-3  </w:t>
            </w:r>
            <w:r>
              <w:rPr>
                <w:rFonts w:hint="eastAsia"/>
                <w:b/>
                <w:bCs/>
                <w:color w:val="000000" w:themeColor="text1"/>
                <w:sz w:val="21"/>
                <w:szCs w:val="21"/>
                <w14:textFill>
                  <w14:solidFill>
                    <w14:schemeClr w14:val="tx1"/>
                  </w14:solidFill>
                </w14:textFill>
              </w:rPr>
              <w:t>环境保护</w:t>
            </w:r>
            <w:r>
              <w:rPr>
                <w:b/>
                <w:bCs/>
                <w:color w:val="000000" w:themeColor="text1"/>
                <w:sz w:val="21"/>
                <w:szCs w:val="21"/>
                <w14:textFill>
                  <w14:solidFill>
                    <w14:schemeClr w14:val="tx1"/>
                  </w14:solidFill>
                </w14:textFill>
              </w:rPr>
              <w:t>投资</w:t>
            </w:r>
            <w:r>
              <w:rPr>
                <w:rFonts w:hint="eastAsia"/>
                <w:b/>
                <w:bCs/>
                <w:color w:val="000000" w:themeColor="text1"/>
                <w:sz w:val="21"/>
                <w:szCs w:val="21"/>
                <w14:textFill>
                  <w14:solidFill>
                    <w14:schemeClr w14:val="tx1"/>
                  </w14:solidFill>
                </w14:textFill>
              </w:rPr>
              <w:t>估算</w:t>
            </w:r>
            <w:r>
              <w:rPr>
                <w:b/>
                <w:bCs/>
                <w:color w:val="000000" w:themeColor="text1"/>
                <w:sz w:val="21"/>
                <w:szCs w:val="21"/>
                <w14:textFill>
                  <w14:solidFill>
                    <w14:schemeClr w14:val="tx1"/>
                  </w14:solidFill>
                </w14:textFill>
              </w:rPr>
              <w:t>一览表</w:t>
            </w:r>
          </w:p>
          <w:tbl>
            <w:tblPr>
              <w:tblStyle w:val="3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793"/>
              <w:gridCol w:w="1422"/>
              <w:gridCol w:w="2557"/>
              <w:gridCol w:w="716"/>
              <w:gridCol w:w="733"/>
              <w:gridCol w:w="1167"/>
            </w:tblGrid>
            <w:tr w14:paraId="70CF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764" w:type="dxa"/>
                  <w:gridSpan w:val="3"/>
                  <w:vAlign w:val="center"/>
                </w:tcPr>
                <w:p w14:paraId="67A72E0F">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治理工程</w:t>
                  </w:r>
                </w:p>
              </w:tc>
              <w:tc>
                <w:tcPr>
                  <w:tcW w:w="2557" w:type="dxa"/>
                  <w:vAlign w:val="center"/>
                </w:tcPr>
                <w:p w14:paraId="0D3C7C39">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环保设备</w:t>
                  </w:r>
                </w:p>
              </w:tc>
              <w:tc>
                <w:tcPr>
                  <w:tcW w:w="716" w:type="dxa"/>
                  <w:vAlign w:val="center"/>
                </w:tcPr>
                <w:p w14:paraId="5EF5F678">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单位</w:t>
                  </w:r>
                </w:p>
              </w:tc>
              <w:tc>
                <w:tcPr>
                  <w:tcW w:w="733" w:type="dxa"/>
                  <w:vAlign w:val="center"/>
                </w:tcPr>
                <w:p w14:paraId="394002D8">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数量</w:t>
                  </w:r>
                </w:p>
              </w:tc>
              <w:tc>
                <w:tcPr>
                  <w:tcW w:w="1167" w:type="dxa"/>
                  <w:vAlign w:val="center"/>
                </w:tcPr>
                <w:p w14:paraId="314BC54A">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投资</w:t>
                  </w:r>
                </w:p>
                <w:p w14:paraId="7BA3CCAB">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（万元）</w:t>
                  </w:r>
                </w:p>
              </w:tc>
            </w:tr>
            <w:tr w14:paraId="22A1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restart"/>
                  <w:vAlign w:val="center"/>
                </w:tcPr>
                <w:p w14:paraId="06C21302">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w:t>
                  </w:r>
                </w:p>
                <w:p w14:paraId="5B6B878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w:t>
                  </w:r>
                </w:p>
                <w:p w14:paraId="3FAA362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期</w:t>
                  </w:r>
                </w:p>
              </w:tc>
              <w:tc>
                <w:tcPr>
                  <w:tcW w:w="793" w:type="dxa"/>
                  <w:vMerge w:val="restart"/>
                  <w:vAlign w:val="center"/>
                </w:tcPr>
                <w:p w14:paraId="15B7ED5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1422" w:type="dxa"/>
                  <w:vMerge w:val="restart"/>
                  <w:vAlign w:val="center"/>
                </w:tcPr>
                <w:p w14:paraId="5ABA78E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扬尘</w:t>
                  </w:r>
                </w:p>
              </w:tc>
              <w:tc>
                <w:tcPr>
                  <w:tcW w:w="2557" w:type="dxa"/>
                  <w:vAlign w:val="center"/>
                </w:tcPr>
                <w:p w14:paraId="31A9626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材料运输及堆放时设篷盖</w:t>
                  </w:r>
                </w:p>
              </w:tc>
              <w:tc>
                <w:tcPr>
                  <w:tcW w:w="716" w:type="dxa"/>
                  <w:vAlign w:val="center"/>
                </w:tcPr>
                <w:p w14:paraId="6BCEA19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33" w:type="dxa"/>
                  <w:vAlign w:val="center"/>
                </w:tcPr>
                <w:p w14:paraId="392E7D3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7" w:type="dxa"/>
                  <w:vAlign w:val="center"/>
                </w:tcPr>
                <w:p w14:paraId="10EBA6A6">
                  <w:pPr>
                    <w:keepNext w:val="0"/>
                    <w:keepLines w:val="0"/>
                    <w:widowControl/>
                    <w:suppressLineNumbers w:val="0"/>
                    <w:jc w:val="center"/>
                    <w:textAlignment w:val="center"/>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3.2</w:t>
                  </w:r>
                </w:p>
              </w:tc>
            </w:tr>
            <w:tr w14:paraId="3EB1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5C5F0B48">
                  <w:pPr>
                    <w:snapToGrid w:val="0"/>
                    <w:jc w:val="center"/>
                    <w:rPr>
                      <w:color w:val="000000" w:themeColor="text1"/>
                      <w:szCs w:val="21"/>
                      <w14:textFill>
                        <w14:solidFill>
                          <w14:schemeClr w14:val="tx1"/>
                        </w14:solidFill>
                      </w14:textFill>
                    </w:rPr>
                  </w:pPr>
                </w:p>
              </w:tc>
              <w:tc>
                <w:tcPr>
                  <w:tcW w:w="793" w:type="dxa"/>
                  <w:vMerge w:val="continue"/>
                  <w:vAlign w:val="center"/>
                </w:tcPr>
                <w:p w14:paraId="175FB3E5">
                  <w:pPr>
                    <w:snapToGrid w:val="0"/>
                    <w:jc w:val="center"/>
                    <w:rPr>
                      <w:color w:val="000000" w:themeColor="text1"/>
                      <w:szCs w:val="21"/>
                      <w14:textFill>
                        <w14:solidFill>
                          <w14:schemeClr w14:val="tx1"/>
                        </w14:solidFill>
                      </w14:textFill>
                    </w:rPr>
                  </w:pPr>
                </w:p>
              </w:tc>
              <w:tc>
                <w:tcPr>
                  <w:tcW w:w="1422" w:type="dxa"/>
                  <w:vMerge w:val="continue"/>
                  <w:vAlign w:val="center"/>
                </w:tcPr>
                <w:p w14:paraId="7A90B66E">
                  <w:pPr>
                    <w:snapToGrid w:val="0"/>
                    <w:jc w:val="center"/>
                    <w:rPr>
                      <w:color w:val="000000" w:themeColor="text1"/>
                      <w:szCs w:val="21"/>
                      <w14:textFill>
                        <w14:solidFill>
                          <w14:schemeClr w14:val="tx1"/>
                        </w14:solidFill>
                      </w14:textFill>
                    </w:rPr>
                  </w:pPr>
                </w:p>
              </w:tc>
              <w:tc>
                <w:tcPr>
                  <w:tcW w:w="2557" w:type="dxa"/>
                  <w:vAlign w:val="center"/>
                </w:tcPr>
                <w:p w14:paraId="5B59514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车辆冲洗装置</w:t>
                  </w:r>
                </w:p>
              </w:tc>
              <w:tc>
                <w:tcPr>
                  <w:tcW w:w="716" w:type="dxa"/>
                  <w:vAlign w:val="center"/>
                </w:tcPr>
                <w:p w14:paraId="362337B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733" w:type="dxa"/>
                  <w:vAlign w:val="center"/>
                </w:tcPr>
                <w:p w14:paraId="08423A9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167" w:type="dxa"/>
                  <w:vAlign w:val="center"/>
                </w:tcPr>
                <w:p w14:paraId="5F646997">
                  <w:pPr>
                    <w:keepNext w:val="0"/>
                    <w:keepLines w:val="0"/>
                    <w:widowControl/>
                    <w:suppressLineNumbers w:val="0"/>
                    <w:jc w:val="center"/>
                    <w:textAlignment w:val="center"/>
                    <w:rPr>
                      <w:rFonts w:hint="eastAsia" w:eastAsia="宋体"/>
                      <w:color w:val="000000" w:themeColor="text1"/>
                      <w:szCs w:val="21"/>
                      <w:lang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5.4</w:t>
                  </w:r>
                </w:p>
              </w:tc>
            </w:tr>
            <w:tr w14:paraId="54D4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49" w:type="dxa"/>
                  <w:vMerge w:val="continue"/>
                  <w:vAlign w:val="center"/>
                </w:tcPr>
                <w:p w14:paraId="3F92C2DF">
                  <w:pPr>
                    <w:snapToGrid w:val="0"/>
                    <w:jc w:val="center"/>
                    <w:rPr>
                      <w:color w:val="000000" w:themeColor="text1"/>
                      <w:szCs w:val="21"/>
                      <w14:textFill>
                        <w14:solidFill>
                          <w14:schemeClr w14:val="tx1"/>
                        </w14:solidFill>
                      </w14:textFill>
                    </w:rPr>
                  </w:pPr>
                </w:p>
              </w:tc>
              <w:tc>
                <w:tcPr>
                  <w:tcW w:w="793" w:type="dxa"/>
                  <w:vMerge w:val="continue"/>
                  <w:vAlign w:val="center"/>
                </w:tcPr>
                <w:p w14:paraId="59B5440A">
                  <w:pPr>
                    <w:snapToGrid w:val="0"/>
                    <w:jc w:val="center"/>
                    <w:rPr>
                      <w:color w:val="000000" w:themeColor="text1"/>
                      <w:szCs w:val="21"/>
                      <w14:textFill>
                        <w14:solidFill>
                          <w14:schemeClr w14:val="tx1"/>
                        </w14:solidFill>
                      </w14:textFill>
                    </w:rPr>
                  </w:pPr>
                </w:p>
              </w:tc>
              <w:tc>
                <w:tcPr>
                  <w:tcW w:w="1422" w:type="dxa"/>
                  <w:vMerge w:val="continue"/>
                  <w:vAlign w:val="center"/>
                </w:tcPr>
                <w:p w14:paraId="05E425BF">
                  <w:pPr>
                    <w:snapToGrid w:val="0"/>
                    <w:jc w:val="center"/>
                    <w:rPr>
                      <w:color w:val="000000" w:themeColor="text1"/>
                      <w:szCs w:val="21"/>
                      <w14:textFill>
                        <w14:solidFill>
                          <w14:schemeClr w14:val="tx1"/>
                        </w14:solidFill>
                      </w14:textFill>
                    </w:rPr>
                  </w:pPr>
                </w:p>
              </w:tc>
              <w:tc>
                <w:tcPr>
                  <w:tcW w:w="2557" w:type="dxa"/>
                  <w:vAlign w:val="center"/>
                </w:tcPr>
                <w:p w14:paraId="37BD700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施工场地洒水抑尘</w:t>
                  </w:r>
                </w:p>
              </w:tc>
              <w:tc>
                <w:tcPr>
                  <w:tcW w:w="716" w:type="dxa"/>
                  <w:vAlign w:val="center"/>
                </w:tcPr>
                <w:p w14:paraId="06D50F2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套</w:t>
                  </w:r>
                </w:p>
              </w:tc>
              <w:tc>
                <w:tcPr>
                  <w:tcW w:w="733" w:type="dxa"/>
                  <w:vAlign w:val="center"/>
                </w:tcPr>
                <w:p w14:paraId="2F167C9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67" w:type="dxa"/>
                  <w:vAlign w:val="center"/>
                </w:tcPr>
                <w:p w14:paraId="0A197F1F">
                  <w:pPr>
                    <w:keepNext w:val="0"/>
                    <w:keepLines w:val="0"/>
                    <w:widowControl/>
                    <w:suppressLineNumbers w:val="0"/>
                    <w:jc w:val="center"/>
                    <w:textAlignment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1.1</w:t>
                  </w:r>
                </w:p>
              </w:tc>
            </w:tr>
            <w:tr w14:paraId="5CA7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22A56D4C">
                  <w:pPr>
                    <w:snapToGrid w:val="0"/>
                    <w:jc w:val="center"/>
                    <w:rPr>
                      <w:color w:val="000000" w:themeColor="text1"/>
                      <w:szCs w:val="21"/>
                      <w14:textFill>
                        <w14:solidFill>
                          <w14:schemeClr w14:val="tx1"/>
                        </w14:solidFill>
                      </w14:textFill>
                    </w:rPr>
                  </w:pPr>
                </w:p>
              </w:tc>
              <w:tc>
                <w:tcPr>
                  <w:tcW w:w="793" w:type="dxa"/>
                  <w:vAlign w:val="center"/>
                </w:tcPr>
                <w:p w14:paraId="5D1A0CF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1422" w:type="dxa"/>
                  <w:vAlign w:val="center"/>
                </w:tcPr>
                <w:p w14:paraId="00816E6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施工废水</w:t>
                  </w:r>
                </w:p>
              </w:tc>
              <w:tc>
                <w:tcPr>
                  <w:tcW w:w="2557" w:type="dxa"/>
                  <w:vAlign w:val="center"/>
                </w:tcPr>
                <w:p w14:paraId="5C99A6F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简易</w:t>
                  </w:r>
                  <w:r>
                    <w:rPr>
                      <w:color w:val="000000" w:themeColor="text1"/>
                      <w:szCs w:val="21"/>
                      <w14:textFill>
                        <w14:solidFill>
                          <w14:schemeClr w14:val="tx1"/>
                        </w14:solidFill>
                      </w14:textFill>
                    </w:rPr>
                    <w:t>沉淀池</w:t>
                  </w:r>
                </w:p>
              </w:tc>
              <w:tc>
                <w:tcPr>
                  <w:tcW w:w="716" w:type="dxa"/>
                  <w:vAlign w:val="center"/>
                </w:tcPr>
                <w:p w14:paraId="11D99A80">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座</w:t>
                  </w:r>
                </w:p>
              </w:tc>
              <w:tc>
                <w:tcPr>
                  <w:tcW w:w="733" w:type="dxa"/>
                  <w:vAlign w:val="center"/>
                </w:tcPr>
                <w:p w14:paraId="115B850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167" w:type="dxa"/>
                  <w:vAlign w:val="center"/>
                </w:tcPr>
                <w:p w14:paraId="5787631E">
                  <w:pPr>
                    <w:keepNext w:val="0"/>
                    <w:keepLines w:val="0"/>
                    <w:widowControl/>
                    <w:suppressLineNumbers w:val="0"/>
                    <w:jc w:val="center"/>
                    <w:textAlignment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1.3</w:t>
                  </w:r>
                </w:p>
              </w:tc>
            </w:tr>
            <w:tr w14:paraId="2FD7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39DEB30F">
                  <w:pPr>
                    <w:snapToGrid w:val="0"/>
                    <w:jc w:val="center"/>
                    <w:rPr>
                      <w:color w:val="000000" w:themeColor="text1"/>
                      <w:szCs w:val="21"/>
                      <w14:textFill>
                        <w14:solidFill>
                          <w14:schemeClr w14:val="tx1"/>
                        </w14:solidFill>
                      </w14:textFill>
                    </w:rPr>
                  </w:pPr>
                </w:p>
              </w:tc>
              <w:tc>
                <w:tcPr>
                  <w:tcW w:w="793" w:type="dxa"/>
                  <w:vAlign w:val="center"/>
                </w:tcPr>
                <w:p w14:paraId="75569F3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422" w:type="dxa"/>
                  <w:vAlign w:val="center"/>
                </w:tcPr>
                <w:p w14:paraId="107EB0D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2557" w:type="dxa"/>
                  <w:vAlign w:val="center"/>
                </w:tcPr>
                <w:p w14:paraId="4D14CB8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垃圾桶</w:t>
                  </w:r>
                </w:p>
              </w:tc>
              <w:tc>
                <w:tcPr>
                  <w:tcW w:w="716" w:type="dxa"/>
                  <w:vAlign w:val="center"/>
                </w:tcPr>
                <w:p w14:paraId="612AFC34">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个</w:t>
                  </w:r>
                </w:p>
              </w:tc>
              <w:tc>
                <w:tcPr>
                  <w:tcW w:w="733" w:type="dxa"/>
                  <w:vAlign w:val="center"/>
                </w:tcPr>
                <w:p w14:paraId="1882B9C5">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若干</w:t>
                  </w:r>
                </w:p>
              </w:tc>
              <w:tc>
                <w:tcPr>
                  <w:tcW w:w="1167" w:type="dxa"/>
                  <w:vAlign w:val="center"/>
                </w:tcPr>
                <w:p w14:paraId="451DB310">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4430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1A1A7913">
                  <w:pPr>
                    <w:snapToGrid w:val="0"/>
                    <w:jc w:val="center"/>
                    <w:rPr>
                      <w:color w:val="000000" w:themeColor="text1"/>
                      <w:szCs w:val="21"/>
                      <w14:textFill>
                        <w14:solidFill>
                          <w14:schemeClr w14:val="tx1"/>
                        </w14:solidFill>
                      </w14:textFill>
                    </w:rPr>
                  </w:pPr>
                </w:p>
              </w:tc>
              <w:tc>
                <w:tcPr>
                  <w:tcW w:w="793" w:type="dxa"/>
                  <w:vAlign w:val="center"/>
                </w:tcPr>
                <w:p w14:paraId="3A6B65BA">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w:t>
                  </w:r>
                </w:p>
              </w:tc>
              <w:tc>
                <w:tcPr>
                  <w:tcW w:w="1422" w:type="dxa"/>
                  <w:vAlign w:val="center"/>
                </w:tcPr>
                <w:p w14:paraId="0DC34417">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水土流失</w:t>
                  </w:r>
                </w:p>
              </w:tc>
              <w:tc>
                <w:tcPr>
                  <w:tcW w:w="4006" w:type="dxa"/>
                  <w:gridSpan w:val="3"/>
                  <w:vAlign w:val="center"/>
                </w:tcPr>
                <w:p w14:paraId="0CBD38DB">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表土堆存、织物草袋覆盖、植被恢复</w:t>
                  </w:r>
                </w:p>
              </w:tc>
              <w:tc>
                <w:tcPr>
                  <w:tcW w:w="1167" w:type="dxa"/>
                  <w:vAlign w:val="center"/>
                </w:tcPr>
                <w:p w14:paraId="67803A82">
                  <w:pPr>
                    <w:keepNext w:val="0"/>
                    <w:keepLines w:val="0"/>
                    <w:widowControl/>
                    <w:suppressLineNumbers w:val="0"/>
                    <w:jc w:val="center"/>
                    <w:textAlignment w:val="center"/>
                    <w:rPr>
                      <w:rFonts w:hint="default" w:eastAsia="宋体"/>
                      <w:color w:val="000000" w:themeColor="text1"/>
                      <w:szCs w:val="21"/>
                      <w:lang w:val="en-US" w:eastAsia="zh-CN"/>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25.6</w:t>
                  </w:r>
                </w:p>
              </w:tc>
            </w:tr>
            <w:tr w14:paraId="08D3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549" w:type="dxa"/>
                  <w:vMerge w:val="restart"/>
                  <w:vAlign w:val="center"/>
                </w:tcPr>
                <w:p w14:paraId="0C1B3A0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运营期</w:t>
                  </w:r>
                </w:p>
              </w:tc>
              <w:tc>
                <w:tcPr>
                  <w:tcW w:w="793" w:type="dxa"/>
                  <w:vMerge w:val="restart"/>
                  <w:vAlign w:val="center"/>
                </w:tcPr>
                <w:p w14:paraId="398C5D9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1422" w:type="dxa"/>
                  <w:vAlign w:val="center"/>
                </w:tcPr>
                <w:p w14:paraId="2E3646D7">
                  <w:pPr>
                    <w:widowControl/>
                    <w:jc w:val="center"/>
                    <w:textAlignment w:val="top"/>
                    <w:rPr>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废箱变</w:t>
                  </w:r>
                </w:p>
              </w:tc>
              <w:tc>
                <w:tcPr>
                  <w:tcW w:w="2557" w:type="dxa"/>
                  <w:vMerge w:val="restart"/>
                  <w:vAlign w:val="center"/>
                </w:tcPr>
                <w:p w14:paraId="5338DB83">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暂存于</w:t>
                  </w:r>
                  <w:r>
                    <w:rPr>
                      <w:rFonts w:hint="eastAsia"/>
                      <w:color w:val="000000" w:themeColor="text1"/>
                      <w:szCs w:val="21"/>
                      <w14:textFill>
                        <w14:solidFill>
                          <w14:schemeClr w14:val="tx1"/>
                        </w14:solidFill>
                      </w14:textFill>
                    </w:rPr>
                    <w:t>升压站的</w:t>
                  </w:r>
                  <w:r>
                    <w:rPr>
                      <w:color w:val="000000" w:themeColor="text1"/>
                      <w:szCs w:val="21"/>
                      <w14:textFill>
                        <w14:solidFill>
                          <w14:schemeClr w14:val="tx1"/>
                        </w14:solidFill>
                      </w14:textFill>
                    </w:rPr>
                    <w:t>危险废物暂存间</w:t>
                  </w:r>
                  <w:r>
                    <w:rPr>
                      <w:rFonts w:hint="eastAsia"/>
                      <w:color w:val="000000" w:themeColor="text1"/>
                      <w:szCs w:val="21"/>
                      <w14:textFill>
                        <w14:solidFill>
                          <w14:schemeClr w14:val="tx1"/>
                        </w14:solidFill>
                      </w14:textFill>
                    </w:rPr>
                    <w:t>，定期交由有资质单位回收处置。</w:t>
                  </w:r>
                </w:p>
              </w:tc>
              <w:tc>
                <w:tcPr>
                  <w:tcW w:w="716" w:type="dxa"/>
                  <w:vMerge w:val="restart"/>
                  <w:vAlign w:val="center"/>
                </w:tcPr>
                <w:p w14:paraId="0CF7BA5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33" w:type="dxa"/>
                  <w:vMerge w:val="restart"/>
                  <w:vAlign w:val="center"/>
                </w:tcPr>
                <w:p w14:paraId="547F324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7" w:type="dxa"/>
                  <w:vMerge w:val="restart"/>
                  <w:vAlign w:val="center"/>
                </w:tcPr>
                <w:p w14:paraId="450F7256">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纳入升压站管理</w:t>
                  </w:r>
                </w:p>
              </w:tc>
            </w:tr>
            <w:tr w14:paraId="0ACE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49" w:type="dxa"/>
                  <w:vMerge w:val="continue"/>
                  <w:vAlign w:val="center"/>
                </w:tcPr>
                <w:p w14:paraId="2330E888">
                  <w:pPr>
                    <w:snapToGrid w:val="0"/>
                    <w:jc w:val="center"/>
                    <w:rPr>
                      <w:color w:val="000000" w:themeColor="text1"/>
                      <w:szCs w:val="21"/>
                      <w14:textFill>
                        <w14:solidFill>
                          <w14:schemeClr w14:val="tx1"/>
                        </w14:solidFill>
                      </w14:textFill>
                    </w:rPr>
                  </w:pPr>
                </w:p>
              </w:tc>
              <w:tc>
                <w:tcPr>
                  <w:tcW w:w="793" w:type="dxa"/>
                  <w:vMerge w:val="continue"/>
                  <w:vAlign w:val="center"/>
                </w:tcPr>
                <w:p w14:paraId="0F776CE0">
                  <w:pPr>
                    <w:snapToGrid w:val="0"/>
                    <w:jc w:val="center"/>
                    <w:rPr>
                      <w:color w:val="000000" w:themeColor="text1"/>
                      <w:szCs w:val="21"/>
                      <w14:textFill>
                        <w14:solidFill>
                          <w14:schemeClr w14:val="tx1"/>
                        </w14:solidFill>
                      </w14:textFill>
                    </w:rPr>
                  </w:pPr>
                </w:p>
              </w:tc>
              <w:tc>
                <w:tcPr>
                  <w:tcW w:w="1422" w:type="dxa"/>
                  <w:vAlign w:val="center"/>
                </w:tcPr>
                <w:p w14:paraId="41A22942">
                  <w:pPr>
                    <w:widowControl/>
                    <w:jc w:val="center"/>
                    <w:textAlignment w:val="top"/>
                    <w:rPr>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风机废油</w:t>
                  </w:r>
                </w:p>
              </w:tc>
              <w:tc>
                <w:tcPr>
                  <w:tcW w:w="2557" w:type="dxa"/>
                  <w:vMerge w:val="continue"/>
                </w:tcPr>
                <w:p w14:paraId="039BF70A">
                  <w:pPr>
                    <w:pStyle w:val="74"/>
                    <w:jc w:val="center"/>
                    <w:rPr>
                      <w:rFonts w:ascii="Times New Roman" w:hAnsi="Times New Roman" w:cs="Times New Roman"/>
                      <w:color w:val="000000" w:themeColor="text1"/>
                      <w:szCs w:val="21"/>
                      <w14:textFill>
                        <w14:solidFill>
                          <w14:schemeClr w14:val="tx1"/>
                        </w14:solidFill>
                      </w14:textFill>
                    </w:rPr>
                  </w:pPr>
                </w:p>
              </w:tc>
              <w:tc>
                <w:tcPr>
                  <w:tcW w:w="716" w:type="dxa"/>
                  <w:vMerge w:val="continue"/>
                  <w:vAlign w:val="center"/>
                </w:tcPr>
                <w:p w14:paraId="0EEB85AD">
                  <w:pPr>
                    <w:snapToGrid w:val="0"/>
                    <w:jc w:val="center"/>
                    <w:rPr>
                      <w:color w:val="000000" w:themeColor="text1"/>
                      <w:szCs w:val="21"/>
                      <w14:textFill>
                        <w14:solidFill>
                          <w14:schemeClr w14:val="tx1"/>
                        </w14:solidFill>
                      </w14:textFill>
                    </w:rPr>
                  </w:pPr>
                </w:p>
              </w:tc>
              <w:tc>
                <w:tcPr>
                  <w:tcW w:w="733" w:type="dxa"/>
                  <w:vMerge w:val="continue"/>
                  <w:vAlign w:val="center"/>
                </w:tcPr>
                <w:p w14:paraId="2BFEDF0D">
                  <w:pPr>
                    <w:snapToGrid w:val="0"/>
                    <w:jc w:val="center"/>
                    <w:rPr>
                      <w:color w:val="000000" w:themeColor="text1"/>
                      <w:szCs w:val="21"/>
                      <w14:textFill>
                        <w14:solidFill>
                          <w14:schemeClr w14:val="tx1"/>
                        </w14:solidFill>
                      </w14:textFill>
                    </w:rPr>
                  </w:pPr>
                </w:p>
              </w:tc>
              <w:tc>
                <w:tcPr>
                  <w:tcW w:w="1167" w:type="dxa"/>
                  <w:vMerge w:val="continue"/>
                  <w:vAlign w:val="center"/>
                </w:tcPr>
                <w:p w14:paraId="3C81DA17">
                  <w:pPr>
                    <w:snapToGrid w:val="0"/>
                    <w:jc w:val="center"/>
                    <w:rPr>
                      <w:color w:val="000000" w:themeColor="text1"/>
                      <w:szCs w:val="21"/>
                      <w14:textFill>
                        <w14:solidFill>
                          <w14:schemeClr w14:val="tx1"/>
                        </w14:solidFill>
                      </w14:textFill>
                    </w:rPr>
                  </w:pPr>
                </w:p>
              </w:tc>
            </w:tr>
            <w:tr w14:paraId="0DAA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continue"/>
                  <w:vAlign w:val="center"/>
                </w:tcPr>
                <w:p w14:paraId="6BF4B76E">
                  <w:pPr>
                    <w:snapToGrid w:val="0"/>
                    <w:jc w:val="center"/>
                    <w:rPr>
                      <w:color w:val="000000" w:themeColor="text1"/>
                      <w:szCs w:val="21"/>
                      <w14:textFill>
                        <w14:solidFill>
                          <w14:schemeClr w14:val="tx1"/>
                        </w14:solidFill>
                      </w14:textFill>
                    </w:rPr>
                  </w:pPr>
                </w:p>
              </w:tc>
              <w:tc>
                <w:tcPr>
                  <w:tcW w:w="793" w:type="dxa"/>
                  <w:vMerge w:val="continue"/>
                  <w:vAlign w:val="center"/>
                </w:tcPr>
                <w:p w14:paraId="511F672E">
                  <w:pPr>
                    <w:snapToGrid w:val="0"/>
                    <w:jc w:val="center"/>
                    <w:rPr>
                      <w:color w:val="000000" w:themeColor="text1"/>
                      <w:szCs w:val="21"/>
                      <w14:textFill>
                        <w14:solidFill>
                          <w14:schemeClr w14:val="tx1"/>
                        </w14:solidFill>
                      </w14:textFill>
                    </w:rPr>
                  </w:pPr>
                </w:p>
              </w:tc>
              <w:tc>
                <w:tcPr>
                  <w:tcW w:w="1422" w:type="dxa"/>
                  <w:vAlign w:val="center"/>
                </w:tcPr>
                <w:p w14:paraId="4557A9FE">
                  <w:pPr>
                    <w:widowControl/>
                    <w:jc w:val="center"/>
                    <w:textAlignment w:val="top"/>
                    <w:rPr>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废润滑油桶</w:t>
                  </w:r>
                </w:p>
              </w:tc>
              <w:tc>
                <w:tcPr>
                  <w:tcW w:w="2557" w:type="dxa"/>
                  <w:vMerge w:val="continue"/>
                  <w:vAlign w:val="center"/>
                </w:tcPr>
                <w:p w14:paraId="711690CB">
                  <w:pPr>
                    <w:snapToGrid w:val="0"/>
                    <w:jc w:val="center"/>
                    <w:rPr>
                      <w:color w:val="000000" w:themeColor="text1"/>
                      <w:szCs w:val="21"/>
                      <w14:textFill>
                        <w14:solidFill>
                          <w14:schemeClr w14:val="tx1"/>
                        </w14:solidFill>
                      </w14:textFill>
                    </w:rPr>
                  </w:pPr>
                </w:p>
              </w:tc>
              <w:tc>
                <w:tcPr>
                  <w:tcW w:w="716" w:type="dxa"/>
                  <w:vMerge w:val="continue"/>
                  <w:vAlign w:val="center"/>
                </w:tcPr>
                <w:p w14:paraId="4778EE8A">
                  <w:pPr>
                    <w:snapToGrid w:val="0"/>
                    <w:jc w:val="center"/>
                    <w:rPr>
                      <w:color w:val="000000" w:themeColor="text1"/>
                      <w:szCs w:val="21"/>
                      <w14:textFill>
                        <w14:solidFill>
                          <w14:schemeClr w14:val="tx1"/>
                        </w14:solidFill>
                      </w14:textFill>
                    </w:rPr>
                  </w:pPr>
                </w:p>
              </w:tc>
              <w:tc>
                <w:tcPr>
                  <w:tcW w:w="733" w:type="dxa"/>
                  <w:vMerge w:val="continue"/>
                  <w:vAlign w:val="center"/>
                </w:tcPr>
                <w:p w14:paraId="2116C647">
                  <w:pPr>
                    <w:snapToGrid w:val="0"/>
                    <w:jc w:val="center"/>
                    <w:rPr>
                      <w:color w:val="000000" w:themeColor="text1"/>
                      <w:szCs w:val="21"/>
                      <w14:textFill>
                        <w14:solidFill>
                          <w14:schemeClr w14:val="tx1"/>
                        </w14:solidFill>
                      </w14:textFill>
                    </w:rPr>
                  </w:pPr>
                </w:p>
              </w:tc>
              <w:tc>
                <w:tcPr>
                  <w:tcW w:w="1167" w:type="dxa"/>
                  <w:vMerge w:val="continue"/>
                  <w:vAlign w:val="center"/>
                </w:tcPr>
                <w:p w14:paraId="1749D6A2">
                  <w:pPr>
                    <w:snapToGrid w:val="0"/>
                    <w:jc w:val="center"/>
                    <w:rPr>
                      <w:color w:val="000000" w:themeColor="text1"/>
                      <w:szCs w:val="21"/>
                      <w14:textFill>
                        <w14:solidFill>
                          <w14:schemeClr w14:val="tx1"/>
                        </w14:solidFill>
                      </w14:textFill>
                    </w:rPr>
                  </w:pPr>
                </w:p>
              </w:tc>
            </w:tr>
            <w:tr w14:paraId="4116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continue"/>
                  <w:vAlign w:val="center"/>
                </w:tcPr>
                <w:p w14:paraId="23E25987">
                  <w:pPr>
                    <w:snapToGrid w:val="0"/>
                    <w:jc w:val="center"/>
                    <w:rPr>
                      <w:color w:val="000000" w:themeColor="text1"/>
                      <w:szCs w:val="21"/>
                      <w14:textFill>
                        <w14:solidFill>
                          <w14:schemeClr w14:val="tx1"/>
                        </w14:solidFill>
                      </w14:textFill>
                    </w:rPr>
                  </w:pPr>
                </w:p>
              </w:tc>
              <w:tc>
                <w:tcPr>
                  <w:tcW w:w="793" w:type="dxa"/>
                  <w:vMerge w:val="continue"/>
                  <w:vAlign w:val="center"/>
                </w:tcPr>
                <w:p w14:paraId="11507671">
                  <w:pPr>
                    <w:snapToGrid w:val="0"/>
                    <w:jc w:val="center"/>
                    <w:rPr>
                      <w:color w:val="000000" w:themeColor="text1"/>
                      <w:szCs w:val="21"/>
                      <w14:textFill>
                        <w14:solidFill>
                          <w14:schemeClr w14:val="tx1"/>
                        </w14:solidFill>
                      </w14:textFill>
                    </w:rPr>
                  </w:pPr>
                </w:p>
              </w:tc>
              <w:tc>
                <w:tcPr>
                  <w:tcW w:w="1422" w:type="dxa"/>
                  <w:vAlign w:val="center"/>
                </w:tcPr>
                <w:p w14:paraId="4D48458F">
                  <w:pPr>
                    <w:widowControl/>
                    <w:jc w:val="center"/>
                    <w:textAlignment w:val="top"/>
                    <w:rPr>
                      <w:color w:val="000000" w:themeColor="text1"/>
                      <w:szCs w:val="21"/>
                      <w14:textFill>
                        <w14:solidFill>
                          <w14:schemeClr w14:val="tx1"/>
                        </w14:solidFill>
                      </w14:textFill>
                    </w:rPr>
                  </w:pPr>
                  <w:r>
                    <w:rPr>
                      <w:rFonts w:eastAsiaTheme="minorEastAsia"/>
                      <w:color w:val="000000" w:themeColor="text1"/>
                      <w:kern w:val="0"/>
                      <w:szCs w:val="21"/>
                      <w:lang w:bidi="ar"/>
                      <w14:textFill>
                        <w14:solidFill>
                          <w14:schemeClr w14:val="tx1"/>
                        </w14:solidFill>
                      </w14:textFill>
                    </w:rPr>
                    <w:t>箱式变废油</w:t>
                  </w:r>
                </w:p>
              </w:tc>
              <w:tc>
                <w:tcPr>
                  <w:tcW w:w="2557" w:type="dxa"/>
                  <w:vMerge w:val="continue"/>
                  <w:vAlign w:val="center"/>
                </w:tcPr>
                <w:p w14:paraId="6A4E87BD">
                  <w:pPr>
                    <w:snapToGrid w:val="0"/>
                    <w:jc w:val="center"/>
                    <w:rPr>
                      <w:color w:val="000000" w:themeColor="text1"/>
                      <w:szCs w:val="21"/>
                      <w14:textFill>
                        <w14:solidFill>
                          <w14:schemeClr w14:val="tx1"/>
                        </w14:solidFill>
                      </w14:textFill>
                    </w:rPr>
                  </w:pPr>
                </w:p>
              </w:tc>
              <w:tc>
                <w:tcPr>
                  <w:tcW w:w="716" w:type="dxa"/>
                  <w:vMerge w:val="continue"/>
                  <w:vAlign w:val="center"/>
                </w:tcPr>
                <w:p w14:paraId="5B784165">
                  <w:pPr>
                    <w:snapToGrid w:val="0"/>
                    <w:jc w:val="center"/>
                    <w:rPr>
                      <w:color w:val="000000" w:themeColor="text1"/>
                      <w:szCs w:val="21"/>
                      <w14:textFill>
                        <w14:solidFill>
                          <w14:schemeClr w14:val="tx1"/>
                        </w14:solidFill>
                      </w14:textFill>
                    </w:rPr>
                  </w:pPr>
                </w:p>
              </w:tc>
              <w:tc>
                <w:tcPr>
                  <w:tcW w:w="733" w:type="dxa"/>
                  <w:vMerge w:val="continue"/>
                  <w:vAlign w:val="center"/>
                </w:tcPr>
                <w:p w14:paraId="4AF7083A">
                  <w:pPr>
                    <w:snapToGrid w:val="0"/>
                    <w:jc w:val="center"/>
                    <w:rPr>
                      <w:color w:val="000000" w:themeColor="text1"/>
                      <w:szCs w:val="21"/>
                      <w14:textFill>
                        <w14:solidFill>
                          <w14:schemeClr w14:val="tx1"/>
                        </w14:solidFill>
                      </w14:textFill>
                    </w:rPr>
                  </w:pPr>
                </w:p>
              </w:tc>
              <w:tc>
                <w:tcPr>
                  <w:tcW w:w="1167" w:type="dxa"/>
                  <w:vMerge w:val="continue"/>
                  <w:vAlign w:val="center"/>
                </w:tcPr>
                <w:p w14:paraId="25575477">
                  <w:pPr>
                    <w:snapToGrid w:val="0"/>
                    <w:jc w:val="center"/>
                    <w:rPr>
                      <w:color w:val="000000" w:themeColor="text1"/>
                      <w:szCs w:val="21"/>
                      <w14:textFill>
                        <w14:solidFill>
                          <w14:schemeClr w14:val="tx1"/>
                        </w14:solidFill>
                      </w14:textFill>
                    </w:rPr>
                  </w:pPr>
                </w:p>
              </w:tc>
            </w:tr>
            <w:tr w14:paraId="105E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vMerge w:val="continue"/>
                  <w:vAlign w:val="center"/>
                </w:tcPr>
                <w:p w14:paraId="4A0507AB">
                  <w:pPr>
                    <w:snapToGrid w:val="0"/>
                    <w:jc w:val="center"/>
                    <w:rPr>
                      <w:color w:val="000000" w:themeColor="text1"/>
                      <w:szCs w:val="21"/>
                      <w14:textFill>
                        <w14:solidFill>
                          <w14:schemeClr w14:val="tx1"/>
                        </w14:solidFill>
                      </w14:textFill>
                    </w:rPr>
                  </w:pPr>
                </w:p>
              </w:tc>
              <w:tc>
                <w:tcPr>
                  <w:tcW w:w="793" w:type="dxa"/>
                  <w:vAlign w:val="center"/>
                </w:tcPr>
                <w:p w14:paraId="61F5F16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422" w:type="dxa"/>
                  <w:vAlign w:val="center"/>
                </w:tcPr>
                <w:p w14:paraId="1CA11DD9">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风机</w:t>
                  </w:r>
                </w:p>
              </w:tc>
              <w:tc>
                <w:tcPr>
                  <w:tcW w:w="2557" w:type="dxa"/>
                  <w:vAlign w:val="center"/>
                </w:tcPr>
                <w:p w14:paraId="6ADA884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风力发电机选用隔音防振型，变速齿轮箱为减噪型，叶片用减速叶片等</w:t>
                  </w:r>
                </w:p>
              </w:tc>
              <w:tc>
                <w:tcPr>
                  <w:tcW w:w="716" w:type="dxa"/>
                  <w:vAlign w:val="center"/>
                </w:tcPr>
                <w:p w14:paraId="283243BE">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733" w:type="dxa"/>
                  <w:vAlign w:val="center"/>
                </w:tcPr>
                <w:p w14:paraId="4AD949A2">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1167" w:type="dxa"/>
                  <w:vAlign w:val="center"/>
                </w:tcPr>
                <w:p w14:paraId="09FCE06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计入主体</w:t>
                  </w:r>
                </w:p>
                <w:p w14:paraId="3547F466">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工程</w:t>
                  </w:r>
                </w:p>
              </w:tc>
            </w:tr>
            <w:tr w14:paraId="4B39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321" w:type="dxa"/>
                  <w:gridSpan w:val="4"/>
                  <w:vAlign w:val="center"/>
                </w:tcPr>
                <w:p w14:paraId="3676E19E">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w:t>
                  </w:r>
                </w:p>
              </w:tc>
              <w:tc>
                <w:tcPr>
                  <w:tcW w:w="716" w:type="dxa"/>
                  <w:vAlign w:val="center"/>
                </w:tcPr>
                <w:p w14:paraId="01D1EC6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33" w:type="dxa"/>
                  <w:vAlign w:val="center"/>
                </w:tcPr>
                <w:p w14:paraId="2DECC2F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7" w:type="dxa"/>
                  <w:vAlign w:val="center"/>
                </w:tcPr>
                <w:p w14:paraId="7AFCB57B">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86.58</w:t>
                  </w:r>
                </w:p>
              </w:tc>
            </w:tr>
            <w:tr w14:paraId="2EB0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321" w:type="dxa"/>
                  <w:gridSpan w:val="4"/>
                  <w:vAlign w:val="center"/>
                </w:tcPr>
                <w:p w14:paraId="157F3CE1">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716" w:type="dxa"/>
                  <w:shd w:val="clear" w:color="auto" w:fill="auto"/>
                  <w:vAlign w:val="center"/>
                </w:tcPr>
                <w:p w14:paraId="0CAE6FE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33" w:type="dxa"/>
                  <w:shd w:val="clear" w:color="auto" w:fill="auto"/>
                  <w:vAlign w:val="center"/>
                </w:tcPr>
                <w:p w14:paraId="44A0160F">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167" w:type="dxa"/>
                  <w:vAlign w:val="center"/>
                </w:tcPr>
                <w:p w14:paraId="18D98F51">
                  <w:pPr>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120.08</w:t>
                  </w:r>
                </w:p>
              </w:tc>
            </w:tr>
          </w:tbl>
          <w:p w14:paraId="37E0EE3A">
            <w:pPr>
              <w:spacing w:line="360" w:lineRule="auto"/>
              <w:ind w:firstLine="480" w:firstLineChars="200"/>
              <w:rPr>
                <w:color w:val="000000" w:themeColor="text1"/>
                <w:sz w:val="24"/>
                <w14:textFill>
                  <w14:solidFill>
                    <w14:schemeClr w14:val="tx1"/>
                  </w14:solidFill>
                </w14:textFill>
              </w:rPr>
            </w:pPr>
          </w:p>
          <w:p w14:paraId="1DADDCCF">
            <w:pPr>
              <w:spacing w:line="360" w:lineRule="auto"/>
              <w:ind w:firstLine="480" w:firstLineChars="200"/>
              <w:rPr>
                <w:color w:val="000000" w:themeColor="text1"/>
                <w:sz w:val="24"/>
                <w14:textFill>
                  <w14:solidFill>
                    <w14:schemeClr w14:val="tx1"/>
                  </w14:solidFill>
                </w14:textFill>
              </w:rPr>
            </w:pPr>
          </w:p>
          <w:p w14:paraId="2922D74D">
            <w:pPr>
              <w:spacing w:line="360" w:lineRule="auto"/>
              <w:ind w:firstLine="480" w:firstLineChars="200"/>
              <w:rPr>
                <w:color w:val="000000" w:themeColor="text1"/>
                <w:sz w:val="24"/>
                <w14:textFill>
                  <w14:solidFill>
                    <w14:schemeClr w14:val="tx1"/>
                  </w14:solidFill>
                </w14:textFill>
              </w:rPr>
            </w:pPr>
          </w:p>
          <w:p w14:paraId="7E2F1ED1">
            <w:pPr>
              <w:spacing w:line="360" w:lineRule="auto"/>
              <w:ind w:firstLine="480" w:firstLineChars="200"/>
              <w:rPr>
                <w:color w:val="000000" w:themeColor="text1"/>
                <w:sz w:val="24"/>
                <w14:textFill>
                  <w14:solidFill>
                    <w14:schemeClr w14:val="tx1"/>
                  </w14:solidFill>
                </w14:textFill>
              </w:rPr>
            </w:pPr>
            <w:bookmarkStart w:id="10" w:name="_GoBack"/>
            <w:bookmarkEnd w:id="10"/>
          </w:p>
          <w:p w14:paraId="1E27B82F">
            <w:pPr>
              <w:spacing w:line="360" w:lineRule="auto"/>
              <w:ind w:firstLine="480" w:firstLineChars="200"/>
              <w:rPr>
                <w:color w:val="000000" w:themeColor="text1"/>
                <w:sz w:val="24"/>
                <w14:textFill>
                  <w14:solidFill>
                    <w14:schemeClr w14:val="tx1"/>
                  </w14:solidFill>
                </w14:textFill>
              </w:rPr>
            </w:pPr>
          </w:p>
          <w:p w14:paraId="45D4A7D5">
            <w:pPr>
              <w:spacing w:line="360" w:lineRule="auto"/>
              <w:ind w:firstLine="480" w:firstLineChars="200"/>
              <w:rPr>
                <w:color w:val="000000" w:themeColor="text1"/>
                <w:sz w:val="24"/>
                <w14:textFill>
                  <w14:solidFill>
                    <w14:schemeClr w14:val="tx1"/>
                  </w14:solidFill>
                </w14:textFill>
              </w:rPr>
            </w:pPr>
          </w:p>
          <w:p w14:paraId="599AA985">
            <w:pPr>
              <w:spacing w:line="360" w:lineRule="auto"/>
              <w:ind w:firstLine="480" w:firstLineChars="200"/>
              <w:rPr>
                <w:color w:val="000000" w:themeColor="text1"/>
                <w:sz w:val="24"/>
                <w14:textFill>
                  <w14:solidFill>
                    <w14:schemeClr w14:val="tx1"/>
                  </w14:solidFill>
                </w14:textFill>
              </w:rPr>
            </w:pPr>
          </w:p>
          <w:p w14:paraId="68941F25">
            <w:pPr>
              <w:spacing w:line="360" w:lineRule="auto"/>
              <w:ind w:firstLine="480" w:firstLineChars="200"/>
              <w:rPr>
                <w:color w:val="000000" w:themeColor="text1"/>
                <w:sz w:val="24"/>
                <w14:textFill>
                  <w14:solidFill>
                    <w14:schemeClr w14:val="tx1"/>
                  </w14:solidFill>
                </w14:textFill>
              </w:rPr>
            </w:pPr>
          </w:p>
          <w:p w14:paraId="5AB0CC64">
            <w:pPr>
              <w:spacing w:line="360" w:lineRule="auto"/>
              <w:ind w:firstLine="480" w:firstLineChars="200"/>
              <w:rPr>
                <w:color w:val="000000" w:themeColor="text1"/>
                <w:sz w:val="24"/>
                <w14:textFill>
                  <w14:solidFill>
                    <w14:schemeClr w14:val="tx1"/>
                  </w14:solidFill>
                </w14:textFill>
              </w:rPr>
            </w:pPr>
          </w:p>
          <w:p w14:paraId="00176EBC">
            <w:pPr>
              <w:spacing w:line="360" w:lineRule="auto"/>
              <w:ind w:firstLine="480" w:firstLineChars="200"/>
              <w:rPr>
                <w:color w:val="000000" w:themeColor="text1"/>
                <w:sz w:val="24"/>
                <w14:textFill>
                  <w14:solidFill>
                    <w14:schemeClr w14:val="tx1"/>
                  </w14:solidFill>
                </w14:textFill>
              </w:rPr>
            </w:pPr>
          </w:p>
          <w:p w14:paraId="34845BAC">
            <w:pPr>
              <w:spacing w:line="360" w:lineRule="auto"/>
              <w:ind w:firstLine="480" w:firstLineChars="200"/>
              <w:rPr>
                <w:color w:val="000000" w:themeColor="text1"/>
                <w:sz w:val="24"/>
                <w14:textFill>
                  <w14:solidFill>
                    <w14:schemeClr w14:val="tx1"/>
                  </w14:solidFill>
                </w14:textFill>
              </w:rPr>
            </w:pPr>
          </w:p>
          <w:p w14:paraId="639C8608">
            <w:pPr>
              <w:keepLines/>
              <w:widowControl/>
              <w:adjustRightInd w:val="0"/>
              <w:snapToGrid w:val="0"/>
              <w:spacing w:line="360" w:lineRule="auto"/>
              <w:ind w:firstLine="480" w:firstLineChars="200"/>
              <w:rPr>
                <w:color w:val="000000" w:themeColor="text1"/>
                <w:sz w:val="24"/>
                <w14:textFill>
                  <w14:solidFill>
                    <w14:schemeClr w14:val="tx1"/>
                  </w14:solidFill>
                </w14:textFill>
              </w:rPr>
            </w:pPr>
          </w:p>
        </w:tc>
      </w:tr>
    </w:tbl>
    <w:p w14:paraId="1A2F1C80">
      <w:pPr>
        <w:pStyle w:val="26"/>
        <w:adjustRightInd w:val="0"/>
        <w:snapToGrid w:val="0"/>
        <w:spacing w:before="0" w:beforeAutospacing="0" w:after="0" w:afterAutospacing="0"/>
        <w:jc w:val="center"/>
        <w:rPr>
          <w:rFonts w:ascii="Times New Roman" w:hAnsi="Times New Roman"/>
          <w:bCs/>
          <w:color w:val="000000" w:themeColor="text1"/>
          <w:szCs w:val="21"/>
          <w14:textFill>
            <w14:solidFill>
              <w14:schemeClr w14:val="tx1"/>
            </w14:solidFill>
          </w14:textFill>
        </w:rPr>
        <w:sectPr>
          <w:pgSz w:w="11907" w:h="16840"/>
          <w:pgMar w:top="1701" w:right="1531" w:bottom="2127" w:left="1531" w:header="851" w:footer="851" w:gutter="0"/>
          <w:cols w:space="720" w:num="1"/>
          <w:docGrid w:linePitch="312" w:charSpace="0"/>
        </w:sectPr>
      </w:pPr>
    </w:p>
    <w:p w14:paraId="0E0A5E4B">
      <w:pPr>
        <w:pStyle w:val="26"/>
        <w:numPr>
          <w:ilvl w:val="0"/>
          <w:numId w:val="3"/>
        </w:numPr>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9" w:name="_Hlk54167917"/>
      <w:r>
        <w:rPr>
          <w:rFonts w:hint="eastAsia" w:ascii="Times New Roman" w:hAnsi="Times New Roman" w:eastAsia="黑体"/>
          <w:snapToGrid w:val="0"/>
          <w:color w:val="000000" w:themeColor="text1"/>
          <w:sz w:val="30"/>
          <w:szCs w:val="30"/>
          <w14:textFill>
            <w14:solidFill>
              <w14:schemeClr w14:val="tx1"/>
            </w14:solidFill>
          </w14:textFill>
        </w:rPr>
        <w:t>生态</w:t>
      </w:r>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9"/>
    </w:p>
    <w:tbl>
      <w:tblPr>
        <w:tblStyle w:val="31"/>
        <w:tblW w:w="494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86"/>
        <w:gridCol w:w="2371"/>
        <w:gridCol w:w="1567"/>
        <w:gridCol w:w="2024"/>
        <w:gridCol w:w="1714"/>
      </w:tblGrid>
      <w:tr w14:paraId="5AEB79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17" w:type="pct"/>
            <w:vMerge w:val="restart"/>
            <w:tcBorders>
              <w:tl2br w:val="single" w:color="auto" w:sz="4" w:space="0"/>
            </w:tcBorders>
          </w:tcPr>
          <w:p w14:paraId="3ED02662">
            <w:pPr>
              <w:pStyle w:val="26"/>
              <w:adjustRightInd w:val="0"/>
              <w:snapToGrid w:val="0"/>
              <w:spacing w:before="72" w:beforeLines="3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内容</w:t>
            </w:r>
          </w:p>
          <w:p w14:paraId="525D4DD9">
            <w:pPr>
              <w:pStyle w:val="26"/>
              <w:adjustRightInd w:val="0"/>
              <w:snapToGrid w:val="0"/>
              <w:spacing w:before="0" w:beforeAutospacing="0" w:after="0" w:afterAutospacing="0" w:line="14" w:lineRule="auto"/>
              <w:outlineLvl w:val="0"/>
              <w:rPr>
                <w:rFonts w:ascii="Times New Roman" w:hAnsi="Times New Roman"/>
                <w:b/>
                <w:bCs/>
                <w:color w:val="000000" w:themeColor="text1"/>
                <w:kern w:val="2"/>
                <w:szCs w:val="24"/>
                <w14:textFill>
                  <w14:solidFill>
                    <w14:schemeClr w14:val="tx1"/>
                  </w14:solidFill>
                </w14:textFill>
              </w:rPr>
            </w:pPr>
          </w:p>
          <w:p w14:paraId="60806C46">
            <w:pPr>
              <w:pStyle w:val="26"/>
              <w:adjustRightInd w:val="0"/>
              <w:snapToGrid w:val="0"/>
              <w:spacing w:before="0" w:beforeAutospacing="0" w:after="0" w:afterAutospacing="0"/>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要素</w:t>
            </w:r>
          </w:p>
        </w:tc>
        <w:tc>
          <w:tcPr>
            <w:tcW w:w="2197" w:type="pct"/>
            <w:gridSpan w:val="2"/>
            <w:vAlign w:val="center"/>
          </w:tcPr>
          <w:p w14:paraId="39C6AF98">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施工期</w:t>
            </w:r>
          </w:p>
        </w:tc>
        <w:tc>
          <w:tcPr>
            <w:tcW w:w="2084" w:type="pct"/>
            <w:gridSpan w:val="2"/>
            <w:vAlign w:val="center"/>
          </w:tcPr>
          <w:p w14:paraId="164B1EDB">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运营期</w:t>
            </w:r>
          </w:p>
        </w:tc>
      </w:tr>
      <w:tr w14:paraId="5757E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7" w:type="pct"/>
            <w:vMerge w:val="continue"/>
          </w:tcPr>
          <w:p w14:paraId="16A97099">
            <w:pPr>
              <w:pStyle w:val="26"/>
              <w:adjustRightInd w:val="0"/>
              <w:snapToGrid w:val="0"/>
              <w:spacing w:before="0" w:beforeAutospacing="0" w:after="0" w:afterAutospacing="0"/>
              <w:ind w:firstLine="840"/>
              <w:jc w:val="center"/>
              <w:outlineLvl w:val="0"/>
              <w:rPr>
                <w:rFonts w:ascii="Times New Roman" w:hAnsi="Times New Roman"/>
                <w:b/>
                <w:bCs/>
                <w:color w:val="000000" w:themeColor="text1"/>
                <w:kern w:val="2"/>
                <w:szCs w:val="24"/>
                <w14:textFill>
                  <w14:solidFill>
                    <w14:schemeClr w14:val="tx1"/>
                  </w14:solidFill>
                </w14:textFill>
              </w:rPr>
            </w:pPr>
          </w:p>
        </w:tc>
        <w:tc>
          <w:tcPr>
            <w:tcW w:w="1323" w:type="pct"/>
            <w:vAlign w:val="center"/>
          </w:tcPr>
          <w:p w14:paraId="7D514E82">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环境保护措施</w:t>
            </w:r>
          </w:p>
        </w:tc>
        <w:tc>
          <w:tcPr>
            <w:tcW w:w="873" w:type="pct"/>
            <w:vAlign w:val="center"/>
          </w:tcPr>
          <w:p w14:paraId="333DC285">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验收要求</w:t>
            </w:r>
          </w:p>
        </w:tc>
        <w:tc>
          <w:tcPr>
            <w:tcW w:w="1129" w:type="pct"/>
            <w:vAlign w:val="center"/>
          </w:tcPr>
          <w:p w14:paraId="635C345E">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环境保护措施</w:t>
            </w:r>
          </w:p>
        </w:tc>
        <w:tc>
          <w:tcPr>
            <w:tcW w:w="955" w:type="pct"/>
            <w:vAlign w:val="center"/>
          </w:tcPr>
          <w:p w14:paraId="6351E1FF">
            <w:pPr>
              <w:pStyle w:val="26"/>
              <w:adjustRightInd w:val="0"/>
              <w:snapToGrid w:val="0"/>
              <w:spacing w:before="0" w:beforeAutospacing="0" w:after="0" w:afterAutospacing="0"/>
              <w:jc w:val="center"/>
              <w:outlineLvl w:val="0"/>
              <w:rPr>
                <w:rFonts w:ascii="Times New Roman" w:hAnsi="Times New Roman"/>
                <w:b/>
                <w:bCs/>
                <w:color w:val="000000" w:themeColor="text1"/>
                <w:kern w:val="2"/>
                <w:szCs w:val="24"/>
                <w14:textFill>
                  <w14:solidFill>
                    <w14:schemeClr w14:val="tx1"/>
                  </w14:solidFill>
                </w14:textFill>
              </w:rPr>
            </w:pPr>
            <w:r>
              <w:rPr>
                <w:rFonts w:ascii="Times New Roman" w:hAnsi="Times New Roman"/>
                <w:b/>
                <w:bCs/>
                <w:color w:val="000000" w:themeColor="text1"/>
                <w:kern w:val="2"/>
                <w:szCs w:val="24"/>
                <w14:textFill>
                  <w14:solidFill>
                    <w14:schemeClr w14:val="tx1"/>
                  </w14:solidFill>
                </w14:textFill>
              </w:rPr>
              <w:t>验收要求</w:t>
            </w:r>
          </w:p>
        </w:tc>
      </w:tr>
      <w:tr w14:paraId="78C612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17" w:type="pct"/>
            <w:vAlign w:val="center"/>
          </w:tcPr>
          <w:p w14:paraId="62C82112">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陆生生态</w:t>
            </w:r>
          </w:p>
        </w:tc>
        <w:tc>
          <w:tcPr>
            <w:tcW w:w="1323" w:type="pct"/>
            <w:vAlign w:val="center"/>
          </w:tcPr>
          <w:p w14:paraId="32A99D76">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r>
              <w:rPr>
                <w:color w:val="000000" w:themeColor="text1"/>
                <w:sz w:val="21"/>
                <w:szCs w:val="21"/>
                <w14:textFill>
                  <w14:solidFill>
                    <w14:schemeClr w14:val="tx1"/>
                  </w14:solidFill>
                </w14:textFill>
              </w:rPr>
              <w:t>、合理安排施工，尽量减少施工开挖面积和临时占地面积，减少植被的破坏。</w:t>
            </w:r>
          </w:p>
          <w:p w14:paraId="300A7D41">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2、施工剥离的地表土，在临时堆土场堆放和保存，并采取拦挡、苫盖措施，施工结束后用于复垦绿化覆土用。为了抑制扬尘，减少水土流失，应采取临时洒水措施，在施工结束后进行土地整治、恢复植被。</w:t>
            </w:r>
          </w:p>
          <w:p w14:paraId="1D73E1BC">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3、施工完成后</w:t>
            </w:r>
            <w:r>
              <w:rPr>
                <w:color w:val="000000" w:themeColor="text1"/>
                <w:sz w:val="21"/>
                <w:szCs w:val="21"/>
                <w14:textFill>
                  <w14:solidFill>
                    <w14:schemeClr w14:val="tx1"/>
                  </w14:solidFill>
                </w14:textFill>
              </w:rPr>
              <w:t>对临时占地、临时道路、吊装场地等临时施工设施区进行土地平整，翻耕，及时进行绿化</w:t>
            </w:r>
          </w:p>
        </w:tc>
        <w:tc>
          <w:tcPr>
            <w:tcW w:w="873" w:type="pct"/>
            <w:vAlign w:val="center"/>
          </w:tcPr>
          <w:p w14:paraId="1804F4C8">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最大限度减少原生植被的破坏</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施工表土妥善堆存</w:t>
            </w:r>
            <w:r>
              <w:rPr>
                <w:rFonts w:hint="eastAsia"/>
                <w:color w:val="000000" w:themeColor="text1"/>
                <w:sz w:val="21"/>
                <w:szCs w:val="21"/>
                <w14:textFill>
                  <w14:solidFill>
                    <w14:schemeClr w14:val="tx1"/>
                  </w14:solidFill>
                </w14:textFill>
              </w:rPr>
              <w:t>；施工结束后，对临时施工占地进行土地平整，翻耕，及时绿化，恢复原貌</w:t>
            </w:r>
          </w:p>
        </w:tc>
        <w:tc>
          <w:tcPr>
            <w:tcW w:w="1129" w:type="pct"/>
            <w:vAlign w:val="center"/>
          </w:tcPr>
          <w:p w14:paraId="112F6ABC">
            <w:pPr>
              <w:adjustRightInd w:val="0"/>
              <w:snapToGrid w:val="0"/>
              <w:rPr>
                <w:color w:val="000000" w:themeColor="text1"/>
                <w:sz w:val="21"/>
                <w:szCs w:val="21"/>
                <w:lang w:val="zh-CN"/>
                <w14:textFill>
                  <w14:solidFill>
                    <w14:schemeClr w14:val="tx1"/>
                  </w14:solidFill>
                </w14:textFill>
              </w:rPr>
            </w:pPr>
            <w:r>
              <w:rPr>
                <w:rFonts w:hint="eastAsia"/>
                <w:color w:val="000000" w:themeColor="text1"/>
                <w:sz w:val="21"/>
                <w:szCs w:val="21"/>
                <w14:textFill>
                  <w14:solidFill>
                    <w14:schemeClr w14:val="tx1"/>
                  </w14:solidFill>
                </w14:textFill>
              </w:rPr>
              <w:t>1、风机上描绘对鸟类有警示作用的鹰眼，安装驱鸟器，叶片涂亚光涂料；恶劣天气派专人巡视，若遇受伤鸟类及时送去救助站</w:t>
            </w:r>
            <w:r>
              <w:rPr>
                <w:rFonts w:hint="eastAsia"/>
                <w:color w:val="000000" w:themeColor="text1"/>
                <w:sz w:val="21"/>
                <w:szCs w:val="21"/>
                <w:lang w:val="zh-CN"/>
                <w14:textFill>
                  <w14:solidFill>
                    <w14:schemeClr w14:val="tx1"/>
                  </w14:solidFill>
                </w14:textFill>
              </w:rPr>
              <w:t>。</w:t>
            </w:r>
          </w:p>
          <w:p w14:paraId="631E779D">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2、完善施工期未实施到位的植被保护措施，确保土地复耕率、植被恢复率</w:t>
            </w:r>
          </w:p>
        </w:tc>
        <w:tc>
          <w:tcPr>
            <w:tcW w:w="955" w:type="pct"/>
            <w:vAlign w:val="center"/>
          </w:tcPr>
          <w:p w14:paraId="22DFA4E8">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确保项目建设区内（除永久占地）植被覆盖率和成活率；保证主体工程完成后生态恢复费用的落实</w:t>
            </w:r>
          </w:p>
        </w:tc>
      </w:tr>
      <w:tr w14:paraId="65597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17" w:type="pct"/>
            <w:vAlign w:val="center"/>
          </w:tcPr>
          <w:p w14:paraId="61BDB7A3">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水生生态</w:t>
            </w:r>
          </w:p>
        </w:tc>
        <w:tc>
          <w:tcPr>
            <w:tcW w:w="1323" w:type="pct"/>
            <w:vAlign w:val="center"/>
          </w:tcPr>
          <w:p w14:paraId="463AD28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873" w:type="pct"/>
            <w:vAlign w:val="center"/>
          </w:tcPr>
          <w:p w14:paraId="59ABC84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129" w:type="pct"/>
            <w:vAlign w:val="center"/>
          </w:tcPr>
          <w:p w14:paraId="2E303FD0">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55" w:type="pct"/>
            <w:vAlign w:val="center"/>
          </w:tcPr>
          <w:p w14:paraId="0C0CE27C">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2663E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7" w:type="pct"/>
            <w:vAlign w:val="center"/>
          </w:tcPr>
          <w:p w14:paraId="33A96362">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地表水</w:t>
            </w:r>
          </w:p>
          <w:p w14:paraId="04567D99">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环境</w:t>
            </w:r>
          </w:p>
        </w:tc>
        <w:tc>
          <w:tcPr>
            <w:tcW w:w="1323" w:type="pct"/>
            <w:vAlign w:val="center"/>
          </w:tcPr>
          <w:p w14:paraId="051D05A4">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施工期施工废水设置临时简易沉淀池，经沉淀池沉淀后全部回用，无废水排放，施工人员食宿依托附近村庄，无生活污水产生。</w:t>
            </w:r>
          </w:p>
        </w:tc>
        <w:tc>
          <w:tcPr>
            <w:tcW w:w="873" w:type="pct"/>
            <w:vAlign w:val="center"/>
          </w:tcPr>
          <w:p w14:paraId="456E1AC0">
            <w:pPr>
              <w:adjustRightInd w:val="0"/>
              <w:snapToGrid w:val="0"/>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废水不外排。</w:t>
            </w:r>
          </w:p>
        </w:tc>
        <w:tc>
          <w:tcPr>
            <w:tcW w:w="1129" w:type="pct"/>
            <w:vAlign w:val="center"/>
          </w:tcPr>
          <w:p w14:paraId="2C051E1B">
            <w:p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运营期风电场内无废水产生与排放，工作人员生活污水纳入升压站管理，不在本次评价范围内。</w:t>
            </w:r>
          </w:p>
        </w:tc>
        <w:tc>
          <w:tcPr>
            <w:tcW w:w="955" w:type="pct"/>
            <w:vAlign w:val="center"/>
          </w:tcPr>
          <w:p w14:paraId="5B60A9E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无废水产生与排放。</w:t>
            </w:r>
          </w:p>
        </w:tc>
      </w:tr>
      <w:tr w14:paraId="2F2B2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717" w:type="pct"/>
            <w:vAlign w:val="center"/>
          </w:tcPr>
          <w:p w14:paraId="6241DD69">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地下水及土壤环境</w:t>
            </w:r>
          </w:p>
        </w:tc>
        <w:tc>
          <w:tcPr>
            <w:tcW w:w="1323" w:type="pct"/>
            <w:vAlign w:val="center"/>
          </w:tcPr>
          <w:p w14:paraId="13D7EA9A">
            <w:pPr>
              <w:pStyle w:val="74"/>
              <w:spacing w:before="2" w:line="242" w:lineRule="auto"/>
              <w:ind w:right="93"/>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873" w:type="pct"/>
            <w:vAlign w:val="center"/>
          </w:tcPr>
          <w:p w14:paraId="5D4FC72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129" w:type="pct"/>
            <w:vAlign w:val="center"/>
          </w:tcPr>
          <w:p w14:paraId="5898C9C9">
            <w:pPr>
              <w:pStyle w:val="74"/>
              <w:spacing w:before="119" w:line="244" w:lineRule="auto"/>
              <w:ind w:right="118"/>
              <w:jc w:val="center"/>
              <w:rPr>
                <w:rFonts w:hint="eastAsia"/>
                <w:color w:val="000000" w:themeColor="text1"/>
                <w:sz w:val="21"/>
                <w:szCs w:val="21"/>
                <w14:textFill>
                  <w14:solidFill>
                    <w14:schemeClr w14:val="tx1"/>
                  </w14:solidFill>
                </w14:textFill>
              </w:rPr>
            </w:pPr>
            <w:r>
              <w:rPr>
                <w:color w:val="000000" w:themeColor="text1"/>
                <w:spacing w:val="-1"/>
                <w:sz w:val="21"/>
                <w:szCs w:val="21"/>
                <w14:textFill>
                  <w14:solidFill>
                    <w14:schemeClr w14:val="tx1"/>
                  </w14:solidFill>
                </w14:textFill>
              </w:rPr>
              <w:t>风机基站下的</w:t>
            </w:r>
            <w:r>
              <w:rPr>
                <w:rFonts w:hint="eastAsia"/>
                <w:color w:val="000000" w:themeColor="text1"/>
                <w:spacing w:val="-1"/>
                <w:sz w:val="21"/>
                <w:szCs w:val="21"/>
                <w14:textFill>
                  <w14:solidFill>
                    <w14:schemeClr w14:val="tx1"/>
                  </w14:solidFill>
                </w14:textFill>
              </w:rPr>
              <w:t>集油坑</w:t>
            </w:r>
            <w:r>
              <w:rPr>
                <w:color w:val="000000" w:themeColor="text1"/>
                <w:sz w:val="21"/>
                <w:szCs w:val="21"/>
                <w14:textFill>
                  <w14:solidFill>
                    <w14:schemeClr w14:val="tx1"/>
                  </w14:solidFill>
                </w14:textFill>
              </w:rPr>
              <w:t>防渗处理</w:t>
            </w:r>
            <w:r>
              <w:rPr>
                <w:rFonts w:hint="eastAsia"/>
                <w:color w:val="000000" w:themeColor="text1"/>
                <w:sz w:val="21"/>
                <w:szCs w:val="21"/>
                <w14:textFill>
                  <w14:solidFill>
                    <w14:schemeClr w14:val="tx1"/>
                  </w14:solidFill>
                </w14:textFill>
              </w:rPr>
              <w:t>，</w:t>
            </w:r>
            <w:r>
              <w:rPr>
                <w:color w:val="000000" w:themeColor="text1"/>
                <w:spacing w:val="-4"/>
                <w:sz w:val="21"/>
                <w:szCs w:val="21"/>
                <w14:textFill>
                  <w14:solidFill>
                    <w14:schemeClr w14:val="tx1"/>
                  </w14:solidFill>
                </w14:textFill>
              </w:rPr>
              <w:t>设置导流设施，</w:t>
            </w:r>
            <w:r>
              <w:rPr>
                <w:rFonts w:hint="eastAsia"/>
                <w:color w:val="000000" w:themeColor="text1"/>
                <w:spacing w:val="-4"/>
                <w:sz w:val="21"/>
                <w:szCs w:val="21"/>
                <w14:textFill>
                  <w14:solidFill>
                    <w14:schemeClr w14:val="tx1"/>
                  </w14:solidFill>
                </w14:textFill>
              </w:rPr>
              <w:t>集油坑</w:t>
            </w:r>
            <w:r>
              <w:rPr>
                <w:color w:val="000000" w:themeColor="text1"/>
                <w:spacing w:val="-1"/>
                <w:sz w:val="21"/>
                <w:szCs w:val="21"/>
                <w14:textFill>
                  <w14:solidFill>
                    <w14:schemeClr w14:val="tx1"/>
                  </w14:solidFill>
                </w14:textFill>
              </w:rPr>
              <w:t>上加可视盖，便于观</w:t>
            </w:r>
            <w:r>
              <w:rPr>
                <w:color w:val="000000" w:themeColor="text1"/>
                <w:sz w:val="21"/>
                <w:szCs w:val="21"/>
                <w14:textFill>
                  <w14:solidFill>
                    <w14:schemeClr w14:val="tx1"/>
                  </w14:solidFill>
                </w14:textFill>
              </w:rPr>
              <w:t>测泄漏情况</w:t>
            </w:r>
            <w:r>
              <w:rPr>
                <w:rFonts w:hint="eastAsia"/>
                <w:color w:val="000000" w:themeColor="text1"/>
                <w:sz w:val="21"/>
                <w:szCs w:val="21"/>
                <w14:textFill>
                  <w14:solidFill>
                    <w14:schemeClr w14:val="tx1"/>
                  </w14:solidFill>
                </w14:textFill>
              </w:rPr>
              <w:t>集油坑进行重点防渗</w:t>
            </w:r>
          </w:p>
        </w:tc>
        <w:tc>
          <w:tcPr>
            <w:tcW w:w="955" w:type="pct"/>
            <w:vAlign w:val="center"/>
          </w:tcPr>
          <w:p w14:paraId="788205F3">
            <w:pPr>
              <w:pStyle w:val="74"/>
              <w:spacing w:line="242" w:lineRule="auto"/>
              <w:ind w:right="31"/>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19F3C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Align w:val="center"/>
          </w:tcPr>
          <w:p w14:paraId="2528F6F4">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声环境</w:t>
            </w:r>
          </w:p>
        </w:tc>
        <w:tc>
          <w:tcPr>
            <w:tcW w:w="1323" w:type="pct"/>
            <w:vAlign w:val="center"/>
          </w:tcPr>
          <w:p w14:paraId="2F96A68A">
            <w:pPr>
              <w:numPr>
                <w:ilvl w:val="0"/>
                <w:numId w:val="4"/>
              </w:num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合理制定施工计划；</w:t>
            </w:r>
            <w:r>
              <w:rPr>
                <w:rFonts w:hint="eastAsia"/>
                <w:color w:val="000000" w:themeColor="text1"/>
                <w:sz w:val="21"/>
                <w:szCs w:val="21"/>
                <w14:textFill>
                  <w14:solidFill>
                    <w14:schemeClr w14:val="tx1"/>
                  </w14:solidFill>
                </w14:textFill>
              </w:rPr>
              <w:t>合理布置施工场地；合理</w:t>
            </w:r>
            <w:r>
              <w:rPr>
                <w:color w:val="000000" w:themeColor="text1"/>
                <w:sz w:val="21"/>
                <w:szCs w:val="21"/>
                <w14:textFill>
                  <w14:solidFill>
                    <w14:schemeClr w14:val="tx1"/>
                  </w14:solidFill>
                </w14:textFill>
              </w:rPr>
              <w:t>安排施工时间</w:t>
            </w:r>
            <w:r>
              <w:rPr>
                <w:rFonts w:hint="eastAsia"/>
                <w:color w:val="000000" w:themeColor="text1"/>
                <w:sz w:val="21"/>
                <w:szCs w:val="21"/>
                <w14:textFill>
                  <w14:solidFill>
                    <w14:schemeClr w14:val="tx1"/>
                  </w14:solidFill>
                </w14:textFill>
              </w:rPr>
              <w:t>；</w:t>
            </w:r>
          </w:p>
          <w:p w14:paraId="417FC2F1">
            <w:pPr>
              <w:numPr>
                <w:ilvl w:val="0"/>
                <w:numId w:val="4"/>
              </w:num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采用低噪声设备，加强设备维护。</w:t>
            </w:r>
          </w:p>
          <w:p w14:paraId="5D6663FA">
            <w:pPr>
              <w:numPr>
                <w:ilvl w:val="0"/>
                <w:numId w:val="4"/>
              </w:num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按照设备操作规范操作设备、文明施工；</w:t>
            </w:r>
          </w:p>
          <w:p w14:paraId="3C165226">
            <w:pPr>
              <w:numPr>
                <w:ilvl w:val="0"/>
                <w:numId w:val="4"/>
              </w:num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运输物料车辆经过村庄时禁止鸣笛、减速慢行</w:t>
            </w:r>
          </w:p>
        </w:tc>
        <w:tc>
          <w:tcPr>
            <w:tcW w:w="873" w:type="pct"/>
            <w:vAlign w:val="center"/>
          </w:tcPr>
          <w:p w14:paraId="3F5A5DF6">
            <w:pPr>
              <w:adjustRightInd w:val="0"/>
              <w:snapToGrid w:val="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厂界噪声达到《建筑施工场界环境噪声排放标准》</w:t>
            </w:r>
          </w:p>
          <w:p w14:paraId="08D37E43">
            <w:pPr>
              <w:adjustRightInd w:val="0"/>
              <w:snapToGrid w:val="0"/>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（GB12523-2011）</w:t>
            </w:r>
          </w:p>
        </w:tc>
        <w:tc>
          <w:tcPr>
            <w:tcW w:w="1129" w:type="pct"/>
            <w:vAlign w:val="center"/>
          </w:tcPr>
          <w:p w14:paraId="349F864A">
            <w:pPr>
              <w:numPr>
                <w:ilvl w:val="0"/>
                <w:numId w:val="5"/>
              </w:num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风力发电机选用隔音防</w:t>
            </w:r>
            <w:r>
              <w:rPr>
                <w:rFonts w:hint="eastAsia"/>
                <w:color w:val="000000" w:themeColor="text1"/>
                <w:sz w:val="21"/>
                <w:szCs w:val="21"/>
                <w14:textFill>
                  <w14:solidFill>
                    <w14:schemeClr w14:val="tx1"/>
                  </w14:solidFill>
                </w14:textFill>
              </w:rPr>
              <w:t>振</w:t>
            </w:r>
            <w:r>
              <w:rPr>
                <w:color w:val="000000" w:themeColor="text1"/>
                <w:sz w:val="21"/>
                <w:szCs w:val="21"/>
                <w14:textFill>
                  <w14:solidFill>
                    <w14:schemeClr w14:val="tx1"/>
                  </w14:solidFill>
                </w14:textFill>
              </w:rPr>
              <w:t>型，变速齿轮箱为减噪型，叶片用减速叶片等</w:t>
            </w:r>
            <w:r>
              <w:rPr>
                <w:rFonts w:hint="eastAsia"/>
                <w:color w:val="000000" w:themeColor="text1"/>
                <w:sz w:val="21"/>
                <w:szCs w:val="21"/>
                <w14:textFill>
                  <w14:solidFill>
                    <w14:schemeClr w14:val="tx1"/>
                  </w14:solidFill>
                </w14:textFill>
              </w:rPr>
              <w:t>；</w:t>
            </w:r>
          </w:p>
          <w:p w14:paraId="66EF9654">
            <w:pPr>
              <w:numPr>
                <w:ilvl w:val="0"/>
                <w:numId w:val="5"/>
              </w:num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加强风电机组的日常保养和维护；</w:t>
            </w:r>
          </w:p>
          <w:p w14:paraId="1066FF5E">
            <w:pPr>
              <w:numPr>
                <w:ilvl w:val="0"/>
                <w:numId w:val="5"/>
              </w:numPr>
              <w:adjustRightInd w:val="0"/>
              <w:snapToGrid w:val="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以风机为中心，</w:t>
            </w:r>
            <w:r>
              <w:rPr>
                <w:rFonts w:hint="eastAsia"/>
                <w:color w:val="000000" w:themeColor="text1"/>
                <w:sz w:val="21"/>
                <w:szCs w:val="21"/>
                <w:lang w:val="en-US" w:eastAsia="zh-CN"/>
                <w14:textFill>
                  <w14:solidFill>
                    <w14:schemeClr w14:val="tx1"/>
                  </w14:solidFill>
                </w14:textFill>
              </w:rPr>
              <w:t>475</w:t>
            </w:r>
            <w:r>
              <w:rPr>
                <w:rFonts w:hint="eastAsia"/>
                <w:color w:val="000000" w:themeColor="text1"/>
                <w:sz w:val="21"/>
                <w:szCs w:val="21"/>
                <w14:textFill>
                  <w14:solidFill>
                    <w14:schemeClr w14:val="tx1"/>
                  </w14:solidFill>
                </w14:textFill>
              </w:rPr>
              <w:t>m为半径的圆形区域为噪声环境防护区，保证单台风机距最近居民点距离在</w:t>
            </w:r>
            <w:r>
              <w:rPr>
                <w:rFonts w:hint="eastAsia"/>
                <w:color w:val="000000" w:themeColor="text1"/>
                <w:sz w:val="21"/>
                <w:szCs w:val="21"/>
                <w:lang w:val="en-US" w:eastAsia="zh-CN"/>
                <w14:textFill>
                  <w14:solidFill>
                    <w14:schemeClr w14:val="tx1"/>
                  </w14:solidFill>
                </w14:textFill>
              </w:rPr>
              <w:t>475</w:t>
            </w:r>
            <w:r>
              <w:rPr>
                <w:rFonts w:hint="eastAsia"/>
                <w:color w:val="000000" w:themeColor="text1"/>
                <w:sz w:val="21"/>
                <w:szCs w:val="21"/>
                <w14:textFill>
                  <w14:solidFill>
                    <w14:schemeClr w14:val="tx1"/>
                  </w14:solidFill>
                </w14:textFill>
              </w:rPr>
              <w:t>m以上</w:t>
            </w:r>
          </w:p>
        </w:tc>
        <w:tc>
          <w:tcPr>
            <w:tcW w:w="955" w:type="pct"/>
            <w:vAlign w:val="center"/>
          </w:tcPr>
          <w:p w14:paraId="5A5F6D5F">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满足《声环境质量标准》（GB3096-2008）</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类标准要求</w:t>
            </w:r>
          </w:p>
        </w:tc>
      </w:tr>
      <w:tr w14:paraId="14E63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7" w:type="pct"/>
            <w:vAlign w:val="center"/>
          </w:tcPr>
          <w:p w14:paraId="38131968">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振动</w:t>
            </w:r>
          </w:p>
        </w:tc>
        <w:tc>
          <w:tcPr>
            <w:tcW w:w="1323" w:type="pct"/>
            <w:vAlign w:val="center"/>
          </w:tcPr>
          <w:p w14:paraId="4FC27CC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873" w:type="pct"/>
            <w:vAlign w:val="center"/>
          </w:tcPr>
          <w:p w14:paraId="7338C703">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129" w:type="pct"/>
            <w:vAlign w:val="center"/>
          </w:tcPr>
          <w:p w14:paraId="6437A231">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955" w:type="pct"/>
            <w:vAlign w:val="center"/>
          </w:tcPr>
          <w:p w14:paraId="4556256A">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r>
      <w:tr w14:paraId="0E7227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17" w:type="pct"/>
            <w:vAlign w:val="center"/>
          </w:tcPr>
          <w:p w14:paraId="5EF60F07">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大气环境</w:t>
            </w:r>
          </w:p>
        </w:tc>
        <w:tc>
          <w:tcPr>
            <w:tcW w:w="1323" w:type="pct"/>
            <w:vAlign w:val="center"/>
          </w:tcPr>
          <w:p w14:paraId="20AB5B8F">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1、施工过程避免大风天气进行，物料堆放加盖篷布，施工场地设置围挡，施工场地和道路定期进行洒水；</w:t>
            </w:r>
          </w:p>
          <w:p w14:paraId="68E43285">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2、合理安排工期，缩短施工时间；</w:t>
            </w:r>
          </w:p>
          <w:p w14:paraId="157313A7">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3、使用商品混凝土</w:t>
            </w:r>
          </w:p>
        </w:tc>
        <w:tc>
          <w:tcPr>
            <w:tcW w:w="873" w:type="pct"/>
            <w:vAlign w:val="center"/>
          </w:tcPr>
          <w:p w14:paraId="7AC5A064">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《施工场界扬尘排放限值》（DB61/1078-2017）标准</w:t>
            </w:r>
          </w:p>
        </w:tc>
        <w:tc>
          <w:tcPr>
            <w:tcW w:w="1129" w:type="pct"/>
            <w:vAlign w:val="center"/>
          </w:tcPr>
          <w:p w14:paraId="0AA71B69">
            <w:pPr>
              <w:pStyle w:val="74"/>
              <w:ind w:left="56" w:right="39"/>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无废气产生</w:t>
            </w:r>
          </w:p>
        </w:tc>
        <w:tc>
          <w:tcPr>
            <w:tcW w:w="955" w:type="pct"/>
            <w:vAlign w:val="center"/>
          </w:tcPr>
          <w:p w14:paraId="47D34105">
            <w:pPr>
              <w:pStyle w:val="74"/>
              <w:ind w:left="57" w:right="31"/>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264A29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7" w:type="pct"/>
            <w:vAlign w:val="center"/>
          </w:tcPr>
          <w:p w14:paraId="4C5A5737">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固体废物</w:t>
            </w:r>
          </w:p>
        </w:tc>
        <w:tc>
          <w:tcPr>
            <w:tcW w:w="1323" w:type="pct"/>
            <w:vAlign w:val="center"/>
          </w:tcPr>
          <w:p w14:paraId="40D0B332">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1、表土就近堆放于道路工程区周边、生产生活区及风机安装平台一角，施工结束后用作绿化覆土；</w:t>
            </w:r>
          </w:p>
          <w:p w14:paraId="21775351">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2、施工时产生少量建筑垃圾，建筑垃圾主要包括砂石、废金属、废钢筋等杂物，其中废金属、废钢筋等回收利用，不能利用部分及时</w:t>
            </w:r>
            <w:r>
              <w:rPr>
                <w:rFonts w:hint="eastAsia"/>
                <w:color w:val="000000" w:themeColor="text1"/>
                <w:sz w:val="21"/>
                <w:szCs w:val="21"/>
                <w14:textFill>
                  <w14:solidFill>
                    <w14:schemeClr w14:val="tx1"/>
                  </w14:solidFill>
                </w14:textFill>
              </w:rPr>
              <w:t>送至建筑垃圾综合利用企业进行处置</w:t>
            </w:r>
            <w:r>
              <w:rPr>
                <w:color w:val="000000" w:themeColor="text1"/>
                <w:sz w:val="21"/>
                <w:szCs w:val="21"/>
                <w14:textFill>
                  <w14:solidFill>
                    <w14:schemeClr w14:val="tx1"/>
                  </w14:solidFill>
                </w14:textFill>
              </w:rPr>
              <w:t>；</w:t>
            </w:r>
          </w:p>
          <w:p w14:paraId="79C40F35">
            <w:pPr>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3、生活垃圾定点存放，由环卫部门收集处理</w:t>
            </w:r>
          </w:p>
        </w:tc>
        <w:tc>
          <w:tcPr>
            <w:tcW w:w="873" w:type="pct"/>
            <w:vAlign w:val="center"/>
          </w:tcPr>
          <w:p w14:paraId="71885AB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合理处置</w:t>
            </w:r>
          </w:p>
        </w:tc>
        <w:tc>
          <w:tcPr>
            <w:tcW w:w="1129" w:type="pct"/>
            <w:vAlign w:val="center"/>
          </w:tcPr>
          <w:p w14:paraId="170CFF11">
            <w:pPr>
              <w:rPr>
                <w:color w:val="auto"/>
                <w:sz w:val="21"/>
                <w:szCs w:val="21"/>
              </w:rPr>
            </w:pPr>
            <w:r>
              <w:rPr>
                <w:rFonts w:hint="eastAsia"/>
                <w:color w:val="auto"/>
                <w:sz w:val="21"/>
                <w:szCs w:val="21"/>
              </w:rPr>
              <w:t>每个箱式变压器下方设防渗集油坑，定期交有资质单位处理；废箱变、风机设备更换的废润滑油和润滑油桶分类收集后存于升压站危险废物暂存间，定期交由有资质单位回收处置</w:t>
            </w:r>
          </w:p>
        </w:tc>
        <w:tc>
          <w:tcPr>
            <w:tcW w:w="955" w:type="pct"/>
            <w:vAlign w:val="center"/>
          </w:tcPr>
          <w:p w14:paraId="68A1E7E5">
            <w:pPr>
              <w:adjustRightInd w:val="0"/>
              <w:snapToGrid w:val="0"/>
              <w:jc w:val="center"/>
              <w:rPr>
                <w:color w:val="auto"/>
                <w:sz w:val="21"/>
                <w:szCs w:val="21"/>
              </w:rPr>
            </w:pPr>
            <w:r>
              <w:rPr>
                <w:rFonts w:hint="eastAsia"/>
                <w:color w:val="auto"/>
                <w:sz w:val="21"/>
                <w:szCs w:val="21"/>
              </w:rPr>
              <w:t>满足《危险废物贮存污染控制标准》（GB18597-2023）中相关规定</w:t>
            </w:r>
          </w:p>
        </w:tc>
      </w:tr>
      <w:tr w14:paraId="7CF296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717" w:type="pct"/>
            <w:vAlign w:val="center"/>
          </w:tcPr>
          <w:p w14:paraId="061EC158">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电磁环境</w:t>
            </w:r>
          </w:p>
        </w:tc>
        <w:tc>
          <w:tcPr>
            <w:tcW w:w="1323" w:type="pct"/>
            <w:vAlign w:val="center"/>
          </w:tcPr>
          <w:p w14:paraId="64EC0F0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873" w:type="pct"/>
            <w:vAlign w:val="center"/>
          </w:tcPr>
          <w:p w14:paraId="4F0A6DDE">
            <w:pPr>
              <w:adjustRightInd w:val="0"/>
              <w:snapToGrid w:val="0"/>
              <w:jc w:val="center"/>
              <w:rPr>
                <w:color w:val="000000" w:themeColor="text1"/>
                <w:sz w:val="24"/>
                <w14:textFill>
                  <w14:solidFill>
                    <w14:schemeClr w14:val="tx1"/>
                  </w14:solidFill>
                </w14:textFill>
              </w:rPr>
            </w:pPr>
            <w:r>
              <w:rPr>
                <w:color w:val="000000" w:themeColor="text1"/>
                <w:sz w:val="24"/>
                <w14:textFill>
                  <w14:solidFill>
                    <w14:schemeClr w14:val="tx1"/>
                  </w14:solidFill>
                </w14:textFill>
              </w:rPr>
              <w:t>/</w:t>
            </w:r>
          </w:p>
        </w:tc>
        <w:tc>
          <w:tcPr>
            <w:tcW w:w="1129" w:type="pct"/>
            <w:vAlign w:val="center"/>
          </w:tcPr>
          <w:p w14:paraId="5E25B90F">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c>
          <w:tcPr>
            <w:tcW w:w="955" w:type="pct"/>
            <w:vAlign w:val="center"/>
          </w:tcPr>
          <w:p w14:paraId="6839655D">
            <w:pPr>
              <w:adjustRightInd w:val="0"/>
              <w:snapToGrid w:val="0"/>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p>
        </w:tc>
      </w:tr>
      <w:tr w14:paraId="0981D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717" w:type="pct"/>
            <w:vAlign w:val="center"/>
          </w:tcPr>
          <w:p w14:paraId="018D0D4E">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环境风险</w:t>
            </w:r>
          </w:p>
        </w:tc>
        <w:tc>
          <w:tcPr>
            <w:tcW w:w="1323" w:type="pct"/>
            <w:vAlign w:val="center"/>
          </w:tcPr>
          <w:p w14:paraId="1B44119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73" w:type="pct"/>
            <w:vAlign w:val="center"/>
          </w:tcPr>
          <w:p w14:paraId="1D62FCA3">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29" w:type="pct"/>
            <w:vAlign w:val="center"/>
          </w:tcPr>
          <w:p w14:paraId="7982BC16">
            <w:pPr>
              <w:adjustRightInd w:val="0"/>
              <w:snapToGrid w:val="0"/>
              <w:rPr>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①箱式变压器下方</w:t>
            </w:r>
            <w:r>
              <w:rPr>
                <w:rFonts w:hint="eastAsia" w:cs="Times New Roman"/>
                <w:color w:val="auto"/>
                <w:sz w:val="21"/>
                <w:szCs w:val="21"/>
                <w:highlight w:val="none"/>
                <w:lang w:val="en-US" w:eastAsia="zh-CN"/>
              </w:rPr>
              <w:t>事故油池</w:t>
            </w:r>
            <w:r>
              <w:rPr>
                <w:rFonts w:hint="default" w:ascii="Times New Roman" w:hAnsi="Times New Roman" w:eastAsia="宋体" w:cs="Times New Roman"/>
                <w:color w:val="auto"/>
                <w:sz w:val="21"/>
                <w:szCs w:val="21"/>
                <w:highlight w:val="none"/>
                <w:lang w:val="en-US" w:eastAsia="zh-CN"/>
              </w:rPr>
              <w:t>防渗；②；设置消防设施；③加强管理。</w:t>
            </w:r>
          </w:p>
        </w:tc>
        <w:tc>
          <w:tcPr>
            <w:tcW w:w="955" w:type="pct"/>
            <w:vAlign w:val="center"/>
          </w:tcPr>
          <w:p w14:paraId="2776896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F94A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 w:hRule="atLeast"/>
          <w:jc w:val="center"/>
        </w:trPr>
        <w:tc>
          <w:tcPr>
            <w:tcW w:w="717" w:type="pct"/>
            <w:vAlign w:val="center"/>
          </w:tcPr>
          <w:p w14:paraId="544BB4A9">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环境监测</w:t>
            </w:r>
          </w:p>
        </w:tc>
        <w:tc>
          <w:tcPr>
            <w:tcW w:w="1323" w:type="pct"/>
            <w:vAlign w:val="center"/>
          </w:tcPr>
          <w:p w14:paraId="775E997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873" w:type="pct"/>
            <w:vAlign w:val="center"/>
          </w:tcPr>
          <w:p w14:paraId="0332AE3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p>
        </w:tc>
        <w:tc>
          <w:tcPr>
            <w:tcW w:w="1129" w:type="pct"/>
            <w:vAlign w:val="center"/>
          </w:tcPr>
          <w:p w14:paraId="4A5360F5">
            <w:pPr>
              <w:adjustRightInd w:val="0"/>
              <w:snapToGrid w:val="0"/>
              <w:rPr>
                <w:color w:val="000000" w:themeColor="text1"/>
                <w:sz w:val="21"/>
                <w:szCs w:val="21"/>
                <w14:textFill>
                  <w14:solidFill>
                    <w14:schemeClr w14:val="tx1"/>
                  </w14:solidFill>
                </w14:textFill>
              </w:rPr>
            </w:pPr>
            <w:r>
              <w:rPr>
                <w:color w:val="000000" w:themeColor="text1"/>
                <w:kern w:val="24"/>
                <w:sz w:val="21"/>
                <w:szCs w:val="21"/>
                <w14:textFill>
                  <w14:solidFill>
                    <w14:schemeClr w14:val="tx1"/>
                  </w14:solidFill>
                </w14:textFill>
              </w:rPr>
              <w:t>竣工验收</w:t>
            </w:r>
            <w:r>
              <w:rPr>
                <w:rFonts w:hint="eastAsia"/>
                <w:color w:val="000000" w:themeColor="text1"/>
                <w:kern w:val="24"/>
                <w:sz w:val="21"/>
                <w:szCs w:val="21"/>
                <w14:textFill>
                  <w14:solidFill>
                    <w14:schemeClr w14:val="tx1"/>
                  </w14:solidFill>
                </w14:textFill>
              </w:rPr>
              <w:t>若存在噪声</w:t>
            </w:r>
            <w:r>
              <w:rPr>
                <w:color w:val="000000" w:themeColor="text1"/>
                <w:kern w:val="24"/>
                <w:sz w:val="21"/>
                <w:szCs w:val="21"/>
                <w14:textFill>
                  <w14:solidFill>
                    <w14:schemeClr w14:val="tx1"/>
                  </w14:solidFill>
                </w14:textFill>
              </w:rPr>
              <w:t>投诉时</w:t>
            </w:r>
            <w:r>
              <w:rPr>
                <w:rFonts w:hint="eastAsia"/>
                <w:color w:val="000000" w:themeColor="text1"/>
                <w:kern w:val="24"/>
                <w:sz w:val="21"/>
                <w:szCs w:val="21"/>
                <w14:textFill>
                  <w14:solidFill>
                    <w14:schemeClr w14:val="tx1"/>
                  </w14:solidFill>
                </w14:textFill>
              </w:rPr>
              <w:t>，风机衰减断面噪声</w:t>
            </w:r>
          </w:p>
        </w:tc>
        <w:tc>
          <w:tcPr>
            <w:tcW w:w="955" w:type="pct"/>
            <w:vAlign w:val="center"/>
          </w:tcPr>
          <w:p w14:paraId="7BBB6813">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满足《声环境质量标准》（GB3096-2008）</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类标准要求</w:t>
            </w:r>
          </w:p>
        </w:tc>
      </w:tr>
      <w:tr w14:paraId="77B7B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717" w:type="pct"/>
            <w:vAlign w:val="center"/>
          </w:tcPr>
          <w:p w14:paraId="64BBB18E">
            <w:pPr>
              <w:adjustRightInd w:val="0"/>
              <w:snapToGrid w:val="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其他</w:t>
            </w:r>
          </w:p>
        </w:tc>
        <w:tc>
          <w:tcPr>
            <w:tcW w:w="4282" w:type="pct"/>
            <w:gridSpan w:val="4"/>
            <w:vAlign w:val="center"/>
          </w:tcPr>
          <w:p w14:paraId="63FB3089">
            <w:pPr>
              <w:adjustRightInd w:val="0"/>
              <w:snapToGrid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①严格执行“三同时”制度，在项目筹备、设计和施工建设不同阶段，均应严格执行“三同时”制度，确保污染处理设施能够与生产工艺设施“同时设计、同时施工、同时竣工”。</w:t>
            </w:r>
          </w:p>
          <w:p w14:paraId="42C4171E">
            <w:pPr>
              <w:adjustRightInd w:val="0"/>
              <w:snapToGrid w:val="0"/>
              <w:spacing w:line="360" w:lineRule="auto"/>
              <w:ind w:firstLine="420" w:firstLineChars="200"/>
              <w:rPr>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②健全污染治理设施管理制度建立健全污染治理设施的运行、检修、维护保养的作业规程和管理制度，将污染治理设施的管理与生产经营管理一同纳入公司日常管理工作的范畴，落实责任人，建立管理台账。</w:t>
            </w:r>
          </w:p>
        </w:tc>
      </w:tr>
    </w:tbl>
    <w:p w14:paraId="27DB7E9E">
      <w:pPr>
        <w:pStyle w:val="26"/>
        <w:jc w:val="both"/>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七</w:t>
      </w:r>
      <w:r>
        <w:rPr>
          <w:rFonts w:ascii="Times New Roman" w:hAnsi="Times New Roman" w:eastAsia="黑体"/>
          <w:snapToGrid w:val="0"/>
          <w:color w:val="000000" w:themeColor="text1"/>
          <w:sz w:val="30"/>
          <w:szCs w:val="30"/>
          <w14:textFill>
            <w14:solidFill>
              <w14:schemeClr w14:val="tx1"/>
            </w14:solidFill>
          </w14:textFill>
        </w:rPr>
        <w:t>、结论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0A4C73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36" w:hRule="atLeast"/>
          <w:jc w:val="center"/>
        </w:trPr>
        <w:tc>
          <w:tcPr>
            <w:tcW w:w="8865" w:type="dxa"/>
            <w:vAlign w:val="top"/>
          </w:tcPr>
          <w:p w14:paraId="39263859">
            <w:pPr>
              <w:keepNext w:val="0"/>
              <w:keepLines w:val="0"/>
              <w:pageBreakBefore w:val="0"/>
              <w:widowControl w:val="0"/>
              <w:kinsoku/>
              <w:wordWrap/>
              <w:overflowPunct/>
              <w:topLinePunct w:val="0"/>
              <w:autoSpaceDE/>
              <w:autoSpaceDN/>
              <w:bidi w:val="0"/>
              <w:adjustRightInd/>
              <w:snapToGrid/>
              <w:spacing w:before="313" w:beforeLines="100" w:line="360" w:lineRule="auto"/>
              <w:ind w:firstLine="480" w:firstLineChars="200"/>
              <w:jc w:val="both"/>
              <w:textAlignment w:val="auto"/>
              <w:rPr>
                <w:color w:val="000000" w:themeColor="text1"/>
                <w:sz w:val="24"/>
                <w14:textFill>
                  <w14:solidFill>
                    <w14:schemeClr w14:val="tx1"/>
                  </w14:solidFill>
                </w14:textFill>
              </w:rPr>
            </w:pPr>
            <w:r>
              <w:rPr>
                <w:color w:val="000000" w:themeColor="text1"/>
                <w:sz w:val="24"/>
                <w14:textFill>
                  <w14:solidFill>
                    <w14:schemeClr w14:val="tx1"/>
                  </w14:solidFill>
                </w14:textFill>
              </w:rPr>
              <w:t>从</w:t>
            </w:r>
            <w:r>
              <w:rPr>
                <w:rFonts w:hint="eastAsia" w:ascii="Times New Roman" w:hAnsi="Times New Roman" w:eastAsia="宋体" w:cs="Times New Roman"/>
                <w:color w:val="000000" w:themeColor="text1"/>
                <w:sz w:val="24"/>
                <w:lang w:eastAsia="zh-CN"/>
                <w14:textFill>
                  <w14:solidFill>
                    <w14:schemeClr w14:val="tx1"/>
                  </w14:solidFill>
                </w14:textFill>
              </w:rPr>
              <w:t>环境保护角度分析，大唐陈仓5万千瓦风电项目环境影响可行。</w:t>
            </w:r>
          </w:p>
        </w:tc>
      </w:tr>
    </w:tbl>
    <w:p w14:paraId="423F489B">
      <w:pPr>
        <w:rPr>
          <w:color w:val="000000" w:themeColor="text1"/>
          <w14:textFill>
            <w14:solidFill>
              <w14:schemeClr w14:val="tx1"/>
            </w14:solidFill>
          </w14:textFill>
        </w:rPr>
        <w:sectPr>
          <w:pgSz w:w="11906" w:h="16838"/>
          <w:pgMar w:top="1701" w:right="1531" w:bottom="1701" w:left="1531" w:header="851" w:footer="851" w:gutter="0"/>
          <w:cols w:space="720" w:num="1"/>
          <w:docGrid w:linePitch="312" w:charSpace="0"/>
        </w:sectPr>
      </w:pPr>
    </w:p>
    <w:p w14:paraId="393FBA4C">
      <w:pPr>
        <w:keepNext w:val="0"/>
        <w:keepLines w:val="0"/>
        <w:widowControl/>
        <w:suppressLineNumbers w:val="0"/>
        <w:jc w:val="both"/>
        <w:rPr>
          <w:rFonts w:ascii="Times New Roman" w:eastAsia="黑体"/>
          <w:color w:val="000000" w:themeColor="text1"/>
          <w14:textFill>
            <w14:solidFill>
              <w14:schemeClr w14:val="tx1"/>
            </w14:solidFill>
          </w14:textFill>
        </w:rPr>
      </w:pPr>
    </w:p>
    <w:sectPr>
      <w:footerReference r:id="rId9" w:type="default"/>
      <w:pgSz w:w="11906" w:h="16838"/>
      <w:pgMar w:top="720" w:right="720" w:bottom="720" w:left="720" w:header="851" w:footer="425"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155BEB-9D14-40DE-BC83-3136C29102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embedRegular r:id="rId2" w:fontKey="{D214E958-C41C-416C-8B46-9CC47985F706}"/>
  </w:font>
  <w:font w:name="仿宋">
    <w:panose1 w:val="02010609060101010101"/>
    <w:charset w:val="86"/>
    <w:family w:val="modern"/>
    <w:pitch w:val="default"/>
    <w:sig w:usb0="800002BF" w:usb1="38CF7CFA" w:usb2="00000016" w:usb3="00000000" w:csb0="00040001" w:csb1="00000000"/>
    <w:embedRegular r:id="rId3" w:fontKey="{DE44B19B-06CA-4053-BED4-0D7A1649EC74}"/>
  </w:font>
  <w:font w:name="新宋体-18030">
    <w:altName w:val="Arial Unicode MS"/>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embedRegular r:id="rId4" w:fontKey="{DF26CAAE-A763-4FA8-A134-741B7EA82BC5}"/>
  </w:font>
  <w:font w:name="仿宋_GB2312">
    <w:panose1 w:val="02010609030101010101"/>
    <w:charset w:val="86"/>
    <w:family w:val="modern"/>
    <w:pitch w:val="default"/>
    <w:sig w:usb0="00000001" w:usb1="080E0000" w:usb2="00000000" w:usb3="00000000" w:csb0="00040000" w:csb1="00000000"/>
    <w:embedRegular r:id="rId5" w:fontKey="{0AEDDD4E-D0E1-463C-A049-DB680700DA2C}"/>
  </w:font>
  <w:font w:name="Helvetica Neue">
    <w:altName w:val="Times New Roman"/>
    <w:panose1 w:val="02000503000000020004"/>
    <w:charset w:val="00"/>
    <w:family w:val="auto"/>
    <w:pitch w:val="default"/>
    <w:sig w:usb0="00000000" w:usb1="00000000" w:usb2="00000010" w:usb3="00000000" w:csb0="00000000" w:csb1="00000000"/>
  </w:font>
  <w:font w:name="pingfang sc">
    <w:altName w:val="宋体"/>
    <w:panose1 w:val="020B0400000000000000"/>
    <w:charset w:val="86"/>
    <w:family w:val="auto"/>
    <w:pitch w:val="default"/>
    <w:sig w:usb0="00000000" w:usb1="00000000" w:usb2="00000017" w:usb3="00000000" w:csb0="00040001" w:csb1="00000000"/>
  </w:font>
  <w:font w:name="方正小标宋_GBK">
    <w:panose1 w:val="02000000000000000000"/>
    <w:charset w:val="86"/>
    <w:family w:val="script"/>
    <w:pitch w:val="default"/>
    <w:sig w:usb0="A00002BF" w:usb1="38CF7CFA" w:usb2="00082016" w:usb3="00000000" w:csb0="00040001" w:csb1="00000000"/>
    <w:embedRegular r:id="rId6" w:fontKey="{EF374347-46AB-4741-B4B2-A67E0708575F}"/>
  </w:font>
  <w:font w:name="华文仿宋">
    <w:panose1 w:val="02010600040101010101"/>
    <w:charset w:val="86"/>
    <w:family w:val="auto"/>
    <w:pitch w:val="default"/>
    <w:sig w:usb0="00000287" w:usb1="080F0000" w:usb2="00000000" w:usb3="00000000" w:csb0="0004009F" w:csb1="DFD70000"/>
    <w:embedRegular r:id="rId7" w:fontKey="{D6C063C0-FF15-4149-B160-0B08DC0CC5A9}"/>
  </w:font>
  <w:font w:name="Wingdings 2">
    <w:panose1 w:val="05020102010507070707"/>
    <w:charset w:val="02"/>
    <w:family w:val="roman"/>
    <w:pitch w:val="default"/>
    <w:sig w:usb0="00000000" w:usb1="00000000" w:usb2="00000000" w:usb3="00000000" w:csb0="80000000" w:csb1="00000000"/>
    <w:embedRegular r:id="rId8" w:fontKey="{D42F31C3-D70C-4BCF-BEEB-F4C5C34E8ED9}"/>
  </w:font>
  <w:font w:name="Times New Roman Regular">
    <w:altName w:val="Times New Roman"/>
    <w:panose1 w:val="02020503050405090304"/>
    <w:charset w:val="00"/>
    <w:family w:val="auto"/>
    <w:pitch w:val="default"/>
    <w:sig w:usb0="00000000" w:usb1="00000000" w:usb2="00000001" w:usb3="00000000" w:csb0="400001BF" w:csb1="DFF70000"/>
    <w:embedRegular r:id="rId9" w:fontKey="{D2FB926B-A1C8-484D-B6C3-83749134F3AE}"/>
  </w:font>
  <w:font w:name="Cambria Math">
    <w:panose1 w:val="02040503050406030204"/>
    <w:charset w:val="00"/>
    <w:family w:val="roman"/>
    <w:pitch w:val="default"/>
    <w:sig w:usb0="E00006FF" w:usb1="420024FF" w:usb2="02000000" w:usb3="00000000" w:csb0="2000019F" w:csb1="00000000"/>
    <w:embedRegular r:id="rId10" w:fontKey="{BB27D956-95DF-4B00-8EDF-664BE313E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6E7BA">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0B55A">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B0EFD">
    <w:pPr>
      <w:pStyle w:val="20"/>
      <w:tabs>
        <w:tab w:val="center" w:pos="4422"/>
        <w:tab w:val="clear" w:pos="4153"/>
      </w:tabs>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163444">
                          <w:pPr>
                            <w:pStyle w:val="20"/>
                          </w:pPr>
                          <w:r>
                            <w:fldChar w:fldCharType="begin"/>
                          </w:r>
                          <w:r>
                            <w:instrText xml:space="preserve"> PAGE  \* MERGEFORMAT </w:instrText>
                          </w:r>
                          <w:r>
                            <w:fldChar w:fldCharType="separate"/>
                          </w:r>
                          <w:r>
                            <w:t>3</w:t>
                          </w:r>
                          <w:r>
                            <w:fldChar w:fldCharType="end"/>
                          </w:r>
                        </w:p>
                      </w:txbxContent>
                    </wps:txbx>
                    <wps:bodyPr vert="horz" wrap="none" lIns="0" tIns="0" rIns="0" bIns="0" anchor="t" anchorCtr="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AOmUGnXAQAAsgMAAA4AAAAAAAAAAQAgAAAA&#10;HgEAAGRycy9lMm9Eb2MueG1sUEsFBgAAAAAGAAYAWQEAAGcFAAAAAA==&#10;">
              <v:fill on="f" focussize="0,0"/>
              <v:stroke on="f"/>
              <v:imagedata o:title=""/>
              <o:lock v:ext="edit" aspectratio="f"/>
              <v:textbox inset="0mm,0mm,0mm,0mm" style="mso-fit-shape-to-text:t;">
                <w:txbxContent>
                  <w:p w14:paraId="44163444">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6410C">
    <w:pPr>
      <w:pStyle w:val="20"/>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67005" cy="228600"/>
              <wp:effectExtent l="0" t="0" r="0" b="0"/>
              <wp:wrapNone/>
              <wp:docPr id="6" name="文本框 1"/>
              <wp:cNvGraphicFramePr/>
              <a:graphic xmlns:a="http://schemas.openxmlformats.org/drawingml/2006/main">
                <a:graphicData uri="http://schemas.microsoft.com/office/word/2010/wordprocessingShape">
                  <wps:wsp>
                    <wps:cNvSpPr txBox="1"/>
                    <wps:spPr>
                      <a:xfrm>
                        <a:off x="0" y="0"/>
                        <a:ext cx="167005" cy="228600"/>
                      </a:xfrm>
                      <a:prstGeom prst="rect">
                        <a:avLst/>
                      </a:prstGeom>
                      <a:noFill/>
                      <a:ln>
                        <a:noFill/>
                      </a:ln>
                    </wps:spPr>
                    <wps:txbx>
                      <w:txbxContent>
                        <w:p w14:paraId="01D25310">
                          <w:pPr>
                            <w:pStyle w:val="20"/>
                          </w:pPr>
                          <w:r>
                            <w:fldChar w:fldCharType="begin"/>
                          </w:r>
                          <w:r>
                            <w:instrText xml:space="preserve"> PAGE  \* MERGEFORMAT </w:instrText>
                          </w:r>
                          <w:r>
                            <w:fldChar w:fldCharType="separate"/>
                          </w:r>
                          <w:r>
                            <w:t>4</w:t>
                          </w:r>
                          <w:r>
                            <w:fldChar w:fldCharType="end"/>
                          </w:r>
                        </w:p>
                      </w:txbxContent>
                    </wps:txbx>
                    <wps:bodyPr vert="horz" wrap="square" lIns="0" tIns="0" rIns="0" bIns="0" anchor="t" anchorCtr="0"/>
                  </wps:wsp>
                </a:graphicData>
              </a:graphic>
            </wp:anchor>
          </w:drawing>
        </mc:Choice>
        <mc:Fallback>
          <w:pict>
            <v:shape id="文本框 1" o:spid="_x0000_s1026" o:spt="202" type="#_x0000_t202" style="position:absolute;left:0pt;margin-top:0pt;height:18pt;width:13.15pt;mso-position-horizontal:center;mso-position-horizontal-relative:margin;z-index:251659264;mso-width-relative:page;mso-height-relative:page;" filled="f" stroked="f" coordsize="21600,21600" o:gfxdata="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aEIudQAAAADAQAADwAAAAAAAAABACAAAAAiAAAA&#10;ZHJzL2Rvd25yZXYueG1sUEsBAhQAFAAAAAgAh07iQPxHBsjSAQAAmAMAAA4AAAAAAAAAAQAgAAAA&#10;IwEAAGRycy9lMm9Eb2MueG1sUEsFBgAAAAAGAAYAWQEAAGcFAAAAAA==&#10;">
              <v:fill on="f" focussize="0,0"/>
              <v:stroke on="f"/>
              <v:imagedata o:title=""/>
              <o:lock v:ext="edit" aspectratio="f"/>
              <v:textbox inset="0mm,0mm,0mm,0mm">
                <w:txbxContent>
                  <w:p w14:paraId="01D25310">
                    <w:pPr>
                      <w:pStyle w:val="2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1F56E">
    <w:pPr>
      <w:widowControl w:val="0"/>
      <w:snapToGrid w:val="0"/>
      <w:ind w:right="360" w:firstLine="360"/>
      <w:jc w:val="left"/>
      <w:rPr>
        <w:rFonts w:ascii="Times New Roman" w:hAnsi="Times New Roman" w:eastAsia="宋体"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60EA">
    <w:pPr>
      <w:pStyle w:val="11"/>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BA2CA">
    <w:pPr>
      <w:pStyle w:val="11"/>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4474C9"/>
    <w:multiLevelType w:val="singleLevel"/>
    <w:tmpl w:val="8F4474C9"/>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00000001"/>
    <w:multiLevelType w:val="multilevel"/>
    <w:tmpl w:val="00000001"/>
    <w:lvl w:ilvl="0" w:tentative="0">
      <w:start w:val="1"/>
      <w:numFmt w:val="chineseCountingThousand"/>
      <w:pStyle w:val="38"/>
      <w:lvlText w:val="第%1章　"/>
      <w:lvlJc w:val="left"/>
      <w:pPr>
        <w:tabs>
          <w:tab w:val="left" w:pos="1440"/>
        </w:tabs>
        <w:ind w:left="720" w:hanging="720"/>
      </w:pPr>
      <w:rPr>
        <w:rFonts w:hint="eastAsia" w:cs="Times New Roman"/>
        <w:sz w:val="32"/>
      </w:rPr>
    </w:lvl>
    <w:lvl w:ilvl="1" w:tentative="0">
      <w:start w:val="1"/>
      <w:numFmt w:val="lowerRoman"/>
      <w:lvlText w:val="(%2)"/>
      <w:lvlJc w:val="left"/>
      <w:pPr>
        <w:tabs>
          <w:tab w:val="left" w:pos="861"/>
        </w:tabs>
        <w:ind w:left="861" w:hanging="720"/>
      </w:pPr>
      <w:rPr>
        <w:rFonts w:hint="eastAsia" w:cs="Times New Roman"/>
      </w:rPr>
    </w:lvl>
    <w:lvl w:ilvl="2" w:tentative="0">
      <w:start w:val="1"/>
      <w:numFmt w:val="lowerLetter"/>
      <w:lvlText w:val="(%3)"/>
      <w:lvlJc w:val="left"/>
      <w:pPr>
        <w:tabs>
          <w:tab w:val="left" w:pos="1335"/>
        </w:tabs>
        <w:ind w:left="1335" w:hanging="495"/>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23B111C9"/>
    <w:multiLevelType w:val="singleLevel"/>
    <w:tmpl w:val="23B111C9"/>
    <w:lvl w:ilvl="0" w:tentative="0">
      <w:start w:val="6"/>
      <w:numFmt w:val="chineseCounting"/>
      <w:suff w:val="nothing"/>
      <w:lvlText w:val="%1、"/>
      <w:lvlJc w:val="left"/>
      <w:rPr>
        <w:rFonts w:hint="eastAsia"/>
      </w:rPr>
    </w:lvl>
  </w:abstractNum>
  <w:abstractNum w:abstractNumId="3">
    <w:nsid w:val="2E057501"/>
    <w:multiLevelType w:val="singleLevel"/>
    <w:tmpl w:val="2E057501"/>
    <w:lvl w:ilvl="0" w:tentative="0">
      <w:start w:val="1"/>
      <w:numFmt w:val="decimal"/>
      <w:suff w:val="nothing"/>
      <w:lvlText w:val="%1、"/>
      <w:lvlJc w:val="left"/>
    </w:lvl>
  </w:abstractNum>
  <w:abstractNum w:abstractNumId="4">
    <w:nsid w:val="74ADDB31"/>
    <w:multiLevelType w:val="singleLevel"/>
    <w:tmpl w:val="74ADDB31"/>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4MWJjMzVhMjU2N2Y1YWI0NzczMGUyODlmYTUwYWQifQ=="/>
    <w:docVar w:name="KSO_WPS_MARK_KEY" w:val="5ae87ca9-8725-418b-8497-f9ffb28f3a81"/>
  </w:docVars>
  <w:rsids>
    <w:rsidRoot w:val="00172A27"/>
    <w:rsid w:val="000060B3"/>
    <w:rsid w:val="00042539"/>
    <w:rsid w:val="0004364B"/>
    <w:rsid w:val="00061B1F"/>
    <w:rsid w:val="00063F79"/>
    <w:rsid w:val="000733C4"/>
    <w:rsid w:val="00074783"/>
    <w:rsid w:val="0008070B"/>
    <w:rsid w:val="000810AC"/>
    <w:rsid w:val="00081A02"/>
    <w:rsid w:val="00082231"/>
    <w:rsid w:val="00092D38"/>
    <w:rsid w:val="0009377B"/>
    <w:rsid w:val="000A20C9"/>
    <w:rsid w:val="000B058F"/>
    <w:rsid w:val="000B30AA"/>
    <w:rsid w:val="000B4467"/>
    <w:rsid w:val="000B4DB9"/>
    <w:rsid w:val="000C09AC"/>
    <w:rsid w:val="000C47D9"/>
    <w:rsid w:val="000C6967"/>
    <w:rsid w:val="000C767F"/>
    <w:rsid w:val="000D5A44"/>
    <w:rsid w:val="000E3ED2"/>
    <w:rsid w:val="000F1E95"/>
    <w:rsid w:val="0011157B"/>
    <w:rsid w:val="00131F42"/>
    <w:rsid w:val="001357F1"/>
    <w:rsid w:val="00140FA8"/>
    <w:rsid w:val="00142FEB"/>
    <w:rsid w:val="00143A2D"/>
    <w:rsid w:val="00145A41"/>
    <w:rsid w:val="00146DAB"/>
    <w:rsid w:val="00147BF7"/>
    <w:rsid w:val="00151675"/>
    <w:rsid w:val="00157435"/>
    <w:rsid w:val="00172A27"/>
    <w:rsid w:val="0017504D"/>
    <w:rsid w:val="0017671A"/>
    <w:rsid w:val="00177422"/>
    <w:rsid w:val="00184590"/>
    <w:rsid w:val="00186BF0"/>
    <w:rsid w:val="001870D1"/>
    <w:rsid w:val="0018781E"/>
    <w:rsid w:val="0019262D"/>
    <w:rsid w:val="001A1B35"/>
    <w:rsid w:val="001A4716"/>
    <w:rsid w:val="001A48A2"/>
    <w:rsid w:val="001A6F61"/>
    <w:rsid w:val="001B72B8"/>
    <w:rsid w:val="001C048E"/>
    <w:rsid w:val="001C69B3"/>
    <w:rsid w:val="001D5595"/>
    <w:rsid w:val="001D7874"/>
    <w:rsid w:val="001D7F22"/>
    <w:rsid w:val="001F0F17"/>
    <w:rsid w:val="001F3347"/>
    <w:rsid w:val="001F69E4"/>
    <w:rsid w:val="00207852"/>
    <w:rsid w:val="002125B4"/>
    <w:rsid w:val="00213CF6"/>
    <w:rsid w:val="002155B8"/>
    <w:rsid w:val="00224839"/>
    <w:rsid w:val="002249B2"/>
    <w:rsid w:val="00226574"/>
    <w:rsid w:val="002278EC"/>
    <w:rsid w:val="0023280E"/>
    <w:rsid w:val="002377D1"/>
    <w:rsid w:val="002410F1"/>
    <w:rsid w:val="002506BC"/>
    <w:rsid w:val="002510DD"/>
    <w:rsid w:val="00254345"/>
    <w:rsid w:val="00256416"/>
    <w:rsid w:val="00264557"/>
    <w:rsid w:val="002805AB"/>
    <w:rsid w:val="00284204"/>
    <w:rsid w:val="00291773"/>
    <w:rsid w:val="002A168C"/>
    <w:rsid w:val="002A3DC7"/>
    <w:rsid w:val="002B49E2"/>
    <w:rsid w:val="002B7B00"/>
    <w:rsid w:val="002B7C44"/>
    <w:rsid w:val="002C2B17"/>
    <w:rsid w:val="002D3DD0"/>
    <w:rsid w:val="002D7F99"/>
    <w:rsid w:val="002E1F3A"/>
    <w:rsid w:val="002E298A"/>
    <w:rsid w:val="002E75DF"/>
    <w:rsid w:val="002F17AF"/>
    <w:rsid w:val="00300F23"/>
    <w:rsid w:val="00301978"/>
    <w:rsid w:val="0030332C"/>
    <w:rsid w:val="003051C2"/>
    <w:rsid w:val="00312296"/>
    <w:rsid w:val="00314F0E"/>
    <w:rsid w:val="00321D8E"/>
    <w:rsid w:val="00325928"/>
    <w:rsid w:val="00331448"/>
    <w:rsid w:val="00332863"/>
    <w:rsid w:val="0033684D"/>
    <w:rsid w:val="00337B42"/>
    <w:rsid w:val="00341B42"/>
    <w:rsid w:val="00341BCA"/>
    <w:rsid w:val="0034348F"/>
    <w:rsid w:val="00346CCC"/>
    <w:rsid w:val="00356653"/>
    <w:rsid w:val="0035743F"/>
    <w:rsid w:val="00357BE2"/>
    <w:rsid w:val="0036170C"/>
    <w:rsid w:val="00366E0F"/>
    <w:rsid w:val="00373AA2"/>
    <w:rsid w:val="00381A72"/>
    <w:rsid w:val="00384676"/>
    <w:rsid w:val="00384B9C"/>
    <w:rsid w:val="00390857"/>
    <w:rsid w:val="003A0914"/>
    <w:rsid w:val="003A4BF3"/>
    <w:rsid w:val="003B420D"/>
    <w:rsid w:val="003C6C16"/>
    <w:rsid w:val="003D794D"/>
    <w:rsid w:val="003E3058"/>
    <w:rsid w:val="003E6353"/>
    <w:rsid w:val="003E76A9"/>
    <w:rsid w:val="003F0809"/>
    <w:rsid w:val="003F3D5A"/>
    <w:rsid w:val="003F417C"/>
    <w:rsid w:val="003F6A8C"/>
    <w:rsid w:val="003F755C"/>
    <w:rsid w:val="00406F01"/>
    <w:rsid w:val="00411CA3"/>
    <w:rsid w:val="00416146"/>
    <w:rsid w:val="00416D50"/>
    <w:rsid w:val="00416FD5"/>
    <w:rsid w:val="00417772"/>
    <w:rsid w:val="00420E6A"/>
    <w:rsid w:val="004255B2"/>
    <w:rsid w:val="00425A9E"/>
    <w:rsid w:val="00426D6B"/>
    <w:rsid w:val="004277C9"/>
    <w:rsid w:val="00431E6C"/>
    <w:rsid w:val="00433CE7"/>
    <w:rsid w:val="00452738"/>
    <w:rsid w:val="00456091"/>
    <w:rsid w:val="00466321"/>
    <w:rsid w:val="00484B9B"/>
    <w:rsid w:val="004855F6"/>
    <w:rsid w:val="004858BF"/>
    <w:rsid w:val="0048661E"/>
    <w:rsid w:val="004900AC"/>
    <w:rsid w:val="00494670"/>
    <w:rsid w:val="004A3823"/>
    <w:rsid w:val="004B51E2"/>
    <w:rsid w:val="004D183B"/>
    <w:rsid w:val="004E6946"/>
    <w:rsid w:val="004F1AD8"/>
    <w:rsid w:val="00501F40"/>
    <w:rsid w:val="005039CB"/>
    <w:rsid w:val="0050558F"/>
    <w:rsid w:val="005060A8"/>
    <w:rsid w:val="00506286"/>
    <w:rsid w:val="00510813"/>
    <w:rsid w:val="00511990"/>
    <w:rsid w:val="00511DE0"/>
    <w:rsid w:val="00514870"/>
    <w:rsid w:val="00514B9B"/>
    <w:rsid w:val="00517F02"/>
    <w:rsid w:val="00524303"/>
    <w:rsid w:val="005258A2"/>
    <w:rsid w:val="005401AE"/>
    <w:rsid w:val="00542E07"/>
    <w:rsid w:val="00545424"/>
    <w:rsid w:val="00550DE0"/>
    <w:rsid w:val="00554A7B"/>
    <w:rsid w:val="00554D4B"/>
    <w:rsid w:val="0055572C"/>
    <w:rsid w:val="005574FC"/>
    <w:rsid w:val="0056106A"/>
    <w:rsid w:val="00561D19"/>
    <w:rsid w:val="0056643B"/>
    <w:rsid w:val="005720AE"/>
    <w:rsid w:val="00574963"/>
    <w:rsid w:val="00594D77"/>
    <w:rsid w:val="005969E4"/>
    <w:rsid w:val="005A06B7"/>
    <w:rsid w:val="005A1759"/>
    <w:rsid w:val="005A68A7"/>
    <w:rsid w:val="005D31F8"/>
    <w:rsid w:val="005D36AB"/>
    <w:rsid w:val="005E7D77"/>
    <w:rsid w:val="005F037B"/>
    <w:rsid w:val="00617CC3"/>
    <w:rsid w:val="006377A6"/>
    <w:rsid w:val="00637A3D"/>
    <w:rsid w:val="006411EF"/>
    <w:rsid w:val="00643BE3"/>
    <w:rsid w:val="006620BB"/>
    <w:rsid w:val="006748B8"/>
    <w:rsid w:val="006775C3"/>
    <w:rsid w:val="0069290A"/>
    <w:rsid w:val="0069775A"/>
    <w:rsid w:val="00697813"/>
    <w:rsid w:val="006A1A15"/>
    <w:rsid w:val="006A3EE8"/>
    <w:rsid w:val="006A72BF"/>
    <w:rsid w:val="006A7CD8"/>
    <w:rsid w:val="006B03F2"/>
    <w:rsid w:val="006B1121"/>
    <w:rsid w:val="006B37DC"/>
    <w:rsid w:val="006B4F68"/>
    <w:rsid w:val="006C0396"/>
    <w:rsid w:val="006C0592"/>
    <w:rsid w:val="006C272E"/>
    <w:rsid w:val="006C5479"/>
    <w:rsid w:val="006D13B5"/>
    <w:rsid w:val="006E12FF"/>
    <w:rsid w:val="006E607E"/>
    <w:rsid w:val="006F1986"/>
    <w:rsid w:val="00706C5D"/>
    <w:rsid w:val="00732922"/>
    <w:rsid w:val="0075162E"/>
    <w:rsid w:val="00754034"/>
    <w:rsid w:val="00756556"/>
    <w:rsid w:val="007618C4"/>
    <w:rsid w:val="00767980"/>
    <w:rsid w:val="00770B19"/>
    <w:rsid w:val="0077463F"/>
    <w:rsid w:val="0078143C"/>
    <w:rsid w:val="00782DCC"/>
    <w:rsid w:val="007836EA"/>
    <w:rsid w:val="00784CDA"/>
    <w:rsid w:val="007906C4"/>
    <w:rsid w:val="007940EA"/>
    <w:rsid w:val="00794D43"/>
    <w:rsid w:val="007958E0"/>
    <w:rsid w:val="007967E8"/>
    <w:rsid w:val="007A2170"/>
    <w:rsid w:val="007A22BF"/>
    <w:rsid w:val="007A3323"/>
    <w:rsid w:val="007B72B8"/>
    <w:rsid w:val="007B7A58"/>
    <w:rsid w:val="007C1600"/>
    <w:rsid w:val="007C21B5"/>
    <w:rsid w:val="007C2D86"/>
    <w:rsid w:val="007E4BD2"/>
    <w:rsid w:val="007F1787"/>
    <w:rsid w:val="00801393"/>
    <w:rsid w:val="00802F88"/>
    <w:rsid w:val="008102F1"/>
    <w:rsid w:val="0081293E"/>
    <w:rsid w:val="00815465"/>
    <w:rsid w:val="00817E9A"/>
    <w:rsid w:val="00824069"/>
    <w:rsid w:val="008306BD"/>
    <w:rsid w:val="00831A80"/>
    <w:rsid w:val="00833743"/>
    <w:rsid w:val="008340A4"/>
    <w:rsid w:val="008356B6"/>
    <w:rsid w:val="00836611"/>
    <w:rsid w:val="0087135F"/>
    <w:rsid w:val="0087167F"/>
    <w:rsid w:val="00872D94"/>
    <w:rsid w:val="00880364"/>
    <w:rsid w:val="00891592"/>
    <w:rsid w:val="00891E9E"/>
    <w:rsid w:val="008953F8"/>
    <w:rsid w:val="0089540A"/>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76E5"/>
    <w:rsid w:val="00911B61"/>
    <w:rsid w:val="0091736D"/>
    <w:rsid w:val="0093037A"/>
    <w:rsid w:val="0094154D"/>
    <w:rsid w:val="0095155F"/>
    <w:rsid w:val="00951B0D"/>
    <w:rsid w:val="00954429"/>
    <w:rsid w:val="009563CE"/>
    <w:rsid w:val="00976328"/>
    <w:rsid w:val="0097680D"/>
    <w:rsid w:val="00982438"/>
    <w:rsid w:val="0098404C"/>
    <w:rsid w:val="00985283"/>
    <w:rsid w:val="00992832"/>
    <w:rsid w:val="00995992"/>
    <w:rsid w:val="009A03E5"/>
    <w:rsid w:val="009A0F3B"/>
    <w:rsid w:val="009A1BB4"/>
    <w:rsid w:val="009A2628"/>
    <w:rsid w:val="009A3200"/>
    <w:rsid w:val="009B0897"/>
    <w:rsid w:val="009B7BD9"/>
    <w:rsid w:val="009C7DD5"/>
    <w:rsid w:val="009E227D"/>
    <w:rsid w:val="009E5019"/>
    <w:rsid w:val="009E5347"/>
    <w:rsid w:val="009F2456"/>
    <w:rsid w:val="00A04F1B"/>
    <w:rsid w:val="00A0501B"/>
    <w:rsid w:val="00A14947"/>
    <w:rsid w:val="00A16BE5"/>
    <w:rsid w:val="00A32A83"/>
    <w:rsid w:val="00A339F0"/>
    <w:rsid w:val="00A368DB"/>
    <w:rsid w:val="00A423AA"/>
    <w:rsid w:val="00A53EC6"/>
    <w:rsid w:val="00A55C0F"/>
    <w:rsid w:val="00A81265"/>
    <w:rsid w:val="00A8713F"/>
    <w:rsid w:val="00A90BA1"/>
    <w:rsid w:val="00A97A9A"/>
    <w:rsid w:val="00AA0671"/>
    <w:rsid w:val="00AA2531"/>
    <w:rsid w:val="00AB1812"/>
    <w:rsid w:val="00AB1E09"/>
    <w:rsid w:val="00AB5330"/>
    <w:rsid w:val="00AB7747"/>
    <w:rsid w:val="00AC14CE"/>
    <w:rsid w:val="00AC2A56"/>
    <w:rsid w:val="00AD055E"/>
    <w:rsid w:val="00AD47A7"/>
    <w:rsid w:val="00AF0CBF"/>
    <w:rsid w:val="00AF257F"/>
    <w:rsid w:val="00AF33CF"/>
    <w:rsid w:val="00AF4D50"/>
    <w:rsid w:val="00AF6179"/>
    <w:rsid w:val="00B045A3"/>
    <w:rsid w:val="00B1295A"/>
    <w:rsid w:val="00B138FB"/>
    <w:rsid w:val="00B20A45"/>
    <w:rsid w:val="00B22C5C"/>
    <w:rsid w:val="00B24F30"/>
    <w:rsid w:val="00B264D1"/>
    <w:rsid w:val="00B31ABF"/>
    <w:rsid w:val="00B33BE3"/>
    <w:rsid w:val="00B34A1F"/>
    <w:rsid w:val="00B53B5D"/>
    <w:rsid w:val="00B6055E"/>
    <w:rsid w:val="00B6317D"/>
    <w:rsid w:val="00B73E21"/>
    <w:rsid w:val="00B76409"/>
    <w:rsid w:val="00B7723F"/>
    <w:rsid w:val="00B80534"/>
    <w:rsid w:val="00B8433C"/>
    <w:rsid w:val="00B865FB"/>
    <w:rsid w:val="00B86A5D"/>
    <w:rsid w:val="00B87491"/>
    <w:rsid w:val="00BA29E9"/>
    <w:rsid w:val="00BA7142"/>
    <w:rsid w:val="00BA7542"/>
    <w:rsid w:val="00BB237C"/>
    <w:rsid w:val="00BB41A3"/>
    <w:rsid w:val="00BC32DC"/>
    <w:rsid w:val="00BC35B6"/>
    <w:rsid w:val="00BC6356"/>
    <w:rsid w:val="00BD1B51"/>
    <w:rsid w:val="00BD4596"/>
    <w:rsid w:val="00BE1405"/>
    <w:rsid w:val="00BE312D"/>
    <w:rsid w:val="00BF0E19"/>
    <w:rsid w:val="00BF1C20"/>
    <w:rsid w:val="00BF706B"/>
    <w:rsid w:val="00C10578"/>
    <w:rsid w:val="00C12DE3"/>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B3261"/>
    <w:rsid w:val="00CC489B"/>
    <w:rsid w:val="00CC688E"/>
    <w:rsid w:val="00CC7F84"/>
    <w:rsid w:val="00CD2BCD"/>
    <w:rsid w:val="00CD3A4C"/>
    <w:rsid w:val="00CD404B"/>
    <w:rsid w:val="00CE10E9"/>
    <w:rsid w:val="00CE2910"/>
    <w:rsid w:val="00CE2E17"/>
    <w:rsid w:val="00CE5393"/>
    <w:rsid w:val="00CF36BE"/>
    <w:rsid w:val="00CF6000"/>
    <w:rsid w:val="00D003F3"/>
    <w:rsid w:val="00D0364F"/>
    <w:rsid w:val="00D06834"/>
    <w:rsid w:val="00D308ED"/>
    <w:rsid w:val="00D36D86"/>
    <w:rsid w:val="00D37344"/>
    <w:rsid w:val="00D428AA"/>
    <w:rsid w:val="00D50A34"/>
    <w:rsid w:val="00D53E3B"/>
    <w:rsid w:val="00D53EFA"/>
    <w:rsid w:val="00D64AE1"/>
    <w:rsid w:val="00D91EDB"/>
    <w:rsid w:val="00D94A7C"/>
    <w:rsid w:val="00D95896"/>
    <w:rsid w:val="00DB2983"/>
    <w:rsid w:val="00DB6EE1"/>
    <w:rsid w:val="00DC1257"/>
    <w:rsid w:val="00DC3DC0"/>
    <w:rsid w:val="00DC5B2B"/>
    <w:rsid w:val="00DD318D"/>
    <w:rsid w:val="00DD633F"/>
    <w:rsid w:val="00DD78D3"/>
    <w:rsid w:val="00DD7EAA"/>
    <w:rsid w:val="00DE5227"/>
    <w:rsid w:val="00DF1010"/>
    <w:rsid w:val="00DF2E12"/>
    <w:rsid w:val="00DF3269"/>
    <w:rsid w:val="00DF418E"/>
    <w:rsid w:val="00DF514A"/>
    <w:rsid w:val="00DF6690"/>
    <w:rsid w:val="00DF6804"/>
    <w:rsid w:val="00E0358D"/>
    <w:rsid w:val="00E04323"/>
    <w:rsid w:val="00E070A2"/>
    <w:rsid w:val="00E2656A"/>
    <w:rsid w:val="00E412D0"/>
    <w:rsid w:val="00E46108"/>
    <w:rsid w:val="00E56322"/>
    <w:rsid w:val="00E60982"/>
    <w:rsid w:val="00E62C62"/>
    <w:rsid w:val="00E654C1"/>
    <w:rsid w:val="00E65D97"/>
    <w:rsid w:val="00E704E9"/>
    <w:rsid w:val="00E72A5A"/>
    <w:rsid w:val="00E73354"/>
    <w:rsid w:val="00E9242D"/>
    <w:rsid w:val="00EB5255"/>
    <w:rsid w:val="00EB5C47"/>
    <w:rsid w:val="00EB619D"/>
    <w:rsid w:val="00ED0639"/>
    <w:rsid w:val="00EF3D43"/>
    <w:rsid w:val="00EF4755"/>
    <w:rsid w:val="00EF7135"/>
    <w:rsid w:val="00EF7950"/>
    <w:rsid w:val="00F027DB"/>
    <w:rsid w:val="00F036C9"/>
    <w:rsid w:val="00F043DB"/>
    <w:rsid w:val="00F149B1"/>
    <w:rsid w:val="00F14A7A"/>
    <w:rsid w:val="00F22985"/>
    <w:rsid w:val="00F251C6"/>
    <w:rsid w:val="00F3383E"/>
    <w:rsid w:val="00F41909"/>
    <w:rsid w:val="00F42285"/>
    <w:rsid w:val="00F465A7"/>
    <w:rsid w:val="00F50B7C"/>
    <w:rsid w:val="00F550E6"/>
    <w:rsid w:val="00F705B3"/>
    <w:rsid w:val="00F74345"/>
    <w:rsid w:val="00F80A0A"/>
    <w:rsid w:val="00F82B19"/>
    <w:rsid w:val="00F82E3A"/>
    <w:rsid w:val="00F9212D"/>
    <w:rsid w:val="00F965DA"/>
    <w:rsid w:val="00FA19C1"/>
    <w:rsid w:val="00FA2DD8"/>
    <w:rsid w:val="00FA406A"/>
    <w:rsid w:val="00FB0729"/>
    <w:rsid w:val="00FB4547"/>
    <w:rsid w:val="00FB503A"/>
    <w:rsid w:val="00FB516C"/>
    <w:rsid w:val="00FC72A3"/>
    <w:rsid w:val="00FD0236"/>
    <w:rsid w:val="00FD18F4"/>
    <w:rsid w:val="00FD2678"/>
    <w:rsid w:val="00FD54DB"/>
    <w:rsid w:val="00FD619F"/>
    <w:rsid w:val="00FE0429"/>
    <w:rsid w:val="00FF7BB4"/>
    <w:rsid w:val="0100390C"/>
    <w:rsid w:val="0103164E"/>
    <w:rsid w:val="010351AA"/>
    <w:rsid w:val="01057174"/>
    <w:rsid w:val="01066A48"/>
    <w:rsid w:val="010D7DD7"/>
    <w:rsid w:val="01121891"/>
    <w:rsid w:val="011837C3"/>
    <w:rsid w:val="011949CD"/>
    <w:rsid w:val="011B6997"/>
    <w:rsid w:val="011C626C"/>
    <w:rsid w:val="01284C10"/>
    <w:rsid w:val="01290F7E"/>
    <w:rsid w:val="012D0479"/>
    <w:rsid w:val="012D2956"/>
    <w:rsid w:val="013008AD"/>
    <w:rsid w:val="01303AC5"/>
    <w:rsid w:val="013400FE"/>
    <w:rsid w:val="013637D1"/>
    <w:rsid w:val="013B2B96"/>
    <w:rsid w:val="013B4944"/>
    <w:rsid w:val="013C690E"/>
    <w:rsid w:val="013D4B60"/>
    <w:rsid w:val="013E1986"/>
    <w:rsid w:val="01426AE8"/>
    <w:rsid w:val="0145772E"/>
    <w:rsid w:val="01483505"/>
    <w:rsid w:val="014B08FF"/>
    <w:rsid w:val="01505F15"/>
    <w:rsid w:val="01521C8D"/>
    <w:rsid w:val="015420EC"/>
    <w:rsid w:val="015772A4"/>
    <w:rsid w:val="0159126E"/>
    <w:rsid w:val="015B4FE6"/>
    <w:rsid w:val="015D1E09"/>
    <w:rsid w:val="016519C1"/>
    <w:rsid w:val="016814B1"/>
    <w:rsid w:val="017442FA"/>
    <w:rsid w:val="017B11E4"/>
    <w:rsid w:val="017B5A66"/>
    <w:rsid w:val="017E2A82"/>
    <w:rsid w:val="018272D0"/>
    <w:rsid w:val="018A7679"/>
    <w:rsid w:val="018B1DB6"/>
    <w:rsid w:val="018B23A4"/>
    <w:rsid w:val="018C1DA4"/>
    <w:rsid w:val="018D0AC4"/>
    <w:rsid w:val="018F6A3E"/>
    <w:rsid w:val="01916216"/>
    <w:rsid w:val="01916C5A"/>
    <w:rsid w:val="019603DD"/>
    <w:rsid w:val="019D4DF2"/>
    <w:rsid w:val="019E3125"/>
    <w:rsid w:val="019F1377"/>
    <w:rsid w:val="01A06E9D"/>
    <w:rsid w:val="01A249C3"/>
    <w:rsid w:val="01A324E9"/>
    <w:rsid w:val="01A7022B"/>
    <w:rsid w:val="01A71FD9"/>
    <w:rsid w:val="01AB62D2"/>
    <w:rsid w:val="01AE3B83"/>
    <w:rsid w:val="01B3097E"/>
    <w:rsid w:val="01B40E62"/>
    <w:rsid w:val="01B6046E"/>
    <w:rsid w:val="01B6221C"/>
    <w:rsid w:val="01C205FE"/>
    <w:rsid w:val="01C42B8B"/>
    <w:rsid w:val="01C67D57"/>
    <w:rsid w:val="01CC5EE4"/>
    <w:rsid w:val="01D803E5"/>
    <w:rsid w:val="01D84888"/>
    <w:rsid w:val="01D9415D"/>
    <w:rsid w:val="01DF5C17"/>
    <w:rsid w:val="01E15EE0"/>
    <w:rsid w:val="01E70628"/>
    <w:rsid w:val="01EA636A"/>
    <w:rsid w:val="01EF572E"/>
    <w:rsid w:val="01F11CD4"/>
    <w:rsid w:val="01F40F97"/>
    <w:rsid w:val="020236B3"/>
    <w:rsid w:val="020B6A0C"/>
    <w:rsid w:val="020C0D2B"/>
    <w:rsid w:val="021358C1"/>
    <w:rsid w:val="02160F0D"/>
    <w:rsid w:val="02194C76"/>
    <w:rsid w:val="021D04ED"/>
    <w:rsid w:val="021F6013"/>
    <w:rsid w:val="02223D56"/>
    <w:rsid w:val="02251601"/>
    <w:rsid w:val="022B145E"/>
    <w:rsid w:val="02337D11"/>
    <w:rsid w:val="0235594E"/>
    <w:rsid w:val="024912E2"/>
    <w:rsid w:val="02493090"/>
    <w:rsid w:val="024B2609"/>
    <w:rsid w:val="024B5B84"/>
    <w:rsid w:val="024E68F9"/>
    <w:rsid w:val="0250441F"/>
    <w:rsid w:val="02510108"/>
    <w:rsid w:val="02557C87"/>
    <w:rsid w:val="025657AD"/>
    <w:rsid w:val="025739FF"/>
    <w:rsid w:val="02587777"/>
    <w:rsid w:val="025D6B3C"/>
    <w:rsid w:val="025F2CA5"/>
    <w:rsid w:val="02604264"/>
    <w:rsid w:val="0260719F"/>
    <w:rsid w:val="02611AE5"/>
    <w:rsid w:val="02626F54"/>
    <w:rsid w:val="02664739"/>
    <w:rsid w:val="02697903"/>
    <w:rsid w:val="026E2AF7"/>
    <w:rsid w:val="02713E77"/>
    <w:rsid w:val="02764E9C"/>
    <w:rsid w:val="02776FB9"/>
    <w:rsid w:val="02783976"/>
    <w:rsid w:val="02785724"/>
    <w:rsid w:val="027A621D"/>
    <w:rsid w:val="027C5214"/>
    <w:rsid w:val="027D0F8C"/>
    <w:rsid w:val="02820350"/>
    <w:rsid w:val="02847D4F"/>
    <w:rsid w:val="02882F84"/>
    <w:rsid w:val="028F6C5B"/>
    <w:rsid w:val="02922C89"/>
    <w:rsid w:val="0295277A"/>
    <w:rsid w:val="02994018"/>
    <w:rsid w:val="029C443F"/>
    <w:rsid w:val="029C7664"/>
    <w:rsid w:val="029E5F48"/>
    <w:rsid w:val="02A24112"/>
    <w:rsid w:val="02A93B2F"/>
    <w:rsid w:val="02AD1871"/>
    <w:rsid w:val="02AD1FA0"/>
    <w:rsid w:val="02B32C00"/>
    <w:rsid w:val="02C4662B"/>
    <w:rsid w:val="02D432A2"/>
    <w:rsid w:val="02D45AC0"/>
    <w:rsid w:val="02D52B76"/>
    <w:rsid w:val="02D908B8"/>
    <w:rsid w:val="02DA376B"/>
    <w:rsid w:val="02DA4630"/>
    <w:rsid w:val="02DD1A2B"/>
    <w:rsid w:val="02E67482"/>
    <w:rsid w:val="02E9145B"/>
    <w:rsid w:val="02E96621"/>
    <w:rsid w:val="02EF1E8A"/>
    <w:rsid w:val="02F2197A"/>
    <w:rsid w:val="02F23728"/>
    <w:rsid w:val="02F456F2"/>
    <w:rsid w:val="02F96569"/>
    <w:rsid w:val="02FA082F"/>
    <w:rsid w:val="02FC45A7"/>
    <w:rsid w:val="030012FE"/>
    <w:rsid w:val="0301396B"/>
    <w:rsid w:val="03043147"/>
    <w:rsid w:val="03043B39"/>
    <w:rsid w:val="030671D3"/>
    <w:rsid w:val="030B47EA"/>
    <w:rsid w:val="03104CE8"/>
    <w:rsid w:val="03196A28"/>
    <w:rsid w:val="031A4A2D"/>
    <w:rsid w:val="031B1F99"/>
    <w:rsid w:val="032E45F7"/>
    <w:rsid w:val="032F04D8"/>
    <w:rsid w:val="033130A9"/>
    <w:rsid w:val="03343D40"/>
    <w:rsid w:val="0337738D"/>
    <w:rsid w:val="03395C8A"/>
    <w:rsid w:val="03397EA4"/>
    <w:rsid w:val="033B50CF"/>
    <w:rsid w:val="033F6241"/>
    <w:rsid w:val="03435D32"/>
    <w:rsid w:val="034A16B3"/>
    <w:rsid w:val="034A5312"/>
    <w:rsid w:val="034F2928"/>
    <w:rsid w:val="0350044F"/>
    <w:rsid w:val="03546FCA"/>
    <w:rsid w:val="03563CB7"/>
    <w:rsid w:val="035717DD"/>
    <w:rsid w:val="03595555"/>
    <w:rsid w:val="035B751F"/>
    <w:rsid w:val="035E2B6B"/>
    <w:rsid w:val="03632E30"/>
    <w:rsid w:val="03662AD9"/>
    <w:rsid w:val="036C34DA"/>
    <w:rsid w:val="036F4D79"/>
    <w:rsid w:val="0374238F"/>
    <w:rsid w:val="0374413D"/>
    <w:rsid w:val="03764359"/>
    <w:rsid w:val="03766107"/>
    <w:rsid w:val="03791753"/>
    <w:rsid w:val="03797855"/>
    <w:rsid w:val="037B371D"/>
    <w:rsid w:val="037C1244"/>
    <w:rsid w:val="03887AE5"/>
    <w:rsid w:val="038B02BD"/>
    <w:rsid w:val="038B1487"/>
    <w:rsid w:val="038D16A3"/>
    <w:rsid w:val="038F45FC"/>
    <w:rsid w:val="039368D6"/>
    <w:rsid w:val="03961764"/>
    <w:rsid w:val="039801A9"/>
    <w:rsid w:val="039842DB"/>
    <w:rsid w:val="03993BA4"/>
    <w:rsid w:val="039A6D10"/>
    <w:rsid w:val="039C407F"/>
    <w:rsid w:val="039D7B38"/>
    <w:rsid w:val="039E11BA"/>
    <w:rsid w:val="039E2C65"/>
    <w:rsid w:val="03A04148"/>
    <w:rsid w:val="03A26EFC"/>
    <w:rsid w:val="03AA4003"/>
    <w:rsid w:val="03AA7B5F"/>
    <w:rsid w:val="03AD58A1"/>
    <w:rsid w:val="03AD7315"/>
    <w:rsid w:val="03B10EED"/>
    <w:rsid w:val="03B50FFB"/>
    <w:rsid w:val="03B86720"/>
    <w:rsid w:val="03B95686"/>
    <w:rsid w:val="03BB09EB"/>
    <w:rsid w:val="03BB1D6C"/>
    <w:rsid w:val="03C52BEB"/>
    <w:rsid w:val="03C81C0C"/>
    <w:rsid w:val="03C926DB"/>
    <w:rsid w:val="03CE5F43"/>
    <w:rsid w:val="03D42E2E"/>
    <w:rsid w:val="03D60954"/>
    <w:rsid w:val="03D8291E"/>
    <w:rsid w:val="03D90444"/>
    <w:rsid w:val="03DB41BC"/>
    <w:rsid w:val="03DF11A2"/>
    <w:rsid w:val="03E05C76"/>
    <w:rsid w:val="03E312C3"/>
    <w:rsid w:val="03EA2651"/>
    <w:rsid w:val="03EA7B21"/>
    <w:rsid w:val="03EF5EB9"/>
    <w:rsid w:val="03F37758"/>
    <w:rsid w:val="03FA6D38"/>
    <w:rsid w:val="04000288"/>
    <w:rsid w:val="04003C23"/>
    <w:rsid w:val="04082AD7"/>
    <w:rsid w:val="04093957"/>
    <w:rsid w:val="040C0819"/>
    <w:rsid w:val="04105151"/>
    <w:rsid w:val="0418185B"/>
    <w:rsid w:val="04186B93"/>
    <w:rsid w:val="041B6CAE"/>
    <w:rsid w:val="0422003D"/>
    <w:rsid w:val="04224C7B"/>
    <w:rsid w:val="04243DB5"/>
    <w:rsid w:val="042518DB"/>
    <w:rsid w:val="04304D6F"/>
    <w:rsid w:val="04310280"/>
    <w:rsid w:val="04336328"/>
    <w:rsid w:val="04347477"/>
    <w:rsid w:val="04365896"/>
    <w:rsid w:val="0438160E"/>
    <w:rsid w:val="043D74F1"/>
    <w:rsid w:val="0442423B"/>
    <w:rsid w:val="04441D61"/>
    <w:rsid w:val="04455AD9"/>
    <w:rsid w:val="04480BEF"/>
    <w:rsid w:val="044B1820"/>
    <w:rsid w:val="044C16AA"/>
    <w:rsid w:val="04506958"/>
    <w:rsid w:val="0451447E"/>
    <w:rsid w:val="04560F73"/>
    <w:rsid w:val="045E224E"/>
    <w:rsid w:val="04616968"/>
    <w:rsid w:val="0462668B"/>
    <w:rsid w:val="046B5540"/>
    <w:rsid w:val="0471044C"/>
    <w:rsid w:val="047105D4"/>
    <w:rsid w:val="0471373D"/>
    <w:rsid w:val="04722833"/>
    <w:rsid w:val="04722D72"/>
    <w:rsid w:val="047563BF"/>
    <w:rsid w:val="047A39D5"/>
    <w:rsid w:val="047D1717"/>
    <w:rsid w:val="04806B11"/>
    <w:rsid w:val="04810F1A"/>
    <w:rsid w:val="04843394"/>
    <w:rsid w:val="04891E6A"/>
    <w:rsid w:val="048B3E34"/>
    <w:rsid w:val="048C3708"/>
    <w:rsid w:val="048D433D"/>
    <w:rsid w:val="048E7480"/>
    <w:rsid w:val="0495080F"/>
    <w:rsid w:val="049727D9"/>
    <w:rsid w:val="049820AD"/>
    <w:rsid w:val="04983E5B"/>
    <w:rsid w:val="049A4077"/>
    <w:rsid w:val="049B3A0D"/>
    <w:rsid w:val="049C150C"/>
    <w:rsid w:val="049D5915"/>
    <w:rsid w:val="04A3117E"/>
    <w:rsid w:val="04A63ABD"/>
    <w:rsid w:val="04A942BA"/>
    <w:rsid w:val="04AC10F3"/>
    <w:rsid w:val="04AC1F40"/>
    <w:rsid w:val="04B05649"/>
    <w:rsid w:val="04B073F7"/>
    <w:rsid w:val="04B35139"/>
    <w:rsid w:val="04BA38D0"/>
    <w:rsid w:val="04BD7173"/>
    <w:rsid w:val="04C106C5"/>
    <w:rsid w:val="04C2712A"/>
    <w:rsid w:val="04C5780A"/>
    <w:rsid w:val="04C74740"/>
    <w:rsid w:val="04C80BE4"/>
    <w:rsid w:val="04CC45D7"/>
    <w:rsid w:val="04D23811"/>
    <w:rsid w:val="04DE21B6"/>
    <w:rsid w:val="04E13A54"/>
    <w:rsid w:val="04E30E8E"/>
    <w:rsid w:val="04E35A1E"/>
    <w:rsid w:val="04E723E0"/>
    <w:rsid w:val="04E84DE3"/>
    <w:rsid w:val="04E94D00"/>
    <w:rsid w:val="04F33554"/>
    <w:rsid w:val="04F55751"/>
    <w:rsid w:val="04F75026"/>
    <w:rsid w:val="04FA6940"/>
    <w:rsid w:val="04FF212C"/>
    <w:rsid w:val="05025778"/>
    <w:rsid w:val="0504667E"/>
    <w:rsid w:val="050553B0"/>
    <w:rsid w:val="05065269"/>
    <w:rsid w:val="05080FE1"/>
    <w:rsid w:val="050D1A65"/>
    <w:rsid w:val="050D2A9B"/>
    <w:rsid w:val="050F6813"/>
    <w:rsid w:val="0511564D"/>
    <w:rsid w:val="051378BA"/>
    <w:rsid w:val="051A7C31"/>
    <w:rsid w:val="051C4969"/>
    <w:rsid w:val="051C683A"/>
    <w:rsid w:val="05212BF6"/>
    <w:rsid w:val="0525714B"/>
    <w:rsid w:val="0526590B"/>
    <w:rsid w:val="052C2255"/>
    <w:rsid w:val="052D4EEB"/>
    <w:rsid w:val="052E47BF"/>
    <w:rsid w:val="052F404B"/>
    <w:rsid w:val="05376505"/>
    <w:rsid w:val="053C512E"/>
    <w:rsid w:val="053D04F2"/>
    <w:rsid w:val="053D2253"/>
    <w:rsid w:val="05412745"/>
    <w:rsid w:val="05461B09"/>
    <w:rsid w:val="054B2EBB"/>
    <w:rsid w:val="05510BD7"/>
    <w:rsid w:val="05517104"/>
    <w:rsid w:val="055204AE"/>
    <w:rsid w:val="05524952"/>
    <w:rsid w:val="055629C0"/>
    <w:rsid w:val="05571F68"/>
    <w:rsid w:val="055F2BCB"/>
    <w:rsid w:val="05600E1D"/>
    <w:rsid w:val="056051A3"/>
    <w:rsid w:val="05614B95"/>
    <w:rsid w:val="05624F54"/>
    <w:rsid w:val="05647814"/>
    <w:rsid w:val="05656433"/>
    <w:rsid w:val="05674395"/>
    <w:rsid w:val="05685F23"/>
    <w:rsid w:val="056B1570"/>
    <w:rsid w:val="056B77C2"/>
    <w:rsid w:val="056C5A14"/>
    <w:rsid w:val="057448C8"/>
    <w:rsid w:val="05791EDF"/>
    <w:rsid w:val="05795E6E"/>
    <w:rsid w:val="057F441C"/>
    <w:rsid w:val="058412CB"/>
    <w:rsid w:val="05850883"/>
    <w:rsid w:val="058663AA"/>
    <w:rsid w:val="058D094A"/>
    <w:rsid w:val="05900FD6"/>
    <w:rsid w:val="05972365"/>
    <w:rsid w:val="05976C79"/>
    <w:rsid w:val="0599432F"/>
    <w:rsid w:val="059C2368"/>
    <w:rsid w:val="059E1945"/>
    <w:rsid w:val="059E36F3"/>
    <w:rsid w:val="05A36F5B"/>
    <w:rsid w:val="05AD7DDA"/>
    <w:rsid w:val="05B60A3D"/>
    <w:rsid w:val="05B93381"/>
    <w:rsid w:val="05C07B0D"/>
    <w:rsid w:val="05C933D6"/>
    <w:rsid w:val="05CA44E8"/>
    <w:rsid w:val="05CE01C7"/>
    <w:rsid w:val="05D215EF"/>
    <w:rsid w:val="05DD246D"/>
    <w:rsid w:val="05DE7F94"/>
    <w:rsid w:val="05E02329"/>
    <w:rsid w:val="05E11832"/>
    <w:rsid w:val="05E25786"/>
    <w:rsid w:val="05E355AA"/>
    <w:rsid w:val="05E57574"/>
    <w:rsid w:val="05E96551"/>
    <w:rsid w:val="05ED32BD"/>
    <w:rsid w:val="05EF5319"/>
    <w:rsid w:val="05F16ADD"/>
    <w:rsid w:val="05F31C91"/>
    <w:rsid w:val="05F83EAE"/>
    <w:rsid w:val="05FB0B46"/>
    <w:rsid w:val="05FB5A9A"/>
    <w:rsid w:val="0601566B"/>
    <w:rsid w:val="06020126"/>
    <w:rsid w:val="06045D1C"/>
    <w:rsid w:val="06055520"/>
    <w:rsid w:val="06093262"/>
    <w:rsid w:val="060C68AF"/>
    <w:rsid w:val="060F2843"/>
    <w:rsid w:val="06112117"/>
    <w:rsid w:val="06146648"/>
    <w:rsid w:val="06147E59"/>
    <w:rsid w:val="061614DB"/>
    <w:rsid w:val="0616597F"/>
    <w:rsid w:val="061858B5"/>
    <w:rsid w:val="061B2F96"/>
    <w:rsid w:val="061E65E2"/>
    <w:rsid w:val="061F2A86"/>
    <w:rsid w:val="061F70AC"/>
    <w:rsid w:val="06250FB8"/>
    <w:rsid w:val="06253E14"/>
    <w:rsid w:val="062736E9"/>
    <w:rsid w:val="06274484"/>
    <w:rsid w:val="062A142B"/>
    <w:rsid w:val="062E1259"/>
    <w:rsid w:val="06380519"/>
    <w:rsid w:val="06394EB4"/>
    <w:rsid w:val="063E7D85"/>
    <w:rsid w:val="06441643"/>
    <w:rsid w:val="064C13A1"/>
    <w:rsid w:val="064E10CF"/>
    <w:rsid w:val="064F2C3F"/>
    <w:rsid w:val="065336FB"/>
    <w:rsid w:val="06540256"/>
    <w:rsid w:val="065546FA"/>
    <w:rsid w:val="065618CB"/>
    <w:rsid w:val="06581AF4"/>
    <w:rsid w:val="065A0F7B"/>
    <w:rsid w:val="065B15E4"/>
    <w:rsid w:val="065D35AE"/>
    <w:rsid w:val="065F10D4"/>
    <w:rsid w:val="066165AE"/>
    <w:rsid w:val="0661744D"/>
    <w:rsid w:val="06691F53"/>
    <w:rsid w:val="06693D01"/>
    <w:rsid w:val="066A7A79"/>
    <w:rsid w:val="067032E2"/>
    <w:rsid w:val="067428D5"/>
    <w:rsid w:val="067A5F0E"/>
    <w:rsid w:val="067D155B"/>
    <w:rsid w:val="068113B7"/>
    <w:rsid w:val="06824DC3"/>
    <w:rsid w:val="06826B71"/>
    <w:rsid w:val="068C79F0"/>
    <w:rsid w:val="068F347F"/>
    <w:rsid w:val="06911C3B"/>
    <w:rsid w:val="06935222"/>
    <w:rsid w:val="069A095C"/>
    <w:rsid w:val="069A3EBB"/>
    <w:rsid w:val="069D7E4F"/>
    <w:rsid w:val="06A032C2"/>
    <w:rsid w:val="06A97135"/>
    <w:rsid w:val="06AD6F44"/>
    <w:rsid w:val="06B058C5"/>
    <w:rsid w:val="06B156A8"/>
    <w:rsid w:val="06B81950"/>
    <w:rsid w:val="06B93462"/>
    <w:rsid w:val="06BA10C8"/>
    <w:rsid w:val="06BA455D"/>
    <w:rsid w:val="06BD0AF1"/>
    <w:rsid w:val="06BD229F"/>
    <w:rsid w:val="06BF7DC5"/>
    <w:rsid w:val="06C174A5"/>
    <w:rsid w:val="06C453DB"/>
    <w:rsid w:val="06C76C7A"/>
    <w:rsid w:val="06C822EA"/>
    <w:rsid w:val="06CD6344"/>
    <w:rsid w:val="06D05B2E"/>
    <w:rsid w:val="06D06DE3"/>
    <w:rsid w:val="06D33870"/>
    <w:rsid w:val="06D7510F"/>
    <w:rsid w:val="06D870D9"/>
    <w:rsid w:val="06DC2725"/>
    <w:rsid w:val="06DF3FC3"/>
    <w:rsid w:val="06E339A6"/>
    <w:rsid w:val="06E710CA"/>
    <w:rsid w:val="06EA7E2E"/>
    <w:rsid w:val="06EE06AA"/>
    <w:rsid w:val="06F078AB"/>
    <w:rsid w:val="06F233B8"/>
    <w:rsid w:val="06F25FCE"/>
    <w:rsid w:val="06F37A6F"/>
    <w:rsid w:val="06F7130D"/>
    <w:rsid w:val="06F950F4"/>
    <w:rsid w:val="06FE5729"/>
    <w:rsid w:val="07027CB2"/>
    <w:rsid w:val="07061550"/>
    <w:rsid w:val="0708351A"/>
    <w:rsid w:val="070D4F0F"/>
    <w:rsid w:val="070E48A8"/>
    <w:rsid w:val="07106873"/>
    <w:rsid w:val="07124399"/>
    <w:rsid w:val="07131CDD"/>
    <w:rsid w:val="07153E89"/>
    <w:rsid w:val="071719AF"/>
    <w:rsid w:val="071A324D"/>
    <w:rsid w:val="071C5217"/>
    <w:rsid w:val="071D689A"/>
    <w:rsid w:val="07293586"/>
    <w:rsid w:val="07295285"/>
    <w:rsid w:val="072D4D2F"/>
    <w:rsid w:val="072D5D12"/>
    <w:rsid w:val="073065CD"/>
    <w:rsid w:val="07320557"/>
    <w:rsid w:val="07350087"/>
    <w:rsid w:val="0738697C"/>
    <w:rsid w:val="073C31C4"/>
    <w:rsid w:val="074309F6"/>
    <w:rsid w:val="0745615D"/>
    <w:rsid w:val="074C65B6"/>
    <w:rsid w:val="074D4555"/>
    <w:rsid w:val="0754189F"/>
    <w:rsid w:val="075A1223"/>
    <w:rsid w:val="075A3457"/>
    <w:rsid w:val="075C3866"/>
    <w:rsid w:val="07631390"/>
    <w:rsid w:val="07636392"/>
    <w:rsid w:val="07675A5B"/>
    <w:rsid w:val="076B5857"/>
    <w:rsid w:val="076F5347"/>
    <w:rsid w:val="07701FFB"/>
    <w:rsid w:val="07724E37"/>
    <w:rsid w:val="077505B3"/>
    <w:rsid w:val="07770C56"/>
    <w:rsid w:val="077A59AE"/>
    <w:rsid w:val="07814174"/>
    <w:rsid w:val="078608E3"/>
    <w:rsid w:val="078E537E"/>
    <w:rsid w:val="07910650"/>
    <w:rsid w:val="07921036"/>
    <w:rsid w:val="079254DA"/>
    <w:rsid w:val="07944DAE"/>
    <w:rsid w:val="0797489E"/>
    <w:rsid w:val="079E79DA"/>
    <w:rsid w:val="07A07BF6"/>
    <w:rsid w:val="07A31495"/>
    <w:rsid w:val="07A5451D"/>
    <w:rsid w:val="07AA2823"/>
    <w:rsid w:val="07AA637F"/>
    <w:rsid w:val="07AD055F"/>
    <w:rsid w:val="07AD2313"/>
    <w:rsid w:val="07B2792A"/>
    <w:rsid w:val="07B471FE"/>
    <w:rsid w:val="07B92A66"/>
    <w:rsid w:val="07BC2556"/>
    <w:rsid w:val="07C05BA3"/>
    <w:rsid w:val="07C21FD0"/>
    <w:rsid w:val="07D17DB0"/>
    <w:rsid w:val="07D32E8E"/>
    <w:rsid w:val="07D33702"/>
    <w:rsid w:val="07D4164E"/>
    <w:rsid w:val="07D96C64"/>
    <w:rsid w:val="07DA312E"/>
    <w:rsid w:val="07DB6591"/>
    <w:rsid w:val="07E07FF3"/>
    <w:rsid w:val="07E21FBD"/>
    <w:rsid w:val="07EA2C20"/>
    <w:rsid w:val="07EC2E3C"/>
    <w:rsid w:val="07EF3B23"/>
    <w:rsid w:val="07F10452"/>
    <w:rsid w:val="07F27D26"/>
    <w:rsid w:val="07FC0BA5"/>
    <w:rsid w:val="07FC7B78"/>
    <w:rsid w:val="07FD6DF7"/>
    <w:rsid w:val="08000695"/>
    <w:rsid w:val="08031F33"/>
    <w:rsid w:val="08057A43"/>
    <w:rsid w:val="080D4700"/>
    <w:rsid w:val="08114650"/>
    <w:rsid w:val="08144D37"/>
    <w:rsid w:val="08157B45"/>
    <w:rsid w:val="081859DF"/>
    <w:rsid w:val="081971AF"/>
    <w:rsid w:val="081E6051"/>
    <w:rsid w:val="082425D6"/>
    <w:rsid w:val="08253C58"/>
    <w:rsid w:val="082C148A"/>
    <w:rsid w:val="082C3238"/>
    <w:rsid w:val="082D7025"/>
    <w:rsid w:val="08316C63"/>
    <w:rsid w:val="083B347B"/>
    <w:rsid w:val="083E6128"/>
    <w:rsid w:val="08400A92"/>
    <w:rsid w:val="08444585"/>
    <w:rsid w:val="084542FA"/>
    <w:rsid w:val="084561CB"/>
    <w:rsid w:val="08485B98"/>
    <w:rsid w:val="08502EAB"/>
    <w:rsid w:val="085602B5"/>
    <w:rsid w:val="08580817"/>
    <w:rsid w:val="08585DDB"/>
    <w:rsid w:val="085A5FF7"/>
    <w:rsid w:val="085B1B32"/>
    <w:rsid w:val="085C2FC2"/>
    <w:rsid w:val="085D7896"/>
    <w:rsid w:val="085E5421"/>
    <w:rsid w:val="08687FE8"/>
    <w:rsid w:val="0869623A"/>
    <w:rsid w:val="086C1887"/>
    <w:rsid w:val="086D3F47"/>
    <w:rsid w:val="08711FA1"/>
    <w:rsid w:val="08777DF5"/>
    <w:rsid w:val="088017D6"/>
    <w:rsid w:val="088176B4"/>
    <w:rsid w:val="08835993"/>
    <w:rsid w:val="08841607"/>
    <w:rsid w:val="08856DEC"/>
    <w:rsid w:val="08872B64"/>
    <w:rsid w:val="0889068B"/>
    <w:rsid w:val="08894C98"/>
    <w:rsid w:val="088A097A"/>
    <w:rsid w:val="088B1F29"/>
    <w:rsid w:val="088B74D0"/>
    <w:rsid w:val="088F36ED"/>
    <w:rsid w:val="088F5D81"/>
    <w:rsid w:val="08900771"/>
    <w:rsid w:val="08935065"/>
    <w:rsid w:val="089D2729"/>
    <w:rsid w:val="089F1C5C"/>
    <w:rsid w:val="089F7BFF"/>
    <w:rsid w:val="08A242C7"/>
    <w:rsid w:val="08A34016"/>
    <w:rsid w:val="08A90D2D"/>
    <w:rsid w:val="08AD7C99"/>
    <w:rsid w:val="08AF2EB0"/>
    <w:rsid w:val="08AF47DA"/>
    <w:rsid w:val="08AF79C5"/>
    <w:rsid w:val="08B01BE2"/>
    <w:rsid w:val="08B651F8"/>
    <w:rsid w:val="08B81FF4"/>
    <w:rsid w:val="08C97472"/>
    <w:rsid w:val="08CB0CA3"/>
    <w:rsid w:val="08D35DAA"/>
    <w:rsid w:val="08D538D0"/>
    <w:rsid w:val="08EC649A"/>
    <w:rsid w:val="08EC6A2A"/>
    <w:rsid w:val="08F55D20"/>
    <w:rsid w:val="08F57ACE"/>
    <w:rsid w:val="08FC654C"/>
    <w:rsid w:val="08FF6B9F"/>
    <w:rsid w:val="09023F99"/>
    <w:rsid w:val="0904395B"/>
    <w:rsid w:val="090708A4"/>
    <w:rsid w:val="090917CB"/>
    <w:rsid w:val="09095327"/>
    <w:rsid w:val="090B5543"/>
    <w:rsid w:val="090E293E"/>
    <w:rsid w:val="09135A0E"/>
    <w:rsid w:val="091A2CB2"/>
    <w:rsid w:val="091B4FF9"/>
    <w:rsid w:val="091F4B4B"/>
    <w:rsid w:val="092108C3"/>
    <w:rsid w:val="092217DD"/>
    <w:rsid w:val="092812C3"/>
    <w:rsid w:val="092B1742"/>
    <w:rsid w:val="092B7994"/>
    <w:rsid w:val="092D54BA"/>
    <w:rsid w:val="092F322A"/>
    <w:rsid w:val="0935611C"/>
    <w:rsid w:val="09383E5F"/>
    <w:rsid w:val="093A7294"/>
    <w:rsid w:val="093C4B64"/>
    <w:rsid w:val="094255AE"/>
    <w:rsid w:val="09442803"/>
    <w:rsid w:val="094B1DE4"/>
    <w:rsid w:val="094B5940"/>
    <w:rsid w:val="09502F56"/>
    <w:rsid w:val="09522E4A"/>
    <w:rsid w:val="09524F20"/>
    <w:rsid w:val="09533646"/>
    <w:rsid w:val="0955056D"/>
    <w:rsid w:val="09554A11"/>
    <w:rsid w:val="09640FA7"/>
    <w:rsid w:val="09646A02"/>
    <w:rsid w:val="0966277A"/>
    <w:rsid w:val="097035F9"/>
    <w:rsid w:val="09722ECD"/>
    <w:rsid w:val="09734E97"/>
    <w:rsid w:val="09750C0F"/>
    <w:rsid w:val="097A6225"/>
    <w:rsid w:val="097B0C45"/>
    <w:rsid w:val="097E7AC3"/>
    <w:rsid w:val="097F27D8"/>
    <w:rsid w:val="09800D0D"/>
    <w:rsid w:val="09802330"/>
    <w:rsid w:val="09880B2A"/>
    <w:rsid w:val="098A01F6"/>
    <w:rsid w:val="098B35C3"/>
    <w:rsid w:val="098F7F23"/>
    <w:rsid w:val="09905A49"/>
    <w:rsid w:val="0998414F"/>
    <w:rsid w:val="099C43EE"/>
    <w:rsid w:val="099C619C"/>
    <w:rsid w:val="099F7C7D"/>
    <w:rsid w:val="09A24CDB"/>
    <w:rsid w:val="09A43464"/>
    <w:rsid w:val="09A454D4"/>
    <w:rsid w:val="09A60DC8"/>
    <w:rsid w:val="09A92667"/>
    <w:rsid w:val="09AB63DF"/>
    <w:rsid w:val="09AC5238"/>
    <w:rsid w:val="09AF4121"/>
    <w:rsid w:val="09B259BF"/>
    <w:rsid w:val="09B41737"/>
    <w:rsid w:val="09B52B9C"/>
    <w:rsid w:val="09B5725D"/>
    <w:rsid w:val="09B71227"/>
    <w:rsid w:val="09B764E9"/>
    <w:rsid w:val="09BC4A90"/>
    <w:rsid w:val="09BC683E"/>
    <w:rsid w:val="09C15C02"/>
    <w:rsid w:val="09C64A8B"/>
    <w:rsid w:val="09C86773"/>
    <w:rsid w:val="09CE51D2"/>
    <w:rsid w:val="09CF031F"/>
    <w:rsid w:val="09D0089D"/>
    <w:rsid w:val="09DD3FC3"/>
    <w:rsid w:val="09E209BD"/>
    <w:rsid w:val="09E65669"/>
    <w:rsid w:val="09E71B0D"/>
    <w:rsid w:val="09E74A12"/>
    <w:rsid w:val="09E85885"/>
    <w:rsid w:val="09ED69F7"/>
    <w:rsid w:val="09F2225F"/>
    <w:rsid w:val="09F3647C"/>
    <w:rsid w:val="09F50B09"/>
    <w:rsid w:val="09F558AC"/>
    <w:rsid w:val="09F675A4"/>
    <w:rsid w:val="09F75AC8"/>
    <w:rsid w:val="09F77A50"/>
    <w:rsid w:val="09FC4E8C"/>
    <w:rsid w:val="09FE6ECA"/>
    <w:rsid w:val="0A022ACD"/>
    <w:rsid w:val="0A0539F8"/>
    <w:rsid w:val="0A06576E"/>
    <w:rsid w:val="0A067AB9"/>
    <w:rsid w:val="0A0F04A4"/>
    <w:rsid w:val="0A11626D"/>
    <w:rsid w:val="0A122902"/>
    <w:rsid w:val="0A1B3564"/>
    <w:rsid w:val="0A1E12A6"/>
    <w:rsid w:val="0A241D3B"/>
    <w:rsid w:val="0A252635"/>
    <w:rsid w:val="0A263993"/>
    <w:rsid w:val="0A27015B"/>
    <w:rsid w:val="0A283ED3"/>
    <w:rsid w:val="0A294BB9"/>
    <w:rsid w:val="0A2A08C7"/>
    <w:rsid w:val="0A2A19F9"/>
    <w:rsid w:val="0A2D14EA"/>
    <w:rsid w:val="0A2D3AC2"/>
    <w:rsid w:val="0A2F1A39"/>
    <w:rsid w:val="0A2F247A"/>
    <w:rsid w:val="0A2F5262"/>
    <w:rsid w:val="0A306C79"/>
    <w:rsid w:val="0A314FFA"/>
    <w:rsid w:val="0A327EF2"/>
    <w:rsid w:val="0A3463D4"/>
    <w:rsid w:val="0A354A28"/>
    <w:rsid w:val="0A375EC4"/>
    <w:rsid w:val="0A3824FF"/>
    <w:rsid w:val="0A3B7763"/>
    <w:rsid w:val="0A3C4843"/>
    <w:rsid w:val="0A3E7253"/>
    <w:rsid w:val="0A424F95"/>
    <w:rsid w:val="0A463FB5"/>
    <w:rsid w:val="0A474359"/>
    <w:rsid w:val="0A4C7BC2"/>
    <w:rsid w:val="0A542206"/>
    <w:rsid w:val="0A5627EE"/>
    <w:rsid w:val="0A6273E5"/>
    <w:rsid w:val="0A631AF4"/>
    <w:rsid w:val="0A633666"/>
    <w:rsid w:val="0A6767AA"/>
    <w:rsid w:val="0A690774"/>
    <w:rsid w:val="0A6A1749"/>
    <w:rsid w:val="0A6B4264"/>
    <w:rsid w:val="0A726EFC"/>
    <w:rsid w:val="0A7333A0"/>
    <w:rsid w:val="0A79472F"/>
    <w:rsid w:val="0A7D04CF"/>
    <w:rsid w:val="0A7D7D7B"/>
    <w:rsid w:val="0A80786B"/>
    <w:rsid w:val="0A894972"/>
    <w:rsid w:val="0A8C6210"/>
    <w:rsid w:val="0A8F1AA8"/>
    <w:rsid w:val="0A911A78"/>
    <w:rsid w:val="0A96708F"/>
    <w:rsid w:val="0A9A6B7F"/>
    <w:rsid w:val="0AA23C86"/>
    <w:rsid w:val="0AA36509"/>
    <w:rsid w:val="0AA62962"/>
    <w:rsid w:val="0AA755DF"/>
    <w:rsid w:val="0AAD0A16"/>
    <w:rsid w:val="0AAE6186"/>
    <w:rsid w:val="0AB15C77"/>
    <w:rsid w:val="0AB94B2B"/>
    <w:rsid w:val="0ABA2D7D"/>
    <w:rsid w:val="0AC07272"/>
    <w:rsid w:val="0AC21EF3"/>
    <w:rsid w:val="0AC92FC0"/>
    <w:rsid w:val="0ACA6D38"/>
    <w:rsid w:val="0ACD515A"/>
    <w:rsid w:val="0AD0409A"/>
    <w:rsid w:val="0AD3415B"/>
    <w:rsid w:val="0AD41965"/>
    <w:rsid w:val="0AD61B81"/>
    <w:rsid w:val="0AD63A6E"/>
    <w:rsid w:val="0AD876A7"/>
    <w:rsid w:val="0ADB0F46"/>
    <w:rsid w:val="0ADD4CBE"/>
    <w:rsid w:val="0ADE3688"/>
    <w:rsid w:val="0AE023EE"/>
    <w:rsid w:val="0AE222D4"/>
    <w:rsid w:val="0AE24082"/>
    <w:rsid w:val="0AE41BA8"/>
    <w:rsid w:val="0AE630D8"/>
    <w:rsid w:val="0AEE6ECB"/>
    <w:rsid w:val="0AF049F1"/>
    <w:rsid w:val="0AF142C5"/>
    <w:rsid w:val="0AF73FD1"/>
    <w:rsid w:val="0AFB3396"/>
    <w:rsid w:val="0AFD710E"/>
    <w:rsid w:val="0AFF2E86"/>
    <w:rsid w:val="0B02541A"/>
    <w:rsid w:val="0B071D3B"/>
    <w:rsid w:val="0B09160F"/>
    <w:rsid w:val="0B094C47"/>
    <w:rsid w:val="0B0C69AD"/>
    <w:rsid w:val="0B0C6A36"/>
    <w:rsid w:val="0B120D44"/>
    <w:rsid w:val="0B1526A9"/>
    <w:rsid w:val="0B185CF6"/>
    <w:rsid w:val="0B1D50BA"/>
    <w:rsid w:val="0B22488C"/>
    <w:rsid w:val="0B250B22"/>
    <w:rsid w:val="0B2823DD"/>
    <w:rsid w:val="0B291CB1"/>
    <w:rsid w:val="0B325009"/>
    <w:rsid w:val="0B350656"/>
    <w:rsid w:val="0B354AFA"/>
    <w:rsid w:val="0B3864F3"/>
    <w:rsid w:val="0B3A2110"/>
    <w:rsid w:val="0B3F3282"/>
    <w:rsid w:val="0B3F7726"/>
    <w:rsid w:val="0B41524D"/>
    <w:rsid w:val="0B416FFB"/>
    <w:rsid w:val="0B435FC5"/>
    <w:rsid w:val="0B4474F0"/>
    <w:rsid w:val="0B4765DB"/>
    <w:rsid w:val="0B4C689D"/>
    <w:rsid w:val="0B505490"/>
    <w:rsid w:val="0B512FB6"/>
    <w:rsid w:val="0B52745A"/>
    <w:rsid w:val="0B5331D2"/>
    <w:rsid w:val="0B57681E"/>
    <w:rsid w:val="0B582596"/>
    <w:rsid w:val="0B6251C3"/>
    <w:rsid w:val="0B637887"/>
    <w:rsid w:val="0B674587"/>
    <w:rsid w:val="0B675BF5"/>
    <w:rsid w:val="0B677BEA"/>
    <w:rsid w:val="0B6B0384"/>
    <w:rsid w:val="0B6F5085"/>
    <w:rsid w:val="0B7078E0"/>
    <w:rsid w:val="0B723658"/>
    <w:rsid w:val="0B771B9B"/>
    <w:rsid w:val="0B8213C1"/>
    <w:rsid w:val="0B887B0D"/>
    <w:rsid w:val="0B8B5C10"/>
    <w:rsid w:val="0B8D66E4"/>
    <w:rsid w:val="0B8E5FB8"/>
    <w:rsid w:val="0B927856"/>
    <w:rsid w:val="0B996A6B"/>
    <w:rsid w:val="0BA457DB"/>
    <w:rsid w:val="0BA47589"/>
    <w:rsid w:val="0BA63302"/>
    <w:rsid w:val="0BA852CC"/>
    <w:rsid w:val="0BA8707A"/>
    <w:rsid w:val="0BAA1044"/>
    <w:rsid w:val="0BB21CA6"/>
    <w:rsid w:val="0BB43C70"/>
    <w:rsid w:val="0BB5032C"/>
    <w:rsid w:val="0BB515C1"/>
    <w:rsid w:val="0BBE064B"/>
    <w:rsid w:val="0BBF4610"/>
    <w:rsid w:val="0BC67500"/>
    <w:rsid w:val="0BC72B31"/>
    <w:rsid w:val="0BC83278"/>
    <w:rsid w:val="0BD0092B"/>
    <w:rsid w:val="0BD065D0"/>
    <w:rsid w:val="0BD27BF6"/>
    <w:rsid w:val="0BD53BE7"/>
    <w:rsid w:val="0BDB58C1"/>
    <w:rsid w:val="0BDE2A9B"/>
    <w:rsid w:val="0BE34556"/>
    <w:rsid w:val="0BE4053F"/>
    <w:rsid w:val="0BE43E2A"/>
    <w:rsid w:val="0BE502CE"/>
    <w:rsid w:val="0BED2CDE"/>
    <w:rsid w:val="0BED3778"/>
    <w:rsid w:val="0BF40511"/>
    <w:rsid w:val="0BF56037"/>
    <w:rsid w:val="0BF73B5D"/>
    <w:rsid w:val="0BFA4E15"/>
    <w:rsid w:val="0BFA6918"/>
    <w:rsid w:val="0BFE6C9A"/>
    <w:rsid w:val="0C01678A"/>
    <w:rsid w:val="0C021E71"/>
    <w:rsid w:val="0C0544CC"/>
    <w:rsid w:val="0C061FF2"/>
    <w:rsid w:val="0C085D6A"/>
    <w:rsid w:val="0C0F0EA7"/>
    <w:rsid w:val="0C0F1E96"/>
    <w:rsid w:val="0C160487"/>
    <w:rsid w:val="0C1741FF"/>
    <w:rsid w:val="0C1E1DB9"/>
    <w:rsid w:val="0C252478"/>
    <w:rsid w:val="0C2729AB"/>
    <w:rsid w:val="0C2918DF"/>
    <w:rsid w:val="0C2A3F33"/>
    <w:rsid w:val="0C2A5CE1"/>
    <w:rsid w:val="0C2B423C"/>
    <w:rsid w:val="0C2B6C54"/>
    <w:rsid w:val="0C30187A"/>
    <w:rsid w:val="0C344DB1"/>
    <w:rsid w:val="0C360286"/>
    <w:rsid w:val="0C364685"/>
    <w:rsid w:val="0C3B3C7D"/>
    <w:rsid w:val="0C3B522B"/>
    <w:rsid w:val="0C3C3C66"/>
    <w:rsid w:val="0C3D67FB"/>
    <w:rsid w:val="0C4032B7"/>
    <w:rsid w:val="0C405504"/>
    <w:rsid w:val="0C474AE5"/>
    <w:rsid w:val="0C483C75"/>
    <w:rsid w:val="0C4C3EA9"/>
    <w:rsid w:val="0C4F7899"/>
    <w:rsid w:val="0C57284E"/>
    <w:rsid w:val="0C5965C6"/>
    <w:rsid w:val="0C5B102E"/>
    <w:rsid w:val="0C62191E"/>
    <w:rsid w:val="0C656D19"/>
    <w:rsid w:val="0C6801AB"/>
    <w:rsid w:val="0C684A5B"/>
    <w:rsid w:val="0C714102"/>
    <w:rsid w:val="0C7156BE"/>
    <w:rsid w:val="0C7430DB"/>
    <w:rsid w:val="0C764185"/>
    <w:rsid w:val="0C795299"/>
    <w:rsid w:val="0C7A1DC9"/>
    <w:rsid w:val="0C7B7159"/>
    <w:rsid w:val="0C7E602C"/>
    <w:rsid w:val="0C880C59"/>
    <w:rsid w:val="0C932600"/>
    <w:rsid w:val="0C9413AC"/>
    <w:rsid w:val="0C972049"/>
    <w:rsid w:val="0C977652"/>
    <w:rsid w:val="0CA15148"/>
    <w:rsid w:val="0CA27F6D"/>
    <w:rsid w:val="0CA46E7B"/>
    <w:rsid w:val="0CA84E57"/>
    <w:rsid w:val="0CAB2EAE"/>
    <w:rsid w:val="0CB63A18"/>
    <w:rsid w:val="0CB832EC"/>
    <w:rsid w:val="0CBD0903"/>
    <w:rsid w:val="0CBD16F5"/>
    <w:rsid w:val="0CBD4DA7"/>
    <w:rsid w:val="0CC003F3"/>
    <w:rsid w:val="0CC73DDF"/>
    <w:rsid w:val="0CD143AE"/>
    <w:rsid w:val="0CD619C5"/>
    <w:rsid w:val="0CEC7E16"/>
    <w:rsid w:val="0CED0068"/>
    <w:rsid w:val="0CEE4D8C"/>
    <w:rsid w:val="0CF07E9A"/>
    <w:rsid w:val="0CF6273A"/>
    <w:rsid w:val="0CF804C6"/>
    <w:rsid w:val="0CF85DDF"/>
    <w:rsid w:val="0CF87B8D"/>
    <w:rsid w:val="0CF956B3"/>
    <w:rsid w:val="0D004C93"/>
    <w:rsid w:val="0D026C5D"/>
    <w:rsid w:val="0D044948"/>
    <w:rsid w:val="0D046532"/>
    <w:rsid w:val="0D091D9A"/>
    <w:rsid w:val="0D093B48"/>
    <w:rsid w:val="0D0C3638"/>
    <w:rsid w:val="0D110C4F"/>
    <w:rsid w:val="0D156991"/>
    <w:rsid w:val="0D1941DD"/>
    <w:rsid w:val="0D1B2978"/>
    <w:rsid w:val="0D1D75F3"/>
    <w:rsid w:val="0D252196"/>
    <w:rsid w:val="0D264213"/>
    <w:rsid w:val="0D2C7836"/>
    <w:rsid w:val="0D2E1801"/>
    <w:rsid w:val="0D307327"/>
    <w:rsid w:val="0D3247FD"/>
    <w:rsid w:val="0D330BC5"/>
    <w:rsid w:val="0D365B2C"/>
    <w:rsid w:val="0D3F756A"/>
    <w:rsid w:val="0D4515CF"/>
    <w:rsid w:val="0D4B45D1"/>
    <w:rsid w:val="0D4D28BF"/>
    <w:rsid w:val="0D51729D"/>
    <w:rsid w:val="0D5F1809"/>
    <w:rsid w:val="0D605732"/>
    <w:rsid w:val="0D621C7D"/>
    <w:rsid w:val="0D662D48"/>
    <w:rsid w:val="0D674F46"/>
    <w:rsid w:val="0D69687B"/>
    <w:rsid w:val="0D6B035F"/>
    <w:rsid w:val="0D6D3550"/>
    <w:rsid w:val="0D6D5D30"/>
    <w:rsid w:val="0D7511DD"/>
    <w:rsid w:val="0D755681"/>
    <w:rsid w:val="0D7A4A46"/>
    <w:rsid w:val="0D7C6A10"/>
    <w:rsid w:val="0D7D0092"/>
    <w:rsid w:val="0D7D62E4"/>
    <w:rsid w:val="0D7D6966"/>
    <w:rsid w:val="0D7F3A96"/>
    <w:rsid w:val="0D8124EC"/>
    <w:rsid w:val="0D8853B5"/>
    <w:rsid w:val="0D8D29CB"/>
    <w:rsid w:val="0D8E229F"/>
    <w:rsid w:val="0D904269"/>
    <w:rsid w:val="0D943F34"/>
    <w:rsid w:val="0D9765DF"/>
    <w:rsid w:val="0D9A0C44"/>
    <w:rsid w:val="0D9A583E"/>
    <w:rsid w:val="0D9E073B"/>
    <w:rsid w:val="0DA77418"/>
    <w:rsid w:val="0DA9532B"/>
    <w:rsid w:val="0DAB2E51"/>
    <w:rsid w:val="0DB31D06"/>
    <w:rsid w:val="0DB53CD0"/>
    <w:rsid w:val="0DB57BBF"/>
    <w:rsid w:val="0DB742A8"/>
    <w:rsid w:val="0DB77A48"/>
    <w:rsid w:val="0DBC6E0C"/>
    <w:rsid w:val="0DBF06AB"/>
    <w:rsid w:val="0DC108C7"/>
    <w:rsid w:val="0DC42165"/>
    <w:rsid w:val="0DC45CC1"/>
    <w:rsid w:val="0DC61A39"/>
    <w:rsid w:val="0DC932D7"/>
    <w:rsid w:val="0DCB09D5"/>
    <w:rsid w:val="0DCB2882"/>
    <w:rsid w:val="0DCB340A"/>
    <w:rsid w:val="0DCE33A9"/>
    <w:rsid w:val="0DCE6B40"/>
    <w:rsid w:val="0DD028B8"/>
    <w:rsid w:val="0DD24882"/>
    <w:rsid w:val="0DD41645"/>
    <w:rsid w:val="0DDA54E4"/>
    <w:rsid w:val="0DDF1F83"/>
    <w:rsid w:val="0DDF3268"/>
    <w:rsid w:val="0DDF49E3"/>
    <w:rsid w:val="0DDF6937"/>
    <w:rsid w:val="0DDF6F9F"/>
    <w:rsid w:val="0DE325EB"/>
    <w:rsid w:val="0DE63E89"/>
    <w:rsid w:val="0DE85E53"/>
    <w:rsid w:val="0DED16BC"/>
    <w:rsid w:val="0DF04D08"/>
    <w:rsid w:val="0E016132"/>
    <w:rsid w:val="0E082052"/>
    <w:rsid w:val="0E0B38F0"/>
    <w:rsid w:val="0E106314"/>
    <w:rsid w:val="0E1070F4"/>
    <w:rsid w:val="0E1A29F1"/>
    <w:rsid w:val="0E1E1875"/>
    <w:rsid w:val="0E1E3623"/>
    <w:rsid w:val="0E1F1149"/>
    <w:rsid w:val="0E2449B2"/>
    <w:rsid w:val="0E2D1AB8"/>
    <w:rsid w:val="0E2F3A82"/>
    <w:rsid w:val="0E325320"/>
    <w:rsid w:val="0E35096D"/>
    <w:rsid w:val="0E364E11"/>
    <w:rsid w:val="0E3746E5"/>
    <w:rsid w:val="0E3C3454"/>
    <w:rsid w:val="0E3E791A"/>
    <w:rsid w:val="0E4312DC"/>
    <w:rsid w:val="0E455054"/>
    <w:rsid w:val="0E464928"/>
    <w:rsid w:val="0E4A08BC"/>
    <w:rsid w:val="0E4A4418"/>
    <w:rsid w:val="0E4B0190"/>
    <w:rsid w:val="0E5247A7"/>
    <w:rsid w:val="0E590AFF"/>
    <w:rsid w:val="0E5C239D"/>
    <w:rsid w:val="0E5E7EC3"/>
    <w:rsid w:val="0E6548C0"/>
    <w:rsid w:val="0E67321C"/>
    <w:rsid w:val="0E6B25E0"/>
    <w:rsid w:val="0E6E3B77"/>
    <w:rsid w:val="0E6F3E7F"/>
    <w:rsid w:val="0E73034D"/>
    <w:rsid w:val="0E7616B1"/>
    <w:rsid w:val="0E833DCE"/>
    <w:rsid w:val="0E8611C8"/>
    <w:rsid w:val="0E8813E4"/>
    <w:rsid w:val="0E8C2C83"/>
    <w:rsid w:val="0E8D2557"/>
    <w:rsid w:val="0E8F2773"/>
    <w:rsid w:val="0E903DF5"/>
    <w:rsid w:val="0E941B37"/>
    <w:rsid w:val="0E9438E5"/>
    <w:rsid w:val="0E953034"/>
    <w:rsid w:val="0E971943"/>
    <w:rsid w:val="0E9733D5"/>
    <w:rsid w:val="0E98231D"/>
    <w:rsid w:val="0EA004DC"/>
    <w:rsid w:val="0EA33B28"/>
    <w:rsid w:val="0EA35EB1"/>
    <w:rsid w:val="0EA507AF"/>
    <w:rsid w:val="0EA93835"/>
    <w:rsid w:val="0EAF6971"/>
    <w:rsid w:val="0EB775D4"/>
    <w:rsid w:val="0EB83A78"/>
    <w:rsid w:val="0EBC1FF7"/>
    <w:rsid w:val="0EBE0962"/>
    <w:rsid w:val="0EBE6BB4"/>
    <w:rsid w:val="0ECF0DC1"/>
    <w:rsid w:val="0ED44FC7"/>
    <w:rsid w:val="0EDE6A99"/>
    <w:rsid w:val="0EE04D7C"/>
    <w:rsid w:val="0EE458B9"/>
    <w:rsid w:val="0EE86DAF"/>
    <w:rsid w:val="0EEC3721"/>
    <w:rsid w:val="0EEE7499"/>
    <w:rsid w:val="0EF12AE6"/>
    <w:rsid w:val="0EF34AB0"/>
    <w:rsid w:val="0EF645A0"/>
    <w:rsid w:val="0EF80318"/>
    <w:rsid w:val="0F022F4F"/>
    <w:rsid w:val="0F032819"/>
    <w:rsid w:val="0F05142D"/>
    <w:rsid w:val="0F0F49DB"/>
    <w:rsid w:val="0F113188"/>
    <w:rsid w:val="0F13775A"/>
    <w:rsid w:val="0F1907E4"/>
    <w:rsid w:val="0F19203C"/>
    <w:rsid w:val="0F1D3938"/>
    <w:rsid w:val="0F24110D"/>
    <w:rsid w:val="0F242DCB"/>
    <w:rsid w:val="0F2731F8"/>
    <w:rsid w:val="0F310E21"/>
    <w:rsid w:val="0F44355D"/>
    <w:rsid w:val="0F470958"/>
    <w:rsid w:val="0F483D4E"/>
    <w:rsid w:val="0F490B74"/>
    <w:rsid w:val="0F4B6DFE"/>
    <w:rsid w:val="0F4C2412"/>
    <w:rsid w:val="0F503CB0"/>
    <w:rsid w:val="0F53076B"/>
    <w:rsid w:val="0F552739"/>
    <w:rsid w:val="0F55487C"/>
    <w:rsid w:val="0F556ADB"/>
    <w:rsid w:val="0F580DB7"/>
    <w:rsid w:val="0F5F275E"/>
    <w:rsid w:val="0F5F45FE"/>
    <w:rsid w:val="0F64150A"/>
    <w:rsid w:val="0F655282"/>
    <w:rsid w:val="0F667A60"/>
    <w:rsid w:val="0F6A2898"/>
    <w:rsid w:val="0F6B6D3C"/>
    <w:rsid w:val="0F6C4862"/>
    <w:rsid w:val="0F713C26"/>
    <w:rsid w:val="0F735BF1"/>
    <w:rsid w:val="0F7B0CCA"/>
    <w:rsid w:val="0F7B1E79"/>
    <w:rsid w:val="0F7D25CB"/>
    <w:rsid w:val="0F7E5CE7"/>
    <w:rsid w:val="0F895414"/>
    <w:rsid w:val="0F900551"/>
    <w:rsid w:val="0F902920"/>
    <w:rsid w:val="0F933B9D"/>
    <w:rsid w:val="0F937CCB"/>
    <w:rsid w:val="0F96368D"/>
    <w:rsid w:val="0F9718DF"/>
    <w:rsid w:val="0F985657"/>
    <w:rsid w:val="0F9A112B"/>
    <w:rsid w:val="0F9D7AD7"/>
    <w:rsid w:val="0F9F69E6"/>
    <w:rsid w:val="0FA47B58"/>
    <w:rsid w:val="0FA61B22"/>
    <w:rsid w:val="0FA7589A"/>
    <w:rsid w:val="0FA77648"/>
    <w:rsid w:val="0FA803F4"/>
    <w:rsid w:val="0FA83AEC"/>
    <w:rsid w:val="0FA924B8"/>
    <w:rsid w:val="0FB51D65"/>
    <w:rsid w:val="0FB56209"/>
    <w:rsid w:val="0FBB7521"/>
    <w:rsid w:val="0FBC30F4"/>
    <w:rsid w:val="0FC03B56"/>
    <w:rsid w:val="0FC24482"/>
    <w:rsid w:val="0FC439BF"/>
    <w:rsid w:val="0FC71A98"/>
    <w:rsid w:val="0FCB06D7"/>
    <w:rsid w:val="0FCC498E"/>
    <w:rsid w:val="0FCF7AFD"/>
    <w:rsid w:val="0FD52407"/>
    <w:rsid w:val="0FD91EF8"/>
    <w:rsid w:val="0FDA5E5F"/>
    <w:rsid w:val="0FDA7A1E"/>
    <w:rsid w:val="0FE17504"/>
    <w:rsid w:val="0FE268D2"/>
    <w:rsid w:val="0FE45294"/>
    <w:rsid w:val="0FE73EE9"/>
    <w:rsid w:val="0FED7751"/>
    <w:rsid w:val="0FF11E33"/>
    <w:rsid w:val="0FF860F6"/>
    <w:rsid w:val="0FF87EA4"/>
    <w:rsid w:val="0FFB691A"/>
    <w:rsid w:val="0FFC3E38"/>
    <w:rsid w:val="0FFD54BA"/>
    <w:rsid w:val="10014E4B"/>
    <w:rsid w:val="10014FAA"/>
    <w:rsid w:val="100625C1"/>
    <w:rsid w:val="1008458B"/>
    <w:rsid w:val="10090303"/>
    <w:rsid w:val="10093E5F"/>
    <w:rsid w:val="100A27E6"/>
    <w:rsid w:val="100D00F9"/>
    <w:rsid w:val="100D1FF0"/>
    <w:rsid w:val="100E2CD2"/>
    <w:rsid w:val="100E5925"/>
    <w:rsid w:val="100E76C7"/>
    <w:rsid w:val="1010343F"/>
    <w:rsid w:val="101738D4"/>
    <w:rsid w:val="101A606C"/>
    <w:rsid w:val="101C52D6"/>
    <w:rsid w:val="101F3C57"/>
    <w:rsid w:val="102173FB"/>
    <w:rsid w:val="10264A11"/>
    <w:rsid w:val="1032785A"/>
    <w:rsid w:val="1033098C"/>
    <w:rsid w:val="10354C54"/>
    <w:rsid w:val="10376C1E"/>
    <w:rsid w:val="10397061"/>
    <w:rsid w:val="103F5AD3"/>
    <w:rsid w:val="1045133B"/>
    <w:rsid w:val="104658C7"/>
    <w:rsid w:val="10472205"/>
    <w:rsid w:val="104B00A3"/>
    <w:rsid w:val="104D01F0"/>
    <w:rsid w:val="104F21BA"/>
    <w:rsid w:val="10504CDA"/>
    <w:rsid w:val="10517053"/>
    <w:rsid w:val="105570A4"/>
    <w:rsid w:val="10572E1C"/>
    <w:rsid w:val="105861B6"/>
    <w:rsid w:val="1059036C"/>
    <w:rsid w:val="10606175"/>
    <w:rsid w:val="10612472"/>
    <w:rsid w:val="10614099"/>
    <w:rsid w:val="10637A13"/>
    <w:rsid w:val="106519DD"/>
    <w:rsid w:val="1066264C"/>
    <w:rsid w:val="10691098"/>
    <w:rsid w:val="106B68C8"/>
    <w:rsid w:val="106C2D6C"/>
    <w:rsid w:val="106C2DCB"/>
    <w:rsid w:val="106D2F64"/>
    <w:rsid w:val="10703EDE"/>
    <w:rsid w:val="107240FA"/>
    <w:rsid w:val="10744662"/>
    <w:rsid w:val="10797237"/>
    <w:rsid w:val="107E2A9F"/>
    <w:rsid w:val="1081433D"/>
    <w:rsid w:val="1082430A"/>
    <w:rsid w:val="1088747A"/>
    <w:rsid w:val="108B0D18"/>
    <w:rsid w:val="108C13B3"/>
    <w:rsid w:val="108C397E"/>
    <w:rsid w:val="10914580"/>
    <w:rsid w:val="10944070"/>
    <w:rsid w:val="109B71AD"/>
    <w:rsid w:val="109D7330"/>
    <w:rsid w:val="10AA5318"/>
    <w:rsid w:val="10AB4366"/>
    <w:rsid w:val="10AF34A1"/>
    <w:rsid w:val="10B169D0"/>
    <w:rsid w:val="10B3176F"/>
    <w:rsid w:val="10B5272F"/>
    <w:rsid w:val="10B63710"/>
    <w:rsid w:val="10B63FE7"/>
    <w:rsid w:val="10C1473A"/>
    <w:rsid w:val="10C5422A"/>
    <w:rsid w:val="10CA1840"/>
    <w:rsid w:val="10CB7366"/>
    <w:rsid w:val="10D31D8B"/>
    <w:rsid w:val="10D53900"/>
    <w:rsid w:val="10D800F0"/>
    <w:rsid w:val="10DE64AA"/>
    <w:rsid w:val="10E072B6"/>
    <w:rsid w:val="10E20F9C"/>
    <w:rsid w:val="10EA1EE2"/>
    <w:rsid w:val="10EF7742"/>
    <w:rsid w:val="10F10820"/>
    <w:rsid w:val="10F81265"/>
    <w:rsid w:val="10FD6327"/>
    <w:rsid w:val="11020FDA"/>
    <w:rsid w:val="11087A90"/>
    <w:rsid w:val="110C7693"/>
    <w:rsid w:val="110E5BD1"/>
    <w:rsid w:val="11127DA1"/>
    <w:rsid w:val="111B209C"/>
    <w:rsid w:val="111C2F7A"/>
    <w:rsid w:val="111D4066"/>
    <w:rsid w:val="11254CC9"/>
    <w:rsid w:val="11324C53"/>
    <w:rsid w:val="113329E6"/>
    <w:rsid w:val="113E3FDC"/>
    <w:rsid w:val="113E5D8A"/>
    <w:rsid w:val="11431CB7"/>
    <w:rsid w:val="11457119"/>
    <w:rsid w:val="114710E3"/>
    <w:rsid w:val="11472E91"/>
    <w:rsid w:val="114E267E"/>
    <w:rsid w:val="11585C54"/>
    <w:rsid w:val="115A0E16"/>
    <w:rsid w:val="115F467E"/>
    <w:rsid w:val="116021A5"/>
    <w:rsid w:val="11621A79"/>
    <w:rsid w:val="11627900"/>
    <w:rsid w:val="11665CA1"/>
    <w:rsid w:val="116B48D8"/>
    <w:rsid w:val="116C28F7"/>
    <w:rsid w:val="116E2B13"/>
    <w:rsid w:val="116F149C"/>
    <w:rsid w:val="116F3259"/>
    <w:rsid w:val="116F4196"/>
    <w:rsid w:val="117143B2"/>
    <w:rsid w:val="11716160"/>
    <w:rsid w:val="11717F0E"/>
    <w:rsid w:val="1173012A"/>
    <w:rsid w:val="117942ED"/>
    <w:rsid w:val="117A3266"/>
    <w:rsid w:val="117F6085"/>
    <w:rsid w:val="118659F4"/>
    <w:rsid w:val="118E7D0F"/>
    <w:rsid w:val="118F54A5"/>
    <w:rsid w:val="11922623"/>
    <w:rsid w:val="119360D6"/>
    <w:rsid w:val="11965BC6"/>
    <w:rsid w:val="119B1BAC"/>
    <w:rsid w:val="119C142F"/>
    <w:rsid w:val="11A025A1"/>
    <w:rsid w:val="11B247F8"/>
    <w:rsid w:val="11B322D4"/>
    <w:rsid w:val="11B524F0"/>
    <w:rsid w:val="11B83D8F"/>
    <w:rsid w:val="11BD13A5"/>
    <w:rsid w:val="11BE23F6"/>
    <w:rsid w:val="11C06EBF"/>
    <w:rsid w:val="11C74DC5"/>
    <w:rsid w:val="11C75D80"/>
    <w:rsid w:val="11CD4A67"/>
    <w:rsid w:val="11CF71F2"/>
    <w:rsid w:val="11D72467"/>
    <w:rsid w:val="11D81D3B"/>
    <w:rsid w:val="11DF134A"/>
    <w:rsid w:val="11E06347"/>
    <w:rsid w:val="11F03528"/>
    <w:rsid w:val="11F14C9B"/>
    <w:rsid w:val="11F25BCF"/>
    <w:rsid w:val="11F80E06"/>
    <w:rsid w:val="11FA6155"/>
    <w:rsid w:val="11FB708E"/>
    <w:rsid w:val="11FF19BD"/>
    <w:rsid w:val="12046FD4"/>
    <w:rsid w:val="12072620"/>
    <w:rsid w:val="1209283C"/>
    <w:rsid w:val="12117DB8"/>
    <w:rsid w:val="12176D07"/>
    <w:rsid w:val="121865DB"/>
    <w:rsid w:val="121A05A5"/>
    <w:rsid w:val="121D3BF2"/>
    <w:rsid w:val="121D5F88"/>
    <w:rsid w:val="121E62E8"/>
    <w:rsid w:val="122356AC"/>
    <w:rsid w:val="1226519C"/>
    <w:rsid w:val="12293D7F"/>
    <w:rsid w:val="1235718D"/>
    <w:rsid w:val="12371157"/>
    <w:rsid w:val="12380A2C"/>
    <w:rsid w:val="12385D22"/>
    <w:rsid w:val="123A6C55"/>
    <w:rsid w:val="12413D84"/>
    <w:rsid w:val="124557B4"/>
    <w:rsid w:val="12466189"/>
    <w:rsid w:val="12492C39"/>
    <w:rsid w:val="124D097B"/>
    <w:rsid w:val="124E024F"/>
    <w:rsid w:val="124F46F3"/>
    <w:rsid w:val="124F777A"/>
    <w:rsid w:val="12535865"/>
    <w:rsid w:val="1254115C"/>
    <w:rsid w:val="125A33FD"/>
    <w:rsid w:val="125A4E46"/>
    <w:rsid w:val="125C471A"/>
    <w:rsid w:val="125C6E10"/>
    <w:rsid w:val="125E028E"/>
    <w:rsid w:val="126364B9"/>
    <w:rsid w:val="126857B5"/>
    <w:rsid w:val="126B7053"/>
    <w:rsid w:val="126D4B79"/>
    <w:rsid w:val="12747CB6"/>
    <w:rsid w:val="127A5249"/>
    <w:rsid w:val="127C4DBC"/>
    <w:rsid w:val="127E6D86"/>
    <w:rsid w:val="12834530"/>
    <w:rsid w:val="12850115"/>
    <w:rsid w:val="128B14A3"/>
    <w:rsid w:val="128C1F69"/>
    <w:rsid w:val="128D3C2B"/>
    <w:rsid w:val="12924C25"/>
    <w:rsid w:val="12993BC0"/>
    <w:rsid w:val="129C545E"/>
    <w:rsid w:val="129E2F84"/>
    <w:rsid w:val="12A12A75"/>
    <w:rsid w:val="12A34203"/>
    <w:rsid w:val="12A61E39"/>
    <w:rsid w:val="12A762DD"/>
    <w:rsid w:val="12AD1419"/>
    <w:rsid w:val="12B536A6"/>
    <w:rsid w:val="12BA7692"/>
    <w:rsid w:val="12BB3B36"/>
    <w:rsid w:val="12BE7183"/>
    <w:rsid w:val="12C0739F"/>
    <w:rsid w:val="12C16C73"/>
    <w:rsid w:val="12C233B6"/>
    <w:rsid w:val="12C34F1B"/>
    <w:rsid w:val="12C549B5"/>
    <w:rsid w:val="12C821CE"/>
    <w:rsid w:val="12C879E9"/>
    <w:rsid w:val="12CF6473"/>
    <w:rsid w:val="12D22C2E"/>
    <w:rsid w:val="12D70244"/>
    <w:rsid w:val="12D746E8"/>
    <w:rsid w:val="12D76496"/>
    <w:rsid w:val="12D90460"/>
    <w:rsid w:val="12E12E71"/>
    <w:rsid w:val="12E52485"/>
    <w:rsid w:val="12E52961"/>
    <w:rsid w:val="12E91445"/>
    <w:rsid w:val="12EE26FA"/>
    <w:rsid w:val="12EF3A78"/>
    <w:rsid w:val="12F17558"/>
    <w:rsid w:val="12F5226D"/>
    <w:rsid w:val="12FB2C35"/>
    <w:rsid w:val="12FC5EFD"/>
    <w:rsid w:val="12FD2775"/>
    <w:rsid w:val="13031039"/>
    <w:rsid w:val="13054DB2"/>
    <w:rsid w:val="130848A2"/>
    <w:rsid w:val="13086EE3"/>
    <w:rsid w:val="130A686C"/>
    <w:rsid w:val="130D010A"/>
    <w:rsid w:val="130D399B"/>
    <w:rsid w:val="130E1915"/>
    <w:rsid w:val="1310745F"/>
    <w:rsid w:val="13113756"/>
    <w:rsid w:val="131415CC"/>
    <w:rsid w:val="131533A4"/>
    <w:rsid w:val="1315611C"/>
    <w:rsid w:val="131E40C5"/>
    <w:rsid w:val="13225964"/>
    <w:rsid w:val="132451F8"/>
    <w:rsid w:val="132711CC"/>
    <w:rsid w:val="13274D28"/>
    <w:rsid w:val="13313DF9"/>
    <w:rsid w:val="1336140F"/>
    <w:rsid w:val="133A279F"/>
    <w:rsid w:val="133B07BF"/>
    <w:rsid w:val="133D454B"/>
    <w:rsid w:val="1340228E"/>
    <w:rsid w:val="134358DA"/>
    <w:rsid w:val="134C0C32"/>
    <w:rsid w:val="134E71F6"/>
    <w:rsid w:val="13510A26"/>
    <w:rsid w:val="13511DA5"/>
    <w:rsid w:val="13533D6F"/>
    <w:rsid w:val="13573133"/>
    <w:rsid w:val="1358291F"/>
    <w:rsid w:val="135A018E"/>
    <w:rsid w:val="135D699C"/>
    <w:rsid w:val="13622204"/>
    <w:rsid w:val="136C3083"/>
    <w:rsid w:val="136F66CF"/>
    <w:rsid w:val="136F70B6"/>
    <w:rsid w:val="13733397"/>
    <w:rsid w:val="13781A27"/>
    <w:rsid w:val="137B5074"/>
    <w:rsid w:val="13806169"/>
    <w:rsid w:val="138409BA"/>
    <w:rsid w:val="13860BE4"/>
    <w:rsid w:val="13871C6A"/>
    <w:rsid w:val="13873AD6"/>
    <w:rsid w:val="138C7281"/>
    <w:rsid w:val="13912BD6"/>
    <w:rsid w:val="13951726"/>
    <w:rsid w:val="13971717"/>
    <w:rsid w:val="13993C1F"/>
    <w:rsid w:val="139A49AC"/>
    <w:rsid w:val="139C3EBC"/>
    <w:rsid w:val="139D4FEA"/>
    <w:rsid w:val="13A46379"/>
    <w:rsid w:val="13A80250"/>
    <w:rsid w:val="13A97E33"/>
    <w:rsid w:val="13AA218F"/>
    <w:rsid w:val="13B378BE"/>
    <w:rsid w:val="13BF1404"/>
    <w:rsid w:val="13BF7656"/>
    <w:rsid w:val="13C0517C"/>
    <w:rsid w:val="13C50E9D"/>
    <w:rsid w:val="13C819BA"/>
    <w:rsid w:val="13C81B60"/>
    <w:rsid w:val="13D34EB0"/>
    <w:rsid w:val="13D43B95"/>
    <w:rsid w:val="13D474BC"/>
    <w:rsid w:val="13D529D6"/>
    <w:rsid w:val="13D604FC"/>
    <w:rsid w:val="13D824C6"/>
    <w:rsid w:val="13DA7FEC"/>
    <w:rsid w:val="13E12516"/>
    <w:rsid w:val="13E46BF1"/>
    <w:rsid w:val="13E55FE2"/>
    <w:rsid w:val="13E72483"/>
    <w:rsid w:val="13F173F5"/>
    <w:rsid w:val="13F310AE"/>
    <w:rsid w:val="13F470C5"/>
    <w:rsid w:val="13FD4BF4"/>
    <w:rsid w:val="14024FFB"/>
    <w:rsid w:val="14092FD9"/>
    <w:rsid w:val="140D6614"/>
    <w:rsid w:val="140E7C96"/>
    <w:rsid w:val="140F7FC9"/>
    <w:rsid w:val="14103A0E"/>
    <w:rsid w:val="14116341"/>
    <w:rsid w:val="14180B15"/>
    <w:rsid w:val="14186D67"/>
    <w:rsid w:val="141A7A5D"/>
    <w:rsid w:val="141F00F5"/>
    <w:rsid w:val="141F1EA3"/>
    <w:rsid w:val="141F4D55"/>
    <w:rsid w:val="14237BE5"/>
    <w:rsid w:val="14250ACA"/>
    <w:rsid w:val="1426133C"/>
    <w:rsid w:val="142676D5"/>
    <w:rsid w:val="14276FAA"/>
    <w:rsid w:val="142B46CE"/>
    <w:rsid w:val="14301CC2"/>
    <w:rsid w:val="14304CEF"/>
    <w:rsid w:val="14333BA0"/>
    <w:rsid w:val="14360C79"/>
    <w:rsid w:val="14396509"/>
    <w:rsid w:val="144022CB"/>
    <w:rsid w:val="1444190A"/>
    <w:rsid w:val="144968D3"/>
    <w:rsid w:val="144E4536"/>
    <w:rsid w:val="145558C5"/>
    <w:rsid w:val="1457788F"/>
    <w:rsid w:val="145B75D5"/>
    <w:rsid w:val="145C15D5"/>
    <w:rsid w:val="145C4EA5"/>
    <w:rsid w:val="145E6E6F"/>
    <w:rsid w:val="1460476C"/>
    <w:rsid w:val="14677252"/>
    <w:rsid w:val="146B0581"/>
    <w:rsid w:val="146D2C0E"/>
    <w:rsid w:val="14720225"/>
    <w:rsid w:val="14726477"/>
    <w:rsid w:val="147321EF"/>
    <w:rsid w:val="14733F9D"/>
    <w:rsid w:val="147C72F5"/>
    <w:rsid w:val="14831521"/>
    <w:rsid w:val="14847F58"/>
    <w:rsid w:val="148E0471"/>
    <w:rsid w:val="14900A80"/>
    <w:rsid w:val="14946EB4"/>
    <w:rsid w:val="14956609"/>
    <w:rsid w:val="14997EA7"/>
    <w:rsid w:val="149D03C8"/>
    <w:rsid w:val="149D6D0B"/>
    <w:rsid w:val="14A10B0A"/>
    <w:rsid w:val="14A635D8"/>
    <w:rsid w:val="14AB1989"/>
    <w:rsid w:val="14B720DC"/>
    <w:rsid w:val="14BA1BCC"/>
    <w:rsid w:val="14BB6070"/>
    <w:rsid w:val="14C173FE"/>
    <w:rsid w:val="14C34F24"/>
    <w:rsid w:val="14C50C9C"/>
    <w:rsid w:val="14CC63C7"/>
    <w:rsid w:val="14CF5677"/>
    <w:rsid w:val="14D02DA7"/>
    <w:rsid w:val="14D47131"/>
    <w:rsid w:val="14D738D5"/>
    <w:rsid w:val="14D93E23"/>
    <w:rsid w:val="14DD2C3C"/>
    <w:rsid w:val="14DE5E10"/>
    <w:rsid w:val="14E135FC"/>
    <w:rsid w:val="14E629C1"/>
    <w:rsid w:val="14E760CC"/>
    <w:rsid w:val="14EA425F"/>
    <w:rsid w:val="14EC07A3"/>
    <w:rsid w:val="14ED01F3"/>
    <w:rsid w:val="14EF1875"/>
    <w:rsid w:val="14EF73D4"/>
    <w:rsid w:val="14F74BCE"/>
    <w:rsid w:val="14FA3135"/>
    <w:rsid w:val="14FF01CE"/>
    <w:rsid w:val="15007957"/>
    <w:rsid w:val="15010E85"/>
    <w:rsid w:val="150177FB"/>
    <w:rsid w:val="15111808"/>
    <w:rsid w:val="15170DCC"/>
    <w:rsid w:val="151D2886"/>
    <w:rsid w:val="151F6D3E"/>
    <w:rsid w:val="15204125"/>
    <w:rsid w:val="15211C4B"/>
    <w:rsid w:val="15222C82"/>
    <w:rsid w:val="15227E9D"/>
    <w:rsid w:val="152717B5"/>
    <w:rsid w:val="1528002E"/>
    <w:rsid w:val="152A0AFF"/>
    <w:rsid w:val="152D239E"/>
    <w:rsid w:val="15396F94"/>
    <w:rsid w:val="153E27FD"/>
    <w:rsid w:val="154371B0"/>
    <w:rsid w:val="15477903"/>
    <w:rsid w:val="154D0C92"/>
    <w:rsid w:val="154D47EE"/>
    <w:rsid w:val="154F67B8"/>
    <w:rsid w:val="15593193"/>
    <w:rsid w:val="15597637"/>
    <w:rsid w:val="155B3E8A"/>
    <w:rsid w:val="155B515D"/>
    <w:rsid w:val="15632701"/>
    <w:rsid w:val="15634011"/>
    <w:rsid w:val="15642450"/>
    <w:rsid w:val="15671D54"/>
    <w:rsid w:val="1568589C"/>
    <w:rsid w:val="15694ADD"/>
    <w:rsid w:val="15700884"/>
    <w:rsid w:val="15714980"/>
    <w:rsid w:val="15724254"/>
    <w:rsid w:val="15747FCD"/>
    <w:rsid w:val="157E709D"/>
    <w:rsid w:val="157F52EF"/>
    <w:rsid w:val="158741A4"/>
    <w:rsid w:val="15897F1C"/>
    <w:rsid w:val="158A561F"/>
    <w:rsid w:val="158A77F0"/>
    <w:rsid w:val="158F4E06"/>
    <w:rsid w:val="15910B7E"/>
    <w:rsid w:val="15916DD0"/>
    <w:rsid w:val="1594241D"/>
    <w:rsid w:val="15997A33"/>
    <w:rsid w:val="159B48F0"/>
    <w:rsid w:val="159B6B09"/>
    <w:rsid w:val="159B7C4F"/>
    <w:rsid w:val="15A02C8F"/>
    <w:rsid w:val="15A0686E"/>
    <w:rsid w:val="15A103EF"/>
    <w:rsid w:val="15A72150"/>
    <w:rsid w:val="15A85BD2"/>
    <w:rsid w:val="15AB60E4"/>
    <w:rsid w:val="15AC59B8"/>
    <w:rsid w:val="15B12FCF"/>
    <w:rsid w:val="15B50D11"/>
    <w:rsid w:val="15BB1462"/>
    <w:rsid w:val="15C14C59"/>
    <w:rsid w:val="15CC3EEF"/>
    <w:rsid w:val="15CC7E09"/>
    <w:rsid w:val="15D210DB"/>
    <w:rsid w:val="15DA0777"/>
    <w:rsid w:val="15DB629E"/>
    <w:rsid w:val="15DD2016"/>
    <w:rsid w:val="15E60FBE"/>
    <w:rsid w:val="15E92769"/>
    <w:rsid w:val="15F1786F"/>
    <w:rsid w:val="15F35395"/>
    <w:rsid w:val="15FD7E1C"/>
    <w:rsid w:val="1602382A"/>
    <w:rsid w:val="16087E1D"/>
    <w:rsid w:val="160B7FC6"/>
    <w:rsid w:val="160C46A9"/>
    <w:rsid w:val="16113A6D"/>
    <w:rsid w:val="161A7FA4"/>
    <w:rsid w:val="16227A29"/>
    <w:rsid w:val="16257519"/>
    <w:rsid w:val="162714E3"/>
    <w:rsid w:val="162A1B90"/>
    <w:rsid w:val="162B2D81"/>
    <w:rsid w:val="162C08A7"/>
    <w:rsid w:val="16300397"/>
    <w:rsid w:val="16351E52"/>
    <w:rsid w:val="16354A69"/>
    <w:rsid w:val="163868AA"/>
    <w:rsid w:val="163D191F"/>
    <w:rsid w:val="163D6F8E"/>
    <w:rsid w:val="164107BD"/>
    <w:rsid w:val="164756E1"/>
    <w:rsid w:val="16494DE5"/>
    <w:rsid w:val="16526560"/>
    <w:rsid w:val="16556050"/>
    <w:rsid w:val="165C0979"/>
    <w:rsid w:val="165F2A2B"/>
    <w:rsid w:val="1660120F"/>
    <w:rsid w:val="16660FCB"/>
    <w:rsid w:val="166718DF"/>
    <w:rsid w:val="166C5E2D"/>
    <w:rsid w:val="166D46BD"/>
    <w:rsid w:val="16780573"/>
    <w:rsid w:val="16797F90"/>
    <w:rsid w:val="167C538B"/>
    <w:rsid w:val="167F4E7B"/>
    <w:rsid w:val="16805824"/>
    <w:rsid w:val="16840CA4"/>
    <w:rsid w:val="1686445B"/>
    <w:rsid w:val="168662A0"/>
    <w:rsid w:val="168801D3"/>
    <w:rsid w:val="168E1562"/>
    <w:rsid w:val="1695469E"/>
    <w:rsid w:val="169F72CB"/>
    <w:rsid w:val="16A411B1"/>
    <w:rsid w:val="16A448E1"/>
    <w:rsid w:val="16A44AC9"/>
    <w:rsid w:val="16A843D2"/>
    <w:rsid w:val="16AE4F75"/>
    <w:rsid w:val="16B31A52"/>
    <w:rsid w:val="16B72867"/>
    <w:rsid w:val="16BA7E17"/>
    <w:rsid w:val="16CB00C0"/>
    <w:rsid w:val="16CB4564"/>
    <w:rsid w:val="16CC5760"/>
    <w:rsid w:val="16CE195E"/>
    <w:rsid w:val="16D056D6"/>
    <w:rsid w:val="16D276A1"/>
    <w:rsid w:val="16D36F75"/>
    <w:rsid w:val="16D76A65"/>
    <w:rsid w:val="16D93822"/>
    <w:rsid w:val="16DF6DDB"/>
    <w:rsid w:val="16E03C65"/>
    <w:rsid w:val="16E15B36"/>
    <w:rsid w:val="16E276A1"/>
    <w:rsid w:val="16E6314C"/>
    <w:rsid w:val="16EB0762"/>
    <w:rsid w:val="16EF3DAF"/>
    <w:rsid w:val="16FD4C6C"/>
    <w:rsid w:val="17001571"/>
    <w:rsid w:val="1700420E"/>
    <w:rsid w:val="170535D2"/>
    <w:rsid w:val="17057DAB"/>
    <w:rsid w:val="170A6E3A"/>
    <w:rsid w:val="170B68AC"/>
    <w:rsid w:val="17103D25"/>
    <w:rsid w:val="17141A67"/>
    <w:rsid w:val="171750B3"/>
    <w:rsid w:val="171C091C"/>
    <w:rsid w:val="17233A58"/>
    <w:rsid w:val="17242614"/>
    <w:rsid w:val="1726179A"/>
    <w:rsid w:val="172906F4"/>
    <w:rsid w:val="172C2535"/>
    <w:rsid w:val="172C5003"/>
    <w:rsid w:val="17375756"/>
    <w:rsid w:val="17377504"/>
    <w:rsid w:val="173B3498"/>
    <w:rsid w:val="173C0FBE"/>
    <w:rsid w:val="1743234C"/>
    <w:rsid w:val="1746570F"/>
    <w:rsid w:val="174D1675"/>
    <w:rsid w:val="1752258F"/>
    <w:rsid w:val="1752433D"/>
    <w:rsid w:val="17555BDC"/>
    <w:rsid w:val="175C6F6A"/>
    <w:rsid w:val="175F378B"/>
    <w:rsid w:val="1762668F"/>
    <w:rsid w:val="1763654B"/>
    <w:rsid w:val="1769050D"/>
    <w:rsid w:val="176A5B87"/>
    <w:rsid w:val="17701D14"/>
    <w:rsid w:val="17732C32"/>
    <w:rsid w:val="17735226"/>
    <w:rsid w:val="17773DA4"/>
    <w:rsid w:val="17793FC0"/>
    <w:rsid w:val="177E3384"/>
    <w:rsid w:val="17847DD7"/>
    <w:rsid w:val="17874176"/>
    <w:rsid w:val="178A1D29"/>
    <w:rsid w:val="178D3CCD"/>
    <w:rsid w:val="17982698"/>
    <w:rsid w:val="17985C71"/>
    <w:rsid w:val="17A315CA"/>
    <w:rsid w:val="17AD77C6"/>
    <w:rsid w:val="17AE0C93"/>
    <w:rsid w:val="17AE3C6A"/>
    <w:rsid w:val="17B13EC5"/>
    <w:rsid w:val="17B42A76"/>
    <w:rsid w:val="17B44FF8"/>
    <w:rsid w:val="17B46DA6"/>
    <w:rsid w:val="17B57F74"/>
    <w:rsid w:val="17BD5C5B"/>
    <w:rsid w:val="17C27519"/>
    <w:rsid w:val="17CC40F0"/>
    <w:rsid w:val="17CE6D57"/>
    <w:rsid w:val="17CF3BE0"/>
    <w:rsid w:val="17D47448"/>
    <w:rsid w:val="17D56400"/>
    <w:rsid w:val="17D905BB"/>
    <w:rsid w:val="17E23913"/>
    <w:rsid w:val="17E256C1"/>
    <w:rsid w:val="17E51656"/>
    <w:rsid w:val="17E70F2A"/>
    <w:rsid w:val="17E92EF4"/>
    <w:rsid w:val="17E94C0C"/>
    <w:rsid w:val="17EB732D"/>
    <w:rsid w:val="17EE3C39"/>
    <w:rsid w:val="17F23244"/>
    <w:rsid w:val="17F4515B"/>
    <w:rsid w:val="17F84EE5"/>
    <w:rsid w:val="17FC76E8"/>
    <w:rsid w:val="18023FB5"/>
    <w:rsid w:val="18041ADC"/>
    <w:rsid w:val="1804388A"/>
    <w:rsid w:val="18055854"/>
    <w:rsid w:val="180A27D7"/>
    <w:rsid w:val="180B0DAD"/>
    <w:rsid w:val="180D57B8"/>
    <w:rsid w:val="180D6418"/>
    <w:rsid w:val="181066D2"/>
    <w:rsid w:val="1816180F"/>
    <w:rsid w:val="181D45B4"/>
    <w:rsid w:val="181D494B"/>
    <w:rsid w:val="181E2472"/>
    <w:rsid w:val="1821268E"/>
    <w:rsid w:val="182820A7"/>
    <w:rsid w:val="182932F0"/>
    <w:rsid w:val="182A0E16"/>
    <w:rsid w:val="182F467F"/>
    <w:rsid w:val="18304142"/>
    <w:rsid w:val="18322780"/>
    <w:rsid w:val="183524E8"/>
    <w:rsid w:val="18356139"/>
    <w:rsid w:val="18365A0D"/>
    <w:rsid w:val="18453242"/>
    <w:rsid w:val="184E71FB"/>
    <w:rsid w:val="18504E1A"/>
    <w:rsid w:val="185365BF"/>
    <w:rsid w:val="18553D10"/>
    <w:rsid w:val="18583BD5"/>
    <w:rsid w:val="185C3745"/>
    <w:rsid w:val="185D2B31"/>
    <w:rsid w:val="185F52BC"/>
    <w:rsid w:val="18610CDC"/>
    <w:rsid w:val="18626802"/>
    <w:rsid w:val="18704DF6"/>
    <w:rsid w:val="18786026"/>
    <w:rsid w:val="18814EDA"/>
    <w:rsid w:val="1883469D"/>
    <w:rsid w:val="18860E6A"/>
    <w:rsid w:val="188744BB"/>
    <w:rsid w:val="18891FE1"/>
    <w:rsid w:val="188B5D59"/>
    <w:rsid w:val="188D2C3E"/>
    <w:rsid w:val="189015C1"/>
    <w:rsid w:val="18924C93"/>
    <w:rsid w:val="18932590"/>
    <w:rsid w:val="18942F6A"/>
    <w:rsid w:val="189664AC"/>
    <w:rsid w:val="189C1D14"/>
    <w:rsid w:val="189D76DB"/>
    <w:rsid w:val="189F624C"/>
    <w:rsid w:val="18A230A3"/>
    <w:rsid w:val="18A62B93"/>
    <w:rsid w:val="18AB01A9"/>
    <w:rsid w:val="18AD3F21"/>
    <w:rsid w:val="18AE7C99"/>
    <w:rsid w:val="18AF5EEB"/>
    <w:rsid w:val="18B02996"/>
    <w:rsid w:val="18B03A11"/>
    <w:rsid w:val="18B352B0"/>
    <w:rsid w:val="18B54B84"/>
    <w:rsid w:val="18BB10BD"/>
    <w:rsid w:val="18BC536F"/>
    <w:rsid w:val="18C179CD"/>
    <w:rsid w:val="18C46A9F"/>
    <w:rsid w:val="18C64FE3"/>
    <w:rsid w:val="18C80D5B"/>
    <w:rsid w:val="18D25736"/>
    <w:rsid w:val="18D314AE"/>
    <w:rsid w:val="18D771F0"/>
    <w:rsid w:val="18D92F68"/>
    <w:rsid w:val="18DA0A8E"/>
    <w:rsid w:val="18DE5A14"/>
    <w:rsid w:val="18DF7BBC"/>
    <w:rsid w:val="18E15979"/>
    <w:rsid w:val="18E35B95"/>
    <w:rsid w:val="18E37943"/>
    <w:rsid w:val="18E84F59"/>
    <w:rsid w:val="18E92A80"/>
    <w:rsid w:val="18E9750E"/>
    <w:rsid w:val="18EA6F23"/>
    <w:rsid w:val="18EB4A4A"/>
    <w:rsid w:val="18FC0A05"/>
    <w:rsid w:val="18FE088E"/>
    <w:rsid w:val="19056FD2"/>
    <w:rsid w:val="191A0E8B"/>
    <w:rsid w:val="191E115D"/>
    <w:rsid w:val="19235F91"/>
    <w:rsid w:val="19241D0A"/>
    <w:rsid w:val="192A2FE0"/>
    <w:rsid w:val="192D0BBE"/>
    <w:rsid w:val="192D6E10"/>
    <w:rsid w:val="19383A4E"/>
    <w:rsid w:val="193A32DB"/>
    <w:rsid w:val="193B75B9"/>
    <w:rsid w:val="193B777F"/>
    <w:rsid w:val="193C7053"/>
    <w:rsid w:val="19406B43"/>
    <w:rsid w:val="19434886"/>
    <w:rsid w:val="194523AC"/>
    <w:rsid w:val="1945415A"/>
    <w:rsid w:val="19457793"/>
    <w:rsid w:val="19461C80"/>
    <w:rsid w:val="19573E8D"/>
    <w:rsid w:val="195B37A8"/>
    <w:rsid w:val="195C5DF6"/>
    <w:rsid w:val="195D40A7"/>
    <w:rsid w:val="195E16BF"/>
    <w:rsid w:val="195E346D"/>
    <w:rsid w:val="196533B7"/>
    <w:rsid w:val="19687E48"/>
    <w:rsid w:val="196A1E12"/>
    <w:rsid w:val="196F11D7"/>
    <w:rsid w:val="19742C91"/>
    <w:rsid w:val="197E141A"/>
    <w:rsid w:val="197E58BE"/>
    <w:rsid w:val="19866520"/>
    <w:rsid w:val="198C0AC2"/>
    <w:rsid w:val="198D0DE7"/>
    <w:rsid w:val="198F229E"/>
    <w:rsid w:val="198F3627"/>
    <w:rsid w:val="199364A5"/>
    <w:rsid w:val="19962C07"/>
    <w:rsid w:val="199724DC"/>
    <w:rsid w:val="199C4F76"/>
    <w:rsid w:val="19A22731"/>
    <w:rsid w:val="19AE61A3"/>
    <w:rsid w:val="19AF7825"/>
    <w:rsid w:val="19B11100"/>
    <w:rsid w:val="19B1549C"/>
    <w:rsid w:val="19B479F3"/>
    <w:rsid w:val="19BD0D56"/>
    <w:rsid w:val="19BF6247"/>
    <w:rsid w:val="19C17E9F"/>
    <w:rsid w:val="19C21C4E"/>
    <w:rsid w:val="19C332D1"/>
    <w:rsid w:val="19C71013"/>
    <w:rsid w:val="19CC03D7"/>
    <w:rsid w:val="19D41982"/>
    <w:rsid w:val="19DE635C"/>
    <w:rsid w:val="19DF6A36"/>
    <w:rsid w:val="19E37FA1"/>
    <w:rsid w:val="19E82D37"/>
    <w:rsid w:val="19E83D12"/>
    <w:rsid w:val="19EB739D"/>
    <w:rsid w:val="19EC0A79"/>
    <w:rsid w:val="19EE2A43"/>
    <w:rsid w:val="19F142E2"/>
    <w:rsid w:val="19F373BC"/>
    <w:rsid w:val="19F4792E"/>
    <w:rsid w:val="19FA13E8"/>
    <w:rsid w:val="19FF69FF"/>
    <w:rsid w:val="1A074196"/>
    <w:rsid w:val="1A156EE6"/>
    <w:rsid w:val="1A1855CB"/>
    <w:rsid w:val="1A1A3838"/>
    <w:rsid w:val="1A1C66C0"/>
    <w:rsid w:val="1A20103E"/>
    <w:rsid w:val="1A2C356C"/>
    <w:rsid w:val="1A3961D5"/>
    <w:rsid w:val="1A3A5770"/>
    <w:rsid w:val="1A3D3083"/>
    <w:rsid w:val="1A3F504D"/>
    <w:rsid w:val="1A42393B"/>
    <w:rsid w:val="1A430A57"/>
    <w:rsid w:val="1A46731D"/>
    <w:rsid w:val="1A497811"/>
    <w:rsid w:val="1A511840"/>
    <w:rsid w:val="1A512FD2"/>
    <w:rsid w:val="1A516B2E"/>
    <w:rsid w:val="1A522A45"/>
    <w:rsid w:val="1A530AF8"/>
    <w:rsid w:val="1A546500"/>
    <w:rsid w:val="1A5619B0"/>
    <w:rsid w:val="1A5A1E87"/>
    <w:rsid w:val="1A66082C"/>
    <w:rsid w:val="1A6B5E42"/>
    <w:rsid w:val="1A766595"/>
    <w:rsid w:val="1A845156"/>
    <w:rsid w:val="1A871E25"/>
    <w:rsid w:val="1A872550"/>
    <w:rsid w:val="1A873050"/>
    <w:rsid w:val="1A9011A1"/>
    <w:rsid w:val="1A972281"/>
    <w:rsid w:val="1A976C37"/>
    <w:rsid w:val="1A9F3D3E"/>
    <w:rsid w:val="1AA003AB"/>
    <w:rsid w:val="1AA04BCE"/>
    <w:rsid w:val="1AA2738A"/>
    <w:rsid w:val="1AA940B2"/>
    <w:rsid w:val="1AAB244B"/>
    <w:rsid w:val="1AAD45DE"/>
    <w:rsid w:val="1AAE5D2F"/>
    <w:rsid w:val="1AB570BD"/>
    <w:rsid w:val="1ABA46D4"/>
    <w:rsid w:val="1AC45552"/>
    <w:rsid w:val="1AC47300"/>
    <w:rsid w:val="1AC63078"/>
    <w:rsid w:val="1AC75ACD"/>
    <w:rsid w:val="1ACA19E1"/>
    <w:rsid w:val="1ACB068F"/>
    <w:rsid w:val="1ACF6C75"/>
    <w:rsid w:val="1AD25EC1"/>
    <w:rsid w:val="1AD82DAC"/>
    <w:rsid w:val="1ADA040E"/>
    <w:rsid w:val="1AE47A0B"/>
    <w:rsid w:val="1AE856E5"/>
    <w:rsid w:val="1AE966A8"/>
    <w:rsid w:val="1AEB4D0D"/>
    <w:rsid w:val="1AED2CFB"/>
    <w:rsid w:val="1AEF625F"/>
    <w:rsid w:val="1AF4654F"/>
    <w:rsid w:val="1AF731C9"/>
    <w:rsid w:val="1AF851FC"/>
    <w:rsid w:val="1AFA404E"/>
    <w:rsid w:val="1AFC6A9A"/>
    <w:rsid w:val="1AFE7E03"/>
    <w:rsid w:val="1B005442"/>
    <w:rsid w:val="1B0167A6"/>
    <w:rsid w:val="1B046F80"/>
    <w:rsid w:val="1B0A2E67"/>
    <w:rsid w:val="1B0B13D3"/>
    <w:rsid w:val="1B0B4F2F"/>
    <w:rsid w:val="1B114F30"/>
    <w:rsid w:val="1B1A1616"/>
    <w:rsid w:val="1B210BF7"/>
    <w:rsid w:val="1B261D69"/>
    <w:rsid w:val="1B27381F"/>
    <w:rsid w:val="1B2B4D71"/>
    <w:rsid w:val="1B2C7725"/>
    <w:rsid w:val="1B32070E"/>
    <w:rsid w:val="1B325F10"/>
    <w:rsid w:val="1B3267B5"/>
    <w:rsid w:val="1B356450"/>
    <w:rsid w:val="1B382B7B"/>
    <w:rsid w:val="1B3E70B3"/>
    <w:rsid w:val="1B400B95"/>
    <w:rsid w:val="1B40161D"/>
    <w:rsid w:val="1B441859"/>
    <w:rsid w:val="1B4D379A"/>
    <w:rsid w:val="1B4F12C0"/>
    <w:rsid w:val="1B501C70"/>
    <w:rsid w:val="1B520DB0"/>
    <w:rsid w:val="1B552F40"/>
    <w:rsid w:val="1B577516"/>
    <w:rsid w:val="1B582EC0"/>
    <w:rsid w:val="1B590390"/>
    <w:rsid w:val="1B5C578B"/>
    <w:rsid w:val="1B5E59A7"/>
    <w:rsid w:val="1B5F527B"/>
    <w:rsid w:val="1B5FB5E6"/>
    <w:rsid w:val="1B6606B1"/>
    <w:rsid w:val="1B675C26"/>
    <w:rsid w:val="1B7134A4"/>
    <w:rsid w:val="1B722B95"/>
    <w:rsid w:val="1B75684C"/>
    <w:rsid w:val="1B762976"/>
    <w:rsid w:val="1B762CF0"/>
    <w:rsid w:val="1B770817"/>
    <w:rsid w:val="1B7B0307"/>
    <w:rsid w:val="1B811695"/>
    <w:rsid w:val="1B862808"/>
    <w:rsid w:val="1B886580"/>
    <w:rsid w:val="1B886B5A"/>
    <w:rsid w:val="1B8A054A"/>
    <w:rsid w:val="1B8B42C2"/>
    <w:rsid w:val="1B8F790E"/>
    <w:rsid w:val="1B944F25"/>
    <w:rsid w:val="1B974A15"/>
    <w:rsid w:val="1B99078D"/>
    <w:rsid w:val="1B9C64CF"/>
    <w:rsid w:val="1B9F3943"/>
    <w:rsid w:val="1BA3785E"/>
    <w:rsid w:val="1BA87405"/>
    <w:rsid w:val="1BAA0BEC"/>
    <w:rsid w:val="1BAE3795"/>
    <w:rsid w:val="1BB32CA8"/>
    <w:rsid w:val="1BBB4BA7"/>
    <w:rsid w:val="1BC3580A"/>
    <w:rsid w:val="1BC53330"/>
    <w:rsid w:val="1BCA303C"/>
    <w:rsid w:val="1BD25A4D"/>
    <w:rsid w:val="1BD712B5"/>
    <w:rsid w:val="1BD73063"/>
    <w:rsid w:val="1BD81F4D"/>
    <w:rsid w:val="1BD94FE4"/>
    <w:rsid w:val="1BDC68CC"/>
    <w:rsid w:val="1BE0016A"/>
    <w:rsid w:val="1BE27DF1"/>
    <w:rsid w:val="1BE35EAC"/>
    <w:rsid w:val="1BEA41E8"/>
    <w:rsid w:val="1BF12377"/>
    <w:rsid w:val="1BF34341"/>
    <w:rsid w:val="1BF63E31"/>
    <w:rsid w:val="1C00080C"/>
    <w:rsid w:val="1C016204"/>
    <w:rsid w:val="1C0D4CD7"/>
    <w:rsid w:val="1C0F4EF3"/>
    <w:rsid w:val="1C21253E"/>
    <w:rsid w:val="1C250273"/>
    <w:rsid w:val="1C281B11"/>
    <w:rsid w:val="1C2B48E7"/>
    <w:rsid w:val="1C2D1C85"/>
    <w:rsid w:val="1C2E35CB"/>
    <w:rsid w:val="1C2F10F1"/>
    <w:rsid w:val="1C321457"/>
    <w:rsid w:val="1C334F74"/>
    <w:rsid w:val="1C3861F8"/>
    <w:rsid w:val="1C395ACC"/>
    <w:rsid w:val="1C3B643B"/>
    <w:rsid w:val="1C405298"/>
    <w:rsid w:val="1C444B9D"/>
    <w:rsid w:val="1C451422"/>
    <w:rsid w:val="1C4701E9"/>
    <w:rsid w:val="1C4729C9"/>
    <w:rsid w:val="1C4F52EF"/>
    <w:rsid w:val="1C5054AF"/>
    <w:rsid w:val="1C516852"/>
    <w:rsid w:val="1C5172BA"/>
    <w:rsid w:val="1C533032"/>
    <w:rsid w:val="1C542906"/>
    <w:rsid w:val="1C554711"/>
    <w:rsid w:val="1C5D0DEA"/>
    <w:rsid w:val="1C5D7A0C"/>
    <w:rsid w:val="1C5E7925"/>
    <w:rsid w:val="1C6012AB"/>
    <w:rsid w:val="1C662D65"/>
    <w:rsid w:val="1C672639"/>
    <w:rsid w:val="1C685EFD"/>
    <w:rsid w:val="1C69015F"/>
    <w:rsid w:val="1C6964E9"/>
    <w:rsid w:val="1C6A2129"/>
    <w:rsid w:val="1C6C40F3"/>
    <w:rsid w:val="1C735106"/>
    <w:rsid w:val="1C790312"/>
    <w:rsid w:val="1C7A6810"/>
    <w:rsid w:val="1C8256C5"/>
    <w:rsid w:val="1C837C6F"/>
    <w:rsid w:val="1C850D11"/>
    <w:rsid w:val="1C8901D0"/>
    <w:rsid w:val="1C955CCD"/>
    <w:rsid w:val="1C961170"/>
    <w:rsid w:val="1C984EE8"/>
    <w:rsid w:val="1C9A47BD"/>
    <w:rsid w:val="1C9B22E3"/>
    <w:rsid w:val="1C9F1DD3"/>
    <w:rsid w:val="1CA218C3"/>
    <w:rsid w:val="1CA32BBE"/>
    <w:rsid w:val="1CA4388D"/>
    <w:rsid w:val="1CA70C88"/>
    <w:rsid w:val="1CA7607E"/>
    <w:rsid w:val="1CAB7736"/>
    <w:rsid w:val="1CAC44F0"/>
    <w:rsid w:val="1CAD0994"/>
    <w:rsid w:val="1CAE5717"/>
    <w:rsid w:val="1CB11B06"/>
    <w:rsid w:val="1CB25FAA"/>
    <w:rsid w:val="1CB33AD0"/>
    <w:rsid w:val="1CB82E95"/>
    <w:rsid w:val="1CBB4733"/>
    <w:rsid w:val="1CBC7B94"/>
    <w:rsid w:val="1CBF4223"/>
    <w:rsid w:val="1CC00645"/>
    <w:rsid w:val="1CCB1CF9"/>
    <w:rsid w:val="1CCB706C"/>
    <w:rsid w:val="1CD33E71"/>
    <w:rsid w:val="1CD777BF"/>
    <w:rsid w:val="1CD852E5"/>
    <w:rsid w:val="1CDA105D"/>
    <w:rsid w:val="1CE41EDC"/>
    <w:rsid w:val="1CEB5018"/>
    <w:rsid w:val="1CEC0D90"/>
    <w:rsid w:val="1CEE244F"/>
    <w:rsid w:val="1CF739BD"/>
    <w:rsid w:val="1CFA34AD"/>
    <w:rsid w:val="1CFC26D4"/>
    <w:rsid w:val="1CFD070F"/>
    <w:rsid w:val="1CFE11EF"/>
    <w:rsid w:val="1D091942"/>
    <w:rsid w:val="1D0B55C8"/>
    <w:rsid w:val="1D127A6C"/>
    <w:rsid w:val="1D156539"/>
    <w:rsid w:val="1D1722B1"/>
    <w:rsid w:val="1D1D121E"/>
    <w:rsid w:val="1D2764FF"/>
    <w:rsid w:val="1D2C4D7A"/>
    <w:rsid w:val="1D2D3883"/>
    <w:rsid w:val="1D3764AF"/>
    <w:rsid w:val="1D3A1692"/>
    <w:rsid w:val="1D3A3FD8"/>
    <w:rsid w:val="1D3B6759"/>
    <w:rsid w:val="1D413C8B"/>
    <w:rsid w:val="1D4209B0"/>
    <w:rsid w:val="1D436C02"/>
    <w:rsid w:val="1D4961E3"/>
    <w:rsid w:val="1D497F91"/>
    <w:rsid w:val="1D4B3699"/>
    <w:rsid w:val="1D4D5CD3"/>
    <w:rsid w:val="1D4F36D7"/>
    <w:rsid w:val="1D5232E9"/>
    <w:rsid w:val="1D5726AE"/>
    <w:rsid w:val="1D596426"/>
    <w:rsid w:val="1D5F6196"/>
    <w:rsid w:val="1D6132A5"/>
    <w:rsid w:val="1D6D46FD"/>
    <w:rsid w:val="1D6E17A5"/>
    <w:rsid w:val="1D6F5C49"/>
    <w:rsid w:val="1D7019C1"/>
    <w:rsid w:val="1D731B1F"/>
    <w:rsid w:val="1D7A5F14"/>
    <w:rsid w:val="1D7C3EC2"/>
    <w:rsid w:val="1D7C4765"/>
    <w:rsid w:val="1D801E68"/>
    <w:rsid w:val="1D8334A3"/>
    <w:rsid w:val="1D882867"/>
    <w:rsid w:val="1D8A2A83"/>
    <w:rsid w:val="1D8A4831"/>
    <w:rsid w:val="1D8D4321"/>
    <w:rsid w:val="1D8D60CF"/>
    <w:rsid w:val="1D8E56D5"/>
    <w:rsid w:val="1D8F1DC9"/>
    <w:rsid w:val="1D8F1E47"/>
    <w:rsid w:val="1D921938"/>
    <w:rsid w:val="1D9303D6"/>
    <w:rsid w:val="1D9417B4"/>
    <w:rsid w:val="1D990F18"/>
    <w:rsid w:val="1D9B1BF6"/>
    <w:rsid w:val="1D9D2DB7"/>
    <w:rsid w:val="1D9E37F9"/>
    <w:rsid w:val="1DA11B7B"/>
    <w:rsid w:val="1DA17DCD"/>
    <w:rsid w:val="1DAA3646"/>
    <w:rsid w:val="1DAB6BCE"/>
    <w:rsid w:val="1DAD06A9"/>
    <w:rsid w:val="1DAE7EBF"/>
    <w:rsid w:val="1DB00010"/>
    <w:rsid w:val="1DB418AE"/>
    <w:rsid w:val="1DB96EC4"/>
    <w:rsid w:val="1DBA2C3C"/>
    <w:rsid w:val="1DBC650F"/>
    <w:rsid w:val="1DC046F7"/>
    <w:rsid w:val="1DC13FCB"/>
    <w:rsid w:val="1DC41F20"/>
    <w:rsid w:val="1DC615E1"/>
    <w:rsid w:val="1DCA21E4"/>
    <w:rsid w:val="1DCA3975"/>
    <w:rsid w:val="1DCB4E4A"/>
    <w:rsid w:val="1DCC309C"/>
    <w:rsid w:val="1DCD2B9D"/>
    <w:rsid w:val="1DD109F2"/>
    <w:rsid w:val="1DD12460"/>
    <w:rsid w:val="1DD261D8"/>
    <w:rsid w:val="1DD7559C"/>
    <w:rsid w:val="1DD91315"/>
    <w:rsid w:val="1DDA5067"/>
    <w:rsid w:val="1DDB508D"/>
    <w:rsid w:val="1DDC5CA2"/>
    <w:rsid w:val="1DE008F5"/>
    <w:rsid w:val="1DE101C9"/>
    <w:rsid w:val="1DE974C4"/>
    <w:rsid w:val="1DED413E"/>
    <w:rsid w:val="1DEE1205"/>
    <w:rsid w:val="1DEF2253"/>
    <w:rsid w:val="1DF05690"/>
    <w:rsid w:val="1DF42DFE"/>
    <w:rsid w:val="1DF83E91"/>
    <w:rsid w:val="1DFB128B"/>
    <w:rsid w:val="1E0563C6"/>
    <w:rsid w:val="1E075E82"/>
    <w:rsid w:val="1E081BFA"/>
    <w:rsid w:val="1E0A35A3"/>
    <w:rsid w:val="1E0D0FBE"/>
    <w:rsid w:val="1E1467F1"/>
    <w:rsid w:val="1E18008F"/>
    <w:rsid w:val="1E1A3944"/>
    <w:rsid w:val="1E1E31CB"/>
    <w:rsid w:val="1E205195"/>
    <w:rsid w:val="1E2D340E"/>
    <w:rsid w:val="1E2F362A"/>
    <w:rsid w:val="1E314019"/>
    <w:rsid w:val="1E392AA0"/>
    <w:rsid w:val="1E403142"/>
    <w:rsid w:val="1E454BFC"/>
    <w:rsid w:val="1E480248"/>
    <w:rsid w:val="1E484246"/>
    <w:rsid w:val="1E4C7426"/>
    <w:rsid w:val="1E4D0963"/>
    <w:rsid w:val="1E5A2B66"/>
    <w:rsid w:val="1E5D3CF4"/>
    <w:rsid w:val="1E65704C"/>
    <w:rsid w:val="1E6E5F01"/>
    <w:rsid w:val="1E6F0240"/>
    <w:rsid w:val="1E733517"/>
    <w:rsid w:val="1E7451F5"/>
    <w:rsid w:val="1E767E8B"/>
    <w:rsid w:val="1E7864E7"/>
    <w:rsid w:val="1E7A43DA"/>
    <w:rsid w:val="1E7D58F6"/>
    <w:rsid w:val="1E85324A"/>
    <w:rsid w:val="1E872E03"/>
    <w:rsid w:val="1E885444"/>
    <w:rsid w:val="1E893C5A"/>
    <w:rsid w:val="1E894AE9"/>
    <w:rsid w:val="1E8B1FEC"/>
    <w:rsid w:val="1E8E65A3"/>
    <w:rsid w:val="1E90231B"/>
    <w:rsid w:val="1E9673A1"/>
    <w:rsid w:val="1E9D2342"/>
    <w:rsid w:val="1EA77665"/>
    <w:rsid w:val="1EAF02C7"/>
    <w:rsid w:val="1EB4768C"/>
    <w:rsid w:val="1EB53B30"/>
    <w:rsid w:val="1EBA1146"/>
    <w:rsid w:val="1EC2624D"/>
    <w:rsid w:val="1EC3611C"/>
    <w:rsid w:val="1EC43D73"/>
    <w:rsid w:val="1ED035B1"/>
    <w:rsid w:val="1ED3045A"/>
    <w:rsid w:val="1EDC02C9"/>
    <w:rsid w:val="1EDF2F1D"/>
    <w:rsid w:val="1EE44415"/>
    <w:rsid w:val="1EE53CE9"/>
    <w:rsid w:val="1EE61F3B"/>
    <w:rsid w:val="1EEB1EAF"/>
    <w:rsid w:val="1EEE7042"/>
    <w:rsid w:val="1EF26B32"/>
    <w:rsid w:val="1EF5217E"/>
    <w:rsid w:val="1EF7D149"/>
    <w:rsid w:val="1EFD1033"/>
    <w:rsid w:val="1EFD7285"/>
    <w:rsid w:val="1EFF124F"/>
    <w:rsid w:val="1F06043E"/>
    <w:rsid w:val="1F071EB1"/>
    <w:rsid w:val="1F0B7BF4"/>
    <w:rsid w:val="1F0C571A"/>
    <w:rsid w:val="1F0C74C8"/>
    <w:rsid w:val="1F0E6A21"/>
    <w:rsid w:val="1F114636"/>
    <w:rsid w:val="1F1207DC"/>
    <w:rsid w:val="1F130856"/>
    <w:rsid w:val="1F135C75"/>
    <w:rsid w:val="1F152820"/>
    <w:rsid w:val="1F164BA3"/>
    <w:rsid w:val="1F1C3BAF"/>
    <w:rsid w:val="1F206259"/>
    <w:rsid w:val="1F240CB5"/>
    <w:rsid w:val="1F244CCA"/>
    <w:rsid w:val="1F29007A"/>
    <w:rsid w:val="1F291E28"/>
    <w:rsid w:val="1F2C36C6"/>
    <w:rsid w:val="1F2E743E"/>
    <w:rsid w:val="1F316F2E"/>
    <w:rsid w:val="1F3A0E20"/>
    <w:rsid w:val="1F446C62"/>
    <w:rsid w:val="1F486752"/>
    <w:rsid w:val="1F4B6242"/>
    <w:rsid w:val="1F4C5B16"/>
    <w:rsid w:val="1F4F67A9"/>
    <w:rsid w:val="1F523E88"/>
    <w:rsid w:val="1F5270A7"/>
    <w:rsid w:val="1F552B8D"/>
    <w:rsid w:val="1F574BE7"/>
    <w:rsid w:val="1F576995"/>
    <w:rsid w:val="1F5F1CED"/>
    <w:rsid w:val="1F5F3A9B"/>
    <w:rsid w:val="1F642E60"/>
    <w:rsid w:val="1F6B68E4"/>
    <w:rsid w:val="1F6E53CE"/>
    <w:rsid w:val="1F6F4B94"/>
    <w:rsid w:val="1F721A21"/>
    <w:rsid w:val="1F737B21"/>
    <w:rsid w:val="1F7A08D5"/>
    <w:rsid w:val="1F7A6B27"/>
    <w:rsid w:val="1F7C13B4"/>
    <w:rsid w:val="1F7C464D"/>
    <w:rsid w:val="1F811C64"/>
    <w:rsid w:val="1F833C2E"/>
    <w:rsid w:val="1F8B4890"/>
    <w:rsid w:val="1F8D0609"/>
    <w:rsid w:val="1F8F25D3"/>
    <w:rsid w:val="1F936D69"/>
    <w:rsid w:val="1F9574BD"/>
    <w:rsid w:val="1F964966"/>
    <w:rsid w:val="1F980D5B"/>
    <w:rsid w:val="1FA45952"/>
    <w:rsid w:val="1FA779B3"/>
    <w:rsid w:val="1FA866A2"/>
    <w:rsid w:val="1FA871F0"/>
    <w:rsid w:val="1FA94440"/>
    <w:rsid w:val="1FA94D17"/>
    <w:rsid w:val="1FAE057F"/>
    <w:rsid w:val="1FB042F7"/>
    <w:rsid w:val="1FB05C91"/>
    <w:rsid w:val="1FB75686"/>
    <w:rsid w:val="1FB81613"/>
    <w:rsid w:val="1FBA6F24"/>
    <w:rsid w:val="1FBC7140"/>
    <w:rsid w:val="1FC41B50"/>
    <w:rsid w:val="1FC61CE9"/>
    <w:rsid w:val="1FC63B1B"/>
    <w:rsid w:val="1FCA08AE"/>
    <w:rsid w:val="1FCC49BB"/>
    <w:rsid w:val="1FD06747"/>
    <w:rsid w:val="1FDB75C6"/>
    <w:rsid w:val="1FDE2C12"/>
    <w:rsid w:val="1FE02E2E"/>
    <w:rsid w:val="1FE3647B"/>
    <w:rsid w:val="1FE7539E"/>
    <w:rsid w:val="1FF00B97"/>
    <w:rsid w:val="1FF00E7A"/>
    <w:rsid w:val="1FF40EAB"/>
    <w:rsid w:val="1FF5646E"/>
    <w:rsid w:val="1FF73CD4"/>
    <w:rsid w:val="1FFB1A16"/>
    <w:rsid w:val="20036B1D"/>
    <w:rsid w:val="20120B0E"/>
    <w:rsid w:val="2016727A"/>
    <w:rsid w:val="2017398D"/>
    <w:rsid w:val="201B2DE9"/>
    <w:rsid w:val="201F70B5"/>
    <w:rsid w:val="202645B9"/>
    <w:rsid w:val="202A40A9"/>
    <w:rsid w:val="203053E4"/>
    <w:rsid w:val="2031368A"/>
    <w:rsid w:val="2039253E"/>
    <w:rsid w:val="203A3B29"/>
    <w:rsid w:val="203A4BB0"/>
    <w:rsid w:val="203B1E13"/>
    <w:rsid w:val="204241A2"/>
    <w:rsid w:val="204A02A8"/>
    <w:rsid w:val="204C2272"/>
    <w:rsid w:val="204F1D62"/>
    <w:rsid w:val="204F5CCA"/>
    <w:rsid w:val="205621F7"/>
    <w:rsid w:val="205E01F7"/>
    <w:rsid w:val="20647D92"/>
    <w:rsid w:val="20665C82"/>
    <w:rsid w:val="20671BE0"/>
    <w:rsid w:val="20684BD2"/>
    <w:rsid w:val="20713A86"/>
    <w:rsid w:val="207417C9"/>
    <w:rsid w:val="20783067"/>
    <w:rsid w:val="2079749D"/>
    <w:rsid w:val="207B4905"/>
    <w:rsid w:val="207D242B"/>
    <w:rsid w:val="207F2647"/>
    <w:rsid w:val="208C266E"/>
    <w:rsid w:val="208F215E"/>
    <w:rsid w:val="208F6602"/>
    <w:rsid w:val="20915724"/>
    <w:rsid w:val="209239FD"/>
    <w:rsid w:val="20963CB8"/>
    <w:rsid w:val="209854B7"/>
    <w:rsid w:val="2099122F"/>
    <w:rsid w:val="20A165BD"/>
    <w:rsid w:val="20A35C0A"/>
    <w:rsid w:val="20A774A8"/>
    <w:rsid w:val="20A81A1B"/>
    <w:rsid w:val="20A976C4"/>
    <w:rsid w:val="20AC0F62"/>
    <w:rsid w:val="20AF45AF"/>
    <w:rsid w:val="20B07FB6"/>
    <w:rsid w:val="20B646FB"/>
    <w:rsid w:val="20C305B3"/>
    <w:rsid w:val="20C544E9"/>
    <w:rsid w:val="20D07F44"/>
    <w:rsid w:val="20D12777"/>
    <w:rsid w:val="20D13BE3"/>
    <w:rsid w:val="20D1600F"/>
    <w:rsid w:val="20D364EF"/>
    <w:rsid w:val="20D47F9B"/>
    <w:rsid w:val="20D917FF"/>
    <w:rsid w:val="20DC4C64"/>
    <w:rsid w:val="20DD736E"/>
    <w:rsid w:val="20DF4E94"/>
    <w:rsid w:val="20E24817"/>
    <w:rsid w:val="20E26732"/>
    <w:rsid w:val="20E4165F"/>
    <w:rsid w:val="20EA1A41"/>
    <w:rsid w:val="20EA1F62"/>
    <w:rsid w:val="20EC75B1"/>
    <w:rsid w:val="20EE3329"/>
    <w:rsid w:val="20F052F3"/>
    <w:rsid w:val="20F46465"/>
    <w:rsid w:val="20FA7F20"/>
    <w:rsid w:val="20FC3C98"/>
    <w:rsid w:val="20FF72E4"/>
    <w:rsid w:val="21022930"/>
    <w:rsid w:val="210C1A01"/>
    <w:rsid w:val="210C37AF"/>
    <w:rsid w:val="21151023"/>
    <w:rsid w:val="21156B08"/>
    <w:rsid w:val="211D3C0E"/>
    <w:rsid w:val="21242DBE"/>
    <w:rsid w:val="21262AC3"/>
    <w:rsid w:val="212705E9"/>
    <w:rsid w:val="21293D11"/>
    <w:rsid w:val="212B7074"/>
    <w:rsid w:val="212E5E1B"/>
    <w:rsid w:val="212E7BC9"/>
    <w:rsid w:val="2130749E"/>
    <w:rsid w:val="21316D8A"/>
    <w:rsid w:val="21325AE9"/>
    <w:rsid w:val="213360C4"/>
    <w:rsid w:val="21375C9D"/>
    <w:rsid w:val="213B74B1"/>
    <w:rsid w:val="21426E78"/>
    <w:rsid w:val="2144119B"/>
    <w:rsid w:val="21472A39"/>
    <w:rsid w:val="21494BCF"/>
    <w:rsid w:val="214E3DC8"/>
    <w:rsid w:val="21562C7C"/>
    <w:rsid w:val="2158605B"/>
    <w:rsid w:val="215A2310"/>
    <w:rsid w:val="215C4736"/>
    <w:rsid w:val="215C64E4"/>
    <w:rsid w:val="21625939"/>
    <w:rsid w:val="216435EB"/>
    <w:rsid w:val="216703B6"/>
    <w:rsid w:val="216C0EF5"/>
    <w:rsid w:val="216C7BE6"/>
    <w:rsid w:val="216D06F2"/>
    <w:rsid w:val="217932BA"/>
    <w:rsid w:val="217C6B87"/>
    <w:rsid w:val="217F21D3"/>
    <w:rsid w:val="21843C8D"/>
    <w:rsid w:val="21871088"/>
    <w:rsid w:val="218B6DCA"/>
    <w:rsid w:val="218E591C"/>
    <w:rsid w:val="2190618E"/>
    <w:rsid w:val="219A5EAA"/>
    <w:rsid w:val="219C4B33"/>
    <w:rsid w:val="219E6AFD"/>
    <w:rsid w:val="21AA36F4"/>
    <w:rsid w:val="21AB2FC8"/>
    <w:rsid w:val="21AD0AEE"/>
    <w:rsid w:val="21B038D2"/>
    <w:rsid w:val="21B207FA"/>
    <w:rsid w:val="21B24356"/>
    <w:rsid w:val="21B52099"/>
    <w:rsid w:val="21B75E11"/>
    <w:rsid w:val="21BA76AF"/>
    <w:rsid w:val="21BC7EF3"/>
    <w:rsid w:val="21BE2CFB"/>
    <w:rsid w:val="21BF6A73"/>
    <w:rsid w:val="21C04388"/>
    <w:rsid w:val="21C10A3D"/>
    <w:rsid w:val="21C15C53"/>
    <w:rsid w:val="21C20175"/>
    <w:rsid w:val="21C347B6"/>
    <w:rsid w:val="21C61BB0"/>
    <w:rsid w:val="21C9535E"/>
    <w:rsid w:val="21CD1190"/>
    <w:rsid w:val="21CF789E"/>
    <w:rsid w:val="21D02D48"/>
    <w:rsid w:val="21D4251F"/>
    <w:rsid w:val="21D50045"/>
    <w:rsid w:val="21D56297"/>
    <w:rsid w:val="21DA1AFF"/>
    <w:rsid w:val="21DA565B"/>
    <w:rsid w:val="21DC7625"/>
    <w:rsid w:val="21DE318A"/>
    <w:rsid w:val="21DE514B"/>
    <w:rsid w:val="21EA1D42"/>
    <w:rsid w:val="21EF5B80"/>
    <w:rsid w:val="21F135D0"/>
    <w:rsid w:val="21F64486"/>
    <w:rsid w:val="21F7445F"/>
    <w:rsid w:val="21F901D7"/>
    <w:rsid w:val="21FC3824"/>
    <w:rsid w:val="21FE134A"/>
    <w:rsid w:val="21FE57EE"/>
    <w:rsid w:val="220646A2"/>
    <w:rsid w:val="220C0B15"/>
    <w:rsid w:val="220C2760"/>
    <w:rsid w:val="220D77DF"/>
    <w:rsid w:val="220E42A5"/>
    <w:rsid w:val="22140B6D"/>
    <w:rsid w:val="221424D5"/>
    <w:rsid w:val="22160D89"/>
    <w:rsid w:val="221807BF"/>
    <w:rsid w:val="22194137"/>
    <w:rsid w:val="221B63A0"/>
    <w:rsid w:val="221D3838"/>
    <w:rsid w:val="222039B6"/>
    <w:rsid w:val="22237002"/>
    <w:rsid w:val="222A0391"/>
    <w:rsid w:val="222A6016"/>
    <w:rsid w:val="222B4109"/>
    <w:rsid w:val="222B5EB7"/>
    <w:rsid w:val="222D0E96"/>
    <w:rsid w:val="222F1E4B"/>
    <w:rsid w:val="22327245"/>
    <w:rsid w:val="224376A4"/>
    <w:rsid w:val="22447850"/>
    <w:rsid w:val="22460715"/>
    <w:rsid w:val="22486A69"/>
    <w:rsid w:val="224B70FF"/>
    <w:rsid w:val="224F429B"/>
    <w:rsid w:val="224F6049"/>
    <w:rsid w:val="22510FE7"/>
    <w:rsid w:val="22520116"/>
    <w:rsid w:val="2252766C"/>
    <w:rsid w:val="22573150"/>
    <w:rsid w:val="22576990"/>
    <w:rsid w:val="22592208"/>
    <w:rsid w:val="22592A24"/>
    <w:rsid w:val="225A150C"/>
    <w:rsid w:val="22665141"/>
    <w:rsid w:val="22680EB9"/>
    <w:rsid w:val="226B475F"/>
    <w:rsid w:val="226D4721"/>
    <w:rsid w:val="226F0499"/>
    <w:rsid w:val="226F28AF"/>
    <w:rsid w:val="226F3FF6"/>
    <w:rsid w:val="22721474"/>
    <w:rsid w:val="22730512"/>
    <w:rsid w:val="22737F8A"/>
    <w:rsid w:val="227D2BB6"/>
    <w:rsid w:val="227E248B"/>
    <w:rsid w:val="227E692E"/>
    <w:rsid w:val="22813D29"/>
    <w:rsid w:val="22821F7B"/>
    <w:rsid w:val="22833F45"/>
    <w:rsid w:val="22851A6B"/>
    <w:rsid w:val="22853819"/>
    <w:rsid w:val="22855306"/>
    <w:rsid w:val="228C444F"/>
    <w:rsid w:val="2294282A"/>
    <w:rsid w:val="229972C4"/>
    <w:rsid w:val="229A332A"/>
    <w:rsid w:val="229E2B2D"/>
    <w:rsid w:val="229E48DB"/>
    <w:rsid w:val="22A34093"/>
    <w:rsid w:val="22A416EF"/>
    <w:rsid w:val="22AA14D2"/>
    <w:rsid w:val="22AA7723"/>
    <w:rsid w:val="22AF6AE8"/>
    <w:rsid w:val="22B00078"/>
    <w:rsid w:val="22B14907"/>
    <w:rsid w:val="22B20854"/>
    <w:rsid w:val="22B67F62"/>
    <w:rsid w:val="22B8599C"/>
    <w:rsid w:val="22B875E0"/>
    <w:rsid w:val="22B94ECD"/>
    <w:rsid w:val="22B965D4"/>
    <w:rsid w:val="22BA5BB9"/>
    <w:rsid w:val="22BE4F7D"/>
    <w:rsid w:val="22C46662"/>
    <w:rsid w:val="22C4751C"/>
    <w:rsid w:val="22CC58EC"/>
    <w:rsid w:val="22CC769A"/>
    <w:rsid w:val="22CF0020"/>
    <w:rsid w:val="22D87DED"/>
    <w:rsid w:val="22DF2376"/>
    <w:rsid w:val="22E24F49"/>
    <w:rsid w:val="22E63B6F"/>
    <w:rsid w:val="22EF3388"/>
    <w:rsid w:val="22EF5136"/>
    <w:rsid w:val="22F10EAE"/>
    <w:rsid w:val="22F15488"/>
    <w:rsid w:val="22F47480"/>
    <w:rsid w:val="22FF585A"/>
    <w:rsid w:val="23030973"/>
    <w:rsid w:val="23046DDD"/>
    <w:rsid w:val="230706D2"/>
    <w:rsid w:val="23072480"/>
    <w:rsid w:val="230961F8"/>
    <w:rsid w:val="230C5CE8"/>
    <w:rsid w:val="231057D9"/>
    <w:rsid w:val="23111551"/>
    <w:rsid w:val="23113B92"/>
    <w:rsid w:val="231449BC"/>
    <w:rsid w:val="23152DEF"/>
    <w:rsid w:val="231A3FEC"/>
    <w:rsid w:val="231C7F86"/>
    <w:rsid w:val="231D1CA3"/>
    <w:rsid w:val="23205B42"/>
    <w:rsid w:val="23214B81"/>
    <w:rsid w:val="2322550C"/>
    <w:rsid w:val="232272BA"/>
    <w:rsid w:val="23241235"/>
    <w:rsid w:val="23241284"/>
    <w:rsid w:val="23341641"/>
    <w:rsid w:val="23356FED"/>
    <w:rsid w:val="2338088B"/>
    <w:rsid w:val="233B65CE"/>
    <w:rsid w:val="233C28CB"/>
    <w:rsid w:val="233C3329"/>
    <w:rsid w:val="23403BE4"/>
    <w:rsid w:val="23496F3C"/>
    <w:rsid w:val="235316EB"/>
    <w:rsid w:val="23566E86"/>
    <w:rsid w:val="235E22C9"/>
    <w:rsid w:val="23614286"/>
    <w:rsid w:val="236162A5"/>
    <w:rsid w:val="236773C3"/>
    <w:rsid w:val="2369313B"/>
    <w:rsid w:val="236B2A0F"/>
    <w:rsid w:val="236D1836"/>
    <w:rsid w:val="236E24FF"/>
    <w:rsid w:val="2370208A"/>
    <w:rsid w:val="23707F2F"/>
    <w:rsid w:val="23720079"/>
    <w:rsid w:val="23773AAF"/>
    <w:rsid w:val="237815D0"/>
    <w:rsid w:val="23810484"/>
    <w:rsid w:val="2381754F"/>
    <w:rsid w:val="23874A9E"/>
    <w:rsid w:val="23880FAE"/>
    <w:rsid w:val="238C0BD7"/>
    <w:rsid w:val="2392443F"/>
    <w:rsid w:val="2393640A"/>
    <w:rsid w:val="23953F30"/>
    <w:rsid w:val="23963804"/>
    <w:rsid w:val="23983A20"/>
    <w:rsid w:val="239F4DAE"/>
    <w:rsid w:val="239F6B5C"/>
    <w:rsid w:val="23A83C63"/>
    <w:rsid w:val="23AB5501"/>
    <w:rsid w:val="23AD1279"/>
    <w:rsid w:val="23B4592E"/>
    <w:rsid w:val="23B819CC"/>
    <w:rsid w:val="23C10881"/>
    <w:rsid w:val="23C232D7"/>
    <w:rsid w:val="23C6233B"/>
    <w:rsid w:val="23C63A2B"/>
    <w:rsid w:val="23CB16FF"/>
    <w:rsid w:val="23D26F32"/>
    <w:rsid w:val="23D34A58"/>
    <w:rsid w:val="23D528B6"/>
    <w:rsid w:val="23D737B3"/>
    <w:rsid w:val="23D74860"/>
    <w:rsid w:val="23D9206E"/>
    <w:rsid w:val="23DA1943"/>
    <w:rsid w:val="23DA7B95"/>
    <w:rsid w:val="23DE1C48"/>
    <w:rsid w:val="23DF164F"/>
    <w:rsid w:val="23E33C84"/>
    <w:rsid w:val="23E43D6A"/>
    <w:rsid w:val="23E6478B"/>
    <w:rsid w:val="23E822B1"/>
    <w:rsid w:val="23EA427B"/>
    <w:rsid w:val="23EB6880"/>
    <w:rsid w:val="23EB7FF4"/>
    <w:rsid w:val="23ED5B1A"/>
    <w:rsid w:val="23F073B8"/>
    <w:rsid w:val="23F2087D"/>
    <w:rsid w:val="23F52C20"/>
    <w:rsid w:val="23F724F4"/>
    <w:rsid w:val="23F7340C"/>
    <w:rsid w:val="23F95193"/>
    <w:rsid w:val="240210CD"/>
    <w:rsid w:val="24062738"/>
    <w:rsid w:val="24084702"/>
    <w:rsid w:val="240A3547"/>
    <w:rsid w:val="240E783E"/>
    <w:rsid w:val="240F3CE2"/>
    <w:rsid w:val="241248AA"/>
    <w:rsid w:val="24155071"/>
    <w:rsid w:val="241906BD"/>
    <w:rsid w:val="24194B61"/>
    <w:rsid w:val="241C1F5B"/>
    <w:rsid w:val="241D458E"/>
    <w:rsid w:val="241E2177"/>
    <w:rsid w:val="2426102C"/>
    <w:rsid w:val="242A0B1C"/>
    <w:rsid w:val="242B219E"/>
    <w:rsid w:val="242C5369"/>
    <w:rsid w:val="242F7EE0"/>
    <w:rsid w:val="243454F7"/>
    <w:rsid w:val="2435126F"/>
    <w:rsid w:val="24376291"/>
    <w:rsid w:val="24392B0D"/>
    <w:rsid w:val="24393C1B"/>
    <w:rsid w:val="243C25FD"/>
    <w:rsid w:val="243E0123"/>
    <w:rsid w:val="244020ED"/>
    <w:rsid w:val="24431BDE"/>
    <w:rsid w:val="244B0A92"/>
    <w:rsid w:val="244B2840"/>
    <w:rsid w:val="245A2A83"/>
    <w:rsid w:val="2460453E"/>
    <w:rsid w:val="2466770A"/>
    <w:rsid w:val="24681ED5"/>
    <w:rsid w:val="246A53BC"/>
    <w:rsid w:val="246D6C5B"/>
    <w:rsid w:val="246E3050"/>
    <w:rsid w:val="246F652F"/>
    <w:rsid w:val="247022A7"/>
    <w:rsid w:val="247423AA"/>
    <w:rsid w:val="247514FE"/>
    <w:rsid w:val="24765B0F"/>
    <w:rsid w:val="2479115B"/>
    <w:rsid w:val="247A7590"/>
    <w:rsid w:val="247C629F"/>
    <w:rsid w:val="248144B4"/>
    <w:rsid w:val="24861ACA"/>
    <w:rsid w:val="248875F1"/>
    <w:rsid w:val="248A5117"/>
    <w:rsid w:val="248B01F1"/>
    <w:rsid w:val="248C70E1"/>
    <w:rsid w:val="24973CD7"/>
    <w:rsid w:val="24977834"/>
    <w:rsid w:val="249A1F8C"/>
    <w:rsid w:val="249A3F3D"/>
    <w:rsid w:val="249C78F1"/>
    <w:rsid w:val="24A02B8C"/>
    <w:rsid w:val="24A26904"/>
    <w:rsid w:val="24A878F5"/>
    <w:rsid w:val="24AD7057"/>
    <w:rsid w:val="24B201AD"/>
    <w:rsid w:val="24B2466D"/>
    <w:rsid w:val="24B30B11"/>
    <w:rsid w:val="24B6415E"/>
    <w:rsid w:val="24B91EA0"/>
    <w:rsid w:val="24BB5C18"/>
    <w:rsid w:val="24BD373E"/>
    <w:rsid w:val="24BF09F7"/>
    <w:rsid w:val="24C24384"/>
    <w:rsid w:val="24C3687B"/>
    <w:rsid w:val="24C85C3F"/>
    <w:rsid w:val="24C90335"/>
    <w:rsid w:val="24CA5ED0"/>
    <w:rsid w:val="24CF521F"/>
    <w:rsid w:val="24D4129E"/>
    <w:rsid w:val="24D42836"/>
    <w:rsid w:val="24D57081"/>
    <w:rsid w:val="24DD7941"/>
    <w:rsid w:val="24DE36B4"/>
    <w:rsid w:val="24E0567E"/>
    <w:rsid w:val="24E3525A"/>
    <w:rsid w:val="24E707BB"/>
    <w:rsid w:val="24E76A0D"/>
    <w:rsid w:val="24EA2059"/>
    <w:rsid w:val="24EA3E07"/>
    <w:rsid w:val="24EB2FCF"/>
    <w:rsid w:val="24EC4C3D"/>
    <w:rsid w:val="24ED38F7"/>
    <w:rsid w:val="24EE4EAF"/>
    <w:rsid w:val="24F20F0E"/>
    <w:rsid w:val="24F66C50"/>
    <w:rsid w:val="24FA6CB4"/>
    <w:rsid w:val="24FB1784"/>
    <w:rsid w:val="250017D3"/>
    <w:rsid w:val="2500362B"/>
    <w:rsid w:val="2503311B"/>
    <w:rsid w:val="25096983"/>
    <w:rsid w:val="250F5CA3"/>
    <w:rsid w:val="252512E3"/>
    <w:rsid w:val="25292B82"/>
    <w:rsid w:val="252B4B4C"/>
    <w:rsid w:val="252C06DE"/>
    <w:rsid w:val="252D53FE"/>
    <w:rsid w:val="253471AD"/>
    <w:rsid w:val="25457F8D"/>
    <w:rsid w:val="25494FC2"/>
    <w:rsid w:val="25513E86"/>
    <w:rsid w:val="25551FFC"/>
    <w:rsid w:val="255A71DF"/>
    <w:rsid w:val="255B4D05"/>
    <w:rsid w:val="255D0A7D"/>
    <w:rsid w:val="25622764"/>
    <w:rsid w:val="25670E64"/>
    <w:rsid w:val="256718FC"/>
    <w:rsid w:val="25761B3F"/>
    <w:rsid w:val="25777D91"/>
    <w:rsid w:val="257B7155"/>
    <w:rsid w:val="257C53A7"/>
    <w:rsid w:val="2580476C"/>
    <w:rsid w:val="25822292"/>
    <w:rsid w:val="258604BC"/>
    <w:rsid w:val="25873D4C"/>
    <w:rsid w:val="25897AC4"/>
    <w:rsid w:val="258C1362"/>
    <w:rsid w:val="25900E53"/>
    <w:rsid w:val="25916979"/>
    <w:rsid w:val="259C77F7"/>
    <w:rsid w:val="25A246E2"/>
    <w:rsid w:val="25A83A70"/>
    <w:rsid w:val="25A96036"/>
    <w:rsid w:val="25AE3087"/>
    <w:rsid w:val="25B032A3"/>
    <w:rsid w:val="25B06DFF"/>
    <w:rsid w:val="25B73A53"/>
    <w:rsid w:val="25C17551"/>
    <w:rsid w:val="25C406A2"/>
    <w:rsid w:val="25C72594"/>
    <w:rsid w:val="25C96D32"/>
    <w:rsid w:val="25CE197B"/>
    <w:rsid w:val="25D32AED"/>
    <w:rsid w:val="25D52F86"/>
    <w:rsid w:val="25D80104"/>
    <w:rsid w:val="25DA6FFE"/>
    <w:rsid w:val="25DF19BF"/>
    <w:rsid w:val="25E062B2"/>
    <w:rsid w:val="25E46AA9"/>
    <w:rsid w:val="25E62821"/>
    <w:rsid w:val="25E90563"/>
    <w:rsid w:val="25EC2D81"/>
    <w:rsid w:val="25EE662D"/>
    <w:rsid w:val="25F018F1"/>
    <w:rsid w:val="25F27417"/>
    <w:rsid w:val="25F27F95"/>
    <w:rsid w:val="25F747AF"/>
    <w:rsid w:val="25F969F8"/>
    <w:rsid w:val="25FC3DF2"/>
    <w:rsid w:val="25FC78F0"/>
    <w:rsid w:val="25FD5DBC"/>
    <w:rsid w:val="2601765A"/>
    <w:rsid w:val="26064C71"/>
    <w:rsid w:val="26094761"/>
    <w:rsid w:val="260E3B25"/>
    <w:rsid w:val="26127ABA"/>
    <w:rsid w:val="26153106"/>
    <w:rsid w:val="26190E48"/>
    <w:rsid w:val="26207919"/>
    <w:rsid w:val="262275D1"/>
    <w:rsid w:val="262477ED"/>
    <w:rsid w:val="262F241A"/>
    <w:rsid w:val="26313084"/>
    <w:rsid w:val="26321F6C"/>
    <w:rsid w:val="26323CB8"/>
    <w:rsid w:val="26334F09"/>
    <w:rsid w:val="2635403B"/>
    <w:rsid w:val="263A2B6C"/>
    <w:rsid w:val="263C68E5"/>
    <w:rsid w:val="263F1790"/>
    <w:rsid w:val="263F1E82"/>
    <w:rsid w:val="26402C29"/>
    <w:rsid w:val="26415CA9"/>
    <w:rsid w:val="2644571B"/>
    <w:rsid w:val="264558A9"/>
    <w:rsid w:val="264B2FCC"/>
    <w:rsid w:val="264C5F84"/>
    <w:rsid w:val="26562782"/>
    <w:rsid w:val="265754CC"/>
    <w:rsid w:val="265D679B"/>
    <w:rsid w:val="266206C6"/>
    <w:rsid w:val="26630315"/>
    <w:rsid w:val="26680A32"/>
    <w:rsid w:val="266A3452"/>
    <w:rsid w:val="266C2E7A"/>
    <w:rsid w:val="266F2975"/>
    <w:rsid w:val="26713A0D"/>
    <w:rsid w:val="26722306"/>
    <w:rsid w:val="26760048"/>
    <w:rsid w:val="267B565F"/>
    <w:rsid w:val="268900EE"/>
    <w:rsid w:val="268A76AC"/>
    <w:rsid w:val="268B161A"/>
    <w:rsid w:val="268C261C"/>
    <w:rsid w:val="268D40B3"/>
    <w:rsid w:val="268F0567"/>
    <w:rsid w:val="268F2EB8"/>
    <w:rsid w:val="26972C36"/>
    <w:rsid w:val="26993D37"/>
    <w:rsid w:val="269E30FB"/>
    <w:rsid w:val="269E6DDF"/>
    <w:rsid w:val="26A06E73"/>
    <w:rsid w:val="26A255C2"/>
    <w:rsid w:val="26A30075"/>
    <w:rsid w:val="26AA7CF2"/>
    <w:rsid w:val="26B3774B"/>
    <w:rsid w:val="26B648E9"/>
    <w:rsid w:val="26B8286D"/>
    <w:rsid w:val="26BB3CAD"/>
    <w:rsid w:val="26BB5A5B"/>
    <w:rsid w:val="26BE1284"/>
    <w:rsid w:val="26C012C4"/>
    <w:rsid w:val="26C31AA0"/>
    <w:rsid w:val="26C86B64"/>
    <w:rsid w:val="26CD39E1"/>
    <w:rsid w:val="26D23727"/>
    <w:rsid w:val="26D27C2D"/>
    <w:rsid w:val="26D7660D"/>
    <w:rsid w:val="26E30740"/>
    <w:rsid w:val="26E34A53"/>
    <w:rsid w:val="26EA37EC"/>
    <w:rsid w:val="26EC20B9"/>
    <w:rsid w:val="26F23447"/>
    <w:rsid w:val="26F61189"/>
    <w:rsid w:val="26F61BE2"/>
    <w:rsid w:val="26F947D6"/>
    <w:rsid w:val="27010802"/>
    <w:rsid w:val="27014E05"/>
    <w:rsid w:val="27035654"/>
    <w:rsid w:val="27037FC4"/>
    <w:rsid w:val="27127645"/>
    <w:rsid w:val="271D63DC"/>
    <w:rsid w:val="271E3B4E"/>
    <w:rsid w:val="27225ADA"/>
    <w:rsid w:val="273121C1"/>
    <w:rsid w:val="27313F6F"/>
    <w:rsid w:val="27335F39"/>
    <w:rsid w:val="27395290"/>
    <w:rsid w:val="273D1AD3"/>
    <w:rsid w:val="273D46C2"/>
    <w:rsid w:val="273E0248"/>
    <w:rsid w:val="27423E26"/>
    <w:rsid w:val="274243CE"/>
    <w:rsid w:val="27457CE6"/>
    <w:rsid w:val="274C4C38"/>
    <w:rsid w:val="27531203"/>
    <w:rsid w:val="275814FC"/>
    <w:rsid w:val="275A24BB"/>
    <w:rsid w:val="275F0ADD"/>
    <w:rsid w:val="275F6D2E"/>
    <w:rsid w:val="27610BA0"/>
    <w:rsid w:val="27614CA1"/>
    <w:rsid w:val="27677991"/>
    <w:rsid w:val="276A7481"/>
    <w:rsid w:val="276D6723"/>
    <w:rsid w:val="277057A2"/>
    <w:rsid w:val="27711D45"/>
    <w:rsid w:val="277125BE"/>
    <w:rsid w:val="27716A62"/>
    <w:rsid w:val="277B168E"/>
    <w:rsid w:val="277E2136"/>
    <w:rsid w:val="278E13C2"/>
    <w:rsid w:val="27910EB2"/>
    <w:rsid w:val="279369D8"/>
    <w:rsid w:val="279506BE"/>
    <w:rsid w:val="27982240"/>
    <w:rsid w:val="279A7D67"/>
    <w:rsid w:val="27A44741"/>
    <w:rsid w:val="27A61EA5"/>
    <w:rsid w:val="27AA5AD0"/>
    <w:rsid w:val="27AB3D22"/>
    <w:rsid w:val="27AC7A9A"/>
    <w:rsid w:val="27B068BD"/>
    <w:rsid w:val="27B30E28"/>
    <w:rsid w:val="27B70919"/>
    <w:rsid w:val="27B94504"/>
    <w:rsid w:val="27BA5D13"/>
    <w:rsid w:val="27BB1A8B"/>
    <w:rsid w:val="27BF5A1F"/>
    <w:rsid w:val="27C2106B"/>
    <w:rsid w:val="27C22E19"/>
    <w:rsid w:val="27C26894"/>
    <w:rsid w:val="27D8088F"/>
    <w:rsid w:val="27DA63B5"/>
    <w:rsid w:val="27DD40F7"/>
    <w:rsid w:val="27DF16C6"/>
    <w:rsid w:val="27DF5779"/>
    <w:rsid w:val="27E469F1"/>
    <w:rsid w:val="27E55EA8"/>
    <w:rsid w:val="27E67E69"/>
    <w:rsid w:val="27EA3179"/>
    <w:rsid w:val="27F4323D"/>
    <w:rsid w:val="27F54F9D"/>
    <w:rsid w:val="27F61A9E"/>
    <w:rsid w:val="27F966F1"/>
    <w:rsid w:val="28011B94"/>
    <w:rsid w:val="280535CB"/>
    <w:rsid w:val="280751E1"/>
    <w:rsid w:val="280B47C0"/>
    <w:rsid w:val="280B656E"/>
    <w:rsid w:val="280D0539"/>
    <w:rsid w:val="2810627B"/>
    <w:rsid w:val="28162806"/>
    <w:rsid w:val="28182AA1"/>
    <w:rsid w:val="281A0EA7"/>
    <w:rsid w:val="281E2746"/>
    <w:rsid w:val="281E56BD"/>
    <w:rsid w:val="282817BD"/>
    <w:rsid w:val="282A314C"/>
    <w:rsid w:val="282D0BDB"/>
    <w:rsid w:val="282E3EE4"/>
    <w:rsid w:val="28341F69"/>
    <w:rsid w:val="283E338B"/>
    <w:rsid w:val="283E53F3"/>
    <w:rsid w:val="284303FE"/>
    <w:rsid w:val="28432C47"/>
    <w:rsid w:val="28461C9C"/>
    <w:rsid w:val="284877C3"/>
    <w:rsid w:val="28550131"/>
    <w:rsid w:val="286669D0"/>
    <w:rsid w:val="28697739"/>
    <w:rsid w:val="286A05DF"/>
    <w:rsid w:val="286E76A3"/>
    <w:rsid w:val="28706183"/>
    <w:rsid w:val="28706D19"/>
    <w:rsid w:val="28722A91"/>
    <w:rsid w:val="28724840"/>
    <w:rsid w:val="28757E8C"/>
    <w:rsid w:val="287700A8"/>
    <w:rsid w:val="287B7B98"/>
    <w:rsid w:val="287C746C"/>
    <w:rsid w:val="287F0D0A"/>
    <w:rsid w:val="288325A9"/>
    <w:rsid w:val="28836A4D"/>
    <w:rsid w:val="28844573"/>
    <w:rsid w:val="288E0F4E"/>
    <w:rsid w:val="28902F18"/>
    <w:rsid w:val="28920A3E"/>
    <w:rsid w:val="28924EE2"/>
    <w:rsid w:val="28942A08"/>
    <w:rsid w:val="289447B6"/>
    <w:rsid w:val="28952672"/>
    <w:rsid w:val="289742A6"/>
    <w:rsid w:val="289B11F0"/>
    <w:rsid w:val="289E5635"/>
    <w:rsid w:val="28A013AD"/>
    <w:rsid w:val="28A569C3"/>
    <w:rsid w:val="28A80261"/>
    <w:rsid w:val="28AD1D1C"/>
    <w:rsid w:val="28B206CC"/>
    <w:rsid w:val="28B8366A"/>
    <w:rsid w:val="28B9421C"/>
    <w:rsid w:val="28C055AB"/>
    <w:rsid w:val="28C50E13"/>
    <w:rsid w:val="28C80903"/>
    <w:rsid w:val="28C826B1"/>
    <w:rsid w:val="28CF1C92"/>
    <w:rsid w:val="28D64DCE"/>
    <w:rsid w:val="28DA4193"/>
    <w:rsid w:val="28DB0637"/>
    <w:rsid w:val="28E374EB"/>
    <w:rsid w:val="28E86E2D"/>
    <w:rsid w:val="28EF40E2"/>
    <w:rsid w:val="28EF5E90"/>
    <w:rsid w:val="28F43C01"/>
    <w:rsid w:val="28F811E9"/>
    <w:rsid w:val="29001E4B"/>
    <w:rsid w:val="29003158"/>
    <w:rsid w:val="29051AE2"/>
    <w:rsid w:val="29057462"/>
    <w:rsid w:val="290A4A78"/>
    <w:rsid w:val="290C6A42"/>
    <w:rsid w:val="2912392D"/>
    <w:rsid w:val="291A071D"/>
    <w:rsid w:val="291A4A19"/>
    <w:rsid w:val="291C2A67"/>
    <w:rsid w:val="291E6775"/>
    <w:rsid w:val="29206EB8"/>
    <w:rsid w:val="29234A57"/>
    <w:rsid w:val="292A511A"/>
    <w:rsid w:val="292E4C0A"/>
    <w:rsid w:val="29340CA4"/>
    <w:rsid w:val="29345F99"/>
    <w:rsid w:val="293B10D5"/>
    <w:rsid w:val="293C106B"/>
    <w:rsid w:val="293D4E4D"/>
    <w:rsid w:val="29402DC1"/>
    <w:rsid w:val="2944442E"/>
    <w:rsid w:val="294A30C6"/>
    <w:rsid w:val="294B6D27"/>
    <w:rsid w:val="294E0640"/>
    <w:rsid w:val="295757E3"/>
    <w:rsid w:val="29595666"/>
    <w:rsid w:val="29671ECA"/>
    <w:rsid w:val="296B4F6F"/>
    <w:rsid w:val="297301E4"/>
    <w:rsid w:val="297470BE"/>
    <w:rsid w:val="2976035F"/>
    <w:rsid w:val="29763EBB"/>
    <w:rsid w:val="297840D8"/>
    <w:rsid w:val="29785E86"/>
    <w:rsid w:val="297B5976"/>
    <w:rsid w:val="297C1EC3"/>
    <w:rsid w:val="297C71F7"/>
    <w:rsid w:val="297E0FC2"/>
    <w:rsid w:val="29874881"/>
    <w:rsid w:val="298A3E0B"/>
    <w:rsid w:val="298F4F7D"/>
    <w:rsid w:val="299407E6"/>
    <w:rsid w:val="29947356"/>
    <w:rsid w:val="2996630C"/>
    <w:rsid w:val="29A21154"/>
    <w:rsid w:val="29A22F02"/>
    <w:rsid w:val="29A355D5"/>
    <w:rsid w:val="29A43E58"/>
    <w:rsid w:val="29B570DA"/>
    <w:rsid w:val="29B669AE"/>
    <w:rsid w:val="29B92A03"/>
    <w:rsid w:val="29BC3991"/>
    <w:rsid w:val="29BD1AEA"/>
    <w:rsid w:val="29C76E0D"/>
    <w:rsid w:val="29C9048F"/>
    <w:rsid w:val="29C94933"/>
    <w:rsid w:val="29CA2A0D"/>
    <w:rsid w:val="29CC4423"/>
    <w:rsid w:val="29D137E8"/>
    <w:rsid w:val="29DA269C"/>
    <w:rsid w:val="29E325E0"/>
    <w:rsid w:val="29E7300B"/>
    <w:rsid w:val="29E76B67"/>
    <w:rsid w:val="29EB7BEA"/>
    <w:rsid w:val="29F3375E"/>
    <w:rsid w:val="29F408B3"/>
    <w:rsid w:val="29F85218"/>
    <w:rsid w:val="2A010A6F"/>
    <w:rsid w:val="2A021BF3"/>
    <w:rsid w:val="2A04596B"/>
    <w:rsid w:val="2A063491"/>
    <w:rsid w:val="2A094D30"/>
    <w:rsid w:val="2A104310"/>
    <w:rsid w:val="2A1132FB"/>
    <w:rsid w:val="2A133E00"/>
    <w:rsid w:val="2A151926"/>
    <w:rsid w:val="2A180AC3"/>
    <w:rsid w:val="2A181BA3"/>
    <w:rsid w:val="2A1831C5"/>
    <w:rsid w:val="2A192C73"/>
    <w:rsid w:val="2A192E40"/>
    <w:rsid w:val="2A1B7E9B"/>
    <w:rsid w:val="2A1C0F07"/>
    <w:rsid w:val="2A203466"/>
    <w:rsid w:val="2A221E77"/>
    <w:rsid w:val="2A2878AC"/>
    <w:rsid w:val="2A2B1A40"/>
    <w:rsid w:val="2A2B541A"/>
    <w:rsid w:val="2A392E1D"/>
    <w:rsid w:val="2A3A5E8C"/>
    <w:rsid w:val="2A3A7F62"/>
    <w:rsid w:val="2A3B71B6"/>
    <w:rsid w:val="2A3F69A3"/>
    <w:rsid w:val="2A452503"/>
    <w:rsid w:val="2A473AAA"/>
    <w:rsid w:val="2A4754A5"/>
    <w:rsid w:val="2A4915D0"/>
    <w:rsid w:val="2A4D5553"/>
    <w:rsid w:val="2A4E4E38"/>
    <w:rsid w:val="2A4F3E17"/>
    <w:rsid w:val="2A5266D7"/>
    <w:rsid w:val="2A5C1303"/>
    <w:rsid w:val="2A5E32CD"/>
    <w:rsid w:val="2A5F0DF4"/>
    <w:rsid w:val="2A64465C"/>
    <w:rsid w:val="2A663F30"/>
    <w:rsid w:val="2A697EC4"/>
    <w:rsid w:val="2A6D1762"/>
    <w:rsid w:val="2A6E1037"/>
    <w:rsid w:val="2A78718C"/>
    <w:rsid w:val="2A7A5C2D"/>
    <w:rsid w:val="2A7B272E"/>
    <w:rsid w:val="2A7C7BF7"/>
    <w:rsid w:val="2A7D127A"/>
    <w:rsid w:val="2A7E571E"/>
    <w:rsid w:val="2A834AE2"/>
    <w:rsid w:val="2A854629"/>
    <w:rsid w:val="2A866380"/>
    <w:rsid w:val="2A8E16D9"/>
    <w:rsid w:val="2A900FAD"/>
    <w:rsid w:val="2A9071FF"/>
    <w:rsid w:val="2A924D25"/>
    <w:rsid w:val="2A9462BC"/>
    <w:rsid w:val="2A954815"/>
    <w:rsid w:val="2A992557"/>
    <w:rsid w:val="2A9E1303"/>
    <w:rsid w:val="2A9E191C"/>
    <w:rsid w:val="2AA02B44"/>
    <w:rsid w:val="2AA131BA"/>
    <w:rsid w:val="2AA30BCF"/>
    <w:rsid w:val="2AA36F32"/>
    <w:rsid w:val="2AA42CAA"/>
    <w:rsid w:val="2AA4545A"/>
    <w:rsid w:val="2AA63B5E"/>
    <w:rsid w:val="2AA74552"/>
    <w:rsid w:val="2AAA0C4A"/>
    <w:rsid w:val="2AAB5DE7"/>
    <w:rsid w:val="2AAE5148"/>
    <w:rsid w:val="2AB23619"/>
    <w:rsid w:val="2AB4113F"/>
    <w:rsid w:val="2AB56C65"/>
    <w:rsid w:val="2ABB0720"/>
    <w:rsid w:val="2ABD32F9"/>
    <w:rsid w:val="2ABE32E0"/>
    <w:rsid w:val="2ABE5B1A"/>
    <w:rsid w:val="2AC5334C"/>
    <w:rsid w:val="2AC670C5"/>
    <w:rsid w:val="2ACA0963"/>
    <w:rsid w:val="2ACA76FC"/>
    <w:rsid w:val="2ACF5F79"/>
    <w:rsid w:val="2AD738E9"/>
    <w:rsid w:val="2AD74E2E"/>
    <w:rsid w:val="2AD76BDC"/>
    <w:rsid w:val="2ADA66CC"/>
    <w:rsid w:val="2ADB7BC4"/>
    <w:rsid w:val="2ADC3959"/>
    <w:rsid w:val="2ADC41F2"/>
    <w:rsid w:val="2ADF5470"/>
    <w:rsid w:val="2AE337D3"/>
    <w:rsid w:val="2AE632C3"/>
    <w:rsid w:val="2AE9690F"/>
    <w:rsid w:val="2AEB2687"/>
    <w:rsid w:val="2AF13A56"/>
    <w:rsid w:val="2AF5318E"/>
    <w:rsid w:val="2AF53506"/>
    <w:rsid w:val="2AF56B22"/>
    <w:rsid w:val="2AF7102C"/>
    <w:rsid w:val="2AF8368D"/>
    <w:rsid w:val="2AFC349E"/>
    <w:rsid w:val="2AFE1926"/>
    <w:rsid w:val="2B006133"/>
    <w:rsid w:val="2B006BB8"/>
    <w:rsid w:val="2B011EAB"/>
    <w:rsid w:val="2B057BED"/>
    <w:rsid w:val="2B060862"/>
    <w:rsid w:val="2B084612"/>
    <w:rsid w:val="2B0C62F1"/>
    <w:rsid w:val="2B0F45C8"/>
    <w:rsid w:val="2B16200C"/>
    <w:rsid w:val="2B170F6A"/>
    <w:rsid w:val="2B1A4D1A"/>
    <w:rsid w:val="2B1B3AE9"/>
    <w:rsid w:val="2B1C6CE5"/>
    <w:rsid w:val="2B1F31E7"/>
    <w:rsid w:val="2B2362C5"/>
    <w:rsid w:val="2B253DEB"/>
    <w:rsid w:val="2B255B99"/>
    <w:rsid w:val="2B256E0A"/>
    <w:rsid w:val="2B2B6F28"/>
    <w:rsid w:val="2B342280"/>
    <w:rsid w:val="2B35362F"/>
    <w:rsid w:val="2B3553A4"/>
    <w:rsid w:val="2B3569B8"/>
    <w:rsid w:val="2B395AE8"/>
    <w:rsid w:val="2B3A54A0"/>
    <w:rsid w:val="2B4321B5"/>
    <w:rsid w:val="2B435959"/>
    <w:rsid w:val="2B4473C6"/>
    <w:rsid w:val="2B45448D"/>
    <w:rsid w:val="2B465B0F"/>
    <w:rsid w:val="2B4B28F2"/>
    <w:rsid w:val="2B4B56B1"/>
    <w:rsid w:val="2B4C1378"/>
    <w:rsid w:val="2B4C2C8F"/>
    <w:rsid w:val="2B4C581C"/>
    <w:rsid w:val="2B554930"/>
    <w:rsid w:val="2B585AF7"/>
    <w:rsid w:val="2B585F6F"/>
    <w:rsid w:val="2B612949"/>
    <w:rsid w:val="2B6366C1"/>
    <w:rsid w:val="2B67502E"/>
    <w:rsid w:val="2B6761B2"/>
    <w:rsid w:val="2B681F2A"/>
    <w:rsid w:val="2B6947C0"/>
    <w:rsid w:val="2B6C1A1A"/>
    <w:rsid w:val="2B6D7540"/>
    <w:rsid w:val="2B6F32B8"/>
    <w:rsid w:val="2B732DA8"/>
    <w:rsid w:val="2B7A1422"/>
    <w:rsid w:val="2B7E52A9"/>
    <w:rsid w:val="2B841D92"/>
    <w:rsid w:val="2B8A1EA0"/>
    <w:rsid w:val="2B8F4E9B"/>
    <w:rsid w:val="2B94641F"/>
    <w:rsid w:val="2B9777BC"/>
    <w:rsid w:val="2B9810D6"/>
    <w:rsid w:val="2B9C3BC7"/>
    <w:rsid w:val="2B9F3B9D"/>
    <w:rsid w:val="2BA41F1A"/>
    <w:rsid w:val="2BA50F70"/>
    <w:rsid w:val="2BA55A33"/>
    <w:rsid w:val="2BA80578"/>
    <w:rsid w:val="2BA936A8"/>
    <w:rsid w:val="2BA94A1C"/>
    <w:rsid w:val="2BAA42F0"/>
    <w:rsid w:val="2BB138D1"/>
    <w:rsid w:val="2BB62C95"/>
    <w:rsid w:val="2BB75FF4"/>
    <w:rsid w:val="2BBB474F"/>
    <w:rsid w:val="2BC5737C"/>
    <w:rsid w:val="2BCB229F"/>
    <w:rsid w:val="2BCC070B"/>
    <w:rsid w:val="2BCE4483"/>
    <w:rsid w:val="2BCE6231"/>
    <w:rsid w:val="2BD01A9C"/>
    <w:rsid w:val="2BD01E07"/>
    <w:rsid w:val="2BD10340"/>
    <w:rsid w:val="2BD3004D"/>
    <w:rsid w:val="2BD733B6"/>
    <w:rsid w:val="2BDB26FC"/>
    <w:rsid w:val="2BDF043E"/>
    <w:rsid w:val="2BE5357A"/>
    <w:rsid w:val="2BE922A2"/>
    <w:rsid w:val="2BE9306B"/>
    <w:rsid w:val="2BE94E19"/>
    <w:rsid w:val="2BEF1CF6"/>
    <w:rsid w:val="2BEF7F55"/>
    <w:rsid w:val="2BF35C97"/>
    <w:rsid w:val="2BF87197"/>
    <w:rsid w:val="2BFA59B2"/>
    <w:rsid w:val="2BFB2D9E"/>
    <w:rsid w:val="2BFB5408"/>
    <w:rsid w:val="2BFD3113"/>
    <w:rsid w:val="2BFF4499"/>
    <w:rsid w:val="2C002718"/>
    <w:rsid w:val="2C016606"/>
    <w:rsid w:val="2C043A01"/>
    <w:rsid w:val="2C0C4FAB"/>
    <w:rsid w:val="2C0E0D23"/>
    <w:rsid w:val="2C0E2AD1"/>
    <w:rsid w:val="2C106849"/>
    <w:rsid w:val="2C136326"/>
    <w:rsid w:val="2C1A1300"/>
    <w:rsid w:val="2C204B1A"/>
    <w:rsid w:val="2C22657D"/>
    <w:rsid w:val="2C236465"/>
    <w:rsid w:val="2C2C73FB"/>
    <w:rsid w:val="2C2E3173"/>
    <w:rsid w:val="2C315A5A"/>
    <w:rsid w:val="2C3160F7"/>
    <w:rsid w:val="2C33565C"/>
    <w:rsid w:val="2C3619B9"/>
    <w:rsid w:val="2C3B319A"/>
    <w:rsid w:val="2C3D2AA3"/>
    <w:rsid w:val="2C405AAF"/>
    <w:rsid w:val="2C4237D4"/>
    <w:rsid w:val="2C460FB5"/>
    <w:rsid w:val="2C464D65"/>
    <w:rsid w:val="2C477D91"/>
    <w:rsid w:val="2C4958B7"/>
    <w:rsid w:val="2C4B1C25"/>
    <w:rsid w:val="2C5538B5"/>
    <w:rsid w:val="2C554743"/>
    <w:rsid w:val="2C564223"/>
    <w:rsid w:val="2C576226"/>
    <w:rsid w:val="2C583D4C"/>
    <w:rsid w:val="2C5D2151"/>
    <w:rsid w:val="2C610E53"/>
    <w:rsid w:val="2C630D27"/>
    <w:rsid w:val="2C632CF4"/>
    <w:rsid w:val="2C66290D"/>
    <w:rsid w:val="2C6D272E"/>
    <w:rsid w:val="2C715EFC"/>
    <w:rsid w:val="2C7A3CC3"/>
    <w:rsid w:val="2C803EDB"/>
    <w:rsid w:val="2C8608B9"/>
    <w:rsid w:val="2C8777F3"/>
    <w:rsid w:val="2C8B4122"/>
    <w:rsid w:val="2C901F08"/>
    <w:rsid w:val="2C906929"/>
    <w:rsid w:val="2C923581"/>
    <w:rsid w:val="2C972AC7"/>
    <w:rsid w:val="2C9805ED"/>
    <w:rsid w:val="2C9A4365"/>
    <w:rsid w:val="2C9E20A7"/>
    <w:rsid w:val="2C9F7BCD"/>
    <w:rsid w:val="2CA46F92"/>
    <w:rsid w:val="2CA70830"/>
    <w:rsid w:val="2CA87C9A"/>
    <w:rsid w:val="2CAB0320"/>
    <w:rsid w:val="2CB230DE"/>
    <w:rsid w:val="2CB2345D"/>
    <w:rsid w:val="2CB61EB5"/>
    <w:rsid w:val="2CB847EB"/>
    <w:rsid w:val="2CBA4A07"/>
    <w:rsid w:val="2CBA6BBD"/>
    <w:rsid w:val="2CC118F2"/>
    <w:rsid w:val="2CC47634"/>
    <w:rsid w:val="2CC97F56"/>
    <w:rsid w:val="2CCA6E3E"/>
    <w:rsid w:val="2CCB09C2"/>
    <w:rsid w:val="2CCD473A"/>
    <w:rsid w:val="2CD133B7"/>
    <w:rsid w:val="2CD624D9"/>
    <w:rsid w:val="2CDC497D"/>
    <w:rsid w:val="2CE05106"/>
    <w:rsid w:val="2CE25479"/>
    <w:rsid w:val="2CE81574"/>
    <w:rsid w:val="2CE83322"/>
    <w:rsid w:val="2CEF2903"/>
    <w:rsid w:val="2CF03F85"/>
    <w:rsid w:val="2CFD6DC5"/>
    <w:rsid w:val="2CFF066C"/>
    <w:rsid w:val="2D0006F8"/>
    <w:rsid w:val="2D012636"/>
    <w:rsid w:val="2D0A6BDC"/>
    <w:rsid w:val="2D0D2D89"/>
    <w:rsid w:val="2D0F08AF"/>
    <w:rsid w:val="2D12039F"/>
    <w:rsid w:val="2D123224"/>
    <w:rsid w:val="2D133FE4"/>
    <w:rsid w:val="2D2C126E"/>
    <w:rsid w:val="2D2D3DA9"/>
    <w:rsid w:val="2D2D51D9"/>
    <w:rsid w:val="2D2E420C"/>
    <w:rsid w:val="2D314CC9"/>
    <w:rsid w:val="2D354AC0"/>
    <w:rsid w:val="2D355AC5"/>
    <w:rsid w:val="2D3809AB"/>
    <w:rsid w:val="2D387604"/>
    <w:rsid w:val="2D392D05"/>
    <w:rsid w:val="2D493BC8"/>
    <w:rsid w:val="2D4A53CB"/>
    <w:rsid w:val="2D4E26A2"/>
    <w:rsid w:val="2D4F15F3"/>
    <w:rsid w:val="2D4F26FA"/>
    <w:rsid w:val="2D4F6EFD"/>
    <w:rsid w:val="2D502C75"/>
    <w:rsid w:val="2D517119"/>
    <w:rsid w:val="2D574004"/>
    <w:rsid w:val="2D5B3D07"/>
    <w:rsid w:val="2D6055AE"/>
    <w:rsid w:val="2D610D87"/>
    <w:rsid w:val="2D630468"/>
    <w:rsid w:val="2D684463"/>
    <w:rsid w:val="2D686211"/>
    <w:rsid w:val="2D691579"/>
    <w:rsid w:val="2D6F134E"/>
    <w:rsid w:val="2D7E5A35"/>
    <w:rsid w:val="2D7E6974"/>
    <w:rsid w:val="2D8868B3"/>
    <w:rsid w:val="2D8A111D"/>
    <w:rsid w:val="2D8C0151"/>
    <w:rsid w:val="2D94105E"/>
    <w:rsid w:val="2D962D7E"/>
    <w:rsid w:val="2D9C5EBB"/>
    <w:rsid w:val="2D9D78B1"/>
    <w:rsid w:val="2D9E56F5"/>
    <w:rsid w:val="2DA023D0"/>
    <w:rsid w:val="2DA52FC1"/>
    <w:rsid w:val="2DA73216"/>
    <w:rsid w:val="2DAB1B6E"/>
    <w:rsid w:val="2DAC25A2"/>
    <w:rsid w:val="2DB0293D"/>
    <w:rsid w:val="2DB142AE"/>
    <w:rsid w:val="2DB256DE"/>
    <w:rsid w:val="2DB33930"/>
    <w:rsid w:val="2DB41456"/>
    <w:rsid w:val="2DB442B4"/>
    <w:rsid w:val="2DB63557"/>
    <w:rsid w:val="2DB87198"/>
    <w:rsid w:val="2DBA0995"/>
    <w:rsid w:val="2DBB0A37"/>
    <w:rsid w:val="2DBD655D"/>
    <w:rsid w:val="2DBE22D5"/>
    <w:rsid w:val="2DCB7A40"/>
    <w:rsid w:val="2DD1025A"/>
    <w:rsid w:val="2DD438A6"/>
    <w:rsid w:val="2DD567E6"/>
    <w:rsid w:val="2DDB2E87"/>
    <w:rsid w:val="2DDD6BFF"/>
    <w:rsid w:val="2DDE64D3"/>
    <w:rsid w:val="2DDE7064"/>
    <w:rsid w:val="2DDF4725"/>
    <w:rsid w:val="2DE47F8D"/>
    <w:rsid w:val="2DE97352"/>
    <w:rsid w:val="2DED194A"/>
    <w:rsid w:val="2DEE4968"/>
    <w:rsid w:val="2DF16206"/>
    <w:rsid w:val="2DF53F49"/>
    <w:rsid w:val="2DFA0A5A"/>
    <w:rsid w:val="2DFA3F4E"/>
    <w:rsid w:val="2E006DD2"/>
    <w:rsid w:val="2E026666"/>
    <w:rsid w:val="2E0777D8"/>
    <w:rsid w:val="2E0917A2"/>
    <w:rsid w:val="2E0A72C8"/>
    <w:rsid w:val="2E110657"/>
    <w:rsid w:val="2E1168A9"/>
    <w:rsid w:val="2E150147"/>
    <w:rsid w:val="2E1C0ADB"/>
    <w:rsid w:val="2E1F5189"/>
    <w:rsid w:val="2E250C33"/>
    <w:rsid w:val="2E294193"/>
    <w:rsid w:val="2E2A255F"/>
    <w:rsid w:val="2E2D4B21"/>
    <w:rsid w:val="2E2E2FB7"/>
    <w:rsid w:val="2E304F81"/>
    <w:rsid w:val="2E312AA7"/>
    <w:rsid w:val="2E3507E9"/>
    <w:rsid w:val="2E373264"/>
    <w:rsid w:val="2E385BE3"/>
    <w:rsid w:val="2E3A195C"/>
    <w:rsid w:val="2E3A7E3A"/>
    <w:rsid w:val="2E3C1B78"/>
    <w:rsid w:val="2E3C742E"/>
    <w:rsid w:val="2E497DF1"/>
    <w:rsid w:val="2E4A5917"/>
    <w:rsid w:val="2E4E3351"/>
    <w:rsid w:val="2E4F7F14"/>
    <w:rsid w:val="2E52590E"/>
    <w:rsid w:val="2E536EC1"/>
    <w:rsid w:val="2E576C85"/>
    <w:rsid w:val="2E61444A"/>
    <w:rsid w:val="2E6305ED"/>
    <w:rsid w:val="2E65790D"/>
    <w:rsid w:val="2E667F96"/>
    <w:rsid w:val="2E671D49"/>
    <w:rsid w:val="2E687C6A"/>
    <w:rsid w:val="2E6966E5"/>
    <w:rsid w:val="2E6D5CFD"/>
    <w:rsid w:val="2E6F2745"/>
    <w:rsid w:val="2E7725D0"/>
    <w:rsid w:val="2E7C7888"/>
    <w:rsid w:val="2E7F444E"/>
    <w:rsid w:val="2E7F7830"/>
    <w:rsid w:val="2E8226AB"/>
    <w:rsid w:val="2E84600A"/>
    <w:rsid w:val="2E8B0409"/>
    <w:rsid w:val="2E9077CD"/>
    <w:rsid w:val="2E921798"/>
    <w:rsid w:val="2E931412"/>
    <w:rsid w:val="2E975000"/>
    <w:rsid w:val="2E993A04"/>
    <w:rsid w:val="2E9A064C"/>
    <w:rsid w:val="2EA63495"/>
    <w:rsid w:val="2EA66FF1"/>
    <w:rsid w:val="2EA9088F"/>
    <w:rsid w:val="2EA95F0B"/>
    <w:rsid w:val="2EAC037F"/>
    <w:rsid w:val="2EAD65D1"/>
    <w:rsid w:val="2EB51DE0"/>
    <w:rsid w:val="2EB57234"/>
    <w:rsid w:val="2EC13E2B"/>
    <w:rsid w:val="2EC92CDF"/>
    <w:rsid w:val="2ECD4050"/>
    <w:rsid w:val="2ED522CF"/>
    <w:rsid w:val="2ED61F55"/>
    <w:rsid w:val="2EDA313F"/>
    <w:rsid w:val="2EDC6EB7"/>
    <w:rsid w:val="2EDF2503"/>
    <w:rsid w:val="2EE161F9"/>
    <w:rsid w:val="2EE31FF3"/>
    <w:rsid w:val="2EE63891"/>
    <w:rsid w:val="2EE6563F"/>
    <w:rsid w:val="2EE856A7"/>
    <w:rsid w:val="2EEB0EA8"/>
    <w:rsid w:val="2EEB2B57"/>
    <w:rsid w:val="2EEC5107"/>
    <w:rsid w:val="2EEF67A6"/>
    <w:rsid w:val="2EF064BE"/>
    <w:rsid w:val="2EF06BB2"/>
    <w:rsid w:val="2EF266DA"/>
    <w:rsid w:val="2EF35FAE"/>
    <w:rsid w:val="2EF7369D"/>
    <w:rsid w:val="2EF75A9F"/>
    <w:rsid w:val="2EF7784D"/>
    <w:rsid w:val="2EFA6479"/>
    <w:rsid w:val="2EFE3147"/>
    <w:rsid w:val="2F0B32F8"/>
    <w:rsid w:val="2F10090E"/>
    <w:rsid w:val="2F132A17"/>
    <w:rsid w:val="2F177EEF"/>
    <w:rsid w:val="2F181F0A"/>
    <w:rsid w:val="2F1A178D"/>
    <w:rsid w:val="2F1A353B"/>
    <w:rsid w:val="2F1C1962"/>
    <w:rsid w:val="2F1F0B51"/>
    <w:rsid w:val="2F1F5898"/>
    <w:rsid w:val="2F272D3D"/>
    <w:rsid w:val="2F2A7EEC"/>
    <w:rsid w:val="2F2D14C0"/>
    <w:rsid w:val="2F2E54B8"/>
    <w:rsid w:val="2F391C13"/>
    <w:rsid w:val="2F396E55"/>
    <w:rsid w:val="2F3C1703"/>
    <w:rsid w:val="2F3E191F"/>
    <w:rsid w:val="2F432A92"/>
    <w:rsid w:val="2F43362D"/>
    <w:rsid w:val="2F463A0C"/>
    <w:rsid w:val="2F4A02C4"/>
    <w:rsid w:val="2F4F0640"/>
    <w:rsid w:val="2F4F682D"/>
    <w:rsid w:val="2F5051AF"/>
    <w:rsid w:val="2F540875"/>
    <w:rsid w:val="2F542B7E"/>
    <w:rsid w:val="2F576F39"/>
    <w:rsid w:val="2F5C1DA5"/>
    <w:rsid w:val="2F6649D2"/>
    <w:rsid w:val="2F666780"/>
    <w:rsid w:val="2F6824F8"/>
    <w:rsid w:val="2F6D7B0F"/>
    <w:rsid w:val="2F6F1AD9"/>
    <w:rsid w:val="2F6FF469"/>
    <w:rsid w:val="2F705FB8"/>
    <w:rsid w:val="2F7075FF"/>
    <w:rsid w:val="2F754C15"/>
    <w:rsid w:val="2F7B66D0"/>
    <w:rsid w:val="2F875074"/>
    <w:rsid w:val="2F8C4439"/>
    <w:rsid w:val="2F8F6DAA"/>
    <w:rsid w:val="2F917CA1"/>
    <w:rsid w:val="2F92553D"/>
    <w:rsid w:val="2F927575"/>
    <w:rsid w:val="2F967065"/>
    <w:rsid w:val="2F9A0DAB"/>
    <w:rsid w:val="2F9A37FA"/>
    <w:rsid w:val="2F9A4A2B"/>
    <w:rsid w:val="2FA15A0A"/>
    <w:rsid w:val="2FA42A1A"/>
    <w:rsid w:val="2FAA083A"/>
    <w:rsid w:val="2FAA5537"/>
    <w:rsid w:val="2FAF45CB"/>
    <w:rsid w:val="2FB716BC"/>
    <w:rsid w:val="2FBC180A"/>
    <w:rsid w:val="2FBD08A8"/>
    <w:rsid w:val="2FBD0C13"/>
    <w:rsid w:val="2FC811E9"/>
    <w:rsid w:val="2FCC27F9"/>
    <w:rsid w:val="2FD065E6"/>
    <w:rsid w:val="2FD858D0"/>
    <w:rsid w:val="2FD96870"/>
    <w:rsid w:val="2FDB716E"/>
    <w:rsid w:val="2FE06533"/>
    <w:rsid w:val="2FE14059"/>
    <w:rsid w:val="2FE53B49"/>
    <w:rsid w:val="2FE657B3"/>
    <w:rsid w:val="2FE76DA9"/>
    <w:rsid w:val="2FE801F5"/>
    <w:rsid w:val="2FE9188B"/>
    <w:rsid w:val="2FEA5603"/>
    <w:rsid w:val="2FEC3129"/>
    <w:rsid w:val="2FEC4ED7"/>
    <w:rsid w:val="2FEF2C1A"/>
    <w:rsid w:val="2FF11B21"/>
    <w:rsid w:val="2FF515FC"/>
    <w:rsid w:val="2FF86323"/>
    <w:rsid w:val="2FFB511A"/>
    <w:rsid w:val="2FFD70E5"/>
    <w:rsid w:val="30000983"/>
    <w:rsid w:val="3005243D"/>
    <w:rsid w:val="30077F63"/>
    <w:rsid w:val="300C37CC"/>
    <w:rsid w:val="300C7328"/>
    <w:rsid w:val="300F0BC6"/>
    <w:rsid w:val="30162FEC"/>
    <w:rsid w:val="3018020F"/>
    <w:rsid w:val="301B3A0F"/>
    <w:rsid w:val="30256E56"/>
    <w:rsid w:val="30274161"/>
    <w:rsid w:val="30275FC0"/>
    <w:rsid w:val="30281B61"/>
    <w:rsid w:val="3029612C"/>
    <w:rsid w:val="302C1778"/>
    <w:rsid w:val="302C5C1C"/>
    <w:rsid w:val="30337CC8"/>
    <w:rsid w:val="3034062C"/>
    <w:rsid w:val="30363A87"/>
    <w:rsid w:val="3037780B"/>
    <w:rsid w:val="3038636F"/>
    <w:rsid w:val="303A20E7"/>
    <w:rsid w:val="303B19BB"/>
    <w:rsid w:val="303E2766"/>
    <w:rsid w:val="30404415"/>
    <w:rsid w:val="30405935"/>
    <w:rsid w:val="30442F65"/>
    <w:rsid w:val="30466CDD"/>
    <w:rsid w:val="304D14EF"/>
    <w:rsid w:val="30580A57"/>
    <w:rsid w:val="30580BC9"/>
    <w:rsid w:val="30586A11"/>
    <w:rsid w:val="305A4537"/>
    <w:rsid w:val="305B3E0B"/>
    <w:rsid w:val="306D3B35"/>
    <w:rsid w:val="30703D5A"/>
    <w:rsid w:val="30744ECD"/>
    <w:rsid w:val="30752017"/>
    <w:rsid w:val="30752D67"/>
    <w:rsid w:val="3076603D"/>
    <w:rsid w:val="307970AE"/>
    <w:rsid w:val="307A0735"/>
    <w:rsid w:val="307B625B"/>
    <w:rsid w:val="307D1FD3"/>
    <w:rsid w:val="30825CCB"/>
    <w:rsid w:val="308C0F57"/>
    <w:rsid w:val="3091782D"/>
    <w:rsid w:val="30963095"/>
    <w:rsid w:val="309B06AC"/>
    <w:rsid w:val="30A37724"/>
    <w:rsid w:val="30A43A04"/>
    <w:rsid w:val="30A6777C"/>
    <w:rsid w:val="30A92DC8"/>
    <w:rsid w:val="30AB4D93"/>
    <w:rsid w:val="30B03B24"/>
    <w:rsid w:val="30B223A6"/>
    <w:rsid w:val="30B67293"/>
    <w:rsid w:val="30B940E1"/>
    <w:rsid w:val="30C73266"/>
    <w:rsid w:val="30C86437"/>
    <w:rsid w:val="30D2231F"/>
    <w:rsid w:val="30D32004"/>
    <w:rsid w:val="30D550DC"/>
    <w:rsid w:val="30D57792"/>
    <w:rsid w:val="30D8042F"/>
    <w:rsid w:val="30DB58CA"/>
    <w:rsid w:val="30DC55C1"/>
    <w:rsid w:val="30DF4A3C"/>
    <w:rsid w:val="30E072A6"/>
    <w:rsid w:val="30E65DCB"/>
    <w:rsid w:val="30E738F1"/>
    <w:rsid w:val="30E81B43"/>
    <w:rsid w:val="30E91417"/>
    <w:rsid w:val="30F13DC6"/>
    <w:rsid w:val="30F32296"/>
    <w:rsid w:val="30F40380"/>
    <w:rsid w:val="30F5764D"/>
    <w:rsid w:val="30FC500D"/>
    <w:rsid w:val="310224D9"/>
    <w:rsid w:val="310426F5"/>
    <w:rsid w:val="31073DEE"/>
    <w:rsid w:val="310D3357"/>
    <w:rsid w:val="31124E12"/>
    <w:rsid w:val="311A098E"/>
    <w:rsid w:val="311C32A3"/>
    <w:rsid w:val="311D7312"/>
    <w:rsid w:val="311E2ED7"/>
    <w:rsid w:val="311E5564"/>
    <w:rsid w:val="311F752F"/>
    <w:rsid w:val="31215055"/>
    <w:rsid w:val="3122211D"/>
    <w:rsid w:val="312A4A11"/>
    <w:rsid w:val="312D1C4B"/>
    <w:rsid w:val="313034EA"/>
    <w:rsid w:val="313C1E8F"/>
    <w:rsid w:val="313C59EB"/>
    <w:rsid w:val="313F54DB"/>
    <w:rsid w:val="3140197F"/>
    <w:rsid w:val="31434F33"/>
    <w:rsid w:val="31442AF1"/>
    <w:rsid w:val="31457C05"/>
    <w:rsid w:val="314E571E"/>
    <w:rsid w:val="314F5092"/>
    <w:rsid w:val="31512995"/>
    <w:rsid w:val="31527D9A"/>
    <w:rsid w:val="31560EF9"/>
    <w:rsid w:val="315619EE"/>
    <w:rsid w:val="31592A40"/>
    <w:rsid w:val="315C449C"/>
    <w:rsid w:val="316025BD"/>
    <w:rsid w:val="316118F5"/>
    <w:rsid w:val="316355F5"/>
    <w:rsid w:val="31660CB9"/>
    <w:rsid w:val="3166515D"/>
    <w:rsid w:val="31735FEC"/>
    <w:rsid w:val="3178194A"/>
    <w:rsid w:val="317F1D2F"/>
    <w:rsid w:val="31810686"/>
    <w:rsid w:val="318A2BFA"/>
    <w:rsid w:val="318D3E35"/>
    <w:rsid w:val="31905D36"/>
    <w:rsid w:val="319121DA"/>
    <w:rsid w:val="31927ECA"/>
    <w:rsid w:val="319770C5"/>
    <w:rsid w:val="31992E3D"/>
    <w:rsid w:val="319A7C78"/>
    <w:rsid w:val="319C46DB"/>
    <w:rsid w:val="31A17F44"/>
    <w:rsid w:val="31A26F12"/>
    <w:rsid w:val="31A43590"/>
    <w:rsid w:val="31A83080"/>
    <w:rsid w:val="31AD298A"/>
    <w:rsid w:val="31AF179D"/>
    <w:rsid w:val="31AF504C"/>
    <w:rsid w:val="31B82709"/>
    <w:rsid w:val="31B9528D"/>
    <w:rsid w:val="31C11B09"/>
    <w:rsid w:val="31C761A0"/>
    <w:rsid w:val="31C917FE"/>
    <w:rsid w:val="31CA34A3"/>
    <w:rsid w:val="31CA56EC"/>
    <w:rsid w:val="31CE61F5"/>
    <w:rsid w:val="31CF7155"/>
    <w:rsid w:val="31D05482"/>
    <w:rsid w:val="31D44E83"/>
    <w:rsid w:val="31D76F9C"/>
    <w:rsid w:val="31E3230A"/>
    <w:rsid w:val="31E77D87"/>
    <w:rsid w:val="31EA2236"/>
    <w:rsid w:val="31EB11BF"/>
    <w:rsid w:val="31F42769"/>
    <w:rsid w:val="3200110E"/>
    <w:rsid w:val="3203475A"/>
    <w:rsid w:val="3204001F"/>
    <w:rsid w:val="32056724"/>
    <w:rsid w:val="3207249C"/>
    <w:rsid w:val="32096681"/>
    <w:rsid w:val="32130E41"/>
    <w:rsid w:val="321D1D06"/>
    <w:rsid w:val="321D581C"/>
    <w:rsid w:val="321E1594"/>
    <w:rsid w:val="32211625"/>
    <w:rsid w:val="322272D6"/>
    <w:rsid w:val="32236BAB"/>
    <w:rsid w:val="322E7A29"/>
    <w:rsid w:val="323808A8"/>
    <w:rsid w:val="323B0365"/>
    <w:rsid w:val="32400B34"/>
    <w:rsid w:val="32403E9F"/>
    <w:rsid w:val="32427031"/>
    <w:rsid w:val="32435DB5"/>
    <w:rsid w:val="32476D3D"/>
    <w:rsid w:val="32494863"/>
    <w:rsid w:val="32525620"/>
    <w:rsid w:val="32533ADF"/>
    <w:rsid w:val="32537490"/>
    <w:rsid w:val="325D030E"/>
    <w:rsid w:val="32601BAD"/>
    <w:rsid w:val="32601CB5"/>
    <w:rsid w:val="3269020B"/>
    <w:rsid w:val="32690A61"/>
    <w:rsid w:val="32694A99"/>
    <w:rsid w:val="326E42CA"/>
    <w:rsid w:val="326E7E26"/>
    <w:rsid w:val="32713DBA"/>
    <w:rsid w:val="3272469C"/>
    <w:rsid w:val="327318E0"/>
    <w:rsid w:val="327B0795"/>
    <w:rsid w:val="32852EE6"/>
    <w:rsid w:val="3286076D"/>
    <w:rsid w:val="328E04C8"/>
    <w:rsid w:val="328E2276"/>
    <w:rsid w:val="32902492"/>
    <w:rsid w:val="329655CE"/>
    <w:rsid w:val="329A50BF"/>
    <w:rsid w:val="329D695D"/>
    <w:rsid w:val="329E6876"/>
    <w:rsid w:val="329F4483"/>
    <w:rsid w:val="32A47CEB"/>
    <w:rsid w:val="32A63A63"/>
    <w:rsid w:val="32AE2918"/>
    <w:rsid w:val="32BD0DAD"/>
    <w:rsid w:val="32C43EEA"/>
    <w:rsid w:val="32CB52DE"/>
    <w:rsid w:val="32CC2D9E"/>
    <w:rsid w:val="32D0288E"/>
    <w:rsid w:val="32D560F7"/>
    <w:rsid w:val="32D64791"/>
    <w:rsid w:val="32D91DF0"/>
    <w:rsid w:val="32E0684A"/>
    <w:rsid w:val="32E13866"/>
    <w:rsid w:val="32E26A66"/>
    <w:rsid w:val="32EB76C8"/>
    <w:rsid w:val="32EE540A"/>
    <w:rsid w:val="32F26CA9"/>
    <w:rsid w:val="32F35396"/>
    <w:rsid w:val="32FC18D5"/>
    <w:rsid w:val="3301513E"/>
    <w:rsid w:val="33024A12"/>
    <w:rsid w:val="33072928"/>
    <w:rsid w:val="330836DB"/>
    <w:rsid w:val="33092F71"/>
    <w:rsid w:val="33152997"/>
    <w:rsid w:val="33154745"/>
    <w:rsid w:val="3316226B"/>
    <w:rsid w:val="3316259B"/>
    <w:rsid w:val="33174961"/>
    <w:rsid w:val="331935FC"/>
    <w:rsid w:val="331C3D26"/>
    <w:rsid w:val="331D1AF9"/>
    <w:rsid w:val="331F7372"/>
    <w:rsid w:val="3321758E"/>
    <w:rsid w:val="33226E62"/>
    <w:rsid w:val="332B21BB"/>
    <w:rsid w:val="332C406F"/>
    <w:rsid w:val="332E2F85"/>
    <w:rsid w:val="332F0A44"/>
    <w:rsid w:val="332F1DAB"/>
    <w:rsid w:val="333015F2"/>
    <w:rsid w:val="333219C5"/>
    <w:rsid w:val="3337290D"/>
    <w:rsid w:val="333746BC"/>
    <w:rsid w:val="33391BEB"/>
    <w:rsid w:val="3339308A"/>
    <w:rsid w:val="33396201"/>
    <w:rsid w:val="333C6176"/>
    <w:rsid w:val="333C7F24"/>
    <w:rsid w:val="333E1EEE"/>
    <w:rsid w:val="333F17C2"/>
    <w:rsid w:val="33484B1B"/>
    <w:rsid w:val="334A26CA"/>
    <w:rsid w:val="334B6320"/>
    <w:rsid w:val="334D791B"/>
    <w:rsid w:val="334E5DC6"/>
    <w:rsid w:val="33501C21"/>
    <w:rsid w:val="335214F5"/>
    <w:rsid w:val="33552D94"/>
    <w:rsid w:val="33572FB0"/>
    <w:rsid w:val="33590AD6"/>
    <w:rsid w:val="335E433E"/>
    <w:rsid w:val="3361798A"/>
    <w:rsid w:val="336272E2"/>
    <w:rsid w:val="33631954"/>
    <w:rsid w:val="33635FC9"/>
    <w:rsid w:val="336E20A7"/>
    <w:rsid w:val="33744962"/>
    <w:rsid w:val="33772B88"/>
    <w:rsid w:val="337A0A4C"/>
    <w:rsid w:val="337F6063"/>
    <w:rsid w:val="3381002D"/>
    <w:rsid w:val="33835B53"/>
    <w:rsid w:val="33873DC4"/>
    <w:rsid w:val="33890C8F"/>
    <w:rsid w:val="338C5166"/>
    <w:rsid w:val="33A05842"/>
    <w:rsid w:val="33A15FD9"/>
    <w:rsid w:val="33A81BDE"/>
    <w:rsid w:val="33AB32FB"/>
    <w:rsid w:val="33AB6E58"/>
    <w:rsid w:val="33AF4B9A"/>
    <w:rsid w:val="33B16D42"/>
    <w:rsid w:val="33B201E6"/>
    <w:rsid w:val="33B522FB"/>
    <w:rsid w:val="33B57CD6"/>
    <w:rsid w:val="33B66B8B"/>
    <w:rsid w:val="33C56533"/>
    <w:rsid w:val="33CA3782"/>
    <w:rsid w:val="33CB74FA"/>
    <w:rsid w:val="33D4063A"/>
    <w:rsid w:val="33D6148D"/>
    <w:rsid w:val="33D740F0"/>
    <w:rsid w:val="33D934D4"/>
    <w:rsid w:val="33DE77D3"/>
    <w:rsid w:val="33E04D53"/>
    <w:rsid w:val="33E365F1"/>
    <w:rsid w:val="33E64529"/>
    <w:rsid w:val="33E800AC"/>
    <w:rsid w:val="33EA3E24"/>
    <w:rsid w:val="33EC7B9C"/>
    <w:rsid w:val="33ED7470"/>
    <w:rsid w:val="33F407FF"/>
    <w:rsid w:val="33FE167D"/>
    <w:rsid w:val="33FE2F6A"/>
    <w:rsid w:val="33FE342B"/>
    <w:rsid w:val="340A65C1"/>
    <w:rsid w:val="340C5B48"/>
    <w:rsid w:val="340C601F"/>
    <w:rsid w:val="340E07E5"/>
    <w:rsid w:val="34126ED7"/>
    <w:rsid w:val="341928E5"/>
    <w:rsid w:val="341C1B03"/>
    <w:rsid w:val="341C3168"/>
    <w:rsid w:val="3422046A"/>
    <w:rsid w:val="34235BF7"/>
    <w:rsid w:val="34264534"/>
    <w:rsid w:val="342A4220"/>
    <w:rsid w:val="342C40ED"/>
    <w:rsid w:val="342F1837"/>
    <w:rsid w:val="34363C66"/>
    <w:rsid w:val="343706EB"/>
    <w:rsid w:val="343C2E0E"/>
    <w:rsid w:val="34420E37"/>
    <w:rsid w:val="34453D9F"/>
    <w:rsid w:val="34464303"/>
    <w:rsid w:val="344A48C2"/>
    <w:rsid w:val="344C5C7E"/>
    <w:rsid w:val="344D5195"/>
    <w:rsid w:val="344F0C9B"/>
    <w:rsid w:val="345160B9"/>
    <w:rsid w:val="345474EF"/>
    <w:rsid w:val="34572B3B"/>
    <w:rsid w:val="34580D8D"/>
    <w:rsid w:val="345A5CDB"/>
    <w:rsid w:val="345C0C40"/>
    <w:rsid w:val="345C7433"/>
    <w:rsid w:val="345E249A"/>
    <w:rsid w:val="34654306"/>
    <w:rsid w:val="3468501E"/>
    <w:rsid w:val="346A6D13"/>
    <w:rsid w:val="346B3F92"/>
    <w:rsid w:val="346C7CD4"/>
    <w:rsid w:val="346F257B"/>
    <w:rsid w:val="346F60D7"/>
    <w:rsid w:val="347149DE"/>
    <w:rsid w:val="34761214"/>
    <w:rsid w:val="34763E6A"/>
    <w:rsid w:val="347656B7"/>
    <w:rsid w:val="347A2558"/>
    <w:rsid w:val="347B0F20"/>
    <w:rsid w:val="347B6399"/>
    <w:rsid w:val="347F62B4"/>
    <w:rsid w:val="34802092"/>
    <w:rsid w:val="34817669"/>
    <w:rsid w:val="3482405C"/>
    <w:rsid w:val="34871673"/>
    <w:rsid w:val="34874D53"/>
    <w:rsid w:val="348953EB"/>
    <w:rsid w:val="34943D90"/>
    <w:rsid w:val="34951FE2"/>
    <w:rsid w:val="349669AC"/>
    <w:rsid w:val="349D1206"/>
    <w:rsid w:val="349F69BC"/>
    <w:rsid w:val="34A2025B"/>
    <w:rsid w:val="34A55F9D"/>
    <w:rsid w:val="34A73AC3"/>
    <w:rsid w:val="34A94F8C"/>
    <w:rsid w:val="34AA710F"/>
    <w:rsid w:val="34B1049E"/>
    <w:rsid w:val="34B306BA"/>
    <w:rsid w:val="34B34216"/>
    <w:rsid w:val="34B63D06"/>
    <w:rsid w:val="34B955A4"/>
    <w:rsid w:val="34C04B85"/>
    <w:rsid w:val="34C23D09"/>
    <w:rsid w:val="34C401D1"/>
    <w:rsid w:val="34C42481"/>
    <w:rsid w:val="34C957E7"/>
    <w:rsid w:val="34CA0B0B"/>
    <w:rsid w:val="34CE72A2"/>
    <w:rsid w:val="34D24706"/>
    <w:rsid w:val="34D47966"/>
    <w:rsid w:val="34D509D7"/>
    <w:rsid w:val="34D83195"/>
    <w:rsid w:val="34D923E8"/>
    <w:rsid w:val="34DD5737"/>
    <w:rsid w:val="34DD74E5"/>
    <w:rsid w:val="34EE529A"/>
    <w:rsid w:val="34F52A80"/>
    <w:rsid w:val="34FA3BF3"/>
    <w:rsid w:val="34FE4250"/>
    <w:rsid w:val="35020BCF"/>
    <w:rsid w:val="35074561"/>
    <w:rsid w:val="350B22A4"/>
    <w:rsid w:val="350B50FC"/>
    <w:rsid w:val="35100708"/>
    <w:rsid w:val="3511718E"/>
    <w:rsid w:val="3518051D"/>
    <w:rsid w:val="35270760"/>
    <w:rsid w:val="352A434B"/>
    <w:rsid w:val="352B0250"/>
    <w:rsid w:val="352D1338"/>
    <w:rsid w:val="352D7592"/>
    <w:rsid w:val="3532685B"/>
    <w:rsid w:val="353724F2"/>
    <w:rsid w:val="3538471B"/>
    <w:rsid w:val="35384DBC"/>
    <w:rsid w:val="35407DCD"/>
    <w:rsid w:val="35425726"/>
    <w:rsid w:val="35441312"/>
    <w:rsid w:val="354B26A0"/>
    <w:rsid w:val="35523A2F"/>
    <w:rsid w:val="35551771"/>
    <w:rsid w:val="355C2AFF"/>
    <w:rsid w:val="355F2018"/>
    <w:rsid w:val="355F614C"/>
    <w:rsid w:val="356130EE"/>
    <w:rsid w:val="35675000"/>
    <w:rsid w:val="356D0868"/>
    <w:rsid w:val="357065AB"/>
    <w:rsid w:val="35731BF7"/>
    <w:rsid w:val="357A11D7"/>
    <w:rsid w:val="357A39EE"/>
    <w:rsid w:val="357A4D33"/>
    <w:rsid w:val="357D65D2"/>
    <w:rsid w:val="357E2A76"/>
    <w:rsid w:val="35831E3A"/>
    <w:rsid w:val="358B0CEF"/>
    <w:rsid w:val="358C5FA8"/>
    <w:rsid w:val="35977693"/>
    <w:rsid w:val="35984358"/>
    <w:rsid w:val="359E4EC6"/>
    <w:rsid w:val="359F29EC"/>
    <w:rsid w:val="35A156BB"/>
    <w:rsid w:val="35A16764"/>
    <w:rsid w:val="35A34598"/>
    <w:rsid w:val="35AB1391"/>
    <w:rsid w:val="35AD1101"/>
    <w:rsid w:val="35B3606A"/>
    <w:rsid w:val="35B446E9"/>
    <w:rsid w:val="35B5220F"/>
    <w:rsid w:val="35B75F88"/>
    <w:rsid w:val="35C15DF1"/>
    <w:rsid w:val="35C46FDB"/>
    <w:rsid w:val="35CB7125"/>
    <w:rsid w:val="35D24B6F"/>
    <w:rsid w:val="35D2691D"/>
    <w:rsid w:val="35D408E8"/>
    <w:rsid w:val="35DA1C76"/>
    <w:rsid w:val="35DF6AED"/>
    <w:rsid w:val="35E328D9"/>
    <w:rsid w:val="35E86141"/>
    <w:rsid w:val="35EC30C4"/>
    <w:rsid w:val="35F20650"/>
    <w:rsid w:val="35F76384"/>
    <w:rsid w:val="35FB2318"/>
    <w:rsid w:val="35FB40C6"/>
    <w:rsid w:val="36015455"/>
    <w:rsid w:val="36052671"/>
    <w:rsid w:val="36054F45"/>
    <w:rsid w:val="36074A7F"/>
    <w:rsid w:val="36077838"/>
    <w:rsid w:val="360B30A2"/>
    <w:rsid w:val="360C1F8B"/>
    <w:rsid w:val="360C62D3"/>
    <w:rsid w:val="360F7B72"/>
    <w:rsid w:val="36102196"/>
    <w:rsid w:val="361127F4"/>
    <w:rsid w:val="36127662"/>
    <w:rsid w:val="361909F0"/>
    <w:rsid w:val="361E1659"/>
    <w:rsid w:val="361E6007"/>
    <w:rsid w:val="3623361D"/>
    <w:rsid w:val="362668FB"/>
    <w:rsid w:val="36285BE3"/>
    <w:rsid w:val="362D624A"/>
    <w:rsid w:val="36321AB2"/>
    <w:rsid w:val="3632560E"/>
    <w:rsid w:val="36363350"/>
    <w:rsid w:val="363710E2"/>
    <w:rsid w:val="363870C8"/>
    <w:rsid w:val="363E2205"/>
    <w:rsid w:val="36413AA3"/>
    <w:rsid w:val="364C66D0"/>
    <w:rsid w:val="365075ED"/>
    <w:rsid w:val="365442FF"/>
    <w:rsid w:val="36581519"/>
    <w:rsid w:val="36590DED"/>
    <w:rsid w:val="365C0EF9"/>
    <w:rsid w:val="365C2BAC"/>
    <w:rsid w:val="3660217B"/>
    <w:rsid w:val="366559E4"/>
    <w:rsid w:val="366D4898"/>
    <w:rsid w:val="36820344"/>
    <w:rsid w:val="36923549"/>
    <w:rsid w:val="3692680B"/>
    <w:rsid w:val="3698148D"/>
    <w:rsid w:val="36981915"/>
    <w:rsid w:val="36987D7D"/>
    <w:rsid w:val="369C2AC2"/>
    <w:rsid w:val="369D517D"/>
    <w:rsid w:val="369E56BC"/>
    <w:rsid w:val="36A111C5"/>
    <w:rsid w:val="36A54032"/>
    <w:rsid w:val="36A75899"/>
    <w:rsid w:val="36A93B22"/>
    <w:rsid w:val="36AA54D0"/>
    <w:rsid w:val="36B204FD"/>
    <w:rsid w:val="36B56FF4"/>
    <w:rsid w:val="36B6732D"/>
    <w:rsid w:val="36B75FBF"/>
    <w:rsid w:val="36BB1AA7"/>
    <w:rsid w:val="36BD0C45"/>
    <w:rsid w:val="36BD137C"/>
    <w:rsid w:val="36C4095C"/>
    <w:rsid w:val="36C46BAE"/>
    <w:rsid w:val="36C56DDE"/>
    <w:rsid w:val="36C61A50"/>
    <w:rsid w:val="36C95F72"/>
    <w:rsid w:val="36D51CCB"/>
    <w:rsid w:val="36D84407"/>
    <w:rsid w:val="36DA1F2E"/>
    <w:rsid w:val="36E0150E"/>
    <w:rsid w:val="36E032BC"/>
    <w:rsid w:val="36E508D2"/>
    <w:rsid w:val="36E7464B"/>
    <w:rsid w:val="36EE07C6"/>
    <w:rsid w:val="36EE59D9"/>
    <w:rsid w:val="36EE7787"/>
    <w:rsid w:val="36EF34FF"/>
    <w:rsid w:val="36F12A6E"/>
    <w:rsid w:val="370048A0"/>
    <w:rsid w:val="3700570C"/>
    <w:rsid w:val="37021484"/>
    <w:rsid w:val="3709636F"/>
    <w:rsid w:val="370C2303"/>
    <w:rsid w:val="37106D62"/>
    <w:rsid w:val="37163E07"/>
    <w:rsid w:val="37175903"/>
    <w:rsid w:val="37187417"/>
    <w:rsid w:val="37194F3C"/>
    <w:rsid w:val="371B60A2"/>
    <w:rsid w:val="371C0798"/>
    <w:rsid w:val="37225683"/>
    <w:rsid w:val="37256F21"/>
    <w:rsid w:val="37265173"/>
    <w:rsid w:val="372C6501"/>
    <w:rsid w:val="372E285D"/>
    <w:rsid w:val="372F4304"/>
    <w:rsid w:val="37305644"/>
    <w:rsid w:val="37335877"/>
    <w:rsid w:val="373B6B4A"/>
    <w:rsid w:val="373F4487"/>
    <w:rsid w:val="374101FF"/>
    <w:rsid w:val="37427AD3"/>
    <w:rsid w:val="374730B1"/>
    <w:rsid w:val="374B4D08"/>
    <w:rsid w:val="374C0952"/>
    <w:rsid w:val="374E0226"/>
    <w:rsid w:val="374E6478"/>
    <w:rsid w:val="3768578B"/>
    <w:rsid w:val="376E09B0"/>
    <w:rsid w:val="377203B8"/>
    <w:rsid w:val="3772660A"/>
    <w:rsid w:val="3773031F"/>
    <w:rsid w:val="37735EDE"/>
    <w:rsid w:val="37743806"/>
    <w:rsid w:val="37757EA8"/>
    <w:rsid w:val="37781675"/>
    <w:rsid w:val="377C1237"/>
    <w:rsid w:val="378202B6"/>
    <w:rsid w:val="37826121"/>
    <w:rsid w:val="37846E02"/>
    <w:rsid w:val="37873738"/>
    <w:rsid w:val="37887BDC"/>
    <w:rsid w:val="37955E55"/>
    <w:rsid w:val="37985945"/>
    <w:rsid w:val="3798786A"/>
    <w:rsid w:val="379E634E"/>
    <w:rsid w:val="37A95DA4"/>
    <w:rsid w:val="37AB76F4"/>
    <w:rsid w:val="37B207B5"/>
    <w:rsid w:val="37B403C3"/>
    <w:rsid w:val="37B61533"/>
    <w:rsid w:val="37B93214"/>
    <w:rsid w:val="37BA58BB"/>
    <w:rsid w:val="37C130EE"/>
    <w:rsid w:val="37C329C2"/>
    <w:rsid w:val="37C52103"/>
    <w:rsid w:val="37C8447C"/>
    <w:rsid w:val="37CE1367"/>
    <w:rsid w:val="37D22C05"/>
    <w:rsid w:val="37DA5F5D"/>
    <w:rsid w:val="37DE4B11"/>
    <w:rsid w:val="37DF17C6"/>
    <w:rsid w:val="37DF3574"/>
    <w:rsid w:val="37E00298"/>
    <w:rsid w:val="37E312B6"/>
    <w:rsid w:val="37E56DDC"/>
    <w:rsid w:val="37EA43F2"/>
    <w:rsid w:val="37EB4955"/>
    <w:rsid w:val="37ED3EE3"/>
    <w:rsid w:val="37F214F9"/>
    <w:rsid w:val="37F963E3"/>
    <w:rsid w:val="37FC2378"/>
    <w:rsid w:val="37FE7E9E"/>
    <w:rsid w:val="380060CA"/>
    <w:rsid w:val="3801798E"/>
    <w:rsid w:val="38024BA8"/>
    <w:rsid w:val="38042FDA"/>
    <w:rsid w:val="380755BE"/>
    <w:rsid w:val="38082ACA"/>
    <w:rsid w:val="381B195D"/>
    <w:rsid w:val="381C20F8"/>
    <w:rsid w:val="381E409C"/>
    <w:rsid w:val="381E7F36"/>
    <w:rsid w:val="38203E02"/>
    <w:rsid w:val="38211DDE"/>
    <w:rsid w:val="3825731A"/>
    <w:rsid w:val="382611A3"/>
    <w:rsid w:val="383438BF"/>
    <w:rsid w:val="38387E82"/>
    <w:rsid w:val="38404012"/>
    <w:rsid w:val="38405E92"/>
    <w:rsid w:val="38415FDC"/>
    <w:rsid w:val="38417D8A"/>
    <w:rsid w:val="38433B03"/>
    <w:rsid w:val="384A4E91"/>
    <w:rsid w:val="384E54C7"/>
    <w:rsid w:val="38543F62"/>
    <w:rsid w:val="3857135C"/>
    <w:rsid w:val="385726B0"/>
    <w:rsid w:val="38573C0E"/>
    <w:rsid w:val="38580C13"/>
    <w:rsid w:val="385D4D74"/>
    <w:rsid w:val="38600A43"/>
    <w:rsid w:val="38602906"/>
    <w:rsid w:val="38606463"/>
    <w:rsid w:val="38610A4B"/>
    <w:rsid w:val="386677F1"/>
    <w:rsid w:val="386D3B33"/>
    <w:rsid w:val="386D6DD1"/>
    <w:rsid w:val="387463B2"/>
    <w:rsid w:val="38797524"/>
    <w:rsid w:val="387E68E3"/>
    <w:rsid w:val="3882287D"/>
    <w:rsid w:val="3885236D"/>
    <w:rsid w:val="388A33D2"/>
    <w:rsid w:val="388C7258"/>
    <w:rsid w:val="38910D12"/>
    <w:rsid w:val="3891486E"/>
    <w:rsid w:val="38934A8A"/>
    <w:rsid w:val="389A2D2B"/>
    <w:rsid w:val="38A11723"/>
    <w:rsid w:val="38A24CCD"/>
    <w:rsid w:val="38A57CF8"/>
    <w:rsid w:val="38A6151F"/>
    <w:rsid w:val="38A63490"/>
    <w:rsid w:val="38B302F9"/>
    <w:rsid w:val="38B3232B"/>
    <w:rsid w:val="38B4055C"/>
    <w:rsid w:val="38B7004D"/>
    <w:rsid w:val="38B844F1"/>
    <w:rsid w:val="38BF307A"/>
    <w:rsid w:val="38C20ECB"/>
    <w:rsid w:val="38C420A7"/>
    <w:rsid w:val="38C537E4"/>
    <w:rsid w:val="38C70290"/>
    <w:rsid w:val="38C764E2"/>
    <w:rsid w:val="38CA1127"/>
    <w:rsid w:val="38CC58A6"/>
    <w:rsid w:val="38CF1348"/>
    <w:rsid w:val="38CF183A"/>
    <w:rsid w:val="38D64977"/>
    <w:rsid w:val="38D87D18"/>
    <w:rsid w:val="38D91609"/>
    <w:rsid w:val="38D96215"/>
    <w:rsid w:val="38DA279F"/>
    <w:rsid w:val="38DD7AB3"/>
    <w:rsid w:val="38E1635E"/>
    <w:rsid w:val="38E22530"/>
    <w:rsid w:val="38E2331B"/>
    <w:rsid w:val="38E30E42"/>
    <w:rsid w:val="38E35C8E"/>
    <w:rsid w:val="38E76B84"/>
    <w:rsid w:val="38E946AA"/>
    <w:rsid w:val="38F12CD3"/>
    <w:rsid w:val="38F4304F"/>
    <w:rsid w:val="38F44DFD"/>
    <w:rsid w:val="38F94775"/>
    <w:rsid w:val="38FB36D6"/>
    <w:rsid w:val="39033292"/>
    <w:rsid w:val="390908A8"/>
    <w:rsid w:val="390F7E89"/>
    <w:rsid w:val="391159AF"/>
    <w:rsid w:val="3916629D"/>
    <w:rsid w:val="39186D3D"/>
    <w:rsid w:val="3919008B"/>
    <w:rsid w:val="39194863"/>
    <w:rsid w:val="391C1396"/>
    <w:rsid w:val="391D25A6"/>
    <w:rsid w:val="391E32EE"/>
    <w:rsid w:val="392456E2"/>
    <w:rsid w:val="39287DAF"/>
    <w:rsid w:val="39292CF8"/>
    <w:rsid w:val="392971ED"/>
    <w:rsid w:val="392B2AB6"/>
    <w:rsid w:val="392C1D09"/>
    <w:rsid w:val="39316051"/>
    <w:rsid w:val="39325651"/>
    <w:rsid w:val="39440A0C"/>
    <w:rsid w:val="39455658"/>
    <w:rsid w:val="39495149"/>
    <w:rsid w:val="394B0FF2"/>
    <w:rsid w:val="394B7113"/>
    <w:rsid w:val="394E53B9"/>
    <w:rsid w:val="395476CF"/>
    <w:rsid w:val="39577C58"/>
    <w:rsid w:val="395871B1"/>
    <w:rsid w:val="396C6591"/>
    <w:rsid w:val="396E2E01"/>
    <w:rsid w:val="396E4BAF"/>
    <w:rsid w:val="39730417"/>
    <w:rsid w:val="397A17A6"/>
    <w:rsid w:val="397A3554"/>
    <w:rsid w:val="397C551E"/>
    <w:rsid w:val="397E7D6B"/>
    <w:rsid w:val="39842625"/>
    <w:rsid w:val="39847845"/>
    <w:rsid w:val="39861EF9"/>
    <w:rsid w:val="398F3CC5"/>
    <w:rsid w:val="39914638"/>
    <w:rsid w:val="3995038E"/>
    <w:rsid w:val="39965EB4"/>
    <w:rsid w:val="39975BA6"/>
    <w:rsid w:val="39993B93"/>
    <w:rsid w:val="3999726C"/>
    <w:rsid w:val="399D36E6"/>
    <w:rsid w:val="399F2FBB"/>
    <w:rsid w:val="39A27F0D"/>
    <w:rsid w:val="39A926E4"/>
    <w:rsid w:val="39A95BE7"/>
    <w:rsid w:val="39AE5709"/>
    <w:rsid w:val="39B32F0A"/>
    <w:rsid w:val="39B478E6"/>
    <w:rsid w:val="39B76556"/>
    <w:rsid w:val="39BC4DC8"/>
    <w:rsid w:val="39C173D5"/>
    <w:rsid w:val="39C46EC5"/>
    <w:rsid w:val="39CA2DF5"/>
    <w:rsid w:val="39CD7B28"/>
    <w:rsid w:val="39D569DC"/>
    <w:rsid w:val="39D771DD"/>
    <w:rsid w:val="39D864CC"/>
    <w:rsid w:val="39E025F7"/>
    <w:rsid w:val="39E15381"/>
    <w:rsid w:val="39E3734B"/>
    <w:rsid w:val="39E60BE9"/>
    <w:rsid w:val="39E80B55"/>
    <w:rsid w:val="39E92488"/>
    <w:rsid w:val="39EB32F7"/>
    <w:rsid w:val="39ED1F78"/>
    <w:rsid w:val="39F2758E"/>
    <w:rsid w:val="39F81784"/>
    <w:rsid w:val="39F96B6F"/>
    <w:rsid w:val="39FF7EFD"/>
    <w:rsid w:val="3A06128C"/>
    <w:rsid w:val="3A092B2A"/>
    <w:rsid w:val="3A0B68A2"/>
    <w:rsid w:val="3A0F6392"/>
    <w:rsid w:val="3A15327D"/>
    <w:rsid w:val="3A177F10"/>
    <w:rsid w:val="3A1C0AAF"/>
    <w:rsid w:val="3A231125"/>
    <w:rsid w:val="3A2312DB"/>
    <w:rsid w:val="3A2560A7"/>
    <w:rsid w:val="3A2741E2"/>
    <w:rsid w:val="3A2C570F"/>
    <w:rsid w:val="3A2E433E"/>
    <w:rsid w:val="3A2E4DC8"/>
    <w:rsid w:val="3A35391F"/>
    <w:rsid w:val="3A3C4CAD"/>
    <w:rsid w:val="3A414072"/>
    <w:rsid w:val="3A445910"/>
    <w:rsid w:val="3A483652"/>
    <w:rsid w:val="3A4F17DD"/>
    <w:rsid w:val="3A4F678F"/>
    <w:rsid w:val="3A500759"/>
    <w:rsid w:val="3A5164BC"/>
    <w:rsid w:val="3A5169AB"/>
    <w:rsid w:val="3A52002D"/>
    <w:rsid w:val="3A5244D1"/>
    <w:rsid w:val="3A541FF7"/>
    <w:rsid w:val="3A591F05"/>
    <w:rsid w:val="3A5B15D7"/>
    <w:rsid w:val="3A5B3385"/>
    <w:rsid w:val="3A5B5667"/>
    <w:rsid w:val="3A5B5D7C"/>
    <w:rsid w:val="3A5C1EF8"/>
    <w:rsid w:val="3A63223A"/>
    <w:rsid w:val="3A655FB2"/>
    <w:rsid w:val="3A680E3F"/>
    <w:rsid w:val="3A6B10EF"/>
    <w:rsid w:val="3A716474"/>
    <w:rsid w:val="3A7368AF"/>
    <w:rsid w:val="3A7379ED"/>
    <w:rsid w:val="3A7812BD"/>
    <w:rsid w:val="3A7D6B2B"/>
    <w:rsid w:val="3A816B64"/>
    <w:rsid w:val="3A86417A"/>
    <w:rsid w:val="3A872856"/>
    <w:rsid w:val="3A873428"/>
    <w:rsid w:val="3A887EF3"/>
    <w:rsid w:val="3A891563"/>
    <w:rsid w:val="3A8A77C7"/>
    <w:rsid w:val="3A8B7A04"/>
    <w:rsid w:val="3A8D72B7"/>
    <w:rsid w:val="3A914FF9"/>
    <w:rsid w:val="3A96260F"/>
    <w:rsid w:val="3A9D51EB"/>
    <w:rsid w:val="3AA12D62"/>
    <w:rsid w:val="3AA36ADA"/>
    <w:rsid w:val="3AA617E3"/>
    <w:rsid w:val="3AA82343"/>
    <w:rsid w:val="3AA956AA"/>
    <w:rsid w:val="3AAF722D"/>
    <w:rsid w:val="3AB17686"/>
    <w:rsid w:val="3AB42A96"/>
    <w:rsid w:val="3AB72586"/>
    <w:rsid w:val="3AC11C6B"/>
    <w:rsid w:val="3AC70A1B"/>
    <w:rsid w:val="3ACC330C"/>
    <w:rsid w:val="3AD15273"/>
    <w:rsid w:val="3AE01ADD"/>
    <w:rsid w:val="3AE0388B"/>
    <w:rsid w:val="3AE72E6B"/>
    <w:rsid w:val="3AE74C19"/>
    <w:rsid w:val="3AEF1D20"/>
    <w:rsid w:val="3AF410E4"/>
    <w:rsid w:val="3AF64E38"/>
    <w:rsid w:val="3AFB1CBF"/>
    <w:rsid w:val="3AFE1F63"/>
    <w:rsid w:val="3B007A89"/>
    <w:rsid w:val="3B023801"/>
    <w:rsid w:val="3B026D8D"/>
    <w:rsid w:val="3B043A1D"/>
    <w:rsid w:val="3B0532F1"/>
    <w:rsid w:val="3B0A0908"/>
    <w:rsid w:val="3B0C28D2"/>
    <w:rsid w:val="3B0D21A6"/>
    <w:rsid w:val="3B0D319F"/>
    <w:rsid w:val="3B1A3241"/>
    <w:rsid w:val="3B1B6E04"/>
    <w:rsid w:val="3B223EA3"/>
    <w:rsid w:val="3B2319C9"/>
    <w:rsid w:val="3B247C1B"/>
    <w:rsid w:val="3B253993"/>
    <w:rsid w:val="3B2A71FC"/>
    <w:rsid w:val="3B2C4D22"/>
    <w:rsid w:val="3B300D46"/>
    <w:rsid w:val="3B304812"/>
    <w:rsid w:val="3B3162CB"/>
    <w:rsid w:val="3B371514"/>
    <w:rsid w:val="3B3763D1"/>
    <w:rsid w:val="3B3B3DC5"/>
    <w:rsid w:val="3B3B6D13"/>
    <w:rsid w:val="3B3F2CA7"/>
    <w:rsid w:val="3B4D783B"/>
    <w:rsid w:val="3B4F1833"/>
    <w:rsid w:val="3B542BFD"/>
    <w:rsid w:val="3B5D137F"/>
    <w:rsid w:val="3B5F117C"/>
    <w:rsid w:val="3B633C47"/>
    <w:rsid w:val="3B64270E"/>
    <w:rsid w:val="3B64626A"/>
    <w:rsid w:val="3B6F4C0F"/>
    <w:rsid w:val="3B793152"/>
    <w:rsid w:val="3B7B77D4"/>
    <w:rsid w:val="3B8701AA"/>
    <w:rsid w:val="3B89694A"/>
    <w:rsid w:val="3B8C62A3"/>
    <w:rsid w:val="3B9B5A04"/>
    <w:rsid w:val="3B9C1EA7"/>
    <w:rsid w:val="3B9E3179"/>
    <w:rsid w:val="3BA945C4"/>
    <w:rsid w:val="3BAA2737"/>
    <w:rsid w:val="3BAB3E99"/>
    <w:rsid w:val="3BBC2603"/>
    <w:rsid w:val="3BBC696F"/>
    <w:rsid w:val="3BBD3DE9"/>
    <w:rsid w:val="3BBF5B96"/>
    <w:rsid w:val="3BBF747C"/>
    <w:rsid w:val="3BC136BC"/>
    <w:rsid w:val="3BC74A4B"/>
    <w:rsid w:val="3BD17677"/>
    <w:rsid w:val="3BD46D66"/>
    <w:rsid w:val="3BD77542"/>
    <w:rsid w:val="3BD866A3"/>
    <w:rsid w:val="3BD9707D"/>
    <w:rsid w:val="3BDA3FEB"/>
    <w:rsid w:val="3BDA41A8"/>
    <w:rsid w:val="3BE178BA"/>
    <w:rsid w:val="3BE3534E"/>
    <w:rsid w:val="3BE86F47"/>
    <w:rsid w:val="3BEA2649"/>
    <w:rsid w:val="3BEB0E2D"/>
    <w:rsid w:val="3BEF38F1"/>
    <w:rsid w:val="3BF13876"/>
    <w:rsid w:val="3BF20CEE"/>
    <w:rsid w:val="3BF27D19"/>
    <w:rsid w:val="3BF423D8"/>
    <w:rsid w:val="3BF82E56"/>
    <w:rsid w:val="3BFA097C"/>
    <w:rsid w:val="3C0B5674"/>
    <w:rsid w:val="3C0D6901"/>
    <w:rsid w:val="3C0F3670"/>
    <w:rsid w:val="3C1001A0"/>
    <w:rsid w:val="3C12216A"/>
    <w:rsid w:val="3C145EE2"/>
    <w:rsid w:val="3C154B1E"/>
    <w:rsid w:val="3C171E75"/>
    <w:rsid w:val="3C196B5E"/>
    <w:rsid w:val="3C1A62C7"/>
    <w:rsid w:val="3C1C08F2"/>
    <w:rsid w:val="3C1F267C"/>
    <w:rsid w:val="3C2123AD"/>
    <w:rsid w:val="3C21415B"/>
    <w:rsid w:val="3C2E7F82"/>
    <w:rsid w:val="3C2F6E1E"/>
    <w:rsid w:val="3C3744B2"/>
    <w:rsid w:val="3C40376A"/>
    <w:rsid w:val="3C445645"/>
    <w:rsid w:val="3C487939"/>
    <w:rsid w:val="3C4B11D8"/>
    <w:rsid w:val="3C4F64BA"/>
    <w:rsid w:val="3C504A40"/>
    <w:rsid w:val="3C5203FE"/>
    <w:rsid w:val="3C574020"/>
    <w:rsid w:val="3C5A141B"/>
    <w:rsid w:val="3C5B10D4"/>
    <w:rsid w:val="3C5C640C"/>
    <w:rsid w:val="3C6127A9"/>
    <w:rsid w:val="3C700C3E"/>
    <w:rsid w:val="3C7249B6"/>
    <w:rsid w:val="3C746980"/>
    <w:rsid w:val="3C7603D2"/>
    <w:rsid w:val="3C780106"/>
    <w:rsid w:val="3C7F0E81"/>
    <w:rsid w:val="3C84126C"/>
    <w:rsid w:val="3C8628E4"/>
    <w:rsid w:val="3C8A1D00"/>
    <w:rsid w:val="3C8A2E1F"/>
    <w:rsid w:val="3C8B5A78"/>
    <w:rsid w:val="3C8C50EB"/>
    <w:rsid w:val="3C902B04"/>
    <w:rsid w:val="3C90308E"/>
    <w:rsid w:val="3C925059"/>
    <w:rsid w:val="3C94492D"/>
    <w:rsid w:val="3C9E39FD"/>
    <w:rsid w:val="3CA20800"/>
    <w:rsid w:val="3CAA4150"/>
    <w:rsid w:val="3CAB7EC8"/>
    <w:rsid w:val="3CBE7BFC"/>
    <w:rsid w:val="3CC03974"/>
    <w:rsid w:val="3CC35212"/>
    <w:rsid w:val="3CD25455"/>
    <w:rsid w:val="3CDA245A"/>
    <w:rsid w:val="3CDC4526"/>
    <w:rsid w:val="3CDE01D9"/>
    <w:rsid w:val="3CE05DC4"/>
    <w:rsid w:val="3CE21B3C"/>
    <w:rsid w:val="3CE358B4"/>
    <w:rsid w:val="3CE50BE3"/>
    <w:rsid w:val="3CED6733"/>
    <w:rsid w:val="3CEF6007"/>
    <w:rsid w:val="3CF16761"/>
    <w:rsid w:val="3CF33D49"/>
    <w:rsid w:val="3CF47D1C"/>
    <w:rsid w:val="3CF8135F"/>
    <w:rsid w:val="3CFA5A1F"/>
    <w:rsid w:val="3D000381"/>
    <w:rsid w:val="3D006466"/>
    <w:rsid w:val="3D021290"/>
    <w:rsid w:val="3D0715A3"/>
    <w:rsid w:val="3D0A1093"/>
    <w:rsid w:val="3D0C0065"/>
    <w:rsid w:val="3D127F47"/>
    <w:rsid w:val="3D156842"/>
    <w:rsid w:val="3D1B0CDA"/>
    <w:rsid w:val="3D1E06B7"/>
    <w:rsid w:val="3D204D70"/>
    <w:rsid w:val="3D227B83"/>
    <w:rsid w:val="3D2B4A7E"/>
    <w:rsid w:val="3D2E2FD3"/>
    <w:rsid w:val="3D324146"/>
    <w:rsid w:val="3D363C36"/>
    <w:rsid w:val="3D375BF2"/>
    <w:rsid w:val="3D390512"/>
    <w:rsid w:val="3D3B2FFA"/>
    <w:rsid w:val="3D3E2AEA"/>
    <w:rsid w:val="3D4A148F"/>
    <w:rsid w:val="3D4C16AB"/>
    <w:rsid w:val="3D4C4C50"/>
    <w:rsid w:val="3D4F4CF8"/>
    <w:rsid w:val="3D536596"/>
    <w:rsid w:val="3D566086"/>
    <w:rsid w:val="3D5B544A"/>
    <w:rsid w:val="3D623AB8"/>
    <w:rsid w:val="3D64736B"/>
    <w:rsid w:val="3D65451B"/>
    <w:rsid w:val="3D6A1B31"/>
    <w:rsid w:val="3D6E33D0"/>
    <w:rsid w:val="3D711112"/>
    <w:rsid w:val="3D760AE1"/>
    <w:rsid w:val="3D775644"/>
    <w:rsid w:val="3D791D75"/>
    <w:rsid w:val="3D7D7AB7"/>
    <w:rsid w:val="3D87623F"/>
    <w:rsid w:val="3D8A3F82"/>
    <w:rsid w:val="3D8C5F4C"/>
    <w:rsid w:val="3D8F3346"/>
    <w:rsid w:val="3D9267FC"/>
    <w:rsid w:val="3D967AB1"/>
    <w:rsid w:val="3D9A10BB"/>
    <w:rsid w:val="3D9F50BB"/>
    <w:rsid w:val="3DA2751D"/>
    <w:rsid w:val="3DA43295"/>
    <w:rsid w:val="3DA60DBB"/>
    <w:rsid w:val="3DA643C7"/>
    <w:rsid w:val="3DA74B34"/>
    <w:rsid w:val="3DA82244"/>
    <w:rsid w:val="3DA94B3F"/>
    <w:rsid w:val="3DAC214A"/>
    <w:rsid w:val="3DB01C3A"/>
    <w:rsid w:val="3DB64D77"/>
    <w:rsid w:val="3DBB7D00"/>
    <w:rsid w:val="3DC079A3"/>
    <w:rsid w:val="3DC2371B"/>
    <w:rsid w:val="3DC254CA"/>
    <w:rsid w:val="3DD278E9"/>
    <w:rsid w:val="3DD5344F"/>
    <w:rsid w:val="3DD551FD"/>
    <w:rsid w:val="3DD671C7"/>
    <w:rsid w:val="3DDF6F3F"/>
    <w:rsid w:val="3DE003C3"/>
    <w:rsid w:val="3DE2791A"/>
    <w:rsid w:val="3DE60FB3"/>
    <w:rsid w:val="3DE73182"/>
    <w:rsid w:val="3DE74F30"/>
    <w:rsid w:val="3DF80EEB"/>
    <w:rsid w:val="3DFA2EB5"/>
    <w:rsid w:val="3DFD26A5"/>
    <w:rsid w:val="3E045AE2"/>
    <w:rsid w:val="3E06185A"/>
    <w:rsid w:val="3E0930F8"/>
    <w:rsid w:val="3E111FAD"/>
    <w:rsid w:val="3E142BE7"/>
    <w:rsid w:val="3E173A67"/>
    <w:rsid w:val="3E207D70"/>
    <w:rsid w:val="3E23240C"/>
    <w:rsid w:val="3E241CE0"/>
    <w:rsid w:val="3E265A58"/>
    <w:rsid w:val="3E2B7513"/>
    <w:rsid w:val="3E300685"/>
    <w:rsid w:val="3E3D61CD"/>
    <w:rsid w:val="3E3E0B53"/>
    <w:rsid w:val="3E3F6B1A"/>
    <w:rsid w:val="3E412892"/>
    <w:rsid w:val="3E435396"/>
    <w:rsid w:val="3E483C21"/>
    <w:rsid w:val="3E491747"/>
    <w:rsid w:val="3E4F5F4D"/>
    <w:rsid w:val="3E5153F8"/>
    <w:rsid w:val="3E563C1A"/>
    <w:rsid w:val="3E5720B6"/>
    <w:rsid w:val="3E5803E4"/>
    <w:rsid w:val="3E584682"/>
    <w:rsid w:val="3E5C76CC"/>
    <w:rsid w:val="3E646581"/>
    <w:rsid w:val="3E6A67A5"/>
    <w:rsid w:val="3E6D0C57"/>
    <w:rsid w:val="3E6D1A7C"/>
    <w:rsid w:val="3E6D3687"/>
    <w:rsid w:val="3E7013C9"/>
    <w:rsid w:val="3E75078E"/>
    <w:rsid w:val="3E80785E"/>
    <w:rsid w:val="3E817133"/>
    <w:rsid w:val="3E86735F"/>
    <w:rsid w:val="3E8827FC"/>
    <w:rsid w:val="3E8D5AD7"/>
    <w:rsid w:val="3E9055C8"/>
    <w:rsid w:val="3E921340"/>
    <w:rsid w:val="3E970704"/>
    <w:rsid w:val="3E9D053F"/>
    <w:rsid w:val="3E9E7CE5"/>
    <w:rsid w:val="3EA11583"/>
    <w:rsid w:val="3EA13331"/>
    <w:rsid w:val="3EA80345"/>
    <w:rsid w:val="3EAB0654"/>
    <w:rsid w:val="3EAB41B0"/>
    <w:rsid w:val="3EAC5A7F"/>
    <w:rsid w:val="3EAF182F"/>
    <w:rsid w:val="3EB05C6A"/>
    <w:rsid w:val="3EBB0897"/>
    <w:rsid w:val="3EBC63BD"/>
    <w:rsid w:val="3EC0145C"/>
    <w:rsid w:val="3EC05EAD"/>
    <w:rsid w:val="3EC314F9"/>
    <w:rsid w:val="3EC51653"/>
    <w:rsid w:val="3EC51715"/>
    <w:rsid w:val="3EC86B10"/>
    <w:rsid w:val="3ECB4852"/>
    <w:rsid w:val="3ED23E32"/>
    <w:rsid w:val="3ED625F7"/>
    <w:rsid w:val="3ED7217B"/>
    <w:rsid w:val="3ED74FA5"/>
    <w:rsid w:val="3ED90D1D"/>
    <w:rsid w:val="3EDA0523"/>
    <w:rsid w:val="3EDA6843"/>
    <w:rsid w:val="3EDE27D7"/>
    <w:rsid w:val="3EE424D6"/>
    <w:rsid w:val="3EE6168C"/>
    <w:rsid w:val="3EEF0540"/>
    <w:rsid w:val="3EF43DA9"/>
    <w:rsid w:val="3EF80A8E"/>
    <w:rsid w:val="3EFC4A0B"/>
    <w:rsid w:val="3F0D09C6"/>
    <w:rsid w:val="3F0D4E6A"/>
    <w:rsid w:val="3F0D7BFA"/>
    <w:rsid w:val="3F0F2990"/>
    <w:rsid w:val="3F11495A"/>
    <w:rsid w:val="3F14438B"/>
    <w:rsid w:val="3F150FF1"/>
    <w:rsid w:val="3F1C5CDE"/>
    <w:rsid w:val="3F1D39BD"/>
    <w:rsid w:val="3F2C2AF3"/>
    <w:rsid w:val="3F2D72BA"/>
    <w:rsid w:val="3F406FEE"/>
    <w:rsid w:val="3F4168C2"/>
    <w:rsid w:val="3F4425A2"/>
    <w:rsid w:val="3F464CE2"/>
    <w:rsid w:val="3F4A39C9"/>
    <w:rsid w:val="3F4C5993"/>
    <w:rsid w:val="3F516B05"/>
    <w:rsid w:val="3F52287D"/>
    <w:rsid w:val="3F5575B0"/>
    <w:rsid w:val="3F5D36FC"/>
    <w:rsid w:val="3F6C393F"/>
    <w:rsid w:val="3F6C4252"/>
    <w:rsid w:val="3F6F342F"/>
    <w:rsid w:val="3F7263FE"/>
    <w:rsid w:val="3F730AEC"/>
    <w:rsid w:val="3F760C61"/>
    <w:rsid w:val="3F762A0F"/>
    <w:rsid w:val="3F823162"/>
    <w:rsid w:val="3F874C1D"/>
    <w:rsid w:val="3F8844F1"/>
    <w:rsid w:val="3F8A111E"/>
    <w:rsid w:val="3F9D36D7"/>
    <w:rsid w:val="3F9F1F66"/>
    <w:rsid w:val="3FA33BD4"/>
    <w:rsid w:val="3FA52516"/>
    <w:rsid w:val="3FA52BFA"/>
    <w:rsid w:val="3FA5392F"/>
    <w:rsid w:val="3FA702E8"/>
    <w:rsid w:val="3FA806EF"/>
    <w:rsid w:val="3FAA090B"/>
    <w:rsid w:val="3FAA26B9"/>
    <w:rsid w:val="3FAA4467"/>
    <w:rsid w:val="3FAF1A7E"/>
    <w:rsid w:val="3FAF7CCF"/>
    <w:rsid w:val="3FBA1F24"/>
    <w:rsid w:val="3FBB6674"/>
    <w:rsid w:val="3FBD23EC"/>
    <w:rsid w:val="3FBF656F"/>
    <w:rsid w:val="3FC10A9F"/>
    <w:rsid w:val="3FC25C55"/>
    <w:rsid w:val="3FCB6014"/>
    <w:rsid w:val="3FCC262F"/>
    <w:rsid w:val="3FCE49A9"/>
    <w:rsid w:val="3FCF6064"/>
    <w:rsid w:val="3FD339BE"/>
    <w:rsid w:val="3FD55988"/>
    <w:rsid w:val="3FDB6D16"/>
    <w:rsid w:val="3FE10CA8"/>
    <w:rsid w:val="3FE23C01"/>
    <w:rsid w:val="3FE26F6C"/>
    <w:rsid w:val="3FE61943"/>
    <w:rsid w:val="3FEF2376"/>
    <w:rsid w:val="3FF04570"/>
    <w:rsid w:val="3FF57DD8"/>
    <w:rsid w:val="3FF676AC"/>
    <w:rsid w:val="3FF73B50"/>
    <w:rsid w:val="3FFB5FA9"/>
    <w:rsid w:val="3FFF47B3"/>
    <w:rsid w:val="4004001B"/>
    <w:rsid w:val="4004626D"/>
    <w:rsid w:val="40073668"/>
    <w:rsid w:val="40082289"/>
    <w:rsid w:val="400973E0"/>
    <w:rsid w:val="400D077B"/>
    <w:rsid w:val="40175FA1"/>
    <w:rsid w:val="401D2E8B"/>
    <w:rsid w:val="401F6C03"/>
    <w:rsid w:val="401F6CC0"/>
    <w:rsid w:val="4022763E"/>
    <w:rsid w:val="4024246B"/>
    <w:rsid w:val="402A0458"/>
    <w:rsid w:val="402B37FA"/>
    <w:rsid w:val="402B55A8"/>
    <w:rsid w:val="402E695E"/>
    <w:rsid w:val="403116E1"/>
    <w:rsid w:val="403A7CAA"/>
    <w:rsid w:val="403B5E8D"/>
    <w:rsid w:val="403D18AE"/>
    <w:rsid w:val="403F5C22"/>
    <w:rsid w:val="40416B7E"/>
    <w:rsid w:val="40420B44"/>
    <w:rsid w:val="404228F2"/>
    <w:rsid w:val="404364B8"/>
    <w:rsid w:val="40442B0E"/>
    <w:rsid w:val="404526F4"/>
    <w:rsid w:val="4049186F"/>
    <w:rsid w:val="404D4928"/>
    <w:rsid w:val="4050646A"/>
    <w:rsid w:val="40535028"/>
    <w:rsid w:val="405368AD"/>
    <w:rsid w:val="40537A7D"/>
    <w:rsid w:val="40546445"/>
    <w:rsid w:val="4055628F"/>
    <w:rsid w:val="40572841"/>
    <w:rsid w:val="40583EC3"/>
    <w:rsid w:val="405C39B3"/>
    <w:rsid w:val="405D597D"/>
    <w:rsid w:val="4061546E"/>
    <w:rsid w:val="40615CD2"/>
    <w:rsid w:val="406250BB"/>
    <w:rsid w:val="406311E6"/>
    <w:rsid w:val="406665E0"/>
    <w:rsid w:val="406960D0"/>
    <w:rsid w:val="406B780E"/>
    <w:rsid w:val="406C796F"/>
    <w:rsid w:val="406F0A2D"/>
    <w:rsid w:val="406F68CD"/>
    <w:rsid w:val="40703903"/>
    <w:rsid w:val="40706CA6"/>
    <w:rsid w:val="40721429"/>
    <w:rsid w:val="40730CFD"/>
    <w:rsid w:val="40774DD8"/>
    <w:rsid w:val="40783534"/>
    <w:rsid w:val="407A6407"/>
    <w:rsid w:val="407D4BD9"/>
    <w:rsid w:val="40804E2F"/>
    <w:rsid w:val="40827192"/>
    <w:rsid w:val="408D0011"/>
    <w:rsid w:val="408D0FB0"/>
    <w:rsid w:val="408D14D1"/>
    <w:rsid w:val="408E3D89"/>
    <w:rsid w:val="409018AF"/>
    <w:rsid w:val="40956EC5"/>
    <w:rsid w:val="40980764"/>
    <w:rsid w:val="40991B6E"/>
    <w:rsid w:val="409A0980"/>
    <w:rsid w:val="409D6CDF"/>
    <w:rsid w:val="40A315E2"/>
    <w:rsid w:val="40A84E4B"/>
    <w:rsid w:val="40A93512"/>
    <w:rsid w:val="40AA0BC3"/>
    <w:rsid w:val="40AF7598"/>
    <w:rsid w:val="40B01F51"/>
    <w:rsid w:val="40B25CC9"/>
    <w:rsid w:val="40B51316"/>
    <w:rsid w:val="40B57568"/>
    <w:rsid w:val="40C2544F"/>
    <w:rsid w:val="40C559FD"/>
    <w:rsid w:val="40CA1DAF"/>
    <w:rsid w:val="40CB061C"/>
    <w:rsid w:val="40D23C76"/>
    <w:rsid w:val="40D37CF5"/>
    <w:rsid w:val="40D45C40"/>
    <w:rsid w:val="40D7128C"/>
    <w:rsid w:val="40D75730"/>
    <w:rsid w:val="40DC2D46"/>
    <w:rsid w:val="40E045E4"/>
    <w:rsid w:val="40E1035D"/>
    <w:rsid w:val="40E340D5"/>
    <w:rsid w:val="40E554D5"/>
    <w:rsid w:val="40E63BC5"/>
    <w:rsid w:val="40ED0AAF"/>
    <w:rsid w:val="40F37AD9"/>
    <w:rsid w:val="40F938F8"/>
    <w:rsid w:val="40F97454"/>
    <w:rsid w:val="4101455B"/>
    <w:rsid w:val="41061B71"/>
    <w:rsid w:val="41067DC3"/>
    <w:rsid w:val="410A340F"/>
    <w:rsid w:val="410F0A26"/>
    <w:rsid w:val="41120516"/>
    <w:rsid w:val="4113229E"/>
    <w:rsid w:val="41161732"/>
    <w:rsid w:val="411918A4"/>
    <w:rsid w:val="411A2C84"/>
    <w:rsid w:val="411E6EBB"/>
    <w:rsid w:val="41202C33"/>
    <w:rsid w:val="412344D1"/>
    <w:rsid w:val="41250249"/>
    <w:rsid w:val="412D70FE"/>
    <w:rsid w:val="412E0E49"/>
    <w:rsid w:val="412E1EDF"/>
    <w:rsid w:val="412F2E76"/>
    <w:rsid w:val="41320BB8"/>
    <w:rsid w:val="41390199"/>
    <w:rsid w:val="413B7F37"/>
    <w:rsid w:val="413D0772"/>
    <w:rsid w:val="4142704D"/>
    <w:rsid w:val="414A5F02"/>
    <w:rsid w:val="414A7725"/>
    <w:rsid w:val="414D77A0"/>
    <w:rsid w:val="414F09CB"/>
    <w:rsid w:val="415154E2"/>
    <w:rsid w:val="41541072"/>
    <w:rsid w:val="41566655"/>
    <w:rsid w:val="415723CD"/>
    <w:rsid w:val="4157515E"/>
    <w:rsid w:val="41597EF3"/>
    <w:rsid w:val="415B010F"/>
    <w:rsid w:val="41630D72"/>
    <w:rsid w:val="4163350F"/>
    <w:rsid w:val="416803D8"/>
    <w:rsid w:val="4168377D"/>
    <w:rsid w:val="416845DA"/>
    <w:rsid w:val="416B38B7"/>
    <w:rsid w:val="416C2ED0"/>
    <w:rsid w:val="416C5E78"/>
    <w:rsid w:val="416C7BB9"/>
    <w:rsid w:val="41717932"/>
    <w:rsid w:val="41735459"/>
    <w:rsid w:val="41782A6F"/>
    <w:rsid w:val="417B255F"/>
    <w:rsid w:val="417B2EE7"/>
    <w:rsid w:val="417D62D7"/>
    <w:rsid w:val="417D7DF9"/>
    <w:rsid w:val="417E5BAB"/>
    <w:rsid w:val="418105B3"/>
    <w:rsid w:val="41841C43"/>
    <w:rsid w:val="41856F3A"/>
    <w:rsid w:val="418A27A2"/>
    <w:rsid w:val="418A4550"/>
    <w:rsid w:val="418F7DB9"/>
    <w:rsid w:val="4193128C"/>
    <w:rsid w:val="419453CF"/>
    <w:rsid w:val="4194717D"/>
    <w:rsid w:val="41970A1B"/>
    <w:rsid w:val="41990C37"/>
    <w:rsid w:val="419929E5"/>
    <w:rsid w:val="419D24D5"/>
    <w:rsid w:val="419F41BC"/>
    <w:rsid w:val="41A01FC6"/>
    <w:rsid w:val="41A03D74"/>
    <w:rsid w:val="41A05B22"/>
    <w:rsid w:val="41A2189A"/>
    <w:rsid w:val="41A27AEC"/>
    <w:rsid w:val="41A73354"/>
    <w:rsid w:val="41A90E7A"/>
    <w:rsid w:val="41AA395D"/>
    <w:rsid w:val="41B07D97"/>
    <w:rsid w:val="41B45A71"/>
    <w:rsid w:val="41B63597"/>
    <w:rsid w:val="41B810BD"/>
    <w:rsid w:val="41B94E35"/>
    <w:rsid w:val="41BA38D4"/>
    <w:rsid w:val="41BB6773"/>
    <w:rsid w:val="41C37A62"/>
    <w:rsid w:val="41C400A3"/>
    <w:rsid w:val="41C53136"/>
    <w:rsid w:val="41CD18C8"/>
    <w:rsid w:val="41CE08E1"/>
    <w:rsid w:val="41CE268F"/>
    <w:rsid w:val="41D34149"/>
    <w:rsid w:val="41D42EC8"/>
    <w:rsid w:val="41D72A2F"/>
    <w:rsid w:val="41D8350E"/>
    <w:rsid w:val="41D95F26"/>
    <w:rsid w:val="41E41EB2"/>
    <w:rsid w:val="41EA124C"/>
    <w:rsid w:val="41EC6FB9"/>
    <w:rsid w:val="41F67E38"/>
    <w:rsid w:val="41FA62C5"/>
    <w:rsid w:val="41FB27FB"/>
    <w:rsid w:val="4200449D"/>
    <w:rsid w:val="42091919"/>
    <w:rsid w:val="420C765B"/>
    <w:rsid w:val="420E5181"/>
    <w:rsid w:val="420E7D4A"/>
    <w:rsid w:val="42103918"/>
    <w:rsid w:val="42162288"/>
    <w:rsid w:val="421B33FA"/>
    <w:rsid w:val="421B789E"/>
    <w:rsid w:val="422A6DE5"/>
    <w:rsid w:val="422E75D1"/>
    <w:rsid w:val="422F0BBB"/>
    <w:rsid w:val="422F47EB"/>
    <w:rsid w:val="42334A3B"/>
    <w:rsid w:val="42361C1D"/>
    <w:rsid w:val="42380450"/>
    <w:rsid w:val="423A3BCC"/>
    <w:rsid w:val="423C1CEE"/>
    <w:rsid w:val="42417062"/>
    <w:rsid w:val="424C5DFE"/>
    <w:rsid w:val="424E57D2"/>
    <w:rsid w:val="42537038"/>
    <w:rsid w:val="42582B0D"/>
    <w:rsid w:val="425C5EED"/>
    <w:rsid w:val="425D1C65"/>
    <w:rsid w:val="425F778B"/>
    <w:rsid w:val="42644DA1"/>
    <w:rsid w:val="42664FBD"/>
    <w:rsid w:val="426E3E72"/>
    <w:rsid w:val="42723962"/>
    <w:rsid w:val="42750D5C"/>
    <w:rsid w:val="4277488A"/>
    <w:rsid w:val="42780E70"/>
    <w:rsid w:val="427D6F5C"/>
    <w:rsid w:val="4282220F"/>
    <w:rsid w:val="42836415"/>
    <w:rsid w:val="42892A5A"/>
    <w:rsid w:val="428C52FB"/>
    <w:rsid w:val="42915FAC"/>
    <w:rsid w:val="429A41A1"/>
    <w:rsid w:val="429D02B3"/>
    <w:rsid w:val="42A11B51"/>
    <w:rsid w:val="42A26C2F"/>
    <w:rsid w:val="42A30CD6"/>
    <w:rsid w:val="42A3273A"/>
    <w:rsid w:val="42A45AE6"/>
    <w:rsid w:val="42A81132"/>
    <w:rsid w:val="42A94EAA"/>
    <w:rsid w:val="42AE24C0"/>
    <w:rsid w:val="42B26C49"/>
    <w:rsid w:val="42C27D1A"/>
    <w:rsid w:val="42C910A8"/>
    <w:rsid w:val="42C958B7"/>
    <w:rsid w:val="42CB3072"/>
    <w:rsid w:val="42D40179"/>
    <w:rsid w:val="42D948AF"/>
    <w:rsid w:val="42D9753D"/>
    <w:rsid w:val="42DF08CC"/>
    <w:rsid w:val="42E3660E"/>
    <w:rsid w:val="42E47C90"/>
    <w:rsid w:val="42EA3629"/>
    <w:rsid w:val="42EC3CA8"/>
    <w:rsid w:val="42EF4FB3"/>
    <w:rsid w:val="42F00D2B"/>
    <w:rsid w:val="42F01EAE"/>
    <w:rsid w:val="42F425C9"/>
    <w:rsid w:val="42F56103"/>
    <w:rsid w:val="42F75C15"/>
    <w:rsid w:val="42FA5706"/>
    <w:rsid w:val="42FC147E"/>
    <w:rsid w:val="42FC1C8E"/>
    <w:rsid w:val="42FE51F6"/>
    <w:rsid w:val="42FE6FA4"/>
    <w:rsid w:val="43016A94"/>
    <w:rsid w:val="430239C6"/>
    <w:rsid w:val="4303280C"/>
    <w:rsid w:val="430640AA"/>
    <w:rsid w:val="430845D9"/>
    <w:rsid w:val="4308487E"/>
    <w:rsid w:val="43144A19"/>
    <w:rsid w:val="43240044"/>
    <w:rsid w:val="43282273"/>
    <w:rsid w:val="4329746D"/>
    <w:rsid w:val="433065E2"/>
    <w:rsid w:val="433230F1"/>
    <w:rsid w:val="433378D3"/>
    <w:rsid w:val="4335673E"/>
    <w:rsid w:val="433724B6"/>
    <w:rsid w:val="43394480"/>
    <w:rsid w:val="433A6FE6"/>
    <w:rsid w:val="43476B9D"/>
    <w:rsid w:val="43480868"/>
    <w:rsid w:val="434A043B"/>
    <w:rsid w:val="434C0AF7"/>
    <w:rsid w:val="434E0079"/>
    <w:rsid w:val="434F15AD"/>
    <w:rsid w:val="434F77FF"/>
    <w:rsid w:val="4350713C"/>
    <w:rsid w:val="435C378C"/>
    <w:rsid w:val="43601A0D"/>
    <w:rsid w:val="436332AB"/>
    <w:rsid w:val="43650CAE"/>
    <w:rsid w:val="436653E0"/>
    <w:rsid w:val="4367089F"/>
    <w:rsid w:val="43672D9B"/>
    <w:rsid w:val="436A742D"/>
    <w:rsid w:val="436B215F"/>
    <w:rsid w:val="43727992"/>
    <w:rsid w:val="43746899"/>
    <w:rsid w:val="43754D8C"/>
    <w:rsid w:val="437A3FE4"/>
    <w:rsid w:val="437D25BE"/>
    <w:rsid w:val="43813731"/>
    <w:rsid w:val="438213E1"/>
    <w:rsid w:val="43884ABF"/>
    <w:rsid w:val="438A6A89"/>
    <w:rsid w:val="438C4669"/>
    <w:rsid w:val="43912C5C"/>
    <w:rsid w:val="43970CFD"/>
    <w:rsid w:val="439754B2"/>
    <w:rsid w:val="43994F1E"/>
    <w:rsid w:val="439D4D73"/>
    <w:rsid w:val="43A044FF"/>
    <w:rsid w:val="43A13601"/>
    <w:rsid w:val="43A23DD3"/>
    <w:rsid w:val="43A36D53"/>
    <w:rsid w:val="43A36FD3"/>
    <w:rsid w:val="43A55671"/>
    <w:rsid w:val="43AC4C52"/>
    <w:rsid w:val="43AF4742"/>
    <w:rsid w:val="43B14016"/>
    <w:rsid w:val="43B540BA"/>
    <w:rsid w:val="43B65AD0"/>
    <w:rsid w:val="43B97D87"/>
    <w:rsid w:val="43BE2B29"/>
    <w:rsid w:val="43C0001A"/>
    <w:rsid w:val="43C4431A"/>
    <w:rsid w:val="43CA332A"/>
    <w:rsid w:val="43CA57C8"/>
    <w:rsid w:val="43CD4BC8"/>
    <w:rsid w:val="43CF0940"/>
    <w:rsid w:val="43CF28BC"/>
    <w:rsid w:val="43D23F8D"/>
    <w:rsid w:val="43D25EA4"/>
    <w:rsid w:val="43D53FEB"/>
    <w:rsid w:val="43D61CCF"/>
    <w:rsid w:val="43D63A7D"/>
    <w:rsid w:val="43DB1093"/>
    <w:rsid w:val="43DE2931"/>
    <w:rsid w:val="43DF5027"/>
    <w:rsid w:val="43E02B4D"/>
    <w:rsid w:val="43E048FB"/>
    <w:rsid w:val="43E268C5"/>
    <w:rsid w:val="43E76040"/>
    <w:rsid w:val="43E77A38"/>
    <w:rsid w:val="43E82C02"/>
    <w:rsid w:val="43E850CC"/>
    <w:rsid w:val="43EA577A"/>
    <w:rsid w:val="43EC504E"/>
    <w:rsid w:val="43EF2D90"/>
    <w:rsid w:val="43F32881"/>
    <w:rsid w:val="43F3462F"/>
    <w:rsid w:val="43F54A63"/>
    <w:rsid w:val="43F62371"/>
    <w:rsid w:val="43FA3C0F"/>
    <w:rsid w:val="43FD725B"/>
    <w:rsid w:val="44000AFA"/>
    <w:rsid w:val="44044DFF"/>
    <w:rsid w:val="440B6F69"/>
    <w:rsid w:val="440D7F56"/>
    <w:rsid w:val="440F6F8F"/>
    <w:rsid w:val="44103433"/>
    <w:rsid w:val="44122F0E"/>
    <w:rsid w:val="44155EBB"/>
    <w:rsid w:val="4418179A"/>
    <w:rsid w:val="441822E7"/>
    <w:rsid w:val="441A4571"/>
    <w:rsid w:val="441B3B85"/>
    <w:rsid w:val="441F72F5"/>
    <w:rsid w:val="442073EE"/>
    <w:rsid w:val="44226CC2"/>
    <w:rsid w:val="44242A3A"/>
    <w:rsid w:val="44254A04"/>
    <w:rsid w:val="44262384"/>
    <w:rsid w:val="442A5BD9"/>
    <w:rsid w:val="44316F05"/>
    <w:rsid w:val="44336FDE"/>
    <w:rsid w:val="443D1D4E"/>
    <w:rsid w:val="443F0925"/>
    <w:rsid w:val="443F4097"/>
    <w:rsid w:val="44421112"/>
    <w:rsid w:val="44427364"/>
    <w:rsid w:val="44471362"/>
    <w:rsid w:val="44492562"/>
    <w:rsid w:val="444E3969"/>
    <w:rsid w:val="445C3D64"/>
    <w:rsid w:val="445C7AFC"/>
    <w:rsid w:val="445D3843"/>
    <w:rsid w:val="445D7CFA"/>
    <w:rsid w:val="445F1CC4"/>
    <w:rsid w:val="44617822"/>
    <w:rsid w:val="446403A9"/>
    <w:rsid w:val="447A6AFE"/>
    <w:rsid w:val="447B4624"/>
    <w:rsid w:val="447C0AC8"/>
    <w:rsid w:val="44823C05"/>
    <w:rsid w:val="4485161E"/>
    <w:rsid w:val="448D4A83"/>
    <w:rsid w:val="448E0C96"/>
    <w:rsid w:val="449000D0"/>
    <w:rsid w:val="44901E7E"/>
    <w:rsid w:val="449D42C1"/>
    <w:rsid w:val="44A1408B"/>
    <w:rsid w:val="44A92F3F"/>
    <w:rsid w:val="44A973E3"/>
    <w:rsid w:val="44AF36C1"/>
    <w:rsid w:val="44AF6FA8"/>
    <w:rsid w:val="44B042CE"/>
    <w:rsid w:val="44B244EA"/>
    <w:rsid w:val="44B33DBE"/>
    <w:rsid w:val="44B66173"/>
    <w:rsid w:val="44B951CC"/>
    <w:rsid w:val="44BA339E"/>
    <w:rsid w:val="44BA514C"/>
    <w:rsid w:val="44BD4C3D"/>
    <w:rsid w:val="44C14DFA"/>
    <w:rsid w:val="44C33ACC"/>
    <w:rsid w:val="44C8157F"/>
    <w:rsid w:val="44CD14E0"/>
    <w:rsid w:val="44CE29A6"/>
    <w:rsid w:val="44CE4301"/>
    <w:rsid w:val="44D501D8"/>
    <w:rsid w:val="44DD0E3B"/>
    <w:rsid w:val="44DF115C"/>
    <w:rsid w:val="44E16B7D"/>
    <w:rsid w:val="44E623E5"/>
    <w:rsid w:val="44EA30F8"/>
    <w:rsid w:val="44EB0BFE"/>
    <w:rsid w:val="44EC107E"/>
    <w:rsid w:val="44EE2822"/>
    <w:rsid w:val="44F20B0B"/>
    <w:rsid w:val="44F248E6"/>
    <w:rsid w:val="44F40EA8"/>
    <w:rsid w:val="44F468B0"/>
    <w:rsid w:val="44F56185"/>
    <w:rsid w:val="44F71EFD"/>
    <w:rsid w:val="44F85C75"/>
    <w:rsid w:val="44F92224"/>
    <w:rsid w:val="45063999"/>
    <w:rsid w:val="450665E4"/>
    <w:rsid w:val="450B1E4C"/>
    <w:rsid w:val="450D1720"/>
    <w:rsid w:val="45107462"/>
    <w:rsid w:val="45110AAC"/>
    <w:rsid w:val="45120AE5"/>
    <w:rsid w:val="45124F88"/>
    <w:rsid w:val="45154A79"/>
    <w:rsid w:val="4517434D"/>
    <w:rsid w:val="451A3E3D"/>
    <w:rsid w:val="451F3201"/>
    <w:rsid w:val="451F76A5"/>
    <w:rsid w:val="452568FB"/>
    <w:rsid w:val="45284B01"/>
    <w:rsid w:val="452A22D2"/>
    <w:rsid w:val="452E1696"/>
    <w:rsid w:val="452E5F4C"/>
    <w:rsid w:val="45344EFF"/>
    <w:rsid w:val="454410D4"/>
    <w:rsid w:val="45460638"/>
    <w:rsid w:val="454D178A"/>
    <w:rsid w:val="454D7D6F"/>
    <w:rsid w:val="455065A2"/>
    <w:rsid w:val="45513D03"/>
    <w:rsid w:val="45521829"/>
    <w:rsid w:val="4554734F"/>
    <w:rsid w:val="4555138E"/>
    <w:rsid w:val="455A3545"/>
    <w:rsid w:val="455D0671"/>
    <w:rsid w:val="45611CB5"/>
    <w:rsid w:val="45612018"/>
    <w:rsid w:val="4561381A"/>
    <w:rsid w:val="45633A36"/>
    <w:rsid w:val="4568104C"/>
    <w:rsid w:val="456D0411"/>
    <w:rsid w:val="456D6DD6"/>
    <w:rsid w:val="456E79C4"/>
    <w:rsid w:val="456F5F37"/>
    <w:rsid w:val="45761EBB"/>
    <w:rsid w:val="457C68A6"/>
    <w:rsid w:val="457E261E"/>
    <w:rsid w:val="45800144"/>
    <w:rsid w:val="45841FCF"/>
    <w:rsid w:val="458875AC"/>
    <w:rsid w:val="458946E9"/>
    <w:rsid w:val="458A0FC3"/>
    <w:rsid w:val="458B498F"/>
    <w:rsid w:val="458E4348"/>
    <w:rsid w:val="45A33E32"/>
    <w:rsid w:val="45A47C0E"/>
    <w:rsid w:val="45AC13A3"/>
    <w:rsid w:val="45B1654F"/>
    <w:rsid w:val="45B46040"/>
    <w:rsid w:val="45B50C83"/>
    <w:rsid w:val="45BF7CC6"/>
    <w:rsid w:val="45C0642E"/>
    <w:rsid w:val="45C2075D"/>
    <w:rsid w:val="45C81AEB"/>
    <w:rsid w:val="45D65FB6"/>
    <w:rsid w:val="45D95AA6"/>
    <w:rsid w:val="45DB4D22"/>
    <w:rsid w:val="45DC10F2"/>
    <w:rsid w:val="45E06E35"/>
    <w:rsid w:val="45E36119"/>
    <w:rsid w:val="45E561F9"/>
    <w:rsid w:val="45EA683B"/>
    <w:rsid w:val="45EE1552"/>
    <w:rsid w:val="45F11042"/>
    <w:rsid w:val="45F97A3B"/>
    <w:rsid w:val="46080139"/>
    <w:rsid w:val="46081EE8"/>
    <w:rsid w:val="460A4AF9"/>
    <w:rsid w:val="460E39A2"/>
    <w:rsid w:val="460F14C8"/>
    <w:rsid w:val="460F70C6"/>
    <w:rsid w:val="461865CE"/>
    <w:rsid w:val="461F6144"/>
    <w:rsid w:val="462705C0"/>
    <w:rsid w:val="462E7BA0"/>
    <w:rsid w:val="462F3918"/>
    <w:rsid w:val="462F56C6"/>
    <w:rsid w:val="46456C98"/>
    <w:rsid w:val="464A2500"/>
    <w:rsid w:val="464A29AD"/>
    <w:rsid w:val="46560EA5"/>
    <w:rsid w:val="46577FD6"/>
    <w:rsid w:val="46595C75"/>
    <w:rsid w:val="465A0995"/>
    <w:rsid w:val="465A6BE7"/>
    <w:rsid w:val="465C4123"/>
    <w:rsid w:val="46611118"/>
    <w:rsid w:val="4662784A"/>
    <w:rsid w:val="46641814"/>
    <w:rsid w:val="466435C2"/>
    <w:rsid w:val="46672E81"/>
    <w:rsid w:val="46673321"/>
    <w:rsid w:val="46700B47"/>
    <w:rsid w:val="46703488"/>
    <w:rsid w:val="46713FA7"/>
    <w:rsid w:val="46780E1B"/>
    <w:rsid w:val="467D28D5"/>
    <w:rsid w:val="467F664E"/>
    <w:rsid w:val="46821C9A"/>
    <w:rsid w:val="4685178A"/>
    <w:rsid w:val="46875502"/>
    <w:rsid w:val="468C0D6B"/>
    <w:rsid w:val="468C2759"/>
    <w:rsid w:val="469519CD"/>
    <w:rsid w:val="469B0FAE"/>
    <w:rsid w:val="46A05B8A"/>
    <w:rsid w:val="46A71178"/>
    <w:rsid w:val="46AA2F9F"/>
    <w:rsid w:val="46B05036"/>
    <w:rsid w:val="46B1432D"/>
    <w:rsid w:val="46B66B32"/>
    <w:rsid w:val="46BD0F24"/>
    <w:rsid w:val="46C40CAB"/>
    <w:rsid w:val="46C978C9"/>
    <w:rsid w:val="46CB3641"/>
    <w:rsid w:val="46CF12B4"/>
    <w:rsid w:val="46CF687D"/>
    <w:rsid w:val="46D00C57"/>
    <w:rsid w:val="46D1677D"/>
    <w:rsid w:val="46D71FE6"/>
    <w:rsid w:val="46D85D5E"/>
    <w:rsid w:val="46D87B0C"/>
    <w:rsid w:val="46D955A7"/>
    <w:rsid w:val="46E42955"/>
    <w:rsid w:val="46E464B1"/>
    <w:rsid w:val="46E666CD"/>
    <w:rsid w:val="46E75FA1"/>
    <w:rsid w:val="46EA7CC6"/>
    <w:rsid w:val="46F012F9"/>
    <w:rsid w:val="46F10BCE"/>
    <w:rsid w:val="46F1491E"/>
    <w:rsid w:val="46F25071"/>
    <w:rsid w:val="46F30DEA"/>
    <w:rsid w:val="46F43381"/>
    <w:rsid w:val="46F96400"/>
    <w:rsid w:val="46FA2C0B"/>
    <w:rsid w:val="47017063"/>
    <w:rsid w:val="47046B53"/>
    <w:rsid w:val="470619F4"/>
    <w:rsid w:val="470E352E"/>
    <w:rsid w:val="47133957"/>
    <w:rsid w:val="47153338"/>
    <w:rsid w:val="47213261"/>
    <w:rsid w:val="47217705"/>
    <w:rsid w:val="47221418"/>
    <w:rsid w:val="47226FD9"/>
    <w:rsid w:val="47256A19"/>
    <w:rsid w:val="47266AC9"/>
    <w:rsid w:val="47282841"/>
    <w:rsid w:val="472F0DFD"/>
    <w:rsid w:val="47320C89"/>
    <w:rsid w:val="47322C84"/>
    <w:rsid w:val="4733370C"/>
    <w:rsid w:val="47347438"/>
    <w:rsid w:val="47352751"/>
    <w:rsid w:val="473867FC"/>
    <w:rsid w:val="47412FF1"/>
    <w:rsid w:val="474319B9"/>
    <w:rsid w:val="4744771C"/>
    <w:rsid w:val="474533C6"/>
    <w:rsid w:val="47486A40"/>
    <w:rsid w:val="474F4272"/>
    <w:rsid w:val="475C073D"/>
    <w:rsid w:val="475E44B5"/>
    <w:rsid w:val="475F6E94"/>
    <w:rsid w:val="47610CEC"/>
    <w:rsid w:val="47633879"/>
    <w:rsid w:val="476954D2"/>
    <w:rsid w:val="476B0980"/>
    <w:rsid w:val="476D46F8"/>
    <w:rsid w:val="477200ED"/>
    <w:rsid w:val="4774202F"/>
    <w:rsid w:val="477A0BC3"/>
    <w:rsid w:val="477A15DB"/>
    <w:rsid w:val="477D2899"/>
    <w:rsid w:val="47855EE6"/>
    <w:rsid w:val="478A52AA"/>
    <w:rsid w:val="47947ED7"/>
    <w:rsid w:val="47975C19"/>
    <w:rsid w:val="47977F99"/>
    <w:rsid w:val="479C6D8B"/>
    <w:rsid w:val="479E48B1"/>
    <w:rsid w:val="47A07E0C"/>
    <w:rsid w:val="47A520E4"/>
    <w:rsid w:val="47A85730"/>
    <w:rsid w:val="47AD71EA"/>
    <w:rsid w:val="47B642F1"/>
    <w:rsid w:val="47B65380"/>
    <w:rsid w:val="47B70069"/>
    <w:rsid w:val="47B75973"/>
    <w:rsid w:val="47B91EA3"/>
    <w:rsid w:val="47B927FE"/>
    <w:rsid w:val="47B9793D"/>
    <w:rsid w:val="47C84024"/>
    <w:rsid w:val="47C87B80"/>
    <w:rsid w:val="47D12ED9"/>
    <w:rsid w:val="47D14C87"/>
    <w:rsid w:val="47D567FA"/>
    <w:rsid w:val="47D6229D"/>
    <w:rsid w:val="47DC046B"/>
    <w:rsid w:val="47DE17A7"/>
    <w:rsid w:val="47DE47DF"/>
    <w:rsid w:val="47E0311C"/>
    <w:rsid w:val="47E35F48"/>
    <w:rsid w:val="47E87828"/>
    <w:rsid w:val="47EA3F9B"/>
    <w:rsid w:val="47ED75E7"/>
    <w:rsid w:val="47EF7803"/>
    <w:rsid w:val="47F06DD4"/>
    <w:rsid w:val="47F170D7"/>
    <w:rsid w:val="47F22E4F"/>
    <w:rsid w:val="47F92430"/>
    <w:rsid w:val="47FB7F56"/>
    <w:rsid w:val="47FD4CBF"/>
    <w:rsid w:val="48013E62"/>
    <w:rsid w:val="480212E4"/>
    <w:rsid w:val="480768FB"/>
    <w:rsid w:val="480D3D8E"/>
    <w:rsid w:val="480E25A0"/>
    <w:rsid w:val="481132D5"/>
    <w:rsid w:val="481D3E1B"/>
    <w:rsid w:val="48254FD3"/>
    <w:rsid w:val="48270D4B"/>
    <w:rsid w:val="48284ADF"/>
    <w:rsid w:val="482A09A4"/>
    <w:rsid w:val="482B26AC"/>
    <w:rsid w:val="482E5CBB"/>
    <w:rsid w:val="48324F29"/>
    <w:rsid w:val="48360F8E"/>
    <w:rsid w:val="48381158"/>
    <w:rsid w:val="48394EBB"/>
    <w:rsid w:val="483969EB"/>
    <w:rsid w:val="483B2A48"/>
    <w:rsid w:val="48427933"/>
    <w:rsid w:val="48435459"/>
    <w:rsid w:val="48474F49"/>
    <w:rsid w:val="48493247"/>
    <w:rsid w:val="485853A8"/>
    <w:rsid w:val="48594C7C"/>
    <w:rsid w:val="485C59E8"/>
    <w:rsid w:val="485C6422"/>
    <w:rsid w:val="48604DA3"/>
    <w:rsid w:val="486378A9"/>
    <w:rsid w:val="48691363"/>
    <w:rsid w:val="486A637D"/>
    <w:rsid w:val="486A6E89"/>
    <w:rsid w:val="486B750D"/>
    <w:rsid w:val="486D1354"/>
    <w:rsid w:val="4870272E"/>
    <w:rsid w:val="487321E2"/>
    <w:rsid w:val="487A7B0D"/>
    <w:rsid w:val="487B1097"/>
    <w:rsid w:val="487B4BF3"/>
    <w:rsid w:val="487D508B"/>
    <w:rsid w:val="487D6BBD"/>
    <w:rsid w:val="487F0B87"/>
    <w:rsid w:val="487F2935"/>
    <w:rsid w:val="487F4D2D"/>
    <w:rsid w:val="488241D3"/>
    <w:rsid w:val="48831CF9"/>
    <w:rsid w:val="48844E77"/>
    <w:rsid w:val="48846AEF"/>
    <w:rsid w:val="48855A71"/>
    <w:rsid w:val="48861F15"/>
    <w:rsid w:val="48891AB9"/>
    <w:rsid w:val="488B30FB"/>
    <w:rsid w:val="4890060A"/>
    <w:rsid w:val="48904B42"/>
    <w:rsid w:val="489F3B24"/>
    <w:rsid w:val="48A05E4C"/>
    <w:rsid w:val="48A44149"/>
    <w:rsid w:val="48AE479D"/>
    <w:rsid w:val="48BD345D"/>
    <w:rsid w:val="48CA4EAD"/>
    <w:rsid w:val="48D32C81"/>
    <w:rsid w:val="48D367DD"/>
    <w:rsid w:val="48D37C05"/>
    <w:rsid w:val="48D507A7"/>
    <w:rsid w:val="48D569F9"/>
    <w:rsid w:val="48D83DF3"/>
    <w:rsid w:val="48DC480D"/>
    <w:rsid w:val="48DD3AFF"/>
    <w:rsid w:val="48DD765B"/>
    <w:rsid w:val="48E44E8E"/>
    <w:rsid w:val="48E647B5"/>
    <w:rsid w:val="48E924A4"/>
    <w:rsid w:val="48E96000"/>
    <w:rsid w:val="48EB1D78"/>
    <w:rsid w:val="48EB59A8"/>
    <w:rsid w:val="48ED6491"/>
    <w:rsid w:val="48EE094E"/>
    <w:rsid w:val="48F97216"/>
    <w:rsid w:val="48FF5824"/>
    <w:rsid w:val="490125BD"/>
    <w:rsid w:val="49050B13"/>
    <w:rsid w:val="49060960"/>
    <w:rsid w:val="49090450"/>
    <w:rsid w:val="490925F1"/>
    <w:rsid w:val="49105C83"/>
    <w:rsid w:val="491379C4"/>
    <w:rsid w:val="4916491B"/>
    <w:rsid w:val="491A440C"/>
    <w:rsid w:val="491C0184"/>
    <w:rsid w:val="492745B7"/>
    <w:rsid w:val="492928A1"/>
    <w:rsid w:val="492E1E85"/>
    <w:rsid w:val="49301E81"/>
    <w:rsid w:val="49311755"/>
    <w:rsid w:val="49325973"/>
    <w:rsid w:val="493279A7"/>
    <w:rsid w:val="49415E3C"/>
    <w:rsid w:val="494D658F"/>
    <w:rsid w:val="4950607F"/>
    <w:rsid w:val="49507E2D"/>
    <w:rsid w:val="49583186"/>
    <w:rsid w:val="49584F34"/>
    <w:rsid w:val="495D6F47"/>
    <w:rsid w:val="495E69EE"/>
    <w:rsid w:val="4961028C"/>
    <w:rsid w:val="49621FD8"/>
    <w:rsid w:val="49635DB3"/>
    <w:rsid w:val="49641B2B"/>
    <w:rsid w:val="496B4C67"/>
    <w:rsid w:val="496E6505"/>
    <w:rsid w:val="496F7C02"/>
    <w:rsid w:val="49731D6E"/>
    <w:rsid w:val="49755AE6"/>
    <w:rsid w:val="497B2F1A"/>
    <w:rsid w:val="49865F45"/>
    <w:rsid w:val="49900B72"/>
    <w:rsid w:val="49926698"/>
    <w:rsid w:val="49973CAE"/>
    <w:rsid w:val="499C45AD"/>
    <w:rsid w:val="499C7517"/>
    <w:rsid w:val="49A21959"/>
    <w:rsid w:val="49A308A5"/>
    <w:rsid w:val="49A3472C"/>
    <w:rsid w:val="49B63A5D"/>
    <w:rsid w:val="49CB3958"/>
    <w:rsid w:val="49CD76D0"/>
    <w:rsid w:val="49D96075"/>
    <w:rsid w:val="49DA507F"/>
    <w:rsid w:val="49DB7B55"/>
    <w:rsid w:val="49DC7715"/>
    <w:rsid w:val="49DE63B9"/>
    <w:rsid w:val="49DF76DA"/>
    <w:rsid w:val="49E52C6C"/>
    <w:rsid w:val="49E54A1A"/>
    <w:rsid w:val="49EA0282"/>
    <w:rsid w:val="49EA64D4"/>
    <w:rsid w:val="49EB5DA8"/>
    <w:rsid w:val="49EB7B56"/>
    <w:rsid w:val="49EC224C"/>
    <w:rsid w:val="49F41101"/>
    <w:rsid w:val="49F72B9B"/>
    <w:rsid w:val="4A023139"/>
    <w:rsid w:val="4A031344"/>
    <w:rsid w:val="4A0675B8"/>
    <w:rsid w:val="4A08695A"/>
    <w:rsid w:val="4A0C644A"/>
    <w:rsid w:val="4A113A61"/>
    <w:rsid w:val="4A190B67"/>
    <w:rsid w:val="4A196B3F"/>
    <w:rsid w:val="4A1B668D"/>
    <w:rsid w:val="4A203CA4"/>
    <w:rsid w:val="4A2512BA"/>
    <w:rsid w:val="4A2B21CF"/>
    <w:rsid w:val="4A2F40FA"/>
    <w:rsid w:val="4A365275"/>
    <w:rsid w:val="4A38314E"/>
    <w:rsid w:val="4A3B0ADD"/>
    <w:rsid w:val="4A484FA8"/>
    <w:rsid w:val="4A4E2219"/>
    <w:rsid w:val="4A5358A9"/>
    <w:rsid w:val="4A537B51"/>
    <w:rsid w:val="4A5446B4"/>
    <w:rsid w:val="4A546448"/>
    <w:rsid w:val="4A547DF1"/>
    <w:rsid w:val="4A5751EC"/>
    <w:rsid w:val="4A5F63D6"/>
    <w:rsid w:val="4A6242BC"/>
    <w:rsid w:val="4A6C0C97"/>
    <w:rsid w:val="4A6C513B"/>
    <w:rsid w:val="4A712751"/>
    <w:rsid w:val="4A727DEF"/>
    <w:rsid w:val="4A761B16"/>
    <w:rsid w:val="4A7B576F"/>
    <w:rsid w:val="4A7B712C"/>
    <w:rsid w:val="4A7C2DC2"/>
    <w:rsid w:val="4A8061D0"/>
    <w:rsid w:val="4A835FE1"/>
    <w:rsid w:val="4A897A9B"/>
    <w:rsid w:val="4A8F0E29"/>
    <w:rsid w:val="4A9106FD"/>
    <w:rsid w:val="4A910A87"/>
    <w:rsid w:val="4A913ECA"/>
    <w:rsid w:val="4A91694F"/>
    <w:rsid w:val="4A9201C5"/>
    <w:rsid w:val="4A970798"/>
    <w:rsid w:val="4A9E2E1A"/>
    <w:rsid w:val="4A9E7C91"/>
    <w:rsid w:val="4AA03036"/>
    <w:rsid w:val="4AA16770"/>
    <w:rsid w:val="4AA541A9"/>
    <w:rsid w:val="4AA77F21"/>
    <w:rsid w:val="4AA93C99"/>
    <w:rsid w:val="4AAA6C0E"/>
    <w:rsid w:val="4AB3789B"/>
    <w:rsid w:val="4AB77AAC"/>
    <w:rsid w:val="4AB80380"/>
    <w:rsid w:val="4ABA40F8"/>
    <w:rsid w:val="4AC42881"/>
    <w:rsid w:val="4AC5270B"/>
    <w:rsid w:val="4AC64234"/>
    <w:rsid w:val="4AC8276C"/>
    <w:rsid w:val="4AC9433B"/>
    <w:rsid w:val="4AD44F71"/>
    <w:rsid w:val="4ADB67D2"/>
    <w:rsid w:val="4ADB7BCB"/>
    <w:rsid w:val="4AE03433"/>
    <w:rsid w:val="4AE41175"/>
    <w:rsid w:val="4AE42F23"/>
    <w:rsid w:val="4AE539A7"/>
    <w:rsid w:val="4AE81110"/>
    <w:rsid w:val="4AF561A9"/>
    <w:rsid w:val="4AF630F5"/>
    <w:rsid w:val="4AFA62A3"/>
    <w:rsid w:val="4AFC1B00"/>
    <w:rsid w:val="4AFD5D93"/>
    <w:rsid w:val="4AFF5FAF"/>
    <w:rsid w:val="4B01690D"/>
    <w:rsid w:val="4B0233A9"/>
    <w:rsid w:val="4B07510F"/>
    <w:rsid w:val="4B0B4954"/>
    <w:rsid w:val="4B106111"/>
    <w:rsid w:val="4B1367B9"/>
    <w:rsid w:val="4B182ADE"/>
    <w:rsid w:val="4B1A4D8D"/>
    <w:rsid w:val="4B2257F9"/>
    <w:rsid w:val="4B266B52"/>
    <w:rsid w:val="4B2E0642"/>
    <w:rsid w:val="4B335C59"/>
    <w:rsid w:val="4B3B62EA"/>
    <w:rsid w:val="4B417D35"/>
    <w:rsid w:val="4B46598C"/>
    <w:rsid w:val="4B484057"/>
    <w:rsid w:val="4B4A03F0"/>
    <w:rsid w:val="4B502367"/>
    <w:rsid w:val="4B582862"/>
    <w:rsid w:val="4B6259D4"/>
    <w:rsid w:val="4B683B54"/>
    <w:rsid w:val="4B685902"/>
    <w:rsid w:val="4B6E5348"/>
    <w:rsid w:val="4B6E6C91"/>
    <w:rsid w:val="4B7047B7"/>
    <w:rsid w:val="4B7064ED"/>
    <w:rsid w:val="4B745559"/>
    <w:rsid w:val="4B75001F"/>
    <w:rsid w:val="4B756F90"/>
    <w:rsid w:val="4B7A5635"/>
    <w:rsid w:val="4B7D226C"/>
    <w:rsid w:val="4B810772"/>
    <w:rsid w:val="4B827153"/>
    <w:rsid w:val="4B8464B4"/>
    <w:rsid w:val="4B893ACB"/>
    <w:rsid w:val="4B8A1D1C"/>
    <w:rsid w:val="4B8B0B87"/>
    <w:rsid w:val="4B8E2E8F"/>
    <w:rsid w:val="4B9009B5"/>
    <w:rsid w:val="4B971D44"/>
    <w:rsid w:val="4B993C2F"/>
    <w:rsid w:val="4B9C1058"/>
    <w:rsid w:val="4BA821A3"/>
    <w:rsid w:val="4BA91A77"/>
    <w:rsid w:val="4BAB3A41"/>
    <w:rsid w:val="4BB723E6"/>
    <w:rsid w:val="4BB9615E"/>
    <w:rsid w:val="4BBD5522"/>
    <w:rsid w:val="4BBE4F6C"/>
    <w:rsid w:val="4BC11342"/>
    <w:rsid w:val="4BC468B1"/>
    <w:rsid w:val="4BCD1C09"/>
    <w:rsid w:val="4BCE14DD"/>
    <w:rsid w:val="4BCE1AD4"/>
    <w:rsid w:val="4BCF7C02"/>
    <w:rsid w:val="4BD242D1"/>
    <w:rsid w:val="4BD84307"/>
    <w:rsid w:val="4BDD52CB"/>
    <w:rsid w:val="4BE07B8E"/>
    <w:rsid w:val="4BE13907"/>
    <w:rsid w:val="4BE331DB"/>
    <w:rsid w:val="4BE862B5"/>
    <w:rsid w:val="4BEB02E1"/>
    <w:rsid w:val="4BED4059"/>
    <w:rsid w:val="4BED5E07"/>
    <w:rsid w:val="4BF057AE"/>
    <w:rsid w:val="4BF058F8"/>
    <w:rsid w:val="4BF2341E"/>
    <w:rsid w:val="4BF4042E"/>
    <w:rsid w:val="4C001FDF"/>
    <w:rsid w:val="4C012F97"/>
    <w:rsid w:val="4C031ACD"/>
    <w:rsid w:val="4C0554CB"/>
    <w:rsid w:val="4C0D2006"/>
    <w:rsid w:val="4C0F2222"/>
    <w:rsid w:val="4C1635B0"/>
    <w:rsid w:val="4C172533"/>
    <w:rsid w:val="4C1B004F"/>
    <w:rsid w:val="4C207F8B"/>
    <w:rsid w:val="4C237A7B"/>
    <w:rsid w:val="4C2630C7"/>
    <w:rsid w:val="4C2B1CFC"/>
    <w:rsid w:val="4C303F46"/>
    <w:rsid w:val="4C311962"/>
    <w:rsid w:val="4C325A71"/>
    <w:rsid w:val="4C371778"/>
    <w:rsid w:val="4C3D65E0"/>
    <w:rsid w:val="4C407FA7"/>
    <w:rsid w:val="4C4A0649"/>
    <w:rsid w:val="4C4A4BE3"/>
    <w:rsid w:val="4C4C4E60"/>
    <w:rsid w:val="4C4C6FD2"/>
    <w:rsid w:val="4C4E40DC"/>
    <w:rsid w:val="4C4E4AD2"/>
    <w:rsid w:val="4C52210E"/>
    <w:rsid w:val="4C53424A"/>
    <w:rsid w:val="4C545E87"/>
    <w:rsid w:val="4C5639AD"/>
    <w:rsid w:val="4C5B5467"/>
    <w:rsid w:val="4C5E0AB3"/>
    <w:rsid w:val="4C6205A3"/>
    <w:rsid w:val="4C660E29"/>
    <w:rsid w:val="4C6836E0"/>
    <w:rsid w:val="4C720086"/>
    <w:rsid w:val="4C7223A4"/>
    <w:rsid w:val="4C72630D"/>
    <w:rsid w:val="4C73622A"/>
    <w:rsid w:val="4C7B1260"/>
    <w:rsid w:val="4C7D5AE9"/>
    <w:rsid w:val="4C7E5ECA"/>
    <w:rsid w:val="4C853291"/>
    <w:rsid w:val="4C876AA5"/>
    <w:rsid w:val="4C8A7AFA"/>
    <w:rsid w:val="4C8E76E3"/>
    <w:rsid w:val="4C910E89"/>
    <w:rsid w:val="4C973AE5"/>
    <w:rsid w:val="4C997D3D"/>
    <w:rsid w:val="4CA02E7A"/>
    <w:rsid w:val="4CA071DE"/>
    <w:rsid w:val="4CA179A0"/>
    <w:rsid w:val="4CA54934"/>
    <w:rsid w:val="4CA87F80"/>
    <w:rsid w:val="4CA95F3B"/>
    <w:rsid w:val="4CAA019C"/>
    <w:rsid w:val="4CB27837"/>
    <w:rsid w:val="4CB35009"/>
    <w:rsid w:val="4CB42DC9"/>
    <w:rsid w:val="4CB46925"/>
    <w:rsid w:val="4CB64C6B"/>
    <w:rsid w:val="4CB66B41"/>
    <w:rsid w:val="4CB708CE"/>
    <w:rsid w:val="4CB86415"/>
    <w:rsid w:val="4CBA3BBC"/>
    <w:rsid w:val="4CBB4158"/>
    <w:rsid w:val="4CCA439B"/>
    <w:rsid w:val="4CCA607B"/>
    <w:rsid w:val="4CCE3E8B"/>
    <w:rsid w:val="4CCF1E9F"/>
    <w:rsid w:val="4CD14CD4"/>
    <w:rsid w:val="4CD55219"/>
    <w:rsid w:val="4CD60F91"/>
    <w:rsid w:val="4CD62D3F"/>
    <w:rsid w:val="4CD67369"/>
    <w:rsid w:val="4CD9638C"/>
    <w:rsid w:val="4CE4720A"/>
    <w:rsid w:val="4CEA0588"/>
    <w:rsid w:val="4CEC4311"/>
    <w:rsid w:val="4CEE0089"/>
    <w:rsid w:val="4CEF5BAF"/>
    <w:rsid w:val="4CF308FD"/>
    <w:rsid w:val="4CF3744D"/>
    <w:rsid w:val="4CF413E7"/>
    <w:rsid w:val="4CF43239"/>
    <w:rsid w:val="4CF66F3E"/>
    <w:rsid w:val="4CFB4554"/>
    <w:rsid w:val="4CFD02CC"/>
    <w:rsid w:val="4CFE0929"/>
    <w:rsid w:val="4D0C6761"/>
    <w:rsid w:val="4D0C78C0"/>
    <w:rsid w:val="4D0E00FB"/>
    <w:rsid w:val="4D0E24D9"/>
    <w:rsid w:val="4D0F7FFF"/>
    <w:rsid w:val="4D13189E"/>
    <w:rsid w:val="4D16313C"/>
    <w:rsid w:val="4D176606"/>
    <w:rsid w:val="4D1B2D86"/>
    <w:rsid w:val="4D1C38C8"/>
    <w:rsid w:val="4D203FBB"/>
    <w:rsid w:val="4D267823"/>
    <w:rsid w:val="4D2C0BB1"/>
    <w:rsid w:val="4D2F41FE"/>
    <w:rsid w:val="4D312A34"/>
    <w:rsid w:val="4D3161C8"/>
    <w:rsid w:val="4D336B45"/>
    <w:rsid w:val="4D39639D"/>
    <w:rsid w:val="4D396BCD"/>
    <w:rsid w:val="4D3B0672"/>
    <w:rsid w:val="4D3F2693"/>
    <w:rsid w:val="4D4052E5"/>
    <w:rsid w:val="4D436182"/>
    <w:rsid w:val="4D4419A1"/>
    <w:rsid w:val="4D470322"/>
    <w:rsid w:val="4D471250"/>
    <w:rsid w:val="4D4717AD"/>
    <w:rsid w:val="4D52686A"/>
    <w:rsid w:val="4D5C1497"/>
    <w:rsid w:val="4D5D6FBD"/>
    <w:rsid w:val="4D5F2D35"/>
    <w:rsid w:val="4D602609"/>
    <w:rsid w:val="4D616AAD"/>
    <w:rsid w:val="4D6A4B38"/>
    <w:rsid w:val="4D6C0FAE"/>
    <w:rsid w:val="4D714816"/>
    <w:rsid w:val="4D7A5689"/>
    <w:rsid w:val="4D7C38E7"/>
    <w:rsid w:val="4D7E259D"/>
    <w:rsid w:val="4D7F6F33"/>
    <w:rsid w:val="4D834C75"/>
    <w:rsid w:val="4D8502C3"/>
    <w:rsid w:val="4D864472"/>
    <w:rsid w:val="4D896004"/>
    <w:rsid w:val="4D897A99"/>
    <w:rsid w:val="4D8B1D7C"/>
    <w:rsid w:val="4D8C221B"/>
    <w:rsid w:val="4D8E1BF9"/>
    <w:rsid w:val="4D8E361A"/>
    <w:rsid w:val="4D901140"/>
    <w:rsid w:val="4D950505"/>
    <w:rsid w:val="4D97427D"/>
    <w:rsid w:val="4D9828FA"/>
    <w:rsid w:val="4D992CBB"/>
    <w:rsid w:val="4DA642FA"/>
    <w:rsid w:val="4DA929B3"/>
    <w:rsid w:val="4DAD0226"/>
    <w:rsid w:val="4DAE020B"/>
    <w:rsid w:val="4DAE7818"/>
    <w:rsid w:val="4DB766CD"/>
    <w:rsid w:val="4DBB2E8F"/>
    <w:rsid w:val="4DBD7A5B"/>
    <w:rsid w:val="4DBE1B32"/>
    <w:rsid w:val="4DBF5582"/>
    <w:rsid w:val="4DC02D74"/>
    <w:rsid w:val="4DC4703C"/>
    <w:rsid w:val="4DCA3A67"/>
    <w:rsid w:val="4DCB03CA"/>
    <w:rsid w:val="4DCB56E6"/>
    <w:rsid w:val="4DCD389A"/>
    <w:rsid w:val="4DCE3A17"/>
    <w:rsid w:val="4DD059E1"/>
    <w:rsid w:val="4DD23507"/>
    <w:rsid w:val="4DD70B1D"/>
    <w:rsid w:val="4DE020DC"/>
    <w:rsid w:val="4DE431E8"/>
    <w:rsid w:val="4DE438B0"/>
    <w:rsid w:val="4DE60D60"/>
    <w:rsid w:val="4DE6344D"/>
    <w:rsid w:val="4DEA41E8"/>
    <w:rsid w:val="4DEB281B"/>
    <w:rsid w:val="4DEC4FB0"/>
    <w:rsid w:val="4DEE7A5F"/>
    <w:rsid w:val="4DEF3AEF"/>
    <w:rsid w:val="4DF25957"/>
    <w:rsid w:val="4DF571F5"/>
    <w:rsid w:val="4DF72F6D"/>
    <w:rsid w:val="4DFA077D"/>
    <w:rsid w:val="4DFA375E"/>
    <w:rsid w:val="4DFC0584"/>
    <w:rsid w:val="4E031912"/>
    <w:rsid w:val="4E037B64"/>
    <w:rsid w:val="4E072CA4"/>
    <w:rsid w:val="4E075D8A"/>
    <w:rsid w:val="4E08517B"/>
    <w:rsid w:val="4E0B07C7"/>
    <w:rsid w:val="4E0E0A1B"/>
    <w:rsid w:val="4E0F02B7"/>
    <w:rsid w:val="4E0F6509"/>
    <w:rsid w:val="4E0F7F72"/>
    <w:rsid w:val="4E1028CD"/>
    <w:rsid w:val="4E10402F"/>
    <w:rsid w:val="4E112CDB"/>
    <w:rsid w:val="4E113A93"/>
    <w:rsid w:val="4E135F5E"/>
    <w:rsid w:val="4E165AE9"/>
    <w:rsid w:val="4E1753BE"/>
    <w:rsid w:val="4E191136"/>
    <w:rsid w:val="4E192EE4"/>
    <w:rsid w:val="4E1B658C"/>
    <w:rsid w:val="4E1F24C4"/>
    <w:rsid w:val="4E203F21"/>
    <w:rsid w:val="4E233D34"/>
    <w:rsid w:val="4E241DFD"/>
    <w:rsid w:val="4E2911DD"/>
    <w:rsid w:val="4E2F0959"/>
    <w:rsid w:val="4E2F2707"/>
    <w:rsid w:val="4E3221F7"/>
    <w:rsid w:val="4E345F70"/>
    <w:rsid w:val="4E39686D"/>
    <w:rsid w:val="4E3E294A"/>
    <w:rsid w:val="4E4A5793"/>
    <w:rsid w:val="4E4A6E87"/>
    <w:rsid w:val="4E4D0DDF"/>
    <w:rsid w:val="4E4F6905"/>
    <w:rsid w:val="4E5056C3"/>
    <w:rsid w:val="4E52289A"/>
    <w:rsid w:val="4E54216E"/>
    <w:rsid w:val="4E573A0C"/>
    <w:rsid w:val="4E596985"/>
    <w:rsid w:val="4E5B34FC"/>
    <w:rsid w:val="4E630603"/>
    <w:rsid w:val="4E6707FB"/>
    <w:rsid w:val="4E6F0D56"/>
    <w:rsid w:val="4E6F1FA8"/>
    <w:rsid w:val="4E720846"/>
    <w:rsid w:val="4E74636C"/>
    <w:rsid w:val="4E760336"/>
    <w:rsid w:val="4E77033A"/>
    <w:rsid w:val="4E7740AE"/>
    <w:rsid w:val="4E782E22"/>
    <w:rsid w:val="4E7F4257"/>
    <w:rsid w:val="4E8900B0"/>
    <w:rsid w:val="4E91658D"/>
    <w:rsid w:val="4E964534"/>
    <w:rsid w:val="4E9662CD"/>
    <w:rsid w:val="4E9C50B5"/>
    <w:rsid w:val="4EA053B3"/>
    <w:rsid w:val="4EA11C19"/>
    <w:rsid w:val="4EA22CCB"/>
    <w:rsid w:val="4EA33D0B"/>
    <w:rsid w:val="4EA44396"/>
    <w:rsid w:val="4EA50589"/>
    <w:rsid w:val="4EA84268"/>
    <w:rsid w:val="4EAA119F"/>
    <w:rsid w:val="4EAA731D"/>
    <w:rsid w:val="4EAA7FE0"/>
    <w:rsid w:val="4EAD5D22"/>
    <w:rsid w:val="4EB127C4"/>
    <w:rsid w:val="4EB15812"/>
    <w:rsid w:val="4EB42325"/>
    <w:rsid w:val="4EB90223"/>
    <w:rsid w:val="4EBB21ED"/>
    <w:rsid w:val="4EC00FAD"/>
    <w:rsid w:val="4EC24E6D"/>
    <w:rsid w:val="4EC47DD1"/>
    <w:rsid w:val="4EC60B02"/>
    <w:rsid w:val="4EC76DE4"/>
    <w:rsid w:val="4ECB6FBB"/>
    <w:rsid w:val="4ECC1718"/>
    <w:rsid w:val="4ECC61A8"/>
    <w:rsid w:val="4ECE3A54"/>
    <w:rsid w:val="4ECF3EEA"/>
    <w:rsid w:val="4ED03E3A"/>
    <w:rsid w:val="4ED07AB5"/>
    <w:rsid w:val="4ED7257A"/>
    <w:rsid w:val="4ED82D9F"/>
    <w:rsid w:val="4EDB463D"/>
    <w:rsid w:val="4EDE7C89"/>
    <w:rsid w:val="4EE07EA5"/>
    <w:rsid w:val="4EE2777A"/>
    <w:rsid w:val="4EE71234"/>
    <w:rsid w:val="4EE726AD"/>
    <w:rsid w:val="4EEE4762"/>
    <w:rsid w:val="4EF339B1"/>
    <w:rsid w:val="4EF474AD"/>
    <w:rsid w:val="4EF92D15"/>
    <w:rsid w:val="4EFA0F67"/>
    <w:rsid w:val="4EFB083B"/>
    <w:rsid w:val="4EFC670B"/>
    <w:rsid w:val="4EFE20DA"/>
    <w:rsid w:val="4F0177CA"/>
    <w:rsid w:val="4F0516BA"/>
    <w:rsid w:val="4F0A6CD0"/>
    <w:rsid w:val="4F132029"/>
    <w:rsid w:val="4F1B33BB"/>
    <w:rsid w:val="4F1D4C56"/>
    <w:rsid w:val="4F1D5652"/>
    <w:rsid w:val="4F1D6A04"/>
    <w:rsid w:val="4F1F5B32"/>
    <w:rsid w:val="4F204746"/>
    <w:rsid w:val="4F275AD4"/>
    <w:rsid w:val="4F2935FA"/>
    <w:rsid w:val="4F2E6E63"/>
    <w:rsid w:val="4F302DF0"/>
    <w:rsid w:val="4F310701"/>
    <w:rsid w:val="4F381A8F"/>
    <w:rsid w:val="4F38383D"/>
    <w:rsid w:val="4F3D70A6"/>
    <w:rsid w:val="4F440434"/>
    <w:rsid w:val="4F4421E2"/>
    <w:rsid w:val="4F443E37"/>
    <w:rsid w:val="4F455F5A"/>
    <w:rsid w:val="4F4E12B3"/>
    <w:rsid w:val="4F5148FF"/>
    <w:rsid w:val="4F524F63"/>
    <w:rsid w:val="4F53618A"/>
    <w:rsid w:val="4F5B752C"/>
    <w:rsid w:val="4F5D5052"/>
    <w:rsid w:val="4F5F701C"/>
    <w:rsid w:val="4F661CD0"/>
    <w:rsid w:val="4F664600"/>
    <w:rsid w:val="4F676F3B"/>
    <w:rsid w:val="4F697E9B"/>
    <w:rsid w:val="4F6D2783"/>
    <w:rsid w:val="4F700A9A"/>
    <w:rsid w:val="4F766114"/>
    <w:rsid w:val="4F7D56F4"/>
    <w:rsid w:val="4F833B28"/>
    <w:rsid w:val="4F8B3EBB"/>
    <w:rsid w:val="4F8E7901"/>
    <w:rsid w:val="4F90367A"/>
    <w:rsid w:val="4F9111A0"/>
    <w:rsid w:val="4F9843DC"/>
    <w:rsid w:val="4F996CEF"/>
    <w:rsid w:val="4F9A62A6"/>
    <w:rsid w:val="4F9D6767"/>
    <w:rsid w:val="4FA233AD"/>
    <w:rsid w:val="4FA56EF7"/>
    <w:rsid w:val="4FA62E9D"/>
    <w:rsid w:val="4FA9473B"/>
    <w:rsid w:val="4FAA4FA6"/>
    <w:rsid w:val="4FAC7D88"/>
    <w:rsid w:val="4FB01713"/>
    <w:rsid w:val="4FB21777"/>
    <w:rsid w:val="4FB530E0"/>
    <w:rsid w:val="4FB60E8E"/>
    <w:rsid w:val="4FB8497E"/>
    <w:rsid w:val="4FBF5290"/>
    <w:rsid w:val="4FC62A8C"/>
    <w:rsid w:val="4FCD0DCA"/>
    <w:rsid w:val="4FCE7910"/>
    <w:rsid w:val="4FD156E0"/>
    <w:rsid w:val="4FD27B6B"/>
    <w:rsid w:val="4FD80B7D"/>
    <w:rsid w:val="4FD83492"/>
    <w:rsid w:val="4FD95020"/>
    <w:rsid w:val="4FDA48F5"/>
    <w:rsid w:val="4FDB073A"/>
    <w:rsid w:val="4FE17A31"/>
    <w:rsid w:val="4FE20F0D"/>
    <w:rsid w:val="4FE319FB"/>
    <w:rsid w:val="4FE338DA"/>
    <w:rsid w:val="4FE51552"/>
    <w:rsid w:val="4FE55A96"/>
    <w:rsid w:val="4FE6773D"/>
    <w:rsid w:val="4FEA6D37"/>
    <w:rsid w:val="4FEB612E"/>
    <w:rsid w:val="4FED0B21"/>
    <w:rsid w:val="4FF260E2"/>
    <w:rsid w:val="4FF736F9"/>
    <w:rsid w:val="4FF80049"/>
    <w:rsid w:val="4FFD05E3"/>
    <w:rsid w:val="4FFE4A87"/>
    <w:rsid w:val="4FFF435B"/>
    <w:rsid w:val="5000269E"/>
    <w:rsid w:val="50036960"/>
    <w:rsid w:val="50041972"/>
    <w:rsid w:val="50071B26"/>
    <w:rsid w:val="500B6D6C"/>
    <w:rsid w:val="500D3812"/>
    <w:rsid w:val="50106568"/>
    <w:rsid w:val="501222E0"/>
    <w:rsid w:val="50130C0F"/>
    <w:rsid w:val="501415E9"/>
    <w:rsid w:val="501B6D91"/>
    <w:rsid w:val="501F435C"/>
    <w:rsid w:val="502344EE"/>
    <w:rsid w:val="502A3A06"/>
    <w:rsid w:val="502F0840"/>
    <w:rsid w:val="50354221"/>
    <w:rsid w:val="50355FCF"/>
    <w:rsid w:val="503A5C56"/>
    <w:rsid w:val="50414974"/>
    <w:rsid w:val="50485D02"/>
    <w:rsid w:val="504A1D57"/>
    <w:rsid w:val="504E42CF"/>
    <w:rsid w:val="50504BB7"/>
    <w:rsid w:val="50504C4B"/>
    <w:rsid w:val="50527605"/>
    <w:rsid w:val="50577CF3"/>
    <w:rsid w:val="505A77E4"/>
    <w:rsid w:val="50602E21"/>
    <w:rsid w:val="506B7C43"/>
    <w:rsid w:val="50715CFC"/>
    <w:rsid w:val="5071695E"/>
    <w:rsid w:val="50724B2D"/>
    <w:rsid w:val="50744D49"/>
    <w:rsid w:val="50774AE5"/>
    <w:rsid w:val="5079410E"/>
    <w:rsid w:val="507B5E3B"/>
    <w:rsid w:val="507C775A"/>
    <w:rsid w:val="50811214"/>
    <w:rsid w:val="50823AA3"/>
    <w:rsid w:val="50884351"/>
    <w:rsid w:val="50897CB4"/>
    <w:rsid w:val="508A03DC"/>
    <w:rsid w:val="50942CF5"/>
    <w:rsid w:val="509C6E7C"/>
    <w:rsid w:val="509E3B74"/>
    <w:rsid w:val="50A03E86"/>
    <w:rsid w:val="50A11E2B"/>
    <w:rsid w:val="50A6454F"/>
    <w:rsid w:val="50A70C7B"/>
    <w:rsid w:val="50A91F60"/>
    <w:rsid w:val="50AB003F"/>
    <w:rsid w:val="50B05655"/>
    <w:rsid w:val="50B23D90"/>
    <w:rsid w:val="50B96C00"/>
    <w:rsid w:val="50BB64D4"/>
    <w:rsid w:val="50BE7D72"/>
    <w:rsid w:val="50C17863"/>
    <w:rsid w:val="50C3182D"/>
    <w:rsid w:val="50C858CD"/>
    <w:rsid w:val="50CB4998"/>
    <w:rsid w:val="50CC06E1"/>
    <w:rsid w:val="50CF01D2"/>
    <w:rsid w:val="50CF3045"/>
    <w:rsid w:val="50D21A70"/>
    <w:rsid w:val="50DC644B"/>
    <w:rsid w:val="50EC4197"/>
    <w:rsid w:val="50EE68AA"/>
    <w:rsid w:val="50F9524E"/>
    <w:rsid w:val="5100482F"/>
    <w:rsid w:val="51027638"/>
    <w:rsid w:val="510936E3"/>
    <w:rsid w:val="510C673D"/>
    <w:rsid w:val="510C6D30"/>
    <w:rsid w:val="510D2A73"/>
    <w:rsid w:val="510E0F16"/>
    <w:rsid w:val="510E1E6E"/>
    <w:rsid w:val="510F05CE"/>
    <w:rsid w:val="511107EA"/>
    <w:rsid w:val="51167BAE"/>
    <w:rsid w:val="511B6F73"/>
    <w:rsid w:val="51204589"/>
    <w:rsid w:val="51234079"/>
    <w:rsid w:val="51254295"/>
    <w:rsid w:val="51256043"/>
    <w:rsid w:val="512F2929"/>
    <w:rsid w:val="513577D0"/>
    <w:rsid w:val="513913D5"/>
    <w:rsid w:val="513B7615"/>
    <w:rsid w:val="513E788B"/>
    <w:rsid w:val="513F4EFB"/>
    <w:rsid w:val="51450494"/>
    <w:rsid w:val="5147701D"/>
    <w:rsid w:val="514B674C"/>
    <w:rsid w:val="514F30C0"/>
    <w:rsid w:val="51574F11"/>
    <w:rsid w:val="515764BC"/>
    <w:rsid w:val="51597A9B"/>
    <w:rsid w:val="515A3F3F"/>
    <w:rsid w:val="515B7CB7"/>
    <w:rsid w:val="515D57DD"/>
    <w:rsid w:val="515F1526"/>
    <w:rsid w:val="5162104E"/>
    <w:rsid w:val="51624BA2"/>
    <w:rsid w:val="5164091A"/>
    <w:rsid w:val="51675356"/>
    <w:rsid w:val="516A7EFA"/>
    <w:rsid w:val="516E79EA"/>
    <w:rsid w:val="5176689F"/>
    <w:rsid w:val="51773FFC"/>
    <w:rsid w:val="51791EEB"/>
    <w:rsid w:val="517C7476"/>
    <w:rsid w:val="51894824"/>
    <w:rsid w:val="51897B82"/>
    <w:rsid w:val="518B234A"/>
    <w:rsid w:val="518E3319"/>
    <w:rsid w:val="518E47D8"/>
    <w:rsid w:val="518F170F"/>
    <w:rsid w:val="51907961"/>
    <w:rsid w:val="51986815"/>
    <w:rsid w:val="519915B2"/>
    <w:rsid w:val="51A451BA"/>
    <w:rsid w:val="51A72EFC"/>
    <w:rsid w:val="51AA3763"/>
    <w:rsid w:val="51AA6CAC"/>
    <w:rsid w:val="51AE6039"/>
    <w:rsid w:val="51B1103D"/>
    <w:rsid w:val="51B55619"/>
    <w:rsid w:val="51B64EEE"/>
    <w:rsid w:val="51B65612"/>
    <w:rsid w:val="51BC0756"/>
    <w:rsid w:val="51C117D7"/>
    <w:rsid w:val="51C21AE4"/>
    <w:rsid w:val="51C4585C"/>
    <w:rsid w:val="51C52711"/>
    <w:rsid w:val="51C8534D"/>
    <w:rsid w:val="51D3292F"/>
    <w:rsid w:val="51D535C6"/>
    <w:rsid w:val="51D75590"/>
    <w:rsid w:val="51DA5080"/>
    <w:rsid w:val="51DC0DF8"/>
    <w:rsid w:val="51E10A10"/>
    <w:rsid w:val="51E11F6A"/>
    <w:rsid w:val="51E859D5"/>
    <w:rsid w:val="51EB2DE9"/>
    <w:rsid w:val="51EC0F1C"/>
    <w:rsid w:val="51FA3520"/>
    <w:rsid w:val="51FB0B52"/>
    <w:rsid w:val="520143BB"/>
    <w:rsid w:val="52027CFA"/>
    <w:rsid w:val="520914C1"/>
    <w:rsid w:val="520A6300"/>
    <w:rsid w:val="520B5239"/>
    <w:rsid w:val="520D7203"/>
    <w:rsid w:val="521057D5"/>
    <w:rsid w:val="52132340"/>
    <w:rsid w:val="52192B0A"/>
    <w:rsid w:val="521B775A"/>
    <w:rsid w:val="522307D5"/>
    <w:rsid w:val="52263E21"/>
    <w:rsid w:val="5228116F"/>
    <w:rsid w:val="52285DEB"/>
    <w:rsid w:val="52293911"/>
    <w:rsid w:val="522B768A"/>
    <w:rsid w:val="522E717A"/>
    <w:rsid w:val="523019B3"/>
    <w:rsid w:val="523302EC"/>
    <w:rsid w:val="523B68B8"/>
    <w:rsid w:val="523D0E4F"/>
    <w:rsid w:val="523E560F"/>
    <w:rsid w:val="52421D16"/>
    <w:rsid w:val="524758F6"/>
    <w:rsid w:val="52480857"/>
    <w:rsid w:val="524B1ADA"/>
    <w:rsid w:val="524B3888"/>
    <w:rsid w:val="524D7600"/>
    <w:rsid w:val="525766D1"/>
    <w:rsid w:val="525941F7"/>
    <w:rsid w:val="52614E59"/>
    <w:rsid w:val="5263104F"/>
    <w:rsid w:val="526B420A"/>
    <w:rsid w:val="526E1290"/>
    <w:rsid w:val="526E7576"/>
    <w:rsid w:val="52707792"/>
    <w:rsid w:val="52727F85"/>
    <w:rsid w:val="52742DDF"/>
    <w:rsid w:val="527528FC"/>
    <w:rsid w:val="5277467D"/>
    <w:rsid w:val="527A416D"/>
    <w:rsid w:val="528374C6"/>
    <w:rsid w:val="528943B0"/>
    <w:rsid w:val="528B1ED6"/>
    <w:rsid w:val="528B737C"/>
    <w:rsid w:val="528D1177"/>
    <w:rsid w:val="528E1D94"/>
    <w:rsid w:val="5292215D"/>
    <w:rsid w:val="529A036B"/>
    <w:rsid w:val="529C0587"/>
    <w:rsid w:val="529C2335"/>
    <w:rsid w:val="529E1C09"/>
    <w:rsid w:val="52A511EA"/>
    <w:rsid w:val="52A66D10"/>
    <w:rsid w:val="52A86C27"/>
    <w:rsid w:val="52AD0D00"/>
    <w:rsid w:val="52AF02BB"/>
    <w:rsid w:val="52B0193D"/>
    <w:rsid w:val="52B9272F"/>
    <w:rsid w:val="52BF52F4"/>
    <w:rsid w:val="52BF6B1B"/>
    <w:rsid w:val="52C33D66"/>
    <w:rsid w:val="52C378C2"/>
    <w:rsid w:val="52C852DC"/>
    <w:rsid w:val="52CB1D01"/>
    <w:rsid w:val="52D7336D"/>
    <w:rsid w:val="52DB2E5E"/>
    <w:rsid w:val="52E55A8A"/>
    <w:rsid w:val="52E62CB7"/>
    <w:rsid w:val="52E83BB3"/>
    <w:rsid w:val="52E91DE4"/>
    <w:rsid w:val="52F77CF4"/>
    <w:rsid w:val="52FB3500"/>
    <w:rsid w:val="530103EA"/>
    <w:rsid w:val="53073C53"/>
    <w:rsid w:val="530915C4"/>
    <w:rsid w:val="530F2B07"/>
    <w:rsid w:val="530F7AAE"/>
    <w:rsid w:val="531225F7"/>
    <w:rsid w:val="53191BD8"/>
    <w:rsid w:val="53191D38"/>
    <w:rsid w:val="53204D14"/>
    <w:rsid w:val="532145E9"/>
    <w:rsid w:val="53234805"/>
    <w:rsid w:val="5325232B"/>
    <w:rsid w:val="532540D9"/>
    <w:rsid w:val="532742F5"/>
    <w:rsid w:val="532C190B"/>
    <w:rsid w:val="532C36B9"/>
    <w:rsid w:val="532C3FB3"/>
    <w:rsid w:val="532F4F57"/>
    <w:rsid w:val="53310CD0"/>
    <w:rsid w:val="53385D58"/>
    <w:rsid w:val="533F4E2E"/>
    <w:rsid w:val="53422EDD"/>
    <w:rsid w:val="534365C2"/>
    <w:rsid w:val="53452EE6"/>
    <w:rsid w:val="5345477B"/>
    <w:rsid w:val="53463FD1"/>
    <w:rsid w:val="534B7115"/>
    <w:rsid w:val="534C5B09"/>
    <w:rsid w:val="534E3054"/>
    <w:rsid w:val="53513120"/>
    <w:rsid w:val="53585B68"/>
    <w:rsid w:val="53591FD4"/>
    <w:rsid w:val="535C124A"/>
    <w:rsid w:val="53603363"/>
    <w:rsid w:val="53621A67"/>
    <w:rsid w:val="536917EA"/>
    <w:rsid w:val="536C2083"/>
    <w:rsid w:val="536C61AC"/>
    <w:rsid w:val="536F483D"/>
    <w:rsid w:val="53733493"/>
    <w:rsid w:val="53740BBC"/>
    <w:rsid w:val="53784B50"/>
    <w:rsid w:val="53794425"/>
    <w:rsid w:val="537E1A3B"/>
    <w:rsid w:val="53874D93"/>
    <w:rsid w:val="538928BA"/>
    <w:rsid w:val="538A1445"/>
    <w:rsid w:val="53901E9A"/>
    <w:rsid w:val="5391176E"/>
    <w:rsid w:val="53937294"/>
    <w:rsid w:val="53A039CC"/>
    <w:rsid w:val="53A1505A"/>
    <w:rsid w:val="53A25729"/>
    <w:rsid w:val="53A5188B"/>
    <w:rsid w:val="53A771E4"/>
    <w:rsid w:val="53A96AB8"/>
    <w:rsid w:val="53AA2830"/>
    <w:rsid w:val="53B13BBE"/>
    <w:rsid w:val="53B278ED"/>
    <w:rsid w:val="53B30EDB"/>
    <w:rsid w:val="53B50ACE"/>
    <w:rsid w:val="53B76D66"/>
    <w:rsid w:val="53B8319F"/>
    <w:rsid w:val="53C267A2"/>
    <w:rsid w:val="53C53301"/>
    <w:rsid w:val="53C64FBF"/>
    <w:rsid w:val="53C658BC"/>
    <w:rsid w:val="53C725AE"/>
    <w:rsid w:val="53C90F08"/>
    <w:rsid w:val="53CC6C4A"/>
    <w:rsid w:val="53D1600F"/>
    <w:rsid w:val="53D224B3"/>
    <w:rsid w:val="53D524B6"/>
    <w:rsid w:val="53D578AD"/>
    <w:rsid w:val="53D62FB5"/>
    <w:rsid w:val="53D77AC9"/>
    <w:rsid w:val="53D901B4"/>
    <w:rsid w:val="53DF072C"/>
    <w:rsid w:val="53DF697E"/>
    <w:rsid w:val="53E04DBD"/>
    <w:rsid w:val="53E2021C"/>
    <w:rsid w:val="53E47AF0"/>
    <w:rsid w:val="53E775E0"/>
    <w:rsid w:val="53E80512"/>
    <w:rsid w:val="53F306B5"/>
    <w:rsid w:val="53FD6E04"/>
    <w:rsid w:val="53FE2CFF"/>
    <w:rsid w:val="5402441A"/>
    <w:rsid w:val="54052ACA"/>
    <w:rsid w:val="54056F9D"/>
    <w:rsid w:val="54063E08"/>
    <w:rsid w:val="54091C4C"/>
    <w:rsid w:val="540939FA"/>
    <w:rsid w:val="540A50DE"/>
    <w:rsid w:val="540A68E4"/>
    <w:rsid w:val="540D34EB"/>
    <w:rsid w:val="5411290B"/>
    <w:rsid w:val="54181E8F"/>
    <w:rsid w:val="54183FF5"/>
    <w:rsid w:val="541A291A"/>
    <w:rsid w:val="541D1254"/>
    <w:rsid w:val="541F4FCC"/>
    <w:rsid w:val="541F6D7A"/>
    <w:rsid w:val="54225706"/>
    <w:rsid w:val="54280325"/>
    <w:rsid w:val="54295E4B"/>
    <w:rsid w:val="54297BF9"/>
    <w:rsid w:val="542A5461"/>
    <w:rsid w:val="543437E8"/>
    <w:rsid w:val="5437274A"/>
    <w:rsid w:val="543870C4"/>
    <w:rsid w:val="543C16DA"/>
    <w:rsid w:val="544243E9"/>
    <w:rsid w:val="54436F0C"/>
    <w:rsid w:val="54464BBC"/>
    <w:rsid w:val="54482775"/>
    <w:rsid w:val="544B4013"/>
    <w:rsid w:val="544D7D8B"/>
    <w:rsid w:val="544E765F"/>
    <w:rsid w:val="545311AD"/>
    <w:rsid w:val="5454111A"/>
    <w:rsid w:val="54572AC1"/>
    <w:rsid w:val="545C3B2A"/>
    <w:rsid w:val="54604B65"/>
    <w:rsid w:val="546649A9"/>
    <w:rsid w:val="546E44B5"/>
    <w:rsid w:val="547143A9"/>
    <w:rsid w:val="54732095"/>
    <w:rsid w:val="54750DF4"/>
    <w:rsid w:val="547558FB"/>
    <w:rsid w:val="5477021B"/>
    <w:rsid w:val="547D1CF3"/>
    <w:rsid w:val="547D408D"/>
    <w:rsid w:val="547E7F44"/>
    <w:rsid w:val="54856D10"/>
    <w:rsid w:val="548601B2"/>
    <w:rsid w:val="54866DF9"/>
    <w:rsid w:val="548E3F00"/>
    <w:rsid w:val="54905710"/>
    <w:rsid w:val="54921C42"/>
    <w:rsid w:val="549332C4"/>
    <w:rsid w:val="549860DA"/>
    <w:rsid w:val="54992FD0"/>
    <w:rsid w:val="54996B2C"/>
    <w:rsid w:val="549E4AC8"/>
    <w:rsid w:val="549F7EBB"/>
    <w:rsid w:val="54A02118"/>
    <w:rsid w:val="54A13C33"/>
    <w:rsid w:val="54B57135"/>
    <w:rsid w:val="54C3776F"/>
    <w:rsid w:val="54C618EB"/>
    <w:rsid w:val="54C811C0"/>
    <w:rsid w:val="54CA13DC"/>
    <w:rsid w:val="54CD2C7A"/>
    <w:rsid w:val="54CE1930"/>
    <w:rsid w:val="54DC110F"/>
    <w:rsid w:val="54DC4C6B"/>
    <w:rsid w:val="54DE09E3"/>
    <w:rsid w:val="54E3424B"/>
    <w:rsid w:val="54E87019"/>
    <w:rsid w:val="54EA55DA"/>
    <w:rsid w:val="54EB1352"/>
    <w:rsid w:val="54EE0489"/>
    <w:rsid w:val="54F00716"/>
    <w:rsid w:val="54F503EE"/>
    <w:rsid w:val="54F73313"/>
    <w:rsid w:val="54F80955"/>
    <w:rsid w:val="54FB2951"/>
    <w:rsid w:val="54FF095A"/>
    <w:rsid w:val="550146D2"/>
    <w:rsid w:val="55052414"/>
    <w:rsid w:val="550541C2"/>
    <w:rsid w:val="55086FD1"/>
    <w:rsid w:val="55101021"/>
    <w:rsid w:val="55110DB9"/>
    <w:rsid w:val="55124B31"/>
    <w:rsid w:val="55164621"/>
    <w:rsid w:val="5520724E"/>
    <w:rsid w:val="55213B45"/>
    <w:rsid w:val="55241A0D"/>
    <w:rsid w:val="55254864"/>
    <w:rsid w:val="552D3A2B"/>
    <w:rsid w:val="552F56E3"/>
    <w:rsid w:val="552F7491"/>
    <w:rsid w:val="55385606"/>
    <w:rsid w:val="553920BD"/>
    <w:rsid w:val="554271C4"/>
    <w:rsid w:val="5549410A"/>
    <w:rsid w:val="554E1BD6"/>
    <w:rsid w:val="555170A7"/>
    <w:rsid w:val="55524F2D"/>
    <w:rsid w:val="55525286"/>
    <w:rsid w:val="55540CA5"/>
    <w:rsid w:val="55555BA8"/>
    <w:rsid w:val="555B64D8"/>
    <w:rsid w:val="555D5DAC"/>
    <w:rsid w:val="555E1B24"/>
    <w:rsid w:val="55601B8A"/>
    <w:rsid w:val="556829A3"/>
    <w:rsid w:val="556A04C9"/>
    <w:rsid w:val="55712458"/>
    <w:rsid w:val="557434C0"/>
    <w:rsid w:val="55774994"/>
    <w:rsid w:val="557830EE"/>
    <w:rsid w:val="55801A9A"/>
    <w:rsid w:val="55816C89"/>
    <w:rsid w:val="558477DD"/>
    <w:rsid w:val="55872E29"/>
    <w:rsid w:val="5587536D"/>
    <w:rsid w:val="558C6691"/>
    <w:rsid w:val="558F7F2F"/>
    <w:rsid w:val="55900756"/>
    <w:rsid w:val="55915A56"/>
    <w:rsid w:val="55933E69"/>
    <w:rsid w:val="55943272"/>
    <w:rsid w:val="559B174B"/>
    <w:rsid w:val="559D26B8"/>
    <w:rsid w:val="55A25EB5"/>
    <w:rsid w:val="55A3444E"/>
    <w:rsid w:val="55A850B4"/>
    <w:rsid w:val="55B02E5B"/>
    <w:rsid w:val="55B300C2"/>
    <w:rsid w:val="55B66457"/>
    <w:rsid w:val="55B94FAC"/>
    <w:rsid w:val="55BA31FE"/>
    <w:rsid w:val="55BA72C6"/>
    <w:rsid w:val="55BB09F0"/>
    <w:rsid w:val="55BD684B"/>
    <w:rsid w:val="55BD7B27"/>
    <w:rsid w:val="55BE344A"/>
    <w:rsid w:val="55C71477"/>
    <w:rsid w:val="55CE0CF4"/>
    <w:rsid w:val="55CF657E"/>
    <w:rsid w:val="55D02A22"/>
    <w:rsid w:val="55D3606E"/>
    <w:rsid w:val="55E3293D"/>
    <w:rsid w:val="55E4027B"/>
    <w:rsid w:val="55E464CD"/>
    <w:rsid w:val="55E74F95"/>
    <w:rsid w:val="55EC2F11"/>
    <w:rsid w:val="55F10BEA"/>
    <w:rsid w:val="55F36710"/>
    <w:rsid w:val="55F4430B"/>
    <w:rsid w:val="55F65CBA"/>
    <w:rsid w:val="55F668FC"/>
    <w:rsid w:val="55F66DE8"/>
    <w:rsid w:val="55FB7373"/>
    <w:rsid w:val="55FF6E63"/>
    <w:rsid w:val="5601382B"/>
    <w:rsid w:val="560721BC"/>
    <w:rsid w:val="56097CE2"/>
    <w:rsid w:val="560D6255"/>
    <w:rsid w:val="56144204"/>
    <w:rsid w:val="56150435"/>
    <w:rsid w:val="561A5A4B"/>
    <w:rsid w:val="561F7505"/>
    <w:rsid w:val="5621502B"/>
    <w:rsid w:val="562543F0"/>
    <w:rsid w:val="56265441"/>
    <w:rsid w:val="562E614B"/>
    <w:rsid w:val="56317F22"/>
    <w:rsid w:val="56356D29"/>
    <w:rsid w:val="563C1E65"/>
    <w:rsid w:val="563F1955"/>
    <w:rsid w:val="564008A3"/>
    <w:rsid w:val="564156CE"/>
    <w:rsid w:val="56431446"/>
    <w:rsid w:val="56440D1A"/>
    <w:rsid w:val="564451BE"/>
    <w:rsid w:val="564C5E20"/>
    <w:rsid w:val="56503B63"/>
    <w:rsid w:val="565101F7"/>
    <w:rsid w:val="56515DC5"/>
    <w:rsid w:val="56521689"/>
    <w:rsid w:val="56546B51"/>
    <w:rsid w:val="56552F27"/>
    <w:rsid w:val="56554CD5"/>
    <w:rsid w:val="5661367A"/>
    <w:rsid w:val="566440E0"/>
    <w:rsid w:val="56644F18"/>
    <w:rsid w:val="56680EAC"/>
    <w:rsid w:val="56682C5A"/>
    <w:rsid w:val="56690780"/>
    <w:rsid w:val="566A066C"/>
    <w:rsid w:val="566B274A"/>
    <w:rsid w:val="566D52ED"/>
    <w:rsid w:val="566D6D0C"/>
    <w:rsid w:val="56705FB3"/>
    <w:rsid w:val="56713C6E"/>
    <w:rsid w:val="56743979"/>
    <w:rsid w:val="56757125"/>
    <w:rsid w:val="567C04B4"/>
    <w:rsid w:val="567E247E"/>
    <w:rsid w:val="568832FC"/>
    <w:rsid w:val="568F6427"/>
    <w:rsid w:val="569111DB"/>
    <w:rsid w:val="56933A4F"/>
    <w:rsid w:val="56941CA1"/>
    <w:rsid w:val="56951575"/>
    <w:rsid w:val="56982E14"/>
    <w:rsid w:val="569869C4"/>
    <w:rsid w:val="569948C1"/>
    <w:rsid w:val="56A57853"/>
    <w:rsid w:val="56AA07CE"/>
    <w:rsid w:val="56B22A9C"/>
    <w:rsid w:val="56B23ED5"/>
    <w:rsid w:val="56B341A2"/>
    <w:rsid w:val="56BB7056"/>
    <w:rsid w:val="56BF43B3"/>
    <w:rsid w:val="56CA2358"/>
    <w:rsid w:val="56D36553"/>
    <w:rsid w:val="56D6198C"/>
    <w:rsid w:val="56DF6A20"/>
    <w:rsid w:val="56E0267D"/>
    <w:rsid w:val="56E35A9D"/>
    <w:rsid w:val="56E36785"/>
    <w:rsid w:val="56E37A63"/>
    <w:rsid w:val="56E85B49"/>
    <w:rsid w:val="56EA49DD"/>
    <w:rsid w:val="56EE20BC"/>
    <w:rsid w:val="56EE708C"/>
    <w:rsid w:val="56F73FDE"/>
    <w:rsid w:val="56F8017E"/>
    <w:rsid w:val="56FA42E9"/>
    <w:rsid w:val="56FA45C0"/>
    <w:rsid w:val="56FA762A"/>
    <w:rsid w:val="56FB6E6E"/>
    <w:rsid w:val="56FC7846"/>
    <w:rsid w:val="56FE672C"/>
    <w:rsid w:val="57082FB9"/>
    <w:rsid w:val="570A5ABF"/>
    <w:rsid w:val="570B7A8A"/>
    <w:rsid w:val="570D1A54"/>
    <w:rsid w:val="570D3E76"/>
    <w:rsid w:val="570F30D6"/>
    <w:rsid w:val="57125C71"/>
    <w:rsid w:val="571A0FF6"/>
    <w:rsid w:val="57224291"/>
    <w:rsid w:val="573378DF"/>
    <w:rsid w:val="57364B06"/>
    <w:rsid w:val="573945F7"/>
    <w:rsid w:val="573A3649"/>
    <w:rsid w:val="573B211D"/>
    <w:rsid w:val="573B76AA"/>
    <w:rsid w:val="573C40E7"/>
    <w:rsid w:val="573E4A79"/>
    <w:rsid w:val="573F0BFC"/>
    <w:rsid w:val="574249B5"/>
    <w:rsid w:val="57430FD1"/>
    <w:rsid w:val="574A6804"/>
    <w:rsid w:val="574F5BC8"/>
    <w:rsid w:val="57572CCF"/>
    <w:rsid w:val="57576C22"/>
    <w:rsid w:val="575907F5"/>
    <w:rsid w:val="57592C33"/>
    <w:rsid w:val="575A2DF2"/>
    <w:rsid w:val="57623B4D"/>
    <w:rsid w:val="576645CF"/>
    <w:rsid w:val="576670AF"/>
    <w:rsid w:val="57672F12"/>
    <w:rsid w:val="57681A35"/>
    <w:rsid w:val="576A0C54"/>
    <w:rsid w:val="576F0210"/>
    <w:rsid w:val="5771417A"/>
    <w:rsid w:val="5774783B"/>
    <w:rsid w:val="577D4F75"/>
    <w:rsid w:val="577F3629"/>
    <w:rsid w:val="577F650C"/>
    <w:rsid w:val="57800351"/>
    <w:rsid w:val="5780307D"/>
    <w:rsid w:val="57807393"/>
    <w:rsid w:val="57821E15"/>
    <w:rsid w:val="578223FB"/>
    <w:rsid w:val="578735B4"/>
    <w:rsid w:val="57875362"/>
    <w:rsid w:val="5789350D"/>
    <w:rsid w:val="578C0BCA"/>
    <w:rsid w:val="578F06BB"/>
    <w:rsid w:val="57904B13"/>
    <w:rsid w:val="579627D0"/>
    <w:rsid w:val="579C4CFA"/>
    <w:rsid w:val="57A2219C"/>
    <w:rsid w:val="57A655D0"/>
    <w:rsid w:val="57A8352A"/>
    <w:rsid w:val="57AC287A"/>
    <w:rsid w:val="57AE1B0B"/>
    <w:rsid w:val="57B72A76"/>
    <w:rsid w:val="57BB14B0"/>
    <w:rsid w:val="57BB325E"/>
    <w:rsid w:val="57C3426C"/>
    <w:rsid w:val="57C55E8A"/>
    <w:rsid w:val="57CE11E3"/>
    <w:rsid w:val="57CE1F93"/>
    <w:rsid w:val="57D06B40"/>
    <w:rsid w:val="57D141F5"/>
    <w:rsid w:val="57D656BE"/>
    <w:rsid w:val="57D74F0C"/>
    <w:rsid w:val="57D936E4"/>
    <w:rsid w:val="57DA7B88"/>
    <w:rsid w:val="57DB3900"/>
    <w:rsid w:val="57DD1426"/>
    <w:rsid w:val="57DD31D4"/>
    <w:rsid w:val="57E75E01"/>
    <w:rsid w:val="57EA3B43"/>
    <w:rsid w:val="57ED13FA"/>
    <w:rsid w:val="57F30C49"/>
    <w:rsid w:val="57F329F7"/>
    <w:rsid w:val="57FB365A"/>
    <w:rsid w:val="57FD3876"/>
    <w:rsid w:val="57FD73D2"/>
    <w:rsid w:val="57FF139C"/>
    <w:rsid w:val="58020E8D"/>
    <w:rsid w:val="58044C05"/>
    <w:rsid w:val="580764A3"/>
    <w:rsid w:val="580F7106"/>
    <w:rsid w:val="58132182"/>
    <w:rsid w:val="58134E48"/>
    <w:rsid w:val="581806B0"/>
    <w:rsid w:val="581D7A74"/>
    <w:rsid w:val="581F627E"/>
    <w:rsid w:val="5826241E"/>
    <w:rsid w:val="58276B45"/>
    <w:rsid w:val="582A4D0D"/>
    <w:rsid w:val="582A5B9D"/>
    <w:rsid w:val="582B63F2"/>
    <w:rsid w:val="582E1C82"/>
    <w:rsid w:val="582F1556"/>
    <w:rsid w:val="58306639"/>
    <w:rsid w:val="58353010"/>
    <w:rsid w:val="58354DBE"/>
    <w:rsid w:val="58356D78"/>
    <w:rsid w:val="58360B36"/>
    <w:rsid w:val="58403763"/>
    <w:rsid w:val="5842572D"/>
    <w:rsid w:val="58466FCB"/>
    <w:rsid w:val="584B2834"/>
    <w:rsid w:val="584D65AC"/>
    <w:rsid w:val="584E40D2"/>
    <w:rsid w:val="58515970"/>
    <w:rsid w:val="5851700F"/>
    <w:rsid w:val="58533496"/>
    <w:rsid w:val="58535244"/>
    <w:rsid w:val="58564D34"/>
    <w:rsid w:val="585711D8"/>
    <w:rsid w:val="585F008D"/>
    <w:rsid w:val="585F08A3"/>
    <w:rsid w:val="585F1E3B"/>
    <w:rsid w:val="585F62DF"/>
    <w:rsid w:val="586236D9"/>
    <w:rsid w:val="586631C9"/>
    <w:rsid w:val="586C1BCB"/>
    <w:rsid w:val="586D7F1B"/>
    <w:rsid w:val="587476B3"/>
    <w:rsid w:val="587647D5"/>
    <w:rsid w:val="58782EFD"/>
    <w:rsid w:val="587A6C75"/>
    <w:rsid w:val="587B0B9A"/>
    <w:rsid w:val="587C0A1A"/>
    <w:rsid w:val="587D0513"/>
    <w:rsid w:val="5882100A"/>
    <w:rsid w:val="58831FCD"/>
    <w:rsid w:val="58856D1A"/>
    <w:rsid w:val="58860C9B"/>
    <w:rsid w:val="5886386C"/>
    <w:rsid w:val="588743D1"/>
    <w:rsid w:val="5887560E"/>
    <w:rsid w:val="5887701A"/>
    <w:rsid w:val="588847F1"/>
    <w:rsid w:val="588C0756"/>
    <w:rsid w:val="588C33CB"/>
    <w:rsid w:val="588E44CE"/>
    <w:rsid w:val="58907F4D"/>
    <w:rsid w:val="58922210"/>
    <w:rsid w:val="58957CCA"/>
    <w:rsid w:val="5898534D"/>
    <w:rsid w:val="589A2E73"/>
    <w:rsid w:val="589D2963"/>
    <w:rsid w:val="58A3441E"/>
    <w:rsid w:val="58A41F44"/>
    <w:rsid w:val="58A646DC"/>
    <w:rsid w:val="58B261B6"/>
    <w:rsid w:val="58B303D9"/>
    <w:rsid w:val="58B32FF0"/>
    <w:rsid w:val="58B57CAD"/>
    <w:rsid w:val="58B85C7D"/>
    <w:rsid w:val="58BA0D1E"/>
    <w:rsid w:val="58BA3515"/>
    <w:rsid w:val="58BE3005"/>
    <w:rsid w:val="58C16059"/>
    <w:rsid w:val="58C21D9B"/>
    <w:rsid w:val="58C25983"/>
    <w:rsid w:val="58C26C80"/>
    <w:rsid w:val="58C46142"/>
    <w:rsid w:val="58C65C36"/>
    <w:rsid w:val="58CD149A"/>
    <w:rsid w:val="58CF1860"/>
    <w:rsid w:val="58D053E0"/>
    <w:rsid w:val="58DC7930"/>
    <w:rsid w:val="58DD0FB2"/>
    <w:rsid w:val="58E578B7"/>
    <w:rsid w:val="58E617C2"/>
    <w:rsid w:val="58EA5845"/>
    <w:rsid w:val="58EB7B01"/>
    <w:rsid w:val="58EF1411"/>
    <w:rsid w:val="58F5454D"/>
    <w:rsid w:val="58FC0A52"/>
    <w:rsid w:val="59011144"/>
    <w:rsid w:val="59061E00"/>
    <w:rsid w:val="59091DA7"/>
    <w:rsid w:val="590A624B"/>
    <w:rsid w:val="590E1346"/>
    <w:rsid w:val="59127A5E"/>
    <w:rsid w:val="59157214"/>
    <w:rsid w:val="591A2681"/>
    <w:rsid w:val="591E1CF6"/>
    <w:rsid w:val="591E3AA4"/>
    <w:rsid w:val="591E4CA4"/>
    <w:rsid w:val="59213594"/>
    <w:rsid w:val="5932754F"/>
    <w:rsid w:val="59345076"/>
    <w:rsid w:val="59350DEE"/>
    <w:rsid w:val="59376914"/>
    <w:rsid w:val="59407EBE"/>
    <w:rsid w:val="594352B9"/>
    <w:rsid w:val="59441031"/>
    <w:rsid w:val="5947124D"/>
    <w:rsid w:val="594C2225"/>
    <w:rsid w:val="594C6863"/>
    <w:rsid w:val="59513E7A"/>
    <w:rsid w:val="5955323E"/>
    <w:rsid w:val="59590F80"/>
    <w:rsid w:val="595F44D9"/>
    <w:rsid w:val="59601C33"/>
    <w:rsid w:val="59605E6B"/>
    <w:rsid w:val="59653481"/>
    <w:rsid w:val="596A4F3B"/>
    <w:rsid w:val="596B201C"/>
    <w:rsid w:val="596B4D4F"/>
    <w:rsid w:val="596B5D20"/>
    <w:rsid w:val="596D2336"/>
    <w:rsid w:val="59701E26"/>
    <w:rsid w:val="59704B59"/>
    <w:rsid w:val="597B0EF6"/>
    <w:rsid w:val="5980475F"/>
    <w:rsid w:val="5980650D"/>
    <w:rsid w:val="598D4786"/>
    <w:rsid w:val="59941FB8"/>
    <w:rsid w:val="59943D66"/>
    <w:rsid w:val="599975CF"/>
    <w:rsid w:val="599B50F5"/>
    <w:rsid w:val="59A76D69"/>
    <w:rsid w:val="59A86032"/>
    <w:rsid w:val="59A938A2"/>
    <w:rsid w:val="59AD6BD6"/>
    <w:rsid w:val="59B12B6A"/>
    <w:rsid w:val="59B2243E"/>
    <w:rsid w:val="59B30690"/>
    <w:rsid w:val="59B442BD"/>
    <w:rsid w:val="59B83C19"/>
    <w:rsid w:val="59B85996"/>
    <w:rsid w:val="59B937CD"/>
    <w:rsid w:val="59BC0375"/>
    <w:rsid w:val="59C0439F"/>
    <w:rsid w:val="59C4146C"/>
    <w:rsid w:val="59C63F80"/>
    <w:rsid w:val="59CB7611"/>
    <w:rsid w:val="59CD7278"/>
    <w:rsid w:val="59CF5EB3"/>
    <w:rsid w:val="59D06182"/>
    <w:rsid w:val="59D2488F"/>
    <w:rsid w:val="59D65055"/>
    <w:rsid w:val="59E22D24"/>
    <w:rsid w:val="59E44CEE"/>
    <w:rsid w:val="59E51E95"/>
    <w:rsid w:val="59E51ECE"/>
    <w:rsid w:val="59F111B9"/>
    <w:rsid w:val="59F205CE"/>
    <w:rsid w:val="59F42A57"/>
    <w:rsid w:val="5A0077A5"/>
    <w:rsid w:val="5A054C64"/>
    <w:rsid w:val="5A0802B0"/>
    <w:rsid w:val="5A095153"/>
    <w:rsid w:val="5A0D33BD"/>
    <w:rsid w:val="5A0E58C7"/>
    <w:rsid w:val="5A117165"/>
    <w:rsid w:val="5A13643F"/>
    <w:rsid w:val="5A18491E"/>
    <w:rsid w:val="5A1D1FAE"/>
    <w:rsid w:val="5A1D69CB"/>
    <w:rsid w:val="5A1F7AD4"/>
    <w:rsid w:val="5A201A9E"/>
    <w:rsid w:val="5A250E62"/>
    <w:rsid w:val="5A27507C"/>
    <w:rsid w:val="5A2F6788"/>
    <w:rsid w:val="5A366BCB"/>
    <w:rsid w:val="5A3B68D8"/>
    <w:rsid w:val="5A3C2B20"/>
    <w:rsid w:val="5A3D394C"/>
    <w:rsid w:val="5A427C66"/>
    <w:rsid w:val="5A470DD9"/>
    <w:rsid w:val="5A47702B"/>
    <w:rsid w:val="5A496657"/>
    <w:rsid w:val="5A4C4641"/>
    <w:rsid w:val="5A4C63EF"/>
    <w:rsid w:val="5A512369"/>
    <w:rsid w:val="5A5534F6"/>
    <w:rsid w:val="5A56726E"/>
    <w:rsid w:val="5A584D94"/>
    <w:rsid w:val="5A5D23AA"/>
    <w:rsid w:val="5A6279C1"/>
    <w:rsid w:val="5A696FA1"/>
    <w:rsid w:val="5A697A69"/>
    <w:rsid w:val="5A737E20"/>
    <w:rsid w:val="5A783688"/>
    <w:rsid w:val="5A7871E4"/>
    <w:rsid w:val="5A7B1B1A"/>
    <w:rsid w:val="5A8C2C8F"/>
    <w:rsid w:val="5A8E6A07"/>
    <w:rsid w:val="5A9A07E3"/>
    <w:rsid w:val="5A9D2EFB"/>
    <w:rsid w:val="5AA31307"/>
    <w:rsid w:val="5AA80B76"/>
    <w:rsid w:val="5AAB580B"/>
    <w:rsid w:val="5AB062CF"/>
    <w:rsid w:val="5AB26DBD"/>
    <w:rsid w:val="5AB521E6"/>
    <w:rsid w:val="5ABC3575"/>
    <w:rsid w:val="5ABD72ED"/>
    <w:rsid w:val="5ABE2233"/>
    <w:rsid w:val="5AC12B82"/>
    <w:rsid w:val="5AC266B1"/>
    <w:rsid w:val="5ACE51D9"/>
    <w:rsid w:val="5AD22D98"/>
    <w:rsid w:val="5AD84127"/>
    <w:rsid w:val="5ADC59C5"/>
    <w:rsid w:val="5ADD173D"/>
    <w:rsid w:val="5ADF330A"/>
    <w:rsid w:val="5AEB5C08"/>
    <w:rsid w:val="5AF820D3"/>
    <w:rsid w:val="5AF93A7B"/>
    <w:rsid w:val="5AF96577"/>
    <w:rsid w:val="5AFA5E4B"/>
    <w:rsid w:val="5AFD593B"/>
    <w:rsid w:val="5AFF32E3"/>
    <w:rsid w:val="5AFF462C"/>
    <w:rsid w:val="5B01348B"/>
    <w:rsid w:val="5B01542B"/>
    <w:rsid w:val="5B0373F5"/>
    <w:rsid w:val="5B0867BA"/>
    <w:rsid w:val="5B0942E0"/>
    <w:rsid w:val="5B0B0058"/>
    <w:rsid w:val="5B136F0D"/>
    <w:rsid w:val="5B155C32"/>
    <w:rsid w:val="5B174C4F"/>
    <w:rsid w:val="5B1A3CC2"/>
    <w:rsid w:val="5B1E7D8B"/>
    <w:rsid w:val="5B21454D"/>
    <w:rsid w:val="5B2D3E7C"/>
    <w:rsid w:val="5B3221AA"/>
    <w:rsid w:val="5B347888"/>
    <w:rsid w:val="5B353327"/>
    <w:rsid w:val="5B3752F1"/>
    <w:rsid w:val="5B3A26EB"/>
    <w:rsid w:val="5B3C6463"/>
    <w:rsid w:val="5B416F42"/>
    <w:rsid w:val="5B4377F2"/>
    <w:rsid w:val="5B4700E5"/>
    <w:rsid w:val="5B4D0671"/>
    <w:rsid w:val="5B4F43E9"/>
    <w:rsid w:val="5B51362C"/>
    <w:rsid w:val="5B515455"/>
    <w:rsid w:val="5B51733D"/>
    <w:rsid w:val="5B583284"/>
    <w:rsid w:val="5B5F44EF"/>
    <w:rsid w:val="5B61411C"/>
    <w:rsid w:val="5B6360E6"/>
    <w:rsid w:val="5B653C0C"/>
    <w:rsid w:val="5B673496"/>
    <w:rsid w:val="5B6D2AC1"/>
    <w:rsid w:val="5B7025B1"/>
    <w:rsid w:val="5B7200D7"/>
    <w:rsid w:val="5B7612E6"/>
    <w:rsid w:val="5B7976B8"/>
    <w:rsid w:val="5B7D432C"/>
    <w:rsid w:val="5B7E4CCE"/>
    <w:rsid w:val="5B800A46"/>
    <w:rsid w:val="5B8223B2"/>
    <w:rsid w:val="5B841BB9"/>
    <w:rsid w:val="5B880B61"/>
    <w:rsid w:val="5B885B4D"/>
    <w:rsid w:val="5B8A3673"/>
    <w:rsid w:val="5B8B6A0A"/>
    <w:rsid w:val="5B9444F1"/>
    <w:rsid w:val="5BA74225"/>
    <w:rsid w:val="5BA83AF9"/>
    <w:rsid w:val="5BAA161F"/>
    <w:rsid w:val="5BAA5273"/>
    <w:rsid w:val="5BAD55B3"/>
    <w:rsid w:val="5BB21C3B"/>
    <w:rsid w:val="5BC03546"/>
    <w:rsid w:val="5BC07095"/>
    <w:rsid w:val="5BC14BBB"/>
    <w:rsid w:val="5BC16969"/>
    <w:rsid w:val="5BC326E1"/>
    <w:rsid w:val="5BC75F04"/>
    <w:rsid w:val="5BC934AE"/>
    <w:rsid w:val="5BC94BEF"/>
    <w:rsid w:val="5BCB77E7"/>
    <w:rsid w:val="5BCE5E90"/>
    <w:rsid w:val="5BCE629C"/>
    <w:rsid w:val="5BCF475B"/>
    <w:rsid w:val="5BD743DE"/>
    <w:rsid w:val="5BD7618C"/>
    <w:rsid w:val="5BDE576D"/>
    <w:rsid w:val="5BDE751B"/>
    <w:rsid w:val="5BDF5CC7"/>
    <w:rsid w:val="5BDF5D95"/>
    <w:rsid w:val="5BE10DB9"/>
    <w:rsid w:val="5BE2700B"/>
    <w:rsid w:val="5BE32D83"/>
    <w:rsid w:val="5BE34B31"/>
    <w:rsid w:val="5BE50127"/>
    <w:rsid w:val="5BE70AC5"/>
    <w:rsid w:val="5BEB0156"/>
    <w:rsid w:val="5BEC6CFA"/>
    <w:rsid w:val="5BEC7E8A"/>
    <w:rsid w:val="5BED4BFC"/>
    <w:rsid w:val="5BED59B0"/>
    <w:rsid w:val="5BEF34D6"/>
    <w:rsid w:val="5BF03C12"/>
    <w:rsid w:val="5BF1724E"/>
    <w:rsid w:val="5BF671C1"/>
    <w:rsid w:val="5BFD2097"/>
    <w:rsid w:val="5BFE7528"/>
    <w:rsid w:val="5BFF0E9B"/>
    <w:rsid w:val="5C044300"/>
    <w:rsid w:val="5C076A71"/>
    <w:rsid w:val="5C0A59F2"/>
    <w:rsid w:val="5C116809"/>
    <w:rsid w:val="5C1318BA"/>
    <w:rsid w:val="5C133668"/>
    <w:rsid w:val="5C15053E"/>
    <w:rsid w:val="5C15310E"/>
    <w:rsid w:val="5C161AB5"/>
    <w:rsid w:val="5C180C7F"/>
    <w:rsid w:val="5C237A35"/>
    <w:rsid w:val="5C294C3A"/>
    <w:rsid w:val="5C2A09B2"/>
    <w:rsid w:val="5C2A0EF0"/>
    <w:rsid w:val="5C2A6C04"/>
    <w:rsid w:val="5C2D3FFE"/>
    <w:rsid w:val="5C2E108A"/>
    <w:rsid w:val="5C2E2250"/>
    <w:rsid w:val="5C2F5FC8"/>
    <w:rsid w:val="5C381E5D"/>
    <w:rsid w:val="5C384E7D"/>
    <w:rsid w:val="5C3A6C1C"/>
    <w:rsid w:val="5C3F445D"/>
    <w:rsid w:val="5C403D31"/>
    <w:rsid w:val="5C421634"/>
    <w:rsid w:val="5C43235A"/>
    <w:rsid w:val="5C4557EC"/>
    <w:rsid w:val="5C464AF3"/>
    <w:rsid w:val="5C50666A"/>
    <w:rsid w:val="5C550687"/>
    <w:rsid w:val="5C553C81"/>
    <w:rsid w:val="5C577B49"/>
    <w:rsid w:val="5C593045"/>
    <w:rsid w:val="5C621EFA"/>
    <w:rsid w:val="5C642AF9"/>
    <w:rsid w:val="5C69772C"/>
    <w:rsid w:val="5C6A5252"/>
    <w:rsid w:val="5C6E65D2"/>
    <w:rsid w:val="5C735EB5"/>
    <w:rsid w:val="5C7961A2"/>
    <w:rsid w:val="5C7A36E7"/>
    <w:rsid w:val="5C7B120D"/>
    <w:rsid w:val="5C7B4EF2"/>
    <w:rsid w:val="5C7E485A"/>
    <w:rsid w:val="5C806824"/>
    <w:rsid w:val="5C814A76"/>
    <w:rsid w:val="5C901CA9"/>
    <w:rsid w:val="5C964993"/>
    <w:rsid w:val="5C966047"/>
    <w:rsid w:val="5C98591B"/>
    <w:rsid w:val="5C9C18B0"/>
    <w:rsid w:val="5C9D3809"/>
    <w:rsid w:val="5C9E4397"/>
    <w:rsid w:val="5CA249EC"/>
    <w:rsid w:val="5CA729BF"/>
    <w:rsid w:val="5CA95D7B"/>
    <w:rsid w:val="5CB07109"/>
    <w:rsid w:val="5CB67F76"/>
    <w:rsid w:val="5CB70498"/>
    <w:rsid w:val="5CBD0CC6"/>
    <w:rsid w:val="5CC42FA4"/>
    <w:rsid w:val="5CC51661"/>
    <w:rsid w:val="5CC826A5"/>
    <w:rsid w:val="5CCE3A33"/>
    <w:rsid w:val="5CDB2B0E"/>
    <w:rsid w:val="5CDC1CAC"/>
    <w:rsid w:val="5CE26E22"/>
    <w:rsid w:val="5CE40B61"/>
    <w:rsid w:val="5CED63D8"/>
    <w:rsid w:val="5CEE378D"/>
    <w:rsid w:val="5CF01C3E"/>
    <w:rsid w:val="5CF07506"/>
    <w:rsid w:val="5CF42D1C"/>
    <w:rsid w:val="5CFC234E"/>
    <w:rsid w:val="5CFC7D64"/>
    <w:rsid w:val="5CFD1EE6"/>
    <w:rsid w:val="5CFD7E74"/>
    <w:rsid w:val="5D015BB7"/>
    <w:rsid w:val="5D02548B"/>
    <w:rsid w:val="5D0631CD"/>
    <w:rsid w:val="5D0D455B"/>
    <w:rsid w:val="5D0E5BDE"/>
    <w:rsid w:val="5D101956"/>
    <w:rsid w:val="5D1256CE"/>
    <w:rsid w:val="5D13037F"/>
    <w:rsid w:val="5D137698"/>
    <w:rsid w:val="5D14560E"/>
    <w:rsid w:val="5D160AAC"/>
    <w:rsid w:val="5D181689"/>
    <w:rsid w:val="5D202F87"/>
    <w:rsid w:val="5D2031A1"/>
    <w:rsid w:val="5D2110B9"/>
    <w:rsid w:val="5D2C42B6"/>
    <w:rsid w:val="5D2D69AC"/>
    <w:rsid w:val="5D301FF8"/>
    <w:rsid w:val="5D32496B"/>
    <w:rsid w:val="5D357E9A"/>
    <w:rsid w:val="5D3715D8"/>
    <w:rsid w:val="5D373386"/>
    <w:rsid w:val="5D395350"/>
    <w:rsid w:val="5D3E547C"/>
    <w:rsid w:val="5D3F66DF"/>
    <w:rsid w:val="5D465377"/>
    <w:rsid w:val="5D4B0BE0"/>
    <w:rsid w:val="5D4B6E32"/>
    <w:rsid w:val="5D4D6706"/>
    <w:rsid w:val="5D5853A3"/>
    <w:rsid w:val="5D5F59FF"/>
    <w:rsid w:val="5D6A375C"/>
    <w:rsid w:val="5D750BAC"/>
    <w:rsid w:val="5D7719D5"/>
    <w:rsid w:val="5D7E7207"/>
    <w:rsid w:val="5D845EA0"/>
    <w:rsid w:val="5D885990"/>
    <w:rsid w:val="5D8A5BAC"/>
    <w:rsid w:val="5D8B36D2"/>
    <w:rsid w:val="5D8B7388"/>
    <w:rsid w:val="5D8F55F1"/>
    <w:rsid w:val="5D924A61"/>
    <w:rsid w:val="5D953969"/>
    <w:rsid w:val="5D99194B"/>
    <w:rsid w:val="5D9A3A37"/>
    <w:rsid w:val="5DA54CC3"/>
    <w:rsid w:val="5DA6111A"/>
    <w:rsid w:val="5DAA3B58"/>
    <w:rsid w:val="5DB021CC"/>
    <w:rsid w:val="5DB05662"/>
    <w:rsid w:val="5DB22A0D"/>
    <w:rsid w:val="5DB449D7"/>
    <w:rsid w:val="5DB6074F"/>
    <w:rsid w:val="5DB744C7"/>
    <w:rsid w:val="5DC00E8A"/>
    <w:rsid w:val="5DC15346"/>
    <w:rsid w:val="5DC170F4"/>
    <w:rsid w:val="5DC975CA"/>
    <w:rsid w:val="5DCB1D21"/>
    <w:rsid w:val="5DD13863"/>
    <w:rsid w:val="5DD95318"/>
    <w:rsid w:val="5DDE3802"/>
    <w:rsid w:val="5DE057CC"/>
    <w:rsid w:val="5DE4797B"/>
    <w:rsid w:val="5DEA21A7"/>
    <w:rsid w:val="5DEB2154"/>
    <w:rsid w:val="5DED30C9"/>
    <w:rsid w:val="5DEF1EB3"/>
    <w:rsid w:val="5DF43025"/>
    <w:rsid w:val="5DF511BF"/>
    <w:rsid w:val="5DF66D9E"/>
    <w:rsid w:val="5DFB0858"/>
    <w:rsid w:val="5DFD03E5"/>
    <w:rsid w:val="5DFF7D59"/>
    <w:rsid w:val="5E0314BA"/>
    <w:rsid w:val="5E062D59"/>
    <w:rsid w:val="5E08087F"/>
    <w:rsid w:val="5E0B0912"/>
    <w:rsid w:val="5E18783F"/>
    <w:rsid w:val="5E1915C0"/>
    <w:rsid w:val="5E2467F1"/>
    <w:rsid w:val="5E257683"/>
    <w:rsid w:val="5E26445F"/>
    <w:rsid w:val="5E2778DC"/>
    <w:rsid w:val="5E287173"/>
    <w:rsid w:val="5E2A3532"/>
    <w:rsid w:val="5E2C27BF"/>
    <w:rsid w:val="5E2E0A91"/>
    <w:rsid w:val="5E3C09B0"/>
    <w:rsid w:val="5E40626B"/>
    <w:rsid w:val="5E421FE3"/>
    <w:rsid w:val="5E426A05"/>
    <w:rsid w:val="5E437B09"/>
    <w:rsid w:val="5E47584B"/>
    <w:rsid w:val="5E4B16FA"/>
    <w:rsid w:val="5E4F2952"/>
    <w:rsid w:val="5E543AC4"/>
    <w:rsid w:val="5E5548EA"/>
    <w:rsid w:val="5E59557E"/>
    <w:rsid w:val="5E5A7950"/>
    <w:rsid w:val="5E6301AB"/>
    <w:rsid w:val="5E6C52B2"/>
    <w:rsid w:val="5E6F6B50"/>
    <w:rsid w:val="5E7151D4"/>
    <w:rsid w:val="5E792A94"/>
    <w:rsid w:val="5E7C09F8"/>
    <w:rsid w:val="5E7E03F2"/>
    <w:rsid w:val="5E816FDD"/>
    <w:rsid w:val="5E834539"/>
    <w:rsid w:val="5E8C14B0"/>
    <w:rsid w:val="5E8C602C"/>
    <w:rsid w:val="5E90296D"/>
    <w:rsid w:val="5E914D18"/>
    <w:rsid w:val="5E9B5B97"/>
    <w:rsid w:val="5EA031AD"/>
    <w:rsid w:val="5EA06D09"/>
    <w:rsid w:val="5EB341C0"/>
    <w:rsid w:val="5EB61787"/>
    <w:rsid w:val="5EB90B78"/>
    <w:rsid w:val="5EBA601D"/>
    <w:rsid w:val="5EC23124"/>
    <w:rsid w:val="5EC92704"/>
    <w:rsid w:val="5ECA3D86"/>
    <w:rsid w:val="5ECC7AFE"/>
    <w:rsid w:val="5ED166DC"/>
    <w:rsid w:val="5ED35331"/>
    <w:rsid w:val="5ED5642E"/>
    <w:rsid w:val="5ED56FB5"/>
    <w:rsid w:val="5ED85791"/>
    <w:rsid w:val="5ED94EE3"/>
    <w:rsid w:val="5EDA221B"/>
    <w:rsid w:val="5EDB41E5"/>
    <w:rsid w:val="5EDE5750"/>
    <w:rsid w:val="5EE4309A"/>
    <w:rsid w:val="5EE4753E"/>
    <w:rsid w:val="5EE74938"/>
    <w:rsid w:val="5EEC25FC"/>
    <w:rsid w:val="5EF3152F"/>
    <w:rsid w:val="5EF33CBB"/>
    <w:rsid w:val="5EF60DEE"/>
    <w:rsid w:val="5EF74F8E"/>
    <w:rsid w:val="5F013C4C"/>
    <w:rsid w:val="5F021772"/>
    <w:rsid w:val="5F025C16"/>
    <w:rsid w:val="5F0441B1"/>
    <w:rsid w:val="5F0454EA"/>
    <w:rsid w:val="5F092B01"/>
    <w:rsid w:val="5F0E0117"/>
    <w:rsid w:val="5F0E45BB"/>
    <w:rsid w:val="5F113C82"/>
    <w:rsid w:val="5F125E59"/>
    <w:rsid w:val="5F14427D"/>
    <w:rsid w:val="5F1A2B43"/>
    <w:rsid w:val="5F265461"/>
    <w:rsid w:val="5F2711D9"/>
    <w:rsid w:val="5F284356"/>
    <w:rsid w:val="5F2931A3"/>
    <w:rsid w:val="5F2E2567"/>
    <w:rsid w:val="5F30008D"/>
    <w:rsid w:val="5F303AA6"/>
    <w:rsid w:val="5F323751"/>
    <w:rsid w:val="5F374C3D"/>
    <w:rsid w:val="5F3758C0"/>
    <w:rsid w:val="5F38023A"/>
    <w:rsid w:val="5F3C2ED6"/>
    <w:rsid w:val="5F3F3148"/>
    <w:rsid w:val="5F434264"/>
    <w:rsid w:val="5F4B3119"/>
    <w:rsid w:val="5F4E2C09"/>
    <w:rsid w:val="5F4F0E5B"/>
    <w:rsid w:val="5F585836"/>
    <w:rsid w:val="5F5A15AE"/>
    <w:rsid w:val="5F5C70D4"/>
    <w:rsid w:val="5F5F5CCC"/>
    <w:rsid w:val="5F6146EB"/>
    <w:rsid w:val="5F6441DB"/>
    <w:rsid w:val="5F681F1D"/>
    <w:rsid w:val="5F6D7533"/>
    <w:rsid w:val="5F6E40EB"/>
    <w:rsid w:val="5F6E4F05"/>
    <w:rsid w:val="5F6E6E08"/>
    <w:rsid w:val="5F6E7302"/>
    <w:rsid w:val="5F7075C8"/>
    <w:rsid w:val="5F7268F8"/>
    <w:rsid w:val="5F73441E"/>
    <w:rsid w:val="5F766C1F"/>
    <w:rsid w:val="5F76780E"/>
    <w:rsid w:val="5F7F7267"/>
    <w:rsid w:val="5F8603F6"/>
    <w:rsid w:val="5F875A6A"/>
    <w:rsid w:val="5F8804A9"/>
    <w:rsid w:val="5F88611B"/>
    <w:rsid w:val="5F887EC9"/>
    <w:rsid w:val="5F893C41"/>
    <w:rsid w:val="5F8F4D2C"/>
    <w:rsid w:val="5F920D48"/>
    <w:rsid w:val="5F971272"/>
    <w:rsid w:val="5F97635E"/>
    <w:rsid w:val="5F9F2E4B"/>
    <w:rsid w:val="5FA36AB1"/>
    <w:rsid w:val="5FA6196E"/>
    <w:rsid w:val="5FA62A45"/>
    <w:rsid w:val="5FA96FA8"/>
    <w:rsid w:val="5FAB3BB8"/>
    <w:rsid w:val="5FB46F10"/>
    <w:rsid w:val="5FB72F55"/>
    <w:rsid w:val="5FB837BB"/>
    <w:rsid w:val="5FBE38EB"/>
    <w:rsid w:val="5FBF1411"/>
    <w:rsid w:val="5FC86518"/>
    <w:rsid w:val="5FD749AD"/>
    <w:rsid w:val="5FD78E0D"/>
    <w:rsid w:val="5FDE3F8D"/>
    <w:rsid w:val="5FDF2304"/>
    <w:rsid w:val="5FDF3861"/>
    <w:rsid w:val="5FE570CA"/>
    <w:rsid w:val="5FE74FF1"/>
    <w:rsid w:val="5FE7717A"/>
    <w:rsid w:val="5FE904E2"/>
    <w:rsid w:val="5FE970FE"/>
    <w:rsid w:val="5FEC7320"/>
    <w:rsid w:val="5FED31E0"/>
    <w:rsid w:val="5FF3D00A"/>
    <w:rsid w:val="5FF84C06"/>
    <w:rsid w:val="5FF9A9B3"/>
    <w:rsid w:val="5FFC0099"/>
    <w:rsid w:val="5FFE63DD"/>
    <w:rsid w:val="6005776C"/>
    <w:rsid w:val="600734E4"/>
    <w:rsid w:val="600862CC"/>
    <w:rsid w:val="600E61F9"/>
    <w:rsid w:val="600F2399"/>
    <w:rsid w:val="6010203E"/>
    <w:rsid w:val="601437E4"/>
    <w:rsid w:val="601479AF"/>
    <w:rsid w:val="60161979"/>
    <w:rsid w:val="60172FFB"/>
    <w:rsid w:val="60194FC5"/>
    <w:rsid w:val="601F0B2B"/>
    <w:rsid w:val="60234096"/>
    <w:rsid w:val="60253C28"/>
    <w:rsid w:val="60261490"/>
    <w:rsid w:val="602C2E66"/>
    <w:rsid w:val="602C2F4B"/>
    <w:rsid w:val="6031230F"/>
    <w:rsid w:val="603B4F3C"/>
    <w:rsid w:val="603C0E54"/>
    <w:rsid w:val="603E67DA"/>
    <w:rsid w:val="604069C0"/>
    <w:rsid w:val="604234DD"/>
    <w:rsid w:val="60483AFC"/>
    <w:rsid w:val="604858AA"/>
    <w:rsid w:val="60536729"/>
    <w:rsid w:val="605A0FEE"/>
    <w:rsid w:val="605B738C"/>
    <w:rsid w:val="605C1481"/>
    <w:rsid w:val="605E35A7"/>
    <w:rsid w:val="605F785B"/>
    <w:rsid w:val="606049A2"/>
    <w:rsid w:val="60671AA6"/>
    <w:rsid w:val="60675D31"/>
    <w:rsid w:val="60687CFB"/>
    <w:rsid w:val="60695E09"/>
    <w:rsid w:val="606C1599"/>
    <w:rsid w:val="606D70BF"/>
    <w:rsid w:val="606E3563"/>
    <w:rsid w:val="606F1089"/>
    <w:rsid w:val="606F2E37"/>
    <w:rsid w:val="60714E01"/>
    <w:rsid w:val="60732927"/>
    <w:rsid w:val="607353AB"/>
    <w:rsid w:val="607928FD"/>
    <w:rsid w:val="607A58AC"/>
    <w:rsid w:val="607F6CA9"/>
    <w:rsid w:val="60874625"/>
    <w:rsid w:val="608C39E9"/>
    <w:rsid w:val="60911000"/>
    <w:rsid w:val="60934D78"/>
    <w:rsid w:val="609355AC"/>
    <w:rsid w:val="60942B62"/>
    <w:rsid w:val="60956D42"/>
    <w:rsid w:val="609A4F3F"/>
    <w:rsid w:val="609A6548"/>
    <w:rsid w:val="609E54CA"/>
    <w:rsid w:val="60A2320D"/>
    <w:rsid w:val="60A710C0"/>
    <w:rsid w:val="60A800F7"/>
    <w:rsid w:val="60A84284"/>
    <w:rsid w:val="60AA20C1"/>
    <w:rsid w:val="60B92304"/>
    <w:rsid w:val="60B96D9C"/>
    <w:rsid w:val="60BC29F1"/>
    <w:rsid w:val="60BF3DBF"/>
    <w:rsid w:val="60C50CA9"/>
    <w:rsid w:val="60CA4511"/>
    <w:rsid w:val="60CC405A"/>
    <w:rsid w:val="60CC64DC"/>
    <w:rsid w:val="60CE5DB0"/>
    <w:rsid w:val="60D60409"/>
    <w:rsid w:val="60D84E80"/>
    <w:rsid w:val="60D94755"/>
    <w:rsid w:val="60DA0BF8"/>
    <w:rsid w:val="60DB671F"/>
    <w:rsid w:val="60DD4245"/>
    <w:rsid w:val="60DF7FBD"/>
    <w:rsid w:val="60E26F17"/>
    <w:rsid w:val="60E27AAD"/>
    <w:rsid w:val="60E47381"/>
    <w:rsid w:val="60EE6452"/>
    <w:rsid w:val="60EF5D26"/>
    <w:rsid w:val="60F90953"/>
    <w:rsid w:val="60FA6BA5"/>
    <w:rsid w:val="61030389"/>
    <w:rsid w:val="610B0DB2"/>
    <w:rsid w:val="610C5617"/>
    <w:rsid w:val="611539DF"/>
    <w:rsid w:val="61160FB2"/>
    <w:rsid w:val="611A0EA3"/>
    <w:rsid w:val="611D2893"/>
    <w:rsid w:val="61354081"/>
    <w:rsid w:val="613B55D3"/>
    <w:rsid w:val="613C00B1"/>
    <w:rsid w:val="613E38E3"/>
    <w:rsid w:val="613F0A5C"/>
    <w:rsid w:val="6142679E"/>
    <w:rsid w:val="61462D9B"/>
    <w:rsid w:val="61473475"/>
    <w:rsid w:val="614F718E"/>
    <w:rsid w:val="61502C69"/>
    <w:rsid w:val="61581B1D"/>
    <w:rsid w:val="615860B4"/>
    <w:rsid w:val="6159055E"/>
    <w:rsid w:val="615F43D0"/>
    <w:rsid w:val="616109D2"/>
    <w:rsid w:val="6162299C"/>
    <w:rsid w:val="61630BEE"/>
    <w:rsid w:val="61646714"/>
    <w:rsid w:val="616468D3"/>
    <w:rsid w:val="6166423A"/>
    <w:rsid w:val="61671D60"/>
    <w:rsid w:val="61695AD8"/>
    <w:rsid w:val="616A5146"/>
    <w:rsid w:val="6170071F"/>
    <w:rsid w:val="61700C15"/>
    <w:rsid w:val="617478C1"/>
    <w:rsid w:val="617676BE"/>
    <w:rsid w:val="61774699"/>
    <w:rsid w:val="617C3A5E"/>
    <w:rsid w:val="617D237F"/>
    <w:rsid w:val="617D3332"/>
    <w:rsid w:val="617F70AA"/>
    <w:rsid w:val="61884FEA"/>
    <w:rsid w:val="618D487D"/>
    <w:rsid w:val="6192502F"/>
    <w:rsid w:val="61946FF9"/>
    <w:rsid w:val="61954B1F"/>
    <w:rsid w:val="619A2136"/>
    <w:rsid w:val="619A3EE4"/>
    <w:rsid w:val="619C1A0A"/>
    <w:rsid w:val="619C5A43"/>
    <w:rsid w:val="619F2B1F"/>
    <w:rsid w:val="61A134C4"/>
    <w:rsid w:val="61A52B04"/>
    <w:rsid w:val="61AB4343"/>
    <w:rsid w:val="61AF3DA4"/>
    <w:rsid w:val="61B4707F"/>
    <w:rsid w:val="61BA6334"/>
    <w:rsid w:val="61BB4A60"/>
    <w:rsid w:val="61BC20AC"/>
    <w:rsid w:val="61BC264C"/>
    <w:rsid w:val="61C84EF5"/>
    <w:rsid w:val="61C96577"/>
    <w:rsid w:val="61CA6D11"/>
    <w:rsid w:val="61D270D3"/>
    <w:rsid w:val="61D6606A"/>
    <w:rsid w:val="61D770D4"/>
    <w:rsid w:val="61DE2022"/>
    <w:rsid w:val="61E215D8"/>
    <w:rsid w:val="61E84C4F"/>
    <w:rsid w:val="61EB4E61"/>
    <w:rsid w:val="61EB5299"/>
    <w:rsid w:val="61EE2A3A"/>
    <w:rsid w:val="61F37874"/>
    <w:rsid w:val="61F44F13"/>
    <w:rsid w:val="61F71336"/>
    <w:rsid w:val="61F85D41"/>
    <w:rsid w:val="6204008E"/>
    <w:rsid w:val="62045801"/>
    <w:rsid w:val="62051CA5"/>
    <w:rsid w:val="6208709F"/>
    <w:rsid w:val="620B4DE2"/>
    <w:rsid w:val="620D0B5A"/>
    <w:rsid w:val="621041A6"/>
    <w:rsid w:val="62116FB3"/>
    <w:rsid w:val="62127F1E"/>
    <w:rsid w:val="62133759"/>
    <w:rsid w:val="621501C3"/>
    <w:rsid w:val="62195750"/>
    <w:rsid w:val="621B3775"/>
    <w:rsid w:val="621C6331"/>
    <w:rsid w:val="621C6FEF"/>
    <w:rsid w:val="62203477"/>
    <w:rsid w:val="62203C3B"/>
    <w:rsid w:val="62210161"/>
    <w:rsid w:val="622163B1"/>
    <w:rsid w:val="622A4573"/>
    <w:rsid w:val="62312A9A"/>
    <w:rsid w:val="62343A8E"/>
    <w:rsid w:val="623460E6"/>
    <w:rsid w:val="62361E5F"/>
    <w:rsid w:val="62364782"/>
    <w:rsid w:val="623C143F"/>
    <w:rsid w:val="623C4F9B"/>
    <w:rsid w:val="62410803"/>
    <w:rsid w:val="62456545"/>
    <w:rsid w:val="62464A53"/>
    <w:rsid w:val="624B51DE"/>
    <w:rsid w:val="624F2F20"/>
    <w:rsid w:val="625247BE"/>
    <w:rsid w:val="6252656D"/>
    <w:rsid w:val="62540537"/>
    <w:rsid w:val="62540E00"/>
    <w:rsid w:val="625422E5"/>
    <w:rsid w:val="62562501"/>
    <w:rsid w:val="625642AF"/>
    <w:rsid w:val="62593D9F"/>
    <w:rsid w:val="625A0F42"/>
    <w:rsid w:val="625B18C5"/>
    <w:rsid w:val="6261509E"/>
    <w:rsid w:val="626F5370"/>
    <w:rsid w:val="62736998"/>
    <w:rsid w:val="627A3766"/>
    <w:rsid w:val="62830E1C"/>
    <w:rsid w:val="62864468"/>
    <w:rsid w:val="6286607D"/>
    <w:rsid w:val="628B431A"/>
    <w:rsid w:val="62946B85"/>
    <w:rsid w:val="629C69EC"/>
    <w:rsid w:val="62A84F30"/>
    <w:rsid w:val="62A94D8E"/>
    <w:rsid w:val="62AA45FB"/>
    <w:rsid w:val="62AC0373"/>
    <w:rsid w:val="62AF39BF"/>
    <w:rsid w:val="62AF7E63"/>
    <w:rsid w:val="62B0491B"/>
    <w:rsid w:val="62B114E5"/>
    <w:rsid w:val="62B222E6"/>
    <w:rsid w:val="62B47227"/>
    <w:rsid w:val="62BA3B49"/>
    <w:rsid w:val="62BD432E"/>
    <w:rsid w:val="62C74B48"/>
    <w:rsid w:val="62C76F5B"/>
    <w:rsid w:val="62CA6A4B"/>
    <w:rsid w:val="62CC27C3"/>
    <w:rsid w:val="62CC631F"/>
    <w:rsid w:val="62CE653B"/>
    <w:rsid w:val="62D022B3"/>
    <w:rsid w:val="62DC5BEA"/>
    <w:rsid w:val="62DD677E"/>
    <w:rsid w:val="62DE6052"/>
    <w:rsid w:val="62E20295"/>
    <w:rsid w:val="62E278F0"/>
    <w:rsid w:val="62E55633"/>
    <w:rsid w:val="62E73159"/>
    <w:rsid w:val="62F23C4B"/>
    <w:rsid w:val="62F85366"/>
    <w:rsid w:val="62FA10DE"/>
    <w:rsid w:val="62FD0BCE"/>
    <w:rsid w:val="6304046C"/>
    <w:rsid w:val="63065CD5"/>
    <w:rsid w:val="6308647F"/>
    <w:rsid w:val="630C0E11"/>
    <w:rsid w:val="63112987"/>
    <w:rsid w:val="63123DB7"/>
    <w:rsid w:val="63141A74"/>
    <w:rsid w:val="63147CC6"/>
    <w:rsid w:val="63161C90"/>
    <w:rsid w:val="631A2E2B"/>
    <w:rsid w:val="631C4D72"/>
    <w:rsid w:val="631D6B7A"/>
    <w:rsid w:val="631F0B45"/>
    <w:rsid w:val="63234856"/>
    <w:rsid w:val="6329551F"/>
    <w:rsid w:val="63302D52"/>
    <w:rsid w:val="6333639E"/>
    <w:rsid w:val="633363E7"/>
    <w:rsid w:val="633473EC"/>
    <w:rsid w:val="63356522"/>
    <w:rsid w:val="633640E0"/>
    <w:rsid w:val="633914DA"/>
    <w:rsid w:val="63416D0D"/>
    <w:rsid w:val="63452257"/>
    <w:rsid w:val="63476078"/>
    <w:rsid w:val="63494FE2"/>
    <w:rsid w:val="634956C5"/>
    <w:rsid w:val="634B193A"/>
    <w:rsid w:val="63586994"/>
    <w:rsid w:val="635F7193"/>
    <w:rsid w:val="63620A31"/>
    <w:rsid w:val="63624ED5"/>
    <w:rsid w:val="63626C83"/>
    <w:rsid w:val="63640C4D"/>
    <w:rsid w:val="636429FB"/>
    <w:rsid w:val="636447A9"/>
    <w:rsid w:val="636838B8"/>
    <w:rsid w:val="636B0A0F"/>
    <w:rsid w:val="636F2951"/>
    <w:rsid w:val="636F2A29"/>
    <w:rsid w:val="63750A53"/>
    <w:rsid w:val="63780255"/>
    <w:rsid w:val="637D586B"/>
    <w:rsid w:val="637D721E"/>
    <w:rsid w:val="63803269"/>
    <w:rsid w:val="638210D3"/>
    <w:rsid w:val="63824606"/>
    <w:rsid w:val="638310F9"/>
    <w:rsid w:val="6388587F"/>
    <w:rsid w:val="638C5AAE"/>
    <w:rsid w:val="638F6556"/>
    <w:rsid w:val="6394356A"/>
    <w:rsid w:val="63944BB9"/>
    <w:rsid w:val="63950E07"/>
    <w:rsid w:val="63972DD1"/>
    <w:rsid w:val="639808F7"/>
    <w:rsid w:val="639E415F"/>
    <w:rsid w:val="63A159FD"/>
    <w:rsid w:val="63A21281"/>
    <w:rsid w:val="63A9455A"/>
    <w:rsid w:val="63A96660"/>
    <w:rsid w:val="63AE1EC8"/>
    <w:rsid w:val="63B03E93"/>
    <w:rsid w:val="63B219B9"/>
    <w:rsid w:val="63BD3EBA"/>
    <w:rsid w:val="63C27722"/>
    <w:rsid w:val="63C416EC"/>
    <w:rsid w:val="63C61B2C"/>
    <w:rsid w:val="63CB2A7A"/>
    <w:rsid w:val="63D40BE9"/>
    <w:rsid w:val="63DB6140"/>
    <w:rsid w:val="63DF46DF"/>
    <w:rsid w:val="63E3341E"/>
    <w:rsid w:val="63E47698"/>
    <w:rsid w:val="63E61662"/>
    <w:rsid w:val="63E63410"/>
    <w:rsid w:val="63E861DD"/>
    <w:rsid w:val="63E87188"/>
    <w:rsid w:val="63EB4ECB"/>
    <w:rsid w:val="63EF49BB"/>
    <w:rsid w:val="63F20007"/>
    <w:rsid w:val="63F26259"/>
    <w:rsid w:val="63F4076A"/>
    <w:rsid w:val="63F518A5"/>
    <w:rsid w:val="6401024A"/>
    <w:rsid w:val="64047D3A"/>
    <w:rsid w:val="640815D9"/>
    <w:rsid w:val="64085A7D"/>
    <w:rsid w:val="640B10C9"/>
    <w:rsid w:val="64102431"/>
    <w:rsid w:val="64103880"/>
    <w:rsid w:val="641206A9"/>
    <w:rsid w:val="6412787B"/>
    <w:rsid w:val="64144421"/>
    <w:rsid w:val="641461CF"/>
    <w:rsid w:val="64191A38"/>
    <w:rsid w:val="641A755E"/>
    <w:rsid w:val="641B57B0"/>
    <w:rsid w:val="641C01AC"/>
    <w:rsid w:val="642108EC"/>
    <w:rsid w:val="642173ED"/>
    <w:rsid w:val="642503DD"/>
    <w:rsid w:val="64265F03"/>
    <w:rsid w:val="64283A29"/>
    <w:rsid w:val="642D031A"/>
    <w:rsid w:val="642F4DB7"/>
    <w:rsid w:val="64370110"/>
    <w:rsid w:val="64371EBE"/>
    <w:rsid w:val="643A375C"/>
    <w:rsid w:val="643E324C"/>
    <w:rsid w:val="644545DB"/>
    <w:rsid w:val="644555C5"/>
    <w:rsid w:val="644B7717"/>
    <w:rsid w:val="64502F80"/>
    <w:rsid w:val="64517DD6"/>
    <w:rsid w:val="645370CF"/>
    <w:rsid w:val="64561191"/>
    <w:rsid w:val="6456784C"/>
    <w:rsid w:val="645A5BAC"/>
    <w:rsid w:val="645E38EF"/>
    <w:rsid w:val="645E744B"/>
    <w:rsid w:val="64601415"/>
    <w:rsid w:val="64610CE9"/>
    <w:rsid w:val="646C600B"/>
    <w:rsid w:val="646F486F"/>
    <w:rsid w:val="64713622"/>
    <w:rsid w:val="64722EF6"/>
    <w:rsid w:val="64737732"/>
    <w:rsid w:val="64750536"/>
    <w:rsid w:val="64777168"/>
    <w:rsid w:val="647829F1"/>
    <w:rsid w:val="647B624F"/>
    <w:rsid w:val="64850E7B"/>
    <w:rsid w:val="648570CD"/>
    <w:rsid w:val="648D1ADE"/>
    <w:rsid w:val="648F3AA8"/>
    <w:rsid w:val="64917820"/>
    <w:rsid w:val="649577C3"/>
    <w:rsid w:val="64990483"/>
    <w:rsid w:val="649C7F73"/>
    <w:rsid w:val="649E3CEB"/>
    <w:rsid w:val="649F0F7E"/>
    <w:rsid w:val="64A01811"/>
    <w:rsid w:val="64A31301"/>
    <w:rsid w:val="64A5243A"/>
    <w:rsid w:val="64A55079"/>
    <w:rsid w:val="64A61C32"/>
    <w:rsid w:val="64A710FE"/>
    <w:rsid w:val="64AF414A"/>
    <w:rsid w:val="64B0555C"/>
    <w:rsid w:val="64B67287"/>
    <w:rsid w:val="64BC23C3"/>
    <w:rsid w:val="64BE025A"/>
    <w:rsid w:val="64BF699E"/>
    <w:rsid w:val="64C202FE"/>
    <w:rsid w:val="64C2433F"/>
    <w:rsid w:val="64C71494"/>
    <w:rsid w:val="64C745AA"/>
    <w:rsid w:val="64CA0CEE"/>
    <w:rsid w:val="64D0411E"/>
    <w:rsid w:val="64D15E6F"/>
    <w:rsid w:val="64D4770D"/>
    <w:rsid w:val="64D91F3D"/>
    <w:rsid w:val="64D9665F"/>
    <w:rsid w:val="64DB6CED"/>
    <w:rsid w:val="64DD2A65"/>
    <w:rsid w:val="64E262CE"/>
    <w:rsid w:val="64E77440"/>
    <w:rsid w:val="64EB1C21"/>
    <w:rsid w:val="64EB2E83"/>
    <w:rsid w:val="64F32289"/>
    <w:rsid w:val="64F531DE"/>
    <w:rsid w:val="64FA41EC"/>
    <w:rsid w:val="65030C16"/>
    <w:rsid w:val="65047D7F"/>
    <w:rsid w:val="65055521"/>
    <w:rsid w:val="650B08D6"/>
    <w:rsid w:val="650B3A0C"/>
    <w:rsid w:val="650F6997"/>
    <w:rsid w:val="651009B6"/>
    <w:rsid w:val="651641C9"/>
    <w:rsid w:val="651B358E"/>
    <w:rsid w:val="651B4B76"/>
    <w:rsid w:val="651E21C2"/>
    <w:rsid w:val="65201BA1"/>
    <w:rsid w:val="65273CE0"/>
    <w:rsid w:val="652A37D1"/>
    <w:rsid w:val="652A557F"/>
    <w:rsid w:val="652E1513"/>
    <w:rsid w:val="652F447C"/>
    <w:rsid w:val="6530528B"/>
    <w:rsid w:val="65336B29"/>
    <w:rsid w:val="653463FD"/>
    <w:rsid w:val="653528A1"/>
    <w:rsid w:val="65373578"/>
    <w:rsid w:val="653D261B"/>
    <w:rsid w:val="654523B9"/>
    <w:rsid w:val="655A374A"/>
    <w:rsid w:val="655F347A"/>
    <w:rsid w:val="655F791E"/>
    <w:rsid w:val="656071F2"/>
    <w:rsid w:val="656A3E28"/>
    <w:rsid w:val="657333CA"/>
    <w:rsid w:val="6578278E"/>
    <w:rsid w:val="657F1D6E"/>
    <w:rsid w:val="658D6813"/>
    <w:rsid w:val="658F7693"/>
    <w:rsid w:val="659375C8"/>
    <w:rsid w:val="659517BD"/>
    <w:rsid w:val="659A2704"/>
    <w:rsid w:val="659F7D1B"/>
    <w:rsid w:val="65A25A5D"/>
    <w:rsid w:val="65A9056B"/>
    <w:rsid w:val="65AE247B"/>
    <w:rsid w:val="65B01F28"/>
    <w:rsid w:val="65B116C2"/>
    <w:rsid w:val="65B17A4E"/>
    <w:rsid w:val="65B31A18"/>
    <w:rsid w:val="65B74055"/>
    <w:rsid w:val="65BD2897"/>
    <w:rsid w:val="65BD4645"/>
    <w:rsid w:val="65C600FB"/>
    <w:rsid w:val="65C77271"/>
    <w:rsid w:val="65CB0E62"/>
    <w:rsid w:val="65CC62CA"/>
    <w:rsid w:val="65D025CA"/>
    <w:rsid w:val="65D379C4"/>
    <w:rsid w:val="65DA0D53"/>
    <w:rsid w:val="65DD6A95"/>
    <w:rsid w:val="65DF45BB"/>
    <w:rsid w:val="65E16585"/>
    <w:rsid w:val="65E25E59"/>
    <w:rsid w:val="65E41BD1"/>
    <w:rsid w:val="65E46075"/>
    <w:rsid w:val="65E47E23"/>
    <w:rsid w:val="65E73470"/>
    <w:rsid w:val="65E87914"/>
    <w:rsid w:val="65ED6CD8"/>
    <w:rsid w:val="65F216D3"/>
    <w:rsid w:val="65F34046"/>
    <w:rsid w:val="66042274"/>
    <w:rsid w:val="66081EE0"/>
    <w:rsid w:val="660A20D9"/>
    <w:rsid w:val="660D4F6C"/>
    <w:rsid w:val="661504CD"/>
    <w:rsid w:val="6618187B"/>
    <w:rsid w:val="66251A13"/>
    <w:rsid w:val="66253F78"/>
    <w:rsid w:val="6626043C"/>
    <w:rsid w:val="662B15AE"/>
    <w:rsid w:val="662B5A52"/>
    <w:rsid w:val="662F4228"/>
    <w:rsid w:val="662F7FD1"/>
    <w:rsid w:val="6635067F"/>
    <w:rsid w:val="66370F45"/>
    <w:rsid w:val="66387EC0"/>
    <w:rsid w:val="6639016F"/>
    <w:rsid w:val="663A5C95"/>
    <w:rsid w:val="663A67DB"/>
    <w:rsid w:val="663A7A43"/>
    <w:rsid w:val="663C7C5F"/>
    <w:rsid w:val="663E4868"/>
    <w:rsid w:val="663F505A"/>
    <w:rsid w:val="664B6CF2"/>
    <w:rsid w:val="664D59C9"/>
    <w:rsid w:val="664F1741"/>
    <w:rsid w:val="664F7993"/>
    <w:rsid w:val="66544FA9"/>
    <w:rsid w:val="6656491D"/>
    <w:rsid w:val="665650A4"/>
    <w:rsid w:val="665778E1"/>
    <w:rsid w:val="665C6304"/>
    <w:rsid w:val="666351EC"/>
    <w:rsid w:val="66664CDC"/>
    <w:rsid w:val="66680A54"/>
    <w:rsid w:val="666920D7"/>
    <w:rsid w:val="666A0397"/>
    <w:rsid w:val="6673503F"/>
    <w:rsid w:val="66744292"/>
    <w:rsid w:val="667B2536"/>
    <w:rsid w:val="667D1939"/>
    <w:rsid w:val="667E5B82"/>
    <w:rsid w:val="66805D9E"/>
    <w:rsid w:val="668141DE"/>
    <w:rsid w:val="66815672"/>
    <w:rsid w:val="668313EA"/>
    <w:rsid w:val="66855163"/>
    <w:rsid w:val="66857B88"/>
    <w:rsid w:val="66862C89"/>
    <w:rsid w:val="668C4743"/>
    <w:rsid w:val="668D2269"/>
    <w:rsid w:val="668E417E"/>
    <w:rsid w:val="66901402"/>
    <w:rsid w:val="66925AD1"/>
    <w:rsid w:val="66937938"/>
    <w:rsid w:val="66952ECC"/>
    <w:rsid w:val="669C24AC"/>
    <w:rsid w:val="669C5E64"/>
    <w:rsid w:val="669F4100"/>
    <w:rsid w:val="66A6268A"/>
    <w:rsid w:val="66B75538"/>
    <w:rsid w:val="66B772E6"/>
    <w:rsid w:val="66BC2B4E"/>
    <w:rsid w:val="66BE2423"/>
    <w:rsid w:val="66C51A03"/>
    <w:rsid w:val="66CD08B8"/>
    <w:rsid w:val="66CD49A5"/>
    <w:rsid w:val="66CD4D5B"/>
    <w:rsid w:val="66D0634E"/>
    <w:rsid w:val="66D437D5"/>
    <w:rsid w:val="66D55CFD"/>
    <w:rsid w:val="66D6776C"/>
    <w:rsid w:val="66D734E4"/>
    <w:rsid w:val="66D86074"/>
    <w:rsid w:val="66D87988"/>
    <w:rsid w:val="66D93700"/>
    <w:rsid w:val="66D954AE"/>
    <w:rsid w:val="66D9725C"/>
    <w:rsid w:val="66DE5527"/>
    <w:rsid w:val="66E04A8F"/>
    <w:rsid w:val="66E14363"/>
    <w:rsid w:val="66E53C4C"/>
    <w:rsid w:val="66EB7F2E"/>
    <w:rsid w:val="66ED2D08"/>
    <w:rsid w:val="66ED4AB6"/>
    <w:rsid w:val="66F52B0D"/>
    <w:rsid w:val="66F560BA"/>
    <w:rsid w:val="66FD119D"/>
    <w:rsid w:val="67024A05"/>
    <w:rsid w:val="6703252B"/>
    <w:rsid w:val="670361B5"/>
    <w:rsid w:val="670544F5"/>
    <w:rsid w:val="67065B78"/>
    <w:rsid w:val="670F0ED0"/>
    <w:rsid w:val="670F2C7E"/>
    <w:rsid w:val="671332CC"/>
    <w:rsid w:val="67144738"/>
    <w:rsid w:val="6716225F"/>
    <w:rsid w:val="671F124A"/>
    <w:rsid w:val="672755B0"/>
    <w:rsid w:val="67312331"/>
    <w:rsid w:val="67340937"/>
    <w:rsid w:val="67346B89"/>
    <w:rsid w:val="6739419F"/>
    <w:rsid w:val="673D5A3D"/>
    <w:rsid w:val="67401089"/>
    <w:rsid w:val="674212A6"/>
    <w:rsid w:val="67452B44"/>
    <w:rsid w:val="674A1F08"/>
    <w:rsid w:val="674C6C25"/>
    <w:rsid w:val="674D3ADD"/>
    <w:rsid w:val="674F751F"/>
    <w:rsid w:val="67516203"/>
    <w:rsid w:val="67571BB7"/>
    <w:rsid w:val="67585B1F"/>
    <w:rsid w:val="675B2367"/>
    <w:rsid w:val="675B5EC3"/>
    <w:rsid w:val="6764746E"/>
    <w:rsid w:val="6769656D"/>
    <w:rsid w:val="67696AA4"/>
    <w:rsid w:val="676C5425"/>
    <w:rsid w:val="676E5BF7"/>
    <w:rsid w:val="677845EB"/>
    <w:rsid w:val="677A33C6"/>
    <w:rsid w:val="677B0314"/>
    <w:rsid w:val="677B6565"/>
    <w:rsid w:val="678278F4"/>
    <w:rsid w:val="67851192"/>
    <w:rsid w:val="678C42CF"/>
    <w:rsid w:val="67915D89"/>
    <w:rsid w:val="67966EFB"/>
    <w:rsid w:val="679F4002"/>
    <w:rsid w:val="67A1421E"/>
    <w:rsid w:val="67AA53C7"/>
    <w:rsid w:val="67AD3D48"/>
    <w:rsid w:val="67AD7175"/>
    <w:rsid w:val="67B304D6"/>
    <w:rsid w:val="67B7628A"/>
    <w:rsid w:val="67BD6B7E"/>
    <w:rsid w:val="67BE4491"/>
    <w:rsid w:val="67BF1D5C"/>
    <w:rsid w:val="67BF46A4"/>
    <w:rsid w:val="67C47F0C"/>
    <w:rsid w:val="67C717AB"/>
    <w:rsid w:val="67CA3529"/>
    <w:rsid w:val="67CC0B6F"/>
    <w:rsid w:val="67CC6C66"/>
    <w:rsid w:val="67CD7020"/>
    <w:rsid w:val="67D16185"/>
    <w:rsid w:val="67D54598"/>
    <w:rsid w:val="67D6379C"/>
    <w:rsid w:val="67DB076F"/>
    <w:rsid w:val="67DC3BBE"/>
    <w:rsid w:val="67E22141"/>
    <w:rsid w:val="67E45EB9"/>
    <w:rsid w:val="67ED75A8"/>
    <w:rsid w:val="67EE31DB"/>
    <w:rsid w:val="67F00D02"/>
    <w:rsid w:val="67F22B2F"/>
    <w:rsid w:val="67F325A0"/>
    <w:rsid w:val="67FA56DC"/>
    <w:rsid w:val="68017D00"/>
    <w:rsid w:val="680447AD"/>
    <w:rsid w:val="68071BA7"/>
    <w:rsid w:val="680C3022"/>
    <w:rsid w:val="68105833"/>
    <w:rsid w:val="68132C71"/>
    <w:rsid w:val="6813619F"/>
    <w:rsid w:val="68194CEC"/>
    <w:rsid w:val="681E6197"/>
    <w:rsid w:val="681F6961"/>
    <w:rsid w:val="68213F33"/>
    <w:rsid w:val="682269E1"/>
    <w:rsid w:val="68264723"/>
    <w:rsid w:val="68270D00"/>
    <w:rsid w:val="68291918"/>
    <w:rsid w:val="682B7F8C"/>
    <w:rsid w:val="682E5386"/>
    <w:rsid w:val="68324E76"/>
    <w:rsid w:val="6833299C"/>
    <w:rsid w:val="68352BB8"/>
    <w:rsid w:val="68386205"/>
    <w:rsid w:val="683926A8"/>
    <w:rsid w:val="683F57E5"/>
    <w:rsid w:val="6841330B"/>
    <w:rsid w:val="6841550B"/>
    <w:rsid w:val="68437083"/>
    <w:rsid w:val="68464F96"/>
    <w:rsid w:val="6852376A"/>
    <w:rsid w:val="6853124F"/>
    <w:rsid w:val="685C6397"/>
    <w:rsid w:val="685D657C"/>
    <w:rsid w:val="685E6F2A"/>
    <w:rsid w:val="68610A2F"/>
    <w:rsid w:val="68614B44"/>
    <w:rsid w:val="68640A38"/>
    <w:rsid w:val="686616DB"/>
    <w:rsid w:val="686944F4"/>
    <w:rsid w:val="686D5878"/>
    <w:rsid w:val="686F7E78"/>
    <w:rsid w:val="68751207"/>
    <w:rsid w:val="687635BD"/>
    <w:rsid w:val="687E00BB"/>
    <w:rsid w:val="687E15DE"/>
    <w:rsid w:val="68800214"/>
    <w:rsid w:val="68805514"/>
    <w:rsid w:val="68814F4F"/>
    <w:rsid w:val="68817BAC"/>
    <w:rsid w:val="68833924"/>
    <w:rsid w:val="6884575B"/>
    <w:rsid w:val="68896A60"/>
    <w:rsid w:val="688A4CB2"/>
    <w:rsid w:val="689937A5"/>
    <w:rsid w:val="68996CA3"/>
    <w:rsid w:val="68997854"/>
    <w:rsid w:val="689B282D"/>
    <w:rsid w:val="68A044D6"/>
    <w:rsid w:val="68A35D74"/>
    <w:rsid w:val="68AA5354"/>
    <w:rsid w:val="68AA7102"/>
    <w:rsid w:val="68B60BB5"/>
    <w:rsid w:val="68B7537B"/>
    <w:rsid w:val="68BC6E36"/>
    <w:rsid w:val="68C301C4"/>
    <w:rsid w:val="68C55CEA"/>
    <w:rsid w:val="68CF6B69"/>
    <w:rsid w:val="68D0643D"/>
    <w:rsid w:val="68D13944"/>
    <w:rsid w:val="68D51CA5"/>
    <w:rsid w:val="68DB3183"/>
    <w:rsid w:val="68DB3760"/>
    <w:rsid w:val="68DB72BC"/>
    <w:rsid w:val="68E24AEE"/>
    <w:rsid w:val="68E36491"/>
    <w:rsid w:val="68ED5241"/>
    <w:rsid w:val="68EF0D46"/>
    <w:rsid w:val="68F4037D"/>
    <w:rsid w:val="68F46790"/>
    <w:rsid w:val="68F669DD"/>
    <w:rsid w:val="68F91E38"/>
    <w:rsid w:val="68FB5BB0"/>
    <w:rsid w:val="68FE2FAA"/>
    <w:rsid w:val="690769A8"/>
    <w:rsid w:val="6908207B"/>
    <w:rsid w:val="69085BD7"/>
    <w:rsid w:val="690C36D4"/>
    <w:rsid w:val="69110F2F"/>
    <w:rsid w:val="69126A56"/>
    <w:rsid w:val="69166546"/>
    <w:rsid w:val="69180510"/>
    <w:rsid w:val="69195946"/>
    <w:rsid w:val="69197DE4"/>
    <w:rsid w:val="691E189E"/>
    <w:rsid w:val="691F0159"/>
    <w:rsid w:val="692549DB"/>
    <w:rsid w:val="69254D25"/>
    <w:rsid w:val="69286306"/>
    <w:rsid w:val="692F7608"/>
    <w:rsid w:val="69316E2F"/>
    <w:rsid w:val="6933534A"/>
    <w:rsid w:val="69466D5B"/>
    <w:rsid w:val="6949691B"/>
    <w:rsid w:val="694C01BA"/>
    <w:rsid w:val="694E2071"/>
    <w:rsid w:val="6951757E"/>
    <w:rsid w:val="69521FDD"/>
    <w:rsid w:val="69572814"/>
    <w:rsid w:val="69653029"/>
    <w:rsid w:val="6969107D"/>
    <w:rsid w:val="696A0640"/>
    <w:rsid w:val="696D7328"/>
    <w:rsid w:val="6972741B"/>
    <w:rsid w:val="69766163"/>
    <w:rsid w:val="69787200"/>
    <w:rsid w:val="697A3B33"/>
    <w:rsid w:val="697B45FB"/>
    <w:rsid w:val="697C0CDB"/>
    <w:rsid w:val="69863F2F"/>
    <w:rsid w:val="69877444"/>
    <w:rsid w:val="69895CAB"/>
    <w:rsid w:val="698C6DF5"/>
    <w:rsid w:val="698E432E"/>
    <w:rsid w:val="699102C2"/>
    <w:rsid w:val="6992616E"/>
    <w:rsid w:val="699D6C67"/>
    <w:rsid w:val="699F653B"/>
    <w:rsid w:val="69A31AC6"/>
    <w:rsid w:val="69AF0748"/>
    <w:rsid w:val="69AF0D22"/>
    <w:rsid w:val="69AF24F6"/>
    <w:rsid w:val="69BB65F8"/>
    <w:rsid w:val="69BF098B"/>
    <w:rsid w:val="69C064B2"/>
    <w:rsid w:val="69C45FA2"/>
    <w:rsid w:val="69C67F6C"/>
    <w:rsid w:val="69C84A1A"/>
    <w:rsid w:val="69C96C21"/>
    <w:rsid w:val="69D01079"/>
    <w:rsid w:val="69D44760"/>
    <w:rsid w:val="69D56401"/>
    <w:rsid w:val="69D63F27"/>
    <w:rsid w:val="69DF102E"/>
    <w:rsid w:val="69E43118"/>
    <w:rsid w:val="69E676CD"/>
    <w:rsid w:val="69E93C5A"/>
    <w:rsid w:val="69EB57C5"/>
    <w:rsid w:val="69EB79D2"/>
    <w:rsid w:val="69F76313"/>
    <w:rsid w:val="69F8719C"/>
    <w:rsid w:val="69FA5E67"/>
    <w:rsid w:val="69FA6652"/>
    <w:rsid w:val="69FD608C"/>
    <w:rsid w:val="6A002D52"/>
    <w:rsid w:val="6A044156"/>
    <w:rsid w:val="6A085128"/>
    <w:rsid w:val="6A0942FC"/>
    <w:rsid w:val="6A102F95"/>
    <w:rsid w:val="6A130CD7"/>
    <w:rsid w:val="6A162576"/>
    <w:rsid w:val="6A1707C7"/>
    <w:rsid w:val="6A177697"/>
    <w:rsid w:val="6A1A02B8"/>
    <w:rsid w:val="6A1A2066"/>
    <w:rsid w:val="6A242A38"/>
    <w:rsid w:val="6A244471"/>
    <w:rsid w:val="6A2627B9"/>
    <w:rsid w:val="6A2829D5"/>
    <w:rsid w:val="6A2B7DCF"/>
    <w:rsid w:val="6A2D7FEB"/>
    <w:rsid w:val="6A325A93"/>
    <w:rsid w:val="6A325BB0"/>
    <w:rsid w:val="6A334A16"/>
    <w:rsid w:val="6A33620D"/>
    <w:rsid w:val="6A365180"/>
    <w:rsid w:val="6A3A6264"/>
    <w:rsid w:val="6A3D5D54"/>
    <w:rsid w:val="6A3E5B5D"/>
    <w:rsid w:val="6A415844"/>
    <w:rsid w:val="6A4175F2"/>
    <w:rsid w:val="6A4337F0"/>
    <w:rsid w:val="6A461C06"/>
    <w:rsid w:val="6A4D41E9"/>
    <w:rsid w:val="6A4E492F"/>
    <w:rsid w:val="6A4F3918"/>
    <w:rsid w:val="6A502786"/>
    <w:rsid w:val="6A510E37"/>
    <w:rsid w:val="6A520EC7"/>
    <w:rsid w:val="6A5A6906"/>
    <w:rsid w:val="6A611A43"/>
    <w:rsid w:val="6A62427E"/>
    <w:rsid w:val="6A627569"/>
    <w:rsid w:val="6A641533"/>
    <w:rsid w:val="6A667059"/>
    <w:rsid w:val="6A703AE3"/>
    <w:rsid w:val="6A70612A"/>
    <w:rsid w:val="6A7C14DB"/>
    <w:rsid w:val="6A7F409A"/>
    <w:rsid w:val="6A802F7B"/>
    <w:rsid w:val="6A892D47"/>
    <w:rsid w:val="6A8B2F63"/>
    <w:rsid w:val="6A984624"/>
    <w:rsid w:val="6A987919"/>
    <w:rsid w:val="6A9A4F55"/>
    <w:rsid w:val="6A9A6D03"/>
    <w:rsid w:val="6A9E2C97"/>
    <w:rsid w:val="6A9F256B"/>
    <w:rsid w:val="6AA638F9"/>
    <w:rsid w:val="6AAC28BF"/>
    <w:rsid w:val="6AAE4C37"/>
    <w:rsid w:val="6AB029CA"/>
    <w:rsid w:val="6AB203B9"/>
    <w:rsid w:val="6AB24566"/>
    <w:rsid w:val="6AB9362D"/>
    <w:rsid w:val="6ABA73A5"/>
    <w:rsid w:val="6AC3666E"/>
    <w:rsid w:val="6ACB3360"/>
    <w:rsid w:val="6AD06BC8"/>
    <w:rsid w:val="6AD22940"/>
    <w:rsid w:val="6AD67128"/>
    <w:rsid w:val="6ADB7A47"/>
    <w:rsid w:val="6ADE7537"/>
    <w:rsid w:val="6ADF7C84"/>
    <w:rsid w:val="6AE35D56"/>
    <w:rsid w:val="6AF26B3F"/>
    <w:rsid w:val="6AF40B09"/>
    <w:rsid w:val="6AF503DD"/>
    <w:rsid w:val="6AF87310"/>
    <w:rsid w:val="6AF87E20"/>
    <w:rsid w:val="6AFA59F3"/>
    <w:rsid w:val="6AFB0639"/>
    <w:rsid w:val="6AFB6F74"/>
    <w:rsid w:val="6AFE54E3"/>
    <w:rsid w:val="6AFF300A"/>
    <w:rsid w:val="6B030D4C"/>
    <w:rsid w:val="6B076EC0"/>
    <w:rsid w:val="6B0D5727"/>
    <w:rsid w:val="6B0F76F1"/>
    <w:rsid w:val="6B155E65"/>
    <w:rsid w:val="6B160A7F"/>
    <w:rsid w:val="6B1747F7"/>
    <w:rsid w:val="6B186076"/>
    <w:rsid w:val="6B193A43"/>
    <w:rsid w:val="6B1C3BBC"/>
    <w:rsid w:val="6B21081F"/>
    <w:rsid w:val="6B2A0087"/>
    <w:rsid w:val="6B322639"/>
    <w:rsid w:val="6B322F48"/>
    <w:rsid w:val="6B362ECF"/>
    <w:rsid w:val="6B3727A3"/>
    <w:rsid w:val="6B3B04E6"/>
    <w:rsid w:val="6B3F3E52"/>
    <w:rsid w:val="6B431148"/>
    <w:rsid w:val="6B454220"/>
    <w:rsid w:val="6B4611D4"/>
    <w:rsid w:val="6B4A1F13"/>
    <w:rsid w:val="6B574BF4"/>
    <w:rsid w:val="6B5A3B76"/>
    <w:rsid w:val="6B5B2936"/>
    <w:rsid w:val="6B5E5BA1"/>
    <w:rsid w:val="6B607F4C"/>
    <w:rsid w:val="6B6271EC"/>
    <w:rsid w:val="6B6506FF"/>
    <w:rsid w:val="6B6709FE"/>
    <w:rsid w:val="6B686E01"/>
    <w:rsid w:val="6B69597E"/>
    <w:rsid w:val="6B6A0DCB"/>
    <w:rsid w:val="6B6C68F1"/>
    <w:rsid w:val="6B6E6DBE"/>
    <w:rsid w:val="6B7457A6"/>
    <w:rsid w:val="6B7632CC"/>
    <w:rsid w:val="6B8754D9"/>
    <w:rsid w:val="6B881251"/>
    <w:rsid w:val="6B8A4FC9"/>
    <w:rsid w:val="6B8C088D"/>
    <w:rsid w:val="6B8C0D41"/>
    <w:rsid w:val="6B8F6814"/>
    <w:rsid w:val="6B9678B6"/>
    <w:rsid w:val="6B9B6990"/>
    <w:rsid w:val="6BA02A3F"/>
    <w:rsid w:val="6BA15498"/>
    <w:rsid w:val="6BA240C1"/>
    <w:rsid w:val="6BA24E2C"/>
    <w:rsid w:val="6BAA11C7"/>
    <w:rsid w:val="6BAD2F42"/>
    <w:rsid w:val="6BAE0CB8"/>
    <w:rsid w:val="6BB15EBD"/>
    <w:rsid w:val="6BBD3D7B"/>
    <w:rsid w:val="6BBE0960"/>
    <w:rsid w:val="6BBE6B68"/>
    <w:rsid w:val="6BC404DB"/>
    <w:rsid w:val="6BC9093E"/>
    <w:rsid w:val="6BCC7390"/>
    <w:rsid w:val="6BCD2D2C"/>
    <w:rsid w:val="6BCF1CE1"/>
    <w:rsid w:val="6BD149A6"/>
    <w:rsid w:val="6BD3071E"/>
    <w:rsid w:val="6BD3166C"/>
    <w:rsid w:val="6BD36970"/>
    <w:rsid w:val="6BD46244"/>
    <w:rsid w:val="6BD526E8"/>
    <w:rsid w:val="6BDE7EE3"/>
    <w:rsid w:val="6BE0108D"/>
    <w:rsid w:val="6BE566A3"/>
    <w:rsid w:val="6BE90AED"/>
    <w:rsid w:val="6BEE00E1"/>
    <w:rsid w:val="6BF00AF0"/>
    <w:rsid w:val="6BF16DF6"/>
    <w:rsid w:val="6BF30DC0"/>
    <w:rsid w:val="6BF32B6E"/>
    <w:rsid w:val="6BF95CAB"/>
    <w:rsid w:val="6BFD39ED"/>
    <w:rsid w:val="6BFF7765"/>
    <w:rsid w:val="6C0076FE"/>
    <w:rsid w:val="6C022DB1"/>
    <w:rsid w:val="6C110963"/>
    <w:rsid w:val="6C1256EA"/>
    <w:rsid w:val="6C133210"/>
    <w:rsid w:val="6C1D5E3D"/>
    <w:rsid w:val="6C2341B9"/>
    <w:rsid w:val="6C272818"/>
    <w:rsid w:val="6C2C42D2"/>
    <w:rsid w:val="6C2E0119"/>
    <w:rsid w:val="6C313697"/>
    <w:rsid w:val="6C376EFF"/>
    <w:rsid w:val="6C3B62C3"/>
    <w:rsid w:val="6C3C4515"/>
    <w:rsid w:val="6C3F7B62"/>
    <w:rsid w:val="6C421812"/>
    <w:rsid w:val="6C425E1B"/>
    <w:rsid w:val="6C427652"/>
    <w:rsid w:val="6C465394"/>
    <w:rsid w:val="6C492BF2"/>
    <w:rsid w:val="6C537AB1"/>
    <w:rsid w:val="6C5532C3"/>
    <w:rsid w:val="6C580C23"/>
    <w:rsid w:val="6C5C0714"/>
    <w:rsid w:val="6C5D7D93"/>
    <w:rsid w:val="6C621AA2"/>
    <w:rsid w:val="6C626765"/>
    <w:rsid w:val="6C636C38"/>
    <w:rsid w:val="6C657C69"/>
    <w:rsid w:val="6C6E6699"/>
    <w:rsid w:val="6C7052FA"/>
    <w:rsid w:val="6C755C79"/>
    <w:rsid w:val="6C757CDC"/>
    <w:rsid w:val="6C7F2654"/>
    <w:rsid w:val="6C7F4402"/>
    <w:rsid w:val="6C830396"/>
    <w:rsid w:val="6C886D6E"/>
    <w:rsid w:val="6C8934D3"/>
    <w:rsid w:val="6C894229"/>
    <w:rsid w:val="6C8E13A9"/>
    <w:rsid w:val="6C922387"/>
    <w:rsid w:val="6C947DC0"/>
    <w:rsid w:val="6C974709"/>
    <w:rsid w:val="6C9E6F7E"/>
    <w:rsid w:val="6CA64085"/>
    <w:rsid w:val="6CA976D1"/>
    <w:rsid w:val="6CAE2F39"/>
    <w:rsid w:val="6CB17718"/>
    <w:rsid w:val="6CB35C80"/>
    <w:rsid w:val="6CB73B9C"/>
    <w:rsid w:val="6CBC56AF"/>
    <w:rsid w:val="6CBE13CE"/>
    <w:rsid w:val="6CC40127"/>
    <w:rsid w:val="6CCB5899"/>
    <w:rsid w:val="6CD01102"/>
    <w:rsid w:val="6CD429A0"/>
    <w:rsid w:val="6CDE737B"/>
    <w:rsid w:val="6CDF3370"/>
    <w:rsid w:val="6CE1330F"/>
    <w:rsid w:val="6CEC6E1B"/>
    <w:rsid w:val="6CED5810"/>
    <w:rsid w:val="6CF070AE"/>
    <w:rsid w:val="6CF22E26"/>
    <w:rsid w:val="6CF941B4"/>
    <w:rsid w:val="6CFC5A53"/>
    <w:rsid w:val="6CFC628C"/>
    <w:rsid w:val="6CFD6ABD"/>
    <w:rsid w:val="6CFE17CB"/>
    <w:rsid w:val="6CFF105E"/>
    <w:rsid w:val="6CFF5543"/>
    <w:rsid w:val="6D0158A3"/>
    <w:rsid w:val="6D0B2169"/>
    <w:rsid w:val="6D0E5786"/>
    <w:rsid w:val="6D1014FE"/>
    <w:rsid w:val="6D125276"/>
    <w:rsid w:val="6D1B1250"/>
    <w:rsid w:val="6D205BE5"/>
    <w:rsid w:val="6D25144D"/>
    <w:rsid w:val="6D2D20B0"/>
    <w:rsid w:val="6D2F5DEF"/>
    <w:rsid w:val="6D3279D3"/>
    <w:rsid w:val="6D365409"/>
    <w:rsid w:val="6D366B80"/>
    <w:rsid w:val="6D3E42BD"/>
    <w:rsid w:val="6D400136"/>
    <w:rsid w:val="6D413DAD"/>
    <w:rsid w:val="6D415B5B"/>
    <w:rsid w:val="6D48513C"/>
    <w:rsid w:val="6D4E7EF1"/>
    <w:rsid w:val="6D521B8E"/>
    <w:rsid w:val="6D586D9F"/>
    <w:rsid w:val="6D592EA5"/>
    <w:rsid w:val="6D5C2995"/>
    <w:rsid w:val="6D667370"/>
    <w:rsid w:val="6D6F26C8"/>
    <w:rsid w:val="6D6F4477"/>
    <w:rsid w:val="6D70540D"/>
    <w:rsid w:val="6D751B92"/>
    <w:rsid w:val="6D7A1435"/>
    <w:rsid w:val="6D7C6B93"/>
    <w:rsid w:val="6D7E46BA"/>
    <w:rsid w:val="6D7E54AA"/>
    <w:rsid w:val="6D7E5723"/>
    <w:rsid w:val="6D8344B5"/>
    <w:rsid w:val="6D837F22"/>
    <w:rsid w:val="6D851EEC"/>
    <w:rsid w:val="6D853DB6"/>
    <w:rsid w:val="6D877A12"/>
    <w:rsid w:val="6D8A5754"/>
    <w:rsid w:val="6D8B714E"/>
    <w:rsid w:val="6D9363C7"/>
    <w:rsid w:val="6D9640F9"/>
    <w:rsid w:val="6D97577B"/>
    <w:rsid w:val="6DA07EE4"/>
    <w:rsid w:val="6DA32372"/>
    <w:rsid w:val="6DA73C10"/>
    <w:rsid w:val="6DAF0D17"/>
    <w:rsid w:val="6DB30807"/>
    <w:rsid w:val="6DB34098"/>
    <w:rsid w:val="6DB445A5"/>
    <w:rsid w:val="6DB46DDC"/>
    <w:rsid w:val="6DB545B6"/>
    <w:rsid w:val="6DB80D3C"/>
    <w:rsid w:val="6DB8406F"/>
    <w:rsid w:val="6DBA365C"/>
    <w:rsid w:val="6DBD4ED3"/>
    <w:rsid w:val="6DC7083B"/>
    <w:rsid w:val="6DC709F1"/>
    <w:rsid w:val="6DC74753"/>
    <w:rsid w:val="6DC81F9E"/>
    <w:rsid w:val="6DCC3E13"/>
    <w:rsid w:val="6DCC7B1B"/>
    <w:rsid w:val="6DCF3167"/>
    <w:rsid w:val="6DD32C57"/>
    <w:rsid w:val="6DD356FC"/>
    <w:rsid w:val="6DD662A4"/>
    <w:rsid w:val="6DD8201C"/>
    <w:rsid w:val="6DD864C0"/>
    <w:rsid w:val="6DD86BE4"/>
    <w:rsid w:val="6DDB14B8"/>
    <w:rsid w:val="6DDB5FB0"/>
    <w:rsid w:val="6DE02FB4"/>
    <w:rsid w:val="6DE035C6"/>
    <w:rsid w:val="6DE65D0B"/>
    <w:rsid w:val="6DE83B08"/>
    <w:rsid w:val="6DEC505A"/>
    <w:rsid w:val="6DED19AE"/>
    <w:rsid w:val="6DF130DE"/>
    <w:rsid w:val="6DF350A8"/>
    <w:rsid w:val="6DF37AB2"/>
    <w:rsid w:val="6DF606F4"/>
    <w:rsid w:val="6DF901E4"/>
    <w:rsid w:val="6DFC39FA"/>
    <w:rsid w:val="6DFF14C2"/>
    <w:rsid w:val="6E015DF0"/>
    <w:rsid w:val="6E027099"/>
    <w:rsid w:val="6E080427"/>
    <w:rsid w:val="6E0B6CDF"/>
    <w:rsid w:val="6E105C5A"/>
    <w:rsid w:val="6E166FE8"/>
    <w:rsid w:val="6E195887"/>
    <w:rsid w:val="6E1D3ED3"/>
    <w:rsid w:val="6E1E75B4"/>
    <w:rsid w:val="6E240780"/>
    <w:rsid w:val="6E25722B"/>
    <w:rsid w:val="6E272FA3"/>
    <w:rsid w:val="6E296D1B"/>
    <w:rsid w:val="6E313E22"/>
    <w:rsid w:val="6E31797E"/>
    <w:rsid w:val="6E3336F6"/>
    <w:rsid w:val="6E3659C8"/>
    <w:rsid w:val="6E391796"/>
    <w:rsid w:val="6E407BC1"/>
    <w:rsid w:val="6E421B8B"/>
    <w:rsid w:val="6E440737"/>
    <w:rsid w:val="6E49116B"/>
    <w:rsid w:val="6E4C6576"/>
    <w:rsid w:val="6E5104CD"/>
    <w:rsid w:val="6E514CED"/>
    <w:rsid w:val="6E551448"/>
    <w:rsid w:val="6E565636"/>
    <w:rsid w:val="6E66587A"/>
    <w:rsid w:val="6E682569"/>
    <w:rsid w:val="6E6C34A1"/>
    <w:rsid w:val="6E6C6C08"/>
    <w:rsid w:val="6E71421E"/>
    <w:rsid w:val="6E751F61"/>
    <w:rsid w:val="6E7837FF"/>
    <w:rsid w:val="6E7F2DDF"/>
    <w:rsid w:val="6E7F693B"/>
    <w:rsid w:val="6E834F4F"/>
    <w:rsid w:val="6E8403F6"/>
    <w:rsid w:val="6E875728"/>
    <w:rsid w:val="6E882BAC"/>
    <w:rsid w:val="6E8A149B"/>
    <w:rsid w:val="6E8E6B7E"/>
    <w:rsid w:val="6E8F40A5"/>
    <w:rsid w:val="6E95615F"/>
    <w:rsid w:val="6E9A3775"/>
    <w:rsid w:val="6E9C74ED"/>
    <w:rsid w:val="6EAB1A66"/>
    <w:rsid w:val="6EAE0FCF"/>
    <w:rsid w:val="6EAF2053"/>
    <w:rsid w:val="6EB365E5"/>
    <w:rsid w:val="6EB563D5"/>
    <w:rsid w:val="6EC407F2"/>
    <w:rsid w:val="6EC802E2"/>
    <w:rsid w:val="6ECB392F"/>
    <w:rsid w:val="6ECD3B4B"/>
    <w:rsid w:val="6ECE51FA"/>
    <w:rsid w:val="6ED0363B"/>
    <w:rsid w:val="6ED76777"/>
    <w:rsid w:val="6ED8429D"/>
    <w:rsid w:val="6ED8604B"/>
    <w:rsid w:val="6ED92677"/>
    <w:rsid w:val="6EDC1099"/>
    <w:rsid w:val="6EDF387E"/>
    <w:rsid w:val="6EE102CE"/>
    <w:rsid w:val="6EE36ECA"/>
    <w:rsid w:val="6EE449F0"/>
    <w:rsid w:val="6EE61403"/>
    <w:rsid w:val="6EED49C0"/>
    <w:rsid w:val="6EED7D49"/>
    <w:rsid w:val="6EF03395"/>
    <w:rsid w:val="6EF36784"/>
    <w:rsid w:val="6EF72976"/>
    <w:rsid w:val="6EF74724"/>
    <w:rsid w:val="6EFA06B8"/>
    <w:rsid w:val="6F0155A2"/>
    <w:rsid w:val="6F03131A"/>
    <w:rsid w:val="6F094457"/>
    <w:rsid w:val="6F0C6D2C"/>
    <w:rsid w:val="6F0E7CBF"/>
    <w:rsid w:val="6F0F3EFF"/>
    <w:rsid w:val="6F0F4163"/>
    <w:rsid w:val="6F101C89"/>
    <w:rsid w:val="6F125A01"/>
    <w:rsid w:val="6F184487"/>
    <w:rsid w:val="6F1866F2"/>
    <w:rsid w:val="6F1C23DC"/>
    <w:rsid w:val="6F1F3D34"/>
    <w:rsid w:val="6F1F4531"/>
    <w:rsid w:val="6F216314"/>
    <w:rsid w:val="6F225983"/>
    <w:rsid w:val="6F245233"/>
    <w:rsid w:val="6F26325B"/>
    <w:rsid w:val="6F2A2D4B"/>
    <w:rsid w:val="6F2B1F97"/>
    <w:rsid w:val="6F2D1DC0"/>
    <w:rsid w:val="6F2E0820"/>
    <w:rsid w:val="6F2F210F"/>
    <w:rsid w:val="6F372C75"/>
    <w:rsid w:val="6F390465"/>
    <w:rsid w:val="6F3911E0"/>
    <w:rsid w:val="6F397E6E"/>
    <w:rsid w:val="6F3B4F58"/>
    <w:rsid w:val="6F411E43"/>
    <w:rsid w:val="6F42195E"/>
    <w:rsid w:val="6F4A519B"/>
    <w:rsid w:val="6F4D4C8B"/>
    <w:rsid w:val="6F4F3841"/>
    <w:rsid w:val="6F524050"/>
    <w:rsid w:val="6F547DC8"/>
    <w:rsid w:val="6F571666"/>
    <w:rsid w:val="6F57759A"/>
    <w:rsid w:val="6F5778B8"/>
    <w:rsid w:val="6F593630"/>
    <w:rsid w:val="6F616041"/>
    <w:rsid w:val="6F631DB9"/>
    <w:rsid w:val="6F6721E9"/>
    <w:rsid w:val="6F6A0AEB"/>
    <w:rsid w:val="6F6D70DC"/>
    <w:rsid w:val="6F6E5DAA"/>
    <w:rsid w:val="6F705D83"/>
    <w:rsid w:val="6F7402B7"/>
    <w:rsid w:val="6F77220A"/>
    <w:rsid w:val="6F781A2D"/>
    <w:rsid w:val="6F7B5355"/>
    <w:rsid w:val="6F7B88F4"/>
    <w:rsid w:val="6F7E6BF3"/>
    <w:rsid w:val="6F800BBD"/>
    <w:rsid w:val="6F806E0F"/>
    <w:rsid w:val="6F846E05"/>
    <w:rsid w:val="6F86515A"/>
    <w:rsid w:val="6F871F4B"/>
    <w:rsid w:val="6F8B1310"/>
    <w:rsid w:val="6F926B42"/>
    <w:rsid w:val="6F9957DB"/>
    <w:rsid w:val="6F9A6322"/>
    <w:rsid w:val="6F9B7998"/>
    <w:rsid w:val="6F9C351D"/>
    <w:rsid w:val="6FA50623"/>
    <w:rsid w:val="6FA83AAB"/>
    <w:rsid w:val="6FA83C70"/>
    <w:rsid w:val="6FAD74D8"/>
    <w:rsid w:val="6FAF3798"/>
    <w:rsid w:val="6FB42615"/>
    <w:rsid w:val="6FB865A9"/>
    <w:rsid w:val="6FB97C2B"/>
    <w:rsid w:val="6FBC6344"/>
    <w:rsid w:val="6FBD57C0"/>
    <w:rsid w:val="6FC0545D"/>
    <w:rsid w:val="6FC26D8C"/>
    <w:rsid w:val="6FC30AAA"/>
    <w:rsid w:val="6FC36CFC"/>
    <w:rsid w:val="6FC52542"/>
    <w:rsid w:val="6FC62348"/>
    <w:rsid w:val="6FD023D1"/>
    <w:rsid w:val="6FD33957"/>
    <w:rsid w:val="6FD5763E"/>
    <w:rsid w:val="6FD66A2F"/>
    <w:rsid w:val="6FDA012B"/>
    <w:rsid w:val="6FDB01B0"/>
    <w:rsid w:val="6FDB5DF3"/>
    <w:rsid w:val="6FE0340A"/>
    <w:rsid w:val="6FE160CC"/>
    <w:rsid w:val="6FE729EA"/>
    <w:rsid w:val="6FEA24DA"/>
    <w:rsid w:val="6FEA4288"/>
    <w:rsid w:val="6FED3D79"/>
    <w:rsid w:val="6FEF3153"/>
    <w:rsid w:val="6FF15617"/>
    <w:rsid w:val="6FF375E1"/>
    <w:rsid w:val="6FF4607D"/>
    <w:rsid w:val="6FFB46E7"/>
    <w:rsid w:val="6FFC5590"/>
    <w:rsid w:val="70013488"/>
    <w:rsid w:val="700312B7"/>
    <w:rsid w:val="700729B8"/>
    <w:rsid w:val="700D4769"/>
    <w:rsid w:val="700E589E"/>
    <w:rsid w:val="700F3CEF"/>
    <w:rsid w:val="70115CB9"/>
    <w:rsid w:val="70156BD3"/>
    <w:rsid w:val="70180CEA"/>
    <w:rsid w:val="70187047"/>
    <w:rsid w:val="702E23C7"/>
    <w:rsid w:val="703270B5"/>
    <w:rsid w:val="70357BF9"/>
    <w:rsid w:val="703D085C"/>
    <w:rsid w:val="704A4D27"/>
    <w:rsid w:val="704C651B"/>
    <w:rsid w:val="705067E1"/>
    <w:rsid w:val="70514307"/>
    <w:rsid w:val="70532B25"/>
    <w:rsid w:val="705F07D2"/>
    <w:rsid w:val="705F4C76"/>
    <w:rsid w:val="70673B2B"/>
    <w:rsid w:val="706C2EEF"/>
    <w:rsid w:val="706D1DD0"/>
    <w:rsid w:val="70716758"/>
    <w:rsid w:val="7075449A"/>
    <w:rsid w:val="707F70C6"/>
    <w:rsid w:val="70810852"/>
    <w:rsid w:val="70856B87"/>
    <w:rsid w:val="70891CF3"/>
    <w:rsid w:val="708C0CD9"/>
    <w:rsid w:val="708C1BDB"/>
    <w:rsid w:val="708E3C26"/>
    <w:rsid w:val="708F232F"/>
    <w:rsid w:val="709020CD"/>
    <w:rsid w:val="70950C1F"/>
    <w:rsid w:val="70952446"/>
    <w:rsid w:val="70964AC2"/>
    <w:rsid w:val="7097427D"/>
    <w:rsid w:val="70983CE4"/>
    <w:rsid w:val="709865D9"/>
    <w:rsid w:val="70A1528F"/>
    <w:rsid w:val="70A22DB5"/>
    <w:rsid w:val="70A23A5F"/>
    <w:rsid w:val="70AC7790"/>
    <w:rsid w:val="70B32E6B"/>
    <w:rsid w:val="70B34FC2"/>
    <w:rsid w:val="70B375FE"/>
    <w:rsid w:val="70B40CBA"/>
    <w:rsid w:val="70B56644"/>
    <w:rsid w:val="70BA3C5B"/>
    <w:rsid w:val="70BB79D3"/>
    <w:rsid w:val="70BD4C52"/>
    <w:rsid w:val="70BF5715"/>
    <w:rsid w:val="70C3128F"/>
    <w:rsid w:val="70C6781A"/>
    <w:rsid w:val="70C90342"/>
    <w:rsid w:val="70C9377E"/>
    <w:rsid w:val="70D142BD"/>
    <w:rsid w:val="70D527EE"/>
    <w:rsid w:val="70D6480D"/>
    <w:rsid w:val="70D862FD"/>
    <w:rsid w:val="70DA60AB"/>
    <w:rsid w:val="70DF5DB7"/>
    <w:rsid w:val="70E37655"/>
    <w:rsid w:val="70E4517B"/>
    <w:rsid w:val="70E94540"/>
    <w:rsid w:val="70ED4030"/>
    <w:rsid w:val="70EE7DA8"/>
    <w:rsid w:val="70F03B20"/>
    <w:rsid w:val="70F133F4"/>
    <w:rsid w:val="70F52EE5"/>
    <w:rsid w:val="70F8143D"/>
    <w:rsid w:val="70F829D5"/>
    <w:rsid w:val="70F93618"/>
    <w:rsid w:val="70FC384A"/>
    <w:rsid w:val="70FF4222"/>
    <w:rsid w:val="71017ADB"/>
    <w:rsid w:val="71031AA6"/>
    <w:rsid w:val="71035C4A"/>
    <w:rsid w:val="710870BC"/>
    <w:rsid w:val="71092E34"/>
    <w:rsid w:val="710B2708"/>
    <w:rsid w:val="710E5FBE"/>
    <w:rsid w:val="7113780F"/>
    <w:rsid w:val="711D50CE"/>
    <w:rsid w:val="711F4406"/>
    <w:rsid w:val="71245A38"/>
    <w:rsid w:val="712973E6"/>
    <w:rsid w:val="712F5201"/>
    <w:rsid w:val="713559D7"/>
    <w:rsid w:val="713A123F"/>
    <w:rsid w:val="713D651D"/>
    <w:rsid w:val="713E3C97"/>
    <w:rsid w:val="714D0F73"/>
    <w:rsid w:val="7150636D"/>
    <w:rsid w:val="715776FB"/>
    <w:rsid w:val="715B5300"/>
    <w:rsid w:val="7161057A"/>
    <w:rsid w:val="71621E96"/>
    <w:rsid w:val="7164006A"/>
    <w:rsid w:val="716B764B"/>
    <w:rsid w:val="716F713B"/>
    <w:rsid w:val="7174037B"/>
    <w:rsid w:val="7178347C"/>
    <w:rsid w:val="717A163C"/>
    <w:rsid w:val="7189541C"/>
    <w:rsid w:val="718A5D23"/>
    <w:rsid w:val="718D75C1"/>
    <w:rsid w:val="71924BD7"/>
    <w:rsid w:val="719426FE"/>
    <w:rsid w:val="719C7804"/>
    <w:rsid w:val="719D41FB"/>
    <w:rsid w:val="71A010A2"/>
    <w:rsid w:val="71A22FE8"/>
    <w:rsid w:val="71A529A6"/>
    <w:rsid w:val="71A652E8"/>
    <w:rsid w:val="71AF12E6"/>
    <w:rsid w:val="71B0505E"/>
    <w:rsid w:val="71B2527A"/>
    <w:rsid w:val="71B471D7"/>
    <w:rsid w:val="71B7406C"/>
    <w:rsid w:val="71BE59CD"/>
    <w:rsid w:val="71BF3A88"/>
    <w:rsid w:val="71C64881"/>
    <w:rsid w:val="71CA376C"/>
    <w:rsid w:val="71CF7BDA"/>
    <w:rsid w:val="71D04E8D"/>
    <w:rsid w:val="71D27F8A"/>
    <w:rsid w:val="71DC2593"/>
    <w:rsid w:val="71DF7820"/>
    <w:rsid w:val="71E03B95"/>
    <w:rsid w:val="71E13469"/>
    <w:rsid w:val="71E4450D"/>
    <w:rsid w:val="71E60A7F"/>
    <w:rsid w:val="71EC64B7"/>
    <w:rsid w:val="71F17B50"/>
    <w:rsid w:val="71F94C57"/>
    <w:rsid w:val="71F96A05"/>
    <w:rsid w:val="71FF6EA4"/>
    <w:rsid w:val="72004E62"/>
    <w:rsid w:val="72035AD5"/>
    <w:rsid w:val="720751EB"/>
    <w:rsid w:val="720C70FB"/>
    <w:rsid w:val="720D425E"/>
    <w:rsid w:val="72161365"/>
    <w:rsid w:val="721675B7"/>
    <w:rsid w:val="72192C03"/>
    <w:rsid w:val="721C0167"/>
    <w:rsid w:val="721E646B"/>
    <w:rsid w:val="72213E66"/>
    <w:rsid w:val="72247F25"/>
    <w:rsid w:val="722A7366"/>
    <w:rsid w:val="722D66AE"/>
    <w:rsid w:val="722E2B52"/>
    <w:rsid w:val="722F0678"/>
    <w:rsid w:val="723932A5"/>
    <w:rsid w:val="72402885"/>
    <w:rsid w:val="724361BE"/>
    <w:rsid w:val="72457067"/>
    <w:rsid w:val="72464238"/>
    <w:rsid w:val="7251058C"/>
    <w:rsid w:val="725138BE"/>
    <w:rsid w:val="72526EE9"/>
    <w:rsid w:val="725325B9"/>
    <w:rsid w:val="72541E8D"/>
    <w:rsid w:val="72553024"/>
    <w:rsid w:val="725D6F93"/>
    <w:rsid w:val="725F4330"/>
    <w:rsid w:val="726454F7"/>
    <w:rsid w:val="72737BD5"/>
    <w:rsid w:val="7275252F"/>
    <w:rsid w:val="727644F9"/>
    <w:rsid w:val="72773677"/>
    <w:rsid w:val="72777C5C"/>
    <w:rsid w:val="727918F3"/>
    <w:rsid w:val="727A5D97"/>
    <w:rsid w:val="727A7B45"/>
    <w:rsid w:val="727B38BE"/>
    <w:rsid w:val="727F0FDB"/>
    <w:rsid w:val="72802C82"/>
    <w:rsid w:val="728110EF"/>
    <w:rsid w:val="72822E9E"/>
    <w:rsid w:val="728409C4"/>
    <w:rsid w:val="72883B4F"/>
    <w:rsid w:val="728E539F"/>
    <w:rsid w:val="728F12F7"/>
    <w:rsid w:val="72933FAE"/>
    <w:rsid w:val="72936E59"/>
    <w:rsid w:val="729535C8"/>
    <w:rsid w:val="72964253"/>
    <w:rsid w:val="729907F9"/>
    <w:rsid w:val="729A1F96"/>
    <w:rsid w:val="729F135A"/>
    <w:rsid w:val="72A14C98"/>
    <w:rsid w:val="72A42E14"/>
    <w:rsid w:val="72A526E9"/>
    <w:rsid w:val="72BD7A32"/>
    <w:rsid w:val="72C135F3"/>
    <w:rsid w:val="72C62D8B"/>
    <w:rsid w:val="72C74D55"/>
    <w:rsid w:val="72CD735A"/>
    <w:rsid w:val="72CE60E3"/>
    <w:rsid w:val="72D54D7C"/>
    <w:rsid w:val="72D84923"/>
    <w:rsid w:val="72E3237C"/>
    <w:rsid w:val="72E37031"/>
    <w:rsid w:val="72E41823"/>
    <w:rsid w:val="72E43211"/>
    <w:rsid w:val="72E74AAF"/>
    <w:rsid w:val="72E871A5"/>
    <w:rsid w:val="72E949A0"/>
    <w:rsid w:val="72F01BB6"/>
    <w:rsid w:val="72F51421"/>
    <w:rsid w:val="72F571CC"/>
    <w:rsid w:val="72FA6ED8"/>
    <w:rsid w:val="72FA77A2"/>
    <w:rsid w:val="72FB055A"/>
    <w:rsid w:val="73026629"/>
    <w:rsid w:val="73034F50"/>
    <w:rsid w:val="730B69EF"/>
    <w:rsid w:val="730C2768"/>
    <w:rsid w:val="73122968"/>
    <w:rsid w:val="73177D95"/>
    <w:rsid w:val="73194A87"/>
    <w:rsid w:val="731A30D6"/>
    <w:rsid w:val="731B784C"/>
    <w:rsid w:val="731F5D5E"/>
    <w:rsid w:val="732B1741"/>
    <w:rsid w:val="732D5494"/>
    <w:rsid w:val="732E6B82"/>
    <w:rsid w:val="733028FA"/>
    <w:rsid w:val="73325F81"/>
    <w:rsid w:val="73376502"/>
    <w:rsid w:val="733817AF"/>
    <w:rsid w:val="733F2D28"/>
    <w:rsid w:val="734168B5"/>
    <w:rsid w:val="73426189"/>
    <w:rsid w:val="73446C47"/>
    <w:rsid w:val="73450865"/>
    <w:rsid w:val="734737A0"/>
    <w:rsid w:val="734B0C60"/>
    <w:rsid w:val="734B3290"/>
    <w:rsid w:val="73506AF8"/>
    <w:rsid w:val="73520AC2"/>
    <w:rsid w:val="73594034"/>
    <w:rsid w:val="735A0BC8"/>
    <w:rsid w:val="735A4E91"/>
    <w:rsid w:val="735B4F35"/>
    <w:rsid w:val="735C549D"/>
    <w:rsid w:val="73614861"/>
    <w:rsid w:val="73697BBA"/>
    <w:rsid w:val="736A6B44"/>
    <w:rsid w:val="736B1B84"/>
    <w:rsid w:val="736B3932"/>
    <w:rsid w:val="736D76AA"/>
    <w:rsid w:val="7370462E"/>
    <w:rsid w:val="737547B1"/>
    <w:rsid w:val="73770529"/>
    <w:rsid w:val="738007DB"/>
    <w:rsid w:val="7384594D"/>
    <w:rsid w:val="73852C46"/>
    <w:rsid w:val="738549F4"/>
    <w:rsid w:val="7386076C"/>
    <w:rsid w:val="738844E4"/>
    <w:rsid w:val="73886292"/>
    <w:rsid w:val="738A200A"/>
    <w:rsid w:val="738D5656"/>
    <w:rsid w:val="738E13CF"/>
    <w:rsid w:val="73920EBF"/>
    <w:rsid w:val="73924A98"/>
    <w:rsid w:val="73942E89"/>
    <w:rsid w:val="739509AF"/>
    <w:rsid w:val="73972979"/>
    <w:rsid w:val="7399224D"/>
    <w:rsid w:val="73993FFB"/>
    <w:rsid w:val="739C3AEB"/>
    <w:rsid w:val="739F3D64"/>
    <w:rsid w:val="73A11102"/>
    <w:rsid w:val="73A227DF"/>
    <w:rsid w:val="73A23062"/>
    <w:rsid w:val="73A33B75"/>
    <w:rsid w:val="73A34E7A"/>
    <w:rsid w:val="73A40BF2"/>
    <w:rsid w:val="73A429A0"/>
    <w:rsid w:val="73A4758E"/>
    <w:rsid w:val="73A55905"/>
    <w:rsid w:val="73AD3F4B"/>
    <w:rsid w:val="73AD7AA7"/>
    <w:rsid w:val="73B115BF"/>
    <w:rsid w:val="73B16901"/>
    <w:rsid w:val="73B17D60"/>
    <w:rsid w:val="73B4570E"/>
    <w:rsid w:val="73B54BAD"/>
    <w:rsid w:val="73B9644B"/>
    <w:rsid w:val="73BA64C3"/>
    <w:rsid w:val="73BB6668"/>
    <w:rsid w:val="73BD39B8"/>
    <w:rsid w:val="73C179F6"/>
    <w:rsid w:val="73C44DF0"/>
    <w:rsid w:val="73C51294"/>
    <w:rsid w:val="73C51AD5"/>
    <w:rsid w:val="73C60B68"/>
    <w:rsid w:val="73CA0659"/>
    <w:rsid w:val="73CF5C6F"/>
    <w:rsid w:val="73D07B3D"/>
    <w:rsid w:val="73D42519"/>
    <w:rsid w:val="73D47729"/>
    <w:rsid w:val="73D634A1"/>
    <w:rsid w:val="73D85BD6"/>
    <w:rsid w:val="73DE2130"/>
    <w:rsid w:val="73DE4489"/>
    <w:rsid w:val="73DE5EB2"/>
    <w:rsid w:val="73DF6A23"/>
    <w:rsid w:val="73E52092"/>
    <w:rsid w:val="73E84F83"/>
    <w:rsid w:val="73ED07EB"/>
    <w:rsid w:val="73FB6A64"/>
    <w:rsid w:val="74024296"/>
    <w:rsid w:val="74064902"/>
    <w:rsid w:val="7407128A"/>
    <w:rsid w:val="740718AD"/>
    <w:rsid w:val="740A4EF9"/>
    <w:rsid w:val="740B3259"/>
    <w:rsid w:val="74161D68"/>
    <w:rsid w:val="7416564C"/>
    <w:rsid w:val="741716CE"/>
    <w:rsid w:val="741C1198"/>
    <w:rsid w:val="741E793C"/>
    <w:rsid w:val="742064CB"/>
    <w:rsid w:val="74253AE1"/>
    <w:rsid w:val="74277859"/>
    <w:rsid w:val="742F2BB2"/>
    <w:rsid w:val="7431087C"/>
    <w:rsid w:val="743326A2"/>
    <w:rsid w:val="74381A66"/>
    <w:rsid w:val="743E1047"/>
    <w:rsid w:val="74486A3C"/>
    <w:rsid w:val="744B745B"/>
    <w:rsid w:val="744C3764"/>
    <w:rsid w:val="744E7304"/>
    <w:rsid w:val="744F1E6B"/>
    <w:rsid w:val="744F6DB0"/>
    <w:rsid w:val="745229A8"/>
    <w:rsid w:val="745443C6"/>
    <w:rsid w:val="74555685"/>
    <w:rsid w:val="74560EAC"/>
    <w:rsid w:val="745667D0"/>
    <w:rsid w:val="745B5608"/>
    <w:rsid w:val="745C0880"/>
    <w:rsid w:val="745E3944"/>
    <w:rsid w:val="74624D35"/>
    <w:rsid w:val="74635E51"/>
    <w:rsid w:val="74675EA7"/>
    <w:rsid w:val="746A1E3C"/>
    <w:rsid w:val="746C1710"/>
    <w:rsid w:val="74736F42"/>
    <w:rsid w:val="74785A73"/>
    <w:rsid w:val="747C2511"/>
    <w:rsid w:val="7480340D"/>
    <w:rsid w:val="748219B7"/>
    <w:rsid w:val="74826AAD"/>
    <w:rsid w:val="74834133"/>
    <w:rsid w:val="74856C75"/>
    <w:rsid w:val="74877151"/>
    <w:rsid w:val="74884070"/>
    <w:rsid w:val="748F53FE"/>
    <w:rsid w:val="74936C9D"/>
    <w:rsid w:val="74945DFE"/>
    <w:rsid w:val="74974E07"/>
    <w:rsid w:val="749F7D37"/>
    <w:rsid w:val="74A569D0"/>
    <w:rsid w:val="74A9617D"/>
    <w:rsid w:val="74A967A3"/>
    <w:rsid w:val="74B15375"/>
    <w:rsid w:val="74B3733F"/>
    <w:rsid w:val="74B51309"/>
    <w:rsid w:val="74BC04D7"/>
    <w:rsid w:val="74BF3F35"/>
    <w:rsid w:val="74C374EF"/>
    <w:rsid w:val="74C4779E"/>
    <w:rsid w:val="74C96B62"/>
    <w:rsid w:val="74CB28DA"/>
    <w:rsid w:val="74CE4179"/>
    <w:rsid w:val="74D06143"/>
    <w:rsid w:val="74DF8FA2"/>
    <w:rsid w:val="74E2279A"/>
    <w:rsid w:val="74E45671"/>
    <w:rsid w:val="74EB4D2A"/>
    <w:rsid w:val="74ED7A8E"/>
    <w:rsid w:val="74F248B8"/>
    <w:rsid w:val="74F53239"/>
    <w:rsid w:val="74FC6F38"/>
    <w:rsid w:val="750220C1"/>
    <w:rsid w:val="75045DEC"/>
    <w:rsid w:val="75093403"/>
    <w:rsid w:val="75097F6E"/>
    <w:rsid w:val="750D46A2"/>
    <w:rsid w:val="750E6C6B"/>
    <w:rsid w:val="7510653F"/>
    <w:rsid w:val="75151DA7"/>
    <w:rsid w:val="75153B55"/>
    <w:rsid w:val="75157FF9"/>
    <w:rsid w:val="7517375D"/>
    <w:rsid w:val="7518696C"/>
    <w:rsid w:val="751C3CCD"/>
    <w:rsid w:val="751D6EAE"/>
    <w:rsid w:val="75243D99"/>
    <w:rsid w:val="75297601"/>
    <w:rsid w:val="752B6F80"/>
    <w:rsid w:val="752C70F1"/>
    <w:rsid w:val="7530098F"/>
    <w:rsid w:val="75322959"/>
    <w:rsid w:val="75385A96"/>
    <w:rsid w:val="753C37D8"/>
    <w:rsid w:val="753E769B"/>
    <w:rsid w:val="75422471"/>
    <w:rsid w:val="7549769D"/>
    <w:rsid w:val="75524F91"/>
    <w:rsid w:val="755F2B15"/>
    <w:rsid w:val="755F3023"/>
    <w:rsid w:val="75680129"/>
    <w:rsid w:val="756D1C2A"/>
    <w:rsid w:val="756E5C8B"/>
    <w:rsid w:val="75780393"/>
    <w:rsid w:val="75792336"/>
    <w:rsid w:val="757F5473"/>
    <w:rsid w:val="7582410B"/>
    <w:rsid w:val="75834072"/>
    <w:rsid w:val="75835778"/>
    <w:rsid w:val="758A3E75"/>
    <w:rsid w:val="758E56B6"/>
    <w:rsid w:val="758F6E4B"/>
    <w:rsid w:val="75986535"/>
    <w:rsid w:val="75994786"/>
    <w:rsid w:val="759F209F"/>
    <w:rsid w:val="75A35605"/>
    <w:rsid w:val="75A66EA3"/>
    <w:rsid w:val="75A90F84"/>
    <w:rsid w:val="75AB15F6"/>
    <w:rsid w:val="75AB6268"/>
    <w:rsid w:val="75B23A9A"/>
    <w:rsid w:val="75B25848"/>
    <w:rsid w:val="75B50E95"/>
    <w:rsid w:val="75B5737F"/>
    <w:rsid w:val="75B735CF"/>
    <w:rsid w:val="75B87E6A"/>
    <w:rsid w:val="75BA46FD"/>
    <w:rsid w:val="75BF3AC1"/>
    <w:rsid w:val="75C1162A"/>
    <w:rsid w:val="75C229B3"/>
    <w:rsid w:val="75C335B1"/>
    <w:rsid w:val="75C37A55"/>
    <w:rsid w:val="75C4732A"/>
    <w:rsid w:val="75CD3CB6"/>
    <w:rsid w:val="75CD4430"/>
    <w:rsid w:val="75D6570F"/>
    <w:rsid w:val="75DF4163"/>
    <w:rsid w:val="75DF5F11"/>
    <w:rsid w:val="75E17EDC"/>
    <w:rsid w:val="75E60258"/>
    <w:rsid w:val="75E80E24"/>
    <w:rsid w:val="75EB48B6"/>
    <w:rsid w:val="75F51B9B"/>
    <w:rsid w:val="75F75951"/>
    <w:rsid w:val="75F96FD3"/>
    <w:rsid w:val="75FE283B"/>
    <w:rsid w:val="75FF8711"/>
    <w:rsid w:val="76004806"/>
    <w:rsid w:val="76037E52"/>
    <w:rsid w:val="76072A15"/>
    <w:rsid w:val="7608476F"/>
    <w:rsid w:val="76085AC1"/>
    <w:rsid w:val="761050D9"/>
    <w:rsid w:val="7612164B"/>
    <w:rsid w:val="7614205F"/>
    <w:rsid w:val="7614520D"/>
    <w:rsid w:val="76197675"/>
    <w:rsid w:val="762027B2"/>
    <w:rsid w:val="762322A2"/>
    <w:rsid w:val="762720E6"/>
    <w:rsid w:val="762D1373"/>
    <w:rsid w:val="76320614"/>
    <w:rsid w:val="763224E5"/>
    <w:rsid w:val="763320D9"/>
    <w:rsid w:val="7635099D"/>
    <w:rsid w:val="7635145F"/>
    <w:rsid w:val="76392486"/>
    <w:rsid w:val="763B6BB8"/>
    <w:rsid w:val="763B75EC"/>
    <w:rsid w:val="763C6907"/>
    <w:rsid w:val="763D362D"/>
    <w:rsid w:val="76432944"/>
    <w:rsid w:val="7645046A"/>
    <w:rsid w:val="764A1199"/>
    <w:rsid w:val="765148CB"/>
    <w:rsid w:val="765927F0"/>
    <w:rsid w:val="76593F16"/>
    <w:rsid w:val="765A2731"/>
    <w:rsid w:val="765B7319"/>
    <w:rsid w:val="765E1F52"/>
    <w:rsid w:val="7663421D"/>
    <w:rsid w:val="76634D94"/>
    <w:rsid w:val="76692B50"/>
    <w:rsid w:val="766A04F5"/>
    <w:rsid w:val="766F77DD"/>
    <w:rsid w:val="76760624"/>
    <w:rsid w:val="7677439C"/>
    <w:rsid w:val="767A68A9"/>
    <w:rsid w:val="767B0330"/>
    <w:rsid w:val="767B3E8C"/>
    <w:rsid w:val="767D5E56"/>
    <w:rsid w:val="7682346D"/>
    <w:rsid w:val="76854D0B"/>
    <w:rsid w:val="76865F32"/>
    <w:rsid w:val="76876CD5"/>
    <w:rsid w:val="76894F0E"/>
    <w:rsid w:val="768A639E"/>
    <w:rsid w:val="768C6099"/>
    <w:rsid w:val="768D3BBF"/>
    <w:rsid w:val="768F16E6"/>
    <w:rsid w:val="76903259"/>
    <w:rsid w:val="76976842"/>
    <w:rsid w:val="769B008A"/>
    <w:rsid w:val="769D3E02"/>
    <w:rsid w:val="769E28DC"/>
    <w:rsid w:val="769F5B2A"/>
    <w:rsid w:val="76A07D97"/>
    <w:rsid w:val="76A2766B"/>
    <w:rsid w:val="76A642B0"/>
    <w:rsid w:val="76A70496"/>
    <w:rsid w:val="76AC098D"/>
    <w:rsid w:val="76AF0600"/>
    <w:rsid w:val="76B34914"/>
    <w:rsid w:val="76B7420F"/>
    <w:rsid w:val="76B828DE"/>
    <w:rsid w:val="76BB072D"/>
    <w:rsid w:val="76BB24DB"/>
    <w:rsid w:val="76C0034F"/>
    <w:rsid w:val="76C21ABB"/>
    <w:rsid w:val="76C64558"/>
    <w:rsid w:val="76C937B9"/>
    <w:rsid w:val="76CA63C9"/>
    <w:rsid w:val="76CB30FB"/>
    <w:rsid w:val="76CC293A"/>
    <w:rsid w:val="76CF22A0"/>
    <w:rsid w:val="76D539FC"/>
    <w:rsid w:val="76DB23CA"/>
    <w:rsid w:val="76DD22F0"/>
    <w:rsid w:val="76E2215D"/>
    <w:rsid w:val="76EA2DC0"/>
    <w:rsid w:val="76EE0498"/>
    <w:rsid w:val="76F459ED"/>
    <w:rsid w:val="76F51E90"/>
    <w:rsid w:val="76FD155F"/>
    <w:rsid w:val="76FF686B"/>
    <w:rsid w:val="7702635B"/>
    <w:rsid w:val="77057BFA"/>
    <w:rsid w:val="770608B0"/>
    <w:rsid w:val="770A5210"/>
    <w:rsid w:val="770B16B4"/>
    <w:rsid w:val="770F2826"/>
    <w:rsid w:val="770F42DE"/>
    <w:rsid w:val="770F523E"/>
    <w:rsid w:val="77122026"/>
    <w:rsid w:val="77133A47"/>
    <w:rsid w:val="77161E07"/>
    <w:rsid w:val="77180DDC"/>
    <w:rsid w:val="77185B7F"/>
    <w:rsid w:val="771B6F24"/>
    <w:rsid w:val="771D50DB"/>
    <w:rsid w:val="77212C85"/>
    <w:rsid w:val="77260081"/>
    <w:rsid w:val="77297D8C"/>
    <w:rsid w:val="772B7660"/>
    <w:rsid w:val="772F5966"/>
    <w:rsid w:val="77302EC9"/>
    <w:rsid w:val="773553C0"/>
    <w:rsid w:val="77364257"/>
    <w:rsid w:val="77383B2B"/>
    <w:rsid w:val="7739685A"/>
    <w:rsid w:val="773A5AF5"/>
    <w:rsid w:val="773F135E"/>
    <w:rsid w:val="77457ECE"/>
    <w:rsid w:val="774626EC"/>
    <w:rsid w:val="774921DC"/>
    <w:rsid w:val="77496F26"/>
    <w:rsid w:val="774D3FF7"/>
    <w:rsid w:val="774E76A8"/>
    <w:rsid w:val="77512E3F"/>
    <w:rsid w:val="775B1CAC"/>
    <w:rsid w:val="77601B0A"/>
    <w:rsid w:val="776209F2"/>
    <w:rsid w:val="7763329E"/>
    <w:rsid w:val="7767024F"/>
    <w:rsid w:val="776963DA"/>
    <w:rsid w:val="776C1A27"/>
    <w:rsid w:val="776D2369"/>
    <w:rsid w:val="776E579F"/>
    <w:rsid w:val="776F7253"/>
    <w:rsid w:val="7772528F"/>
    <w:rsid w:val="77731007"/>
    <w:rsid w:val="77745156"/>
    <w:rsid w:val="77762421"/>
    <w:rsid w:val="77764653"/>
    <w:rsid w:val="777648B1"/>
    <w:rsid w:val="777A7420"/>
    <w:rsid w:val="777C4360"/>
    <w:rsid w:val="77811976"/>
    <w:rsid w:val="77846D70"/>
    <w:rsid w:val="77856D78"/>
    <w:rsid w:val="77882D05"/>
    <w:rsid w:val="778925D9"/>
    <w:rsid w:val="778B69AC"/>
    <w:rsid w:val="778E549B"/>
    <w:rsid w:val="77946BAE"/>
    <w:rsid w:val="779A3DE9"/>
    <w:rsid w:val="779C40BA"/>
    <w:rsid w:val="779D297C"/>
    <w:rsid w:val="77A15B74"/>
    <w:rsid w:val="77A20BA3"/>
    <w:rsid w:val="77A6318B"/>
    <w:rsid w:val="77A92C7B"/>
    <w:rsid w:val="77AE0291"/>
    <w:rsid w:val="77B56B1F"/>
    <w:rsid w:val="77B97D7B"/>
    <w:rsid w:val="77C11D73"/>
    <w:rsid w:val="77C33D3D"/>
    <w:rsid w:val="77C41863"/>
    <w:rsid w:val="77C43794"/>
    <w:rsid w:val="77C655DB"/>
    <w:rsid w:val="77C875A5"/>
    <w:rsid w:val="77C96E79"/>
    <w:rsid w:val="77CB4ADD"/>
    <w:rsid w:val="77CF26E1"/>
    <w:rsid w:val="77D509AD"/>
    <w:rsid w:val="77E52734"/>
    <w:rsid w:val="77E76E82"/>
    <w:rsid w:val="77ED2B68"/>
    <w:rsid w:val="77EE068E"/>
    <w:rsid w:val="77EE6736"/>
    <w:rsid w:val="77F35CA4"/>
    <w:rsid w:val="77F51A1C"/>
    <w:rsid w:val="77F739E6"/>
    <w:rsid w:val="77FD60C2"/>
    <w:rsid w:val="77FF0DFC"/>
    <w:rsid w:val="77FF17B2"/>
    <w:rsid w:val="77FF7FAD"/>
    <w:rsid w:val="78000AED"/>
    <w:rsid w:val="78016613"/>
    <w:rsid w:val="78044C6A"/>
    <w:rsid w:val="78056103"/>
    <w:rsid w:val="78061E7B"/>
    <w:rsid w:val="780954C8"/>
    <w:rsid w:val="780B1C7D"/>
    <w:rsid w:val="780D320A"/>
    <w:rsid w:val="780F09F4"/>
    <w:rsid w:val="780F5FC3"/>
    <w:rsid w:val="781225CE"/>
    <w:rsid w:val="78146346"/>
    <w:rsid w:val="781E71C5"/>
    <w:rsid w:val="781F4131"/>
    <w:rsid w:val="782026E9"/>
    <w:rsid w:val="78306EF8"/>
    <w:rsid w:val="78340335"/>
    <w:rsid w:val="7835230F"/>
    <w:rsid w:val="78391645"/>
    <w:rsid w:val="783A016B"/>
    <w:rsid w:val="783A16F6"/>
    <w:rsid w:val="783A5084"/>
    <w:rsid w:val="78413C37"/>
    <w:rsid w:val="7842203E"/>
    <w:rsid w:val="78482494"/>
    <w:rsid w:val="784B2686"/>
    <w:rsid w:val="784B3370"/>
    <w:rsid w:val="784D627F"/>
    <w:rsid w:val="78542BE7"/>
    <w:rsid w:val="785670FD"/>
    <w:rsid w:val="786077DD"/>
    <w:rsid w:val="78615304"/>
    <w:rsid w:val="78621628"/>
    <w:rsid w:val="78667A33"/>
    <w:rsid w:val="786848E4"/>
    <w:rsid w:val="786A240A"/>
    <w:rsid w:val="786A41B8"/>
    <w:rsid w:val="786C6182"/>
    <w:rsid w:val="787159F4"/>
    <w:rsid w:val="7879089F"/>
    <w:rsid w:val="787C4BCA"/>
    <w:rsid w:val="787D7B18"/>
    <w:rsid w:val="7883527A"/>
    <w:rsid w:val="78882890"/>
    <w:rsid w:val="78886D34"/>
    <w:rsid w:val="788B0A08"/>
    <w:rsid w:val="788F3C1F"/>
    <w:rsid w:val="789D27E0"/>
    <w:rsid w:val="78A4623C"/>
    <w:rsid w:val="78A6654F"/>
    <w:rsid w:val="78A74CC3"/>
    <w:rsid w:val="78A90480"/>
    <w:rsid w:val="78A91184"/>
    <w:rsid w:val="78AF2513"/>
    <w:rsid w:val="78B158B9"/>
    <w:rsid w:val="78B47B29"/>
    <w:rsid w:val="78B611AB"/>
    <w:rsid w:val="78B638A1"/>
    <w:rsid w:val="78B86B00"/>
    <w:rsid w:val="78BD69DE"/>
    <w:rsid w:val="78C31B1A"/>
    <w:rsid w:val="78C733B9"/>
    <w:rsid w:val="78CA10FB"/>
    <w:rsid w:val="78CA6D92"/>
    <w:rsid w:val="78CC05E7"/>
    <w:rsid w:val="78CC0EBB"/>
    <w:rsid w:val="78CE2999"/>
    <w:rsid w:val="78D14237"/>
    <w:rsid w:val="78E26444"/>
    <w:rsid w:val="78E50281"/>
    <w:rsid w:val="78E57335"/>
    <w:rsid w:val="78E71CAD"/>
    <w:rsid w:val="78F47F26"/>
    <w:rsid w:val="78FA6EC2"/>
    <w:rsid w:val="78FC2232"/>
    <w:rsid w:val="78FD6DDA"/>
    <w:rsid w:val="78FF0DA4"/>
    <w:rsid w:val="78FFB01F"/>
    <w:rsid w:val="79004B1D"/>
    <w:rsid w:val="79020895"/>
    <w:rsid w:val="79030169"/>
    <w:rsid w:val="79074DEB"/>
    <w:rsid w:val="79075EAB"/>
    <w:rsid w:val="790D56FB"/>
    <w:rsid w:val="791365FE"/>
    <w:rsid w:val="79145048"/>
    <w:rsid w:val="791D747D"/>
    <w:rsid w:val="791F4F7D"/>
    <w:rsid w:val="79231B0D"/>
    <w:rsid w:val="792720A9"/>
    <w:rsid w:val="79297BCF"/>
    <w:rsid w:val="792A5C43"/>
    <w:rsid w:val="792D07B8"/>
    <w:rsid w:val="792E3438"/>
    <w:rsid w:val="79305402"/>
    <w:rsid w:val="79334EF2"/>
    <w:rsid w:val="793A1DDD"/>
    <w:rsid w:val="793B5B55"/>
    <w:rsid w:val="793C0847"/>
    <w:rsid w:val="793D18CD"/>
    <w:rsid w:val="793F1866"/>
    <w:rsid w:val="79404F19"/>
    <w:rsid w:val="794669D3"/>
    <w:rsid w:val="794762A8"/>
    <w:rsid w:val="794C71C1"/>
    <w:rsid w:val="794D288F"/>
    <w:rsid w:val="794E160F"/>
    <w:rsid w:val="79517126"/>
    <w:rsid w:val="795409C4"/>
    <w:rsid w:val="79556C16"/>
    <w:rsid w:val="7956298E"/>
    <w:rsid w:val="795B1D53"/>
    <w:rsid w:val="795E2B1F"/>
    <w:rsid w:val="79607369"/>
    <w:rsid w:val="796230E1"/>
    <w:rsid w:val="79627585"/>
    <w:rsid w:val="796A6496"/>
    <w:rsid w:val="796B468C"/>
    <w:rsid w:val="796C5D0E"/>
    <w:rsid w:val="797057FE"/>
    <w:rsid w:val="797431C5"/>
    <w:rsid w:val="797B38CD"/>
    <w:rsid w:val="797E32B5"/>
    <w:rsid w:val="79805F90"/>
    <w:rsid w:val="798600AB"/>
    <w:rsid w:val="79865022"/>
    <w:rsid w:val="79892D64"/>
    <w:rsid w:val="798B075D"/>
    <w:rsid w:val="798C015E"/>
    <w:rsid w:val="798C63B0"/>
    <w:rsid w:val="79905EA0"/>
    <w:rsid w:val="79974728"/>
    <w:rsid w:val="799D236B"/>
    <w:rsid w:val="79A045A2"/>
    <w:rsid w:val="79A15D8E"/>
    <w:rsid w:val="79A204E3"/>
    <w:rsid w:val="79A404AD"/>
    <w:rsid w:val="79A4194C"/>
    <w:rsid w:val="79A764C4"/>
    <w:rsid w:val="79AB6836"/>
    <w:rsid w:val="79AE4579"/>
    <w:rsid w:val="79B0209F"/>
    <w:rsid w:val="79B167A6"/>
    <w:rsid w:val="79B576B5"/>
    <w:rsid w:val="79B64E99"/>
    <w:rsid w:val="79B778D1"/>
    <w:rsid w:val="79B853F7"/>
    <w:rsid w:val="79BD7B3E"/>
    <w:rsid w:val="79C557DB"/>
    <w:rsid w:val="79CE0777"/>
    <w:rsid w:val="79D02741"/>
    <w:rsid w:val="79D05B5F"/>
    <w:rsid w:val="79D0629D"/>
    <w:rsid w:val="79D264B9"/>
    <w:rsid w:val="79D747AE"/>
    <w:rsid w:val="79D82BB5"/>
    <w:rsid w:val="79DA35C0"/>
    <w:rsid w:val="79DA711C"/>
    <w:rsid w:val="79DC7338"/>
    <w:rsid w:val="79DD0605"/>
    <w:rsid w:val="79EE0E19"/>
    <w:rsid w:val="79EE2BC7"/>
    <w:rsid w:val="79F160BD"/>
    <w:rsid w:val="79F77CCE"/>
    <w:rsid w:val="79FA77BE"/>
    <w:rsid w:val="79FC61CB"/>
    <w:rsid w:val="79FF6B82"/>
    <w:rsid w:val="7A0128FA"/>
    <w:rsid w:val="7A0643B5"/>
    <w:rsid w:val="7A097A01"/>
    <w:rsid w:val="7A0A044C"/>
    <w:rsid w:val="7A0B7864"/>
    <w:rsid w:val="7A0F6C3F"/>
    <w:rsid w:val="7A113346"/>
    <w:rsid w:val="7A1C1079"/>
    <w:rsid w:val="7A212F9C"/>
    <w:rsid w:val="7A230AC3"/>
    <w:rsid w:val="7A244D55"/>
    <w:rsid w:val="7A24780B"/>
    <w:rsid w:val="7A2605B3"/>
    <w:rsid w:val="7A262361"/>
    <w:rsid w:val="7A266805"/>
    <w:rsid w:val="7A293BFF"/>
    <w:rsid w:val="7A364017"/>
    <w:rsid w:val="7A37456E"/>
    <w:rsid w:val="7A37631C"/>
    <w:rsid w:val="7A3765BA"/>
    <w:rsid w:val="7A3A5E0C"/>
    <w:rsid w:val="7A3B22B0"/>
    <w:rsid w:val="7A3B4602"/>
    <w:rsid w:val="7A3E58FC"/>
    <w:rsid w:val="7A401675"/>
    <w:rsid w:val="7A421904"/>
    <w:rsid w:val="7A456C8B"/>
    <w:rsid w:val="7A480529"/>
    <w:rsid w:val="7A4B56FD"/>
    <w:rsid w:val="7A52068E"/>
    <w:rsid w:val="7A5769BE"/>
    <w:rsid w:val="7A613399"/>
    <w:rsid w:val="7A633358"/>
    <w:rsid w:val="7A683FC5"/>
    <w:rsid w:val="7A707A80"/>
    <w:rsid w:val="7A7B08FF"/>
    <w:rsid w:val="7A7B6C0D"/>
    <w:rsid w:val="7A7C01D3"/>
    <w:rsid w:val="7A7C6425"/>
    <w:rsid w:val="7A7E219D"/>
    <w:rsid w:val="7A801544"/>
    <w:rsid w:val="7A807CC3"/>
    <w:rsid w:val="7A811C8D"/>
    <w:rsid w:val="7A8265E1"/>
    <w:rsid w:val="7A8377B3"/>
    <w:rsid w:val="7A8A00FA"/>
    <w:rsid w:val="7A8C194F"/>
    <w:rsid w:val="7A8D65CA"/>
    <w:rsid w:val="7A947047"/>
    <w:rsid w:val="7A9577E8"/>
    <w:rsid w:val="7A97500D"/>
    <w:rsid w:val="7A982578"/>
    <w:rsid w:val="7A992B33"/>
    <w:rsid w:val="7A9B0394"/>
    <w:rsid w:val="7A9B68AB"/>
    <w:rsid w:val="7A9C0875"/>
    <w:rsid w:val="7AA03EC1"/>
    <w:rsid w:val="7AA059EB"/>
    <w:rsid w:val="7AA41181"/>
    <w:rsid w:val="7AA8721A"/>
    <w:rsid w:val="7AAC6D0A"/>
    <w:rsid w:val="7AAF346F"/>
    <w:rsid w:val="7AB14F4C"/>
    <w:rsid w:val="7AB4796D"/>
    <w:rsid w:val="7AB7745D"/>
    <w:rsid w:val="7ABB0CFB"/>
    <w:rsid w:val="7ABE07EB"/>
    <w:rsid w:val="7AC06311"/>
    <w:rsid w:val="7AC4424E"/>
    <w:rsid w:val="7AC52BAB"/>
    <w:rsid w:val="7AC70E94"/>
    <w:rsid w:val="7AC9442F"/>
    <w:rsid w:val="7ACC115A"/>
    <w:rsid w:val="7ACC3A7A"/>
    <w:rsid w:val="7AD26045"/>
    <w:rsid w:val="7ADD3367"/>
    <w:rsid w:val="7AE53FCA"/>
    <w:rsid w:val="7AE6159D"/>
    <w:rsid w:val="7AE617A5"/>
    <w:rsid w:val="7AE92C8C"/>
    <w:rsid w:val="7AEC35AA"/>
    <w:rsid w:val="7AF745AA"/>
    <w:rsid w:val="7AFD1314"/>
    <w:rsid w:val="7AFE5467"/>
    <w:rsid w:val="7AFE6788"/>
    <w:rsid w:val="7B022DCE"/>
    <w:rsid w:val="7B036ACB"/>
    <w:rsid w:val="7B045492"/>
    <w:rsid w:val="7B0501C8"/>
    <w:rsid w:val="7B077256"/>
    <w:rsid w:val="7B081DCA"/>
    <w:rsid w:val="7B087CB8"/>
    <w:rsid w:val="7B0A1C83"/>
    <w:rsid w:val="7B0B3EAF"/>
    <w:rsid w:val="7B1228E5"/>
    <w:rsid w:val="7B160627"/>
    <w:rsid w:val="7B1F572E"/>
    <w:rsid w:val="7B2B6CA8"/>
    <w:rsid w:val="7B2D1C22"/>
    <w:rsid w:val="7B334D35"/>
    <w:rsid w:val="7B346EFF"/>
    <w:rsid w:val="7B371B29"/>
    <w:rsid w:val="7B3E426E"/>
    <w:rsid w:val="7B4231CA"/>
    <w:rsid w:val="7B4A02D1"/>
    <w:rsid w:val="7B4C7450"/>
    <w:rsid w:val="7B5353D8"/>
    <w:rsid w:val="7B566C76"/>
    <w:rsid w:val="7B5B0730"/>
    <w:rsid w:val="7B5F1FCE"/>
    <w:rsid w:val="7B641393"/>
    <w:rsid w:val="7B663F67"/>
    <w:rsid w:val="7B670E83"/>
    <w:rsid w:val="7B686D42"/>
    <w:rsid w:val="7B6A58D0"/>
    <w:rsid w:val="7B6E5D6D"/>
    <w:rsid w:val="7B7470FC"/>
    <w:rsid w:val="7B75534E"/>
    <w:rsid w:val="7B786BEC"/>
    <w:rsid w:val="7B803CF3"/>
    <w:rsid w:val="7B833617"/>
    <w:rsid w:val="7B841746"/>
    <w:rsid w:val="7B842FAB"/>
    <w:rsid w:val="7B853EC3"/>
    <w:rsid w:val="7B8732D3"/>
    <w:rsid w:val="7B892774"/>
    <w:rsid w:val="7B8E01BE"/>
    <w:rsid w:val="7B911884"/>
    <w:rsid w:val="7B955588"/>
    <w:rsid w:val="7B9559F0"/>
    <w:rsid w:val="7B970ABE"/>
    <w:rsid w:val="7B9A1258"/>
    <w:rsid w:val="7B9F686F"/>
    <w:rsid w:val="7BA43E85"/>
    <w:rsid w:val="7BA774D1"/>
    <w:rsid w:val="7BA8119A"/>
    <w:rsid w:val="7BA91D61"/>
    <w:rsid w:val="7BAA3368"/>
    <w:rsid w:val="7BB12AF5"/>
    <w:rsid w:val="7BB35E76"/>
    <w:rsid w:val="7BB42EFB"/>
    <w:rsid w:val="7BB51BEE"/>
    <w:rsid w:val="7BB67714"/>
    <w:rsid w:val="7BBD0AA3"/>
    <w:rsid w:val="7BBD6CF5"/>
    <w:rsid w:val="7BBF2932"/>
    <w:rsid w:val="7BBF481B"/>
    <w:rsid w:val="7BC10593"/>
    <w:rsid w:val="7BC4727D"/>
    <w:rsid w:val="7BC6204D"/>
    <w:rsid w:val="7BCE645D"/>
    <w:rsid w:val="7BD04C7A"/>
    <w:rsid w:val="7BD5403F"/>
    <w:rsid w:val="7BDC53CD"/>
    <w:rsid w:val="7BDD493C"/>
    <w:rsid w:val="7BE032BD"/>
    <w:rsid w:val="7BE10C35"/>
    <w:rsid w:val="7BE40725"/>
    <w:rsid w:val="7BEB5610"/>
    <w:rsid w:val="7BF5023D"/>
    <w:rsid w:val="7BFC5A6F"/>
    <w:rsid w:val="7C003D20"/>
    <w:rsid w:val="7C0641F8"/>
    <w:rsid w:val="7C0A3E8D"/>
    <w:rsid w:val="7C0B5CB2"/>
    <w:rsid w:val="7C0E6DE1"/>
    <w:rsid w:val="7C120DEF"/>
    <w:rsid w:val="7C1A4147"/>
    <w:rsid w:val="7C1D35E6"/>
    <w:rsid w:val="7C1F7EDA"/>
    <w:rsid w:val="7C217284"/>
    <w:rsid w:val="7C2654C8"/>
    <w:rsid w:val="7C267E70"/>
    <w:rsid w:val="7C29438A"/>
    <w:rsid w:val="7C2F7BF3"/>
    <w:rsid w:val="7C3074C7"/>
    <w:rsid w:val="7C3116D5"/>
    <w:rsid w:val="7C3614E6"/>
    <w:rsid w:val="7C3D2D46"/>
    <w:rsid w:val="7C4B2553"/>
    <w:rsid w:val="7C4B60AF"/>
    <w:rsid w:val="7C4B704F"/>
    <w:rsid w:val="7C5533D1"/>
    <w:rsid w:val="7C570EF7"/>
    <w:rsid w:val="7C5C33D9"/>
    <w:rsid w:val="7C5C650E"/>
    <w:rsid w:val="7C5E2286"/>
    <w:rsid w:val="7C63164A"/>
    <w:rsid w:val="7C63789C"/>
    <w:rsid w:val="7C6453C2"/>
    <w:rsid w:val="7C6531E9"/>
    <w:rsid w:val="7C6C5AC7"/>
    <w:rsid w:val="7C70767F"/>
    <w:rsid w:val="7C727ADF"/>
    <w:rsid w:val="7C776F55"/>
    <w:rsid w:val="7C7A4BE6"/>
    <w:rsid w:val="7C7A6994"/>
    <w:rsid w:val="7C7E46D6"/>
    <w:rsid w:val="7C7F3FAA"/>
    <w:rsid w:val="7C887303"/>
    <w:rsid w:val="7C8D2C1A"/>
    <w:rsid w:val="7C8D66C7"/>
    <w:rsid w:val="7C8E31B6"/>
    <w:rsid w:val="7C956E7B"/>
    <w:rsid w:val="7C9B5288"/>
    <w:rsid w:val="7C9B74EC"/>
    <w:rsid w:val="7CAA1027"/>
    <w:rsid w:val="7CAB0325"/>
    <w:rsid w:val="7CAD6D69"/>
    <w:rsid w:val="7CAF3341"/>
    <w:rsid w:val="7CBB3234"/>
    <w:rsid w:val="7CC04CEF"/>
    <w:rsid w:val="7CC302F8"/>
    <w:rsid w:val="7CC46AF4"/>
    <w:rsid w:val="7CC61BD9"/>
    <w:rsid w:val="7CC6544B"/>
    <w:rsid w:val="7CC876B0"/>
    <w:rsid w:val="7CD12A58"/>
    <w:rsid w:val="7CD6003C"/>
    <w:rsid w:val="7CDD764F"/>
    <w:rsid w:val="7CE03252"/>
    <w:rsid w:val="7CE04A49"/>
    <w:rsid w:val="7CE10993"/>
    <w:rsid w:val="7CE33047"/>
    <w:rsid w:val="7CE85FF3"/>
    <w:rsid w:val="7CF27212"/>
    <w:rsid w:val="7CF574A1"/>
    <w:rsid w:val="7CF624BE"/>
    <w:rsid w:val="7CF90201"/>
    <w:rsid w:val="7CFE5817"/>
    <w:rsid w:val="7CFE9C9E"/>
    <w:rsid w:val="7D004E87"/>
    <w:rsid w:val="7D0239FF"/>
    <w:rsid w:val="7D026755"/>
    <w:rsid w:val="7D034BDB"/>
    <w:rsid w:val="7D0746CC"/>
    <w:rsid w:val="7D0821F2"/>
    <w:rsid w:val="7D083FA0"/>
    <w:rsid w:val="7D0A2A6C"/>
    <w:rsid w:val="7D0A41BC"/>
    <w:rsid w:val="7D0A5F6A"/>
    <w:rsid w:val="7D0C3A90"/>
    <w:rsid w:val="7D0C7F34"/>
    <w:rsid w:val="7D0D15B6"/>
    <w:rsid w:val="7D0F1A31"/>
    <w:rsid w:val="7D0F3580"/>
    <w:rsid w:val="7D11100A"/>
    <w:rsid w:val="7D121F07"/>
    <w:rsid w:val="7D124CFF"/>
    <w:rsid w:val="7D124E1E"/>
    <w:rsid w:val="7D142945"/>
    <w:rsid w:val="7D1D4579"/>
    <w:rsid w:val="7D2012E9"/>
    <w:rsid w:val="7D203385"/>
    <w:rsid w:val="7D2232B3"/>
    <w:rsid w:val="7D250FF6"/>
    <w:rsid w:val="7D272678"/>
    <w:rsid w:val="7D2A2168"/>
    <w:rsid w:val="7D2D1C58"/>
    <w:rsid w:val="7D2F3C22"/>
    <w:rsid w:val="7D384885"/>
    <w:rsid w:val="7D3E5402"/>
    <w:rsid w:val="7D494CE4"/>
    <w:rsid w:val="7D4A45B8"/>
    <w:rsid w:val="7D4A6037"/>
    <w:rsid w:val="7D4E40A8"/>
    <w:rsid w:val="7D4F6D4E"/>
    <w:rsid w:val="7D513857"/>
    <w:rsid w:val="7D5529DA"/>
    <w:rsid w:val="7D567401"/>
    <w:rsid w:val="7D595A20"/>
    <w:rsid w:val="7D5D078F"/>
    <w:rsid w:val="7D5D42EC"/>
    <w:rsid w:val="7D5E1E12"/>
    <w:rsid w:val="7D5E40CD"/>
    <w:rsid w:val="7D5E506A"/>
    <w:rsid w:val="7D5F15AE"/>
    <w:rsid w:val="7D616EBC"/>
    <w:rsid w:val="7D62074B"/>
    <w:rsid w:val="7D6531A0"/>
    <w:rsid w:val="7D671F0C"/>
    <w:rsid w:val="7D676F18"/>
    <w:rsid w:val="7D690EE2"/>
    <w:rsid w:val="7D6F401F"/>
    <w:rsid w:val="7D7A436A"/>
    <w:rsid w:val="7D7A4E9D"/>
    <w:rsid w:val="7D7F0706"/>
    <w:rsid w:val="7D7F39F1"/>
    <w:rsid w:val="7D80447E"/>
    <w:rsid w:val="7D807FDA"/>
    <w:rsid w:val="7D8436EA"/>
    <w:rsid w:val="7D8A34CA"/>
    <w:rsid w:val="7D8B3525"/>
    <w:rsid w:val="7D935EC7"/>
    <w:rsid w:val="7D937D0D"/>
    <w:rsid w:val="7D957F29"/>
    <w:rsid w:val="7D977F13"/>
    <w:rsid w:val="7D9B3066"/>
    <w:rsid w:val="7D9B4E14"/>
    <w:rsid w:val="7D9C427F"/>
    <w:rsid w:val="7D9D6DDE"/>
    <w:rsid w:val="7DA52C6E"/>
    <w:rsid w:val="7DA53668"/>
    <w:rsid w:val="7DA71A0B"/>
    <w:rsid w:val="7DA95783"/>
    <w:rsid w:val="7DAB14FB"/>
    <w:rsid w:val="7DB0110D"/>
    <w:rsid w:val="7DB42E1D"/>
    <w:rsid w:val="7DB52379"/>
    <w:rsid w:val="7DB83C18"/>
    <w:rsid w:val="7DB939AF"/>
    <w:rsid w:val="7DBB734E"/>
    <w:rsid w:val="7DBD122E"/>
    <w:rsid w:val="7DC4436B"/>
    <w:rsid w:val="7DC720AD"/>
    <w:rsid w:val="7DCA74A7"/>
    <w:rsid w:val="7DCB394B"/>
    <w:rsid w:val="7DCC1471"/>
    <w:rsid w:val="7DCC76C3"/>
    <w:rsid w:val="7DCD56F2"/>
    <w:rsid w:val="7DD00F61"/>
    <w:rsid w:val="7DD02D0F"/>
    <w:rsid w:val="7DD16A88"/>
    <w:rsid w:val="7DDC7906"/>
    <w:rsid w:val="7DE13349"/>
    <w:rsid w:val="7DE14F1D"/>
    <w:rsid w:val="7DE40569"/>
    <w:rsid w:val="7DE467BB"/>
    <w:rsid w:val="7DE70059"/>
    <w:rsid w:val="7DEA3FF1"/>
    <w:rsid w:val="7DEB18F7"/>
    <w:rsid w:val="7DED1B13"/>
    <w:rsid w:val="7DF266D9"/>
    <w:rsid w:val="7DF34C50"/>
    <w:rsid w:val="7DF54524"/>
    <w:rsid w:val="7DF6029C"/>
    <w:rsid w:val="7E0040BC"/>
    <w:rsid w:val="7E0153D2"/>
    <w:rsid w:val="7E033A39"/>
    <w:rsid w:val="7E0429B9"/>
    <w:rsid w:val="7E061524"/>
    <w:rsid w:val="7E074257"/>
    <w:rsid w:val="7E0B3D48"/>
    <w:rsid w:val="7E0E5C7A"/>
    <w:rsid w:val="7E123328"/>
    <w:rsid w:val="7E124DBA"/>
    <w:rsid w:val="7E131CD1"/>
    <w:rsid w:val="7E132A6B"/>
    <w:rsid w:val="7E1846B6"/>
    <w:rsid w:val="7E1A3F8B"/>
    <w:rsid w:val="7E1E56F5"/>
    <w:rsid w:val="7E1E7F1F"/>
    <w:rsid w:val="7E1F5A45"/>
    <w:rsid w:val="7E266DD3"/>
    <w:rsid w:val="7E2A7074"/>
    <w:rsid w:val="7E2C5227"/>
    <w:rsid w:val="7E2D1F10"/>
    <w:rsid w:val="7E2E3EDA"/>
    <w:rsid w:val="7E2F667A"/>
    <w:rsid w:val="7E33504C"/>
    <w:rsid w:val="7E34648B"/>
    <w:rsid w:val="7E3F7E95"/>
    <w:rsid w:val="7E416B6F"/>
    <w:rsid w:val="7E4454AB"/>
    <w:rsid w:val="7E4A3282"/>
    <w:rsid w:val="7E4E00D8"/>
    <w:rsid w:val="7E52347F"/>
    <w:rsid w:val="7E527BC8"/>
    <w:rsid w:val="7E590F57"/>
    <w:rsid w:val="7E6873EC"/>
    <w:rsid w:val="7E6F5BAF"/>
    <w:rsid w:val="7E70004F"/>
    <w:rsid w:val="7E7062A0"/>
    <w:rsid w:val="7E73476D"/>
    <w:rsid w:val="7E751B09"/>
    <w:rsid w:val="7E755665"/>
    <w:rsid w:val="7E75623E"/>
    <w:rsid w:val="7E775881"/>
    <w:rsid w:val="7E77762F"/>
    <w:rsid w:val="7E7B6E1F"/>
    <w:rsid w:val="7E7E276B"/>
    <w:rsid w:val="7E7F0292"/>
    <w:rsid w:val="7E822156"/>
    <w:rsid w:val="7E857F9E"/>
    <w:rsid w:val="7E885398"/>
    <w:rsid w:val="7E8B4DC2"/>
    <w:rsid w:val="7E8E6E13"/>
    <w:rsid w:val="7E971A7F"/>
    <w:rsid w:val="7EA128FE"/>
    <w:rsid w:val="7EA61CC2"/>
    <w:rsid w:val="7EA62CDF"/>
    <w:rsid w:val="7EA67F14"/>
    <w:rsid w:val="7EA83C8C"/>
    <w:rsid w:val="7EA90DDD"/>
    <w:rsid w:val="7EAE2F93"/>
    <w:rsid w:val="7EAE37FE"/>
    <w:rsid w:val="7EAF0B77"/>
    <w:rsid w:val="7EAF6DC9"/>
    <w:rsid w:val="7EB02B41"/>
    <w:rsid w:val="7EB50157"/>
    <w:rsid w:val="7EB51F05"/>
    <w:rsid w:val="7EB643A4"/>
    <w:rsid w:val="7EBA6984"/>
    <w:rsid w:val="7EBC09D3"/>
    <w:rsid w:val="7EBC7738"/>
    <w:rsid w:val="7EC363D0"/>
    <w:rsid w:val="7EC81C39"/>
    <w:rsid w:val="7ED20D09"/>
    <w:rsid w:val="7ED30AD2"/>
    <w:rsid w:val="7ED34089"/>
    <w:rsid w:val="7ED625A7"/>
    <w:rsid w:val="7ED86152"/>
    <w:rsid w:val="7ED92098"/>
    <w:rsid w:val="7EDC3936"/>
    <w:rsid w:val="7EE36E9D"/>
    <w:rsid w:val="7EE47AFE"/>
    <w:rsid w:val="7EE99EC4"/>
    <w:rsid w:val="7EEB4EE1"/>
    <w:rsid w:val="7EED7585"/>
    <w:rsid w:val="7EF271B4"/>
    <w:rsid w:val="7EF42104"/>
    <w:rsid w:val="7EF46ED2"/>
    <w:rsid w:val="7EF5411C"/>
    <w:rsid w:val="7EF649F8"/>
    <w:rsid w:val="7EFC5D86"/>
    <w:rsid w:val="7F001CE7"/>
    <w:rsid w:val="7F0569E9"/>
    <w:rsid w:val="7F061016"/>
    <w:rsid w:val="7F064B9D"/>
    <w:rsid w:val="7F064F94"/>
    <w:rsid w:val="7F086780"/>
    <w:rsid w:val="7F0F3F28"/>
    <w:rsid w:val="7F144E7E"/>
    <w:rsid w:val="7F1629A4"/>
    <w:rsid w:val="7F1A5AAF"/>
    <w:rsid w:val="7F1E3F4E"/>
    <w:rsid w:val="7F272E03"/>
    <w:rsid w:val="7F2D5F40"/>
    <w:rsid w:val="7F2E23E3"/>
    <w:rsid w:val="7F2F474C"/>
    <w:rsid w:val="7F334B42"/>
    <w:rsid w:val="7F3472CE"/>
    <w:rsid w:val="7F3963DF"/>
    <w:rsid w:val="7F3A5A27"/>
    <w:rsid w:val="7F3E639F"/>
    <w:rsid w:val="7F492D2C"/>
    <w:rsid w:val="7F4C09CB"/>
    <w:rsid w:val="7F511C2E"/>
    <w:rsid w:val="7F512BFF"/>
    <w:rsid w:val="7F571355"/>
    <w:rsid w:val="7F587460"/>
    <w:rsid w:val="7F5B2F3F"/>
    <w:rsid w:val="7F651B7D"/>
    <w:rsid w:val="7F6851CA"/>
    <w:rsid w:val="7F6A0F42"/>
    <w:rsid w:val="7F6A2CF0"/>
    <w:rsid w:val="7F6B4C36"/>
    <w:rsid w:val="7F6C46FA"/>
    <w:rsid w:val="7F6C6A68"/>
    <w:rsid w:val="7F6D458E"/>
    <w:rsid w:val="7F737DF6"/>
    <w:rsid w:val="7F765387"/>
    <w:rsid w:val="7F792F33"/>
    <w:rsid w:val="7F7F9A58"/>
    <w:rsid w:val="7F840255"/>
    <w:rsid w:val="7F853FCE"/>
    <w:rsid w:val="7F86183D"/>
    <w:rsid w:val="7F89761A"/>
    <w:rsid w:val="7F8D608D"/>
    <w:rsid w:val="7F913642"/>
    <w:rsid w:val="7F923FCB"/>
    <w:rsid w:val="7F934B69"/>
    <w:rsid w:val="7F9F5B66"/>
    <w:rsid w:val="7FA11016"/>
    <w:rsid w:val="7FA97CBC"/>
    <w:rsid w:val="7FAB7803"/>
    <w:rsid w:val="7FAE52D2"/>
    <w:rsid w:val="7FAF9EBB"/>
    <w:rsid w:val="7FB1091F"/>
    <w:rsid w:val="7FB56661"/>
    <w:rsid w:val="7FBB1BD1"/>
    <w:rsid w:val="7FBD4387"/>
    <w:rsid w:val="7FC06DB4"/>
    <w:rsid w:val="7FC40652"/>
    <w:rsid w:val="7FC70142"/>
    <w:rsid w:val="7FC874FF"/>
    <w:rsid w:val="7FC95C68"/>
    <w:rsid w:val="7FCA378E"/>
    <w:rsid w:val="7FCA435E"/>
    <w:rsid w:val="7FD42F06"/>
    <w:rsid w:val="7FDE25F9"/>
    <w:rsid w:val="7FE01415"/>
    <w:rsid w:val="7FE47E50"/>
    <w:rsid w:val="7FEC1571"/>
    <w:rsid w:val="7FEE1B73"/>
    <w:rsid w:val="7FF058EB"/>
    <w:rsid w:val="7FF8654D"/>
    <w:rsid w:val="7FFD5912"/>
    <w:rsid w:val="7FFF1962"/>
    <w:rsid w:val="875CD16A"/>
    <w:rsid w:val="8D3C7243"/>
    <w:rsid w:val="909E2175"/>
    <w:rsid w:val="91DFE01D"/>
    <w:rsid w:val="977F9083"/>
    <w:rsid w:val="97F3F071"/>
    <w:rsid w:val="A9EB68C2"/>
    <w:rsid w:val="AFB3593C"/>
    <w:rsid w:val="B1AC0215"/>
    <w:rsid w:val="B5AE9AA0"/>
    <w:rsid w:val="BBFF4698"/>
    <w:rsid w:val="BCEF12E1"/>
    <w:rsid w:val="BE1F790A"/>
    <w:rsid w:val="BE7F6757"/>
    <w:rsid w:val="BF5FE780"/>
    <w:rsid w:val="BFE58C20"/>
    <w:rsid w:val="BFEF18AF"/>
    <w:rsid w:val="BFEFE1A3"/>
    <w:rsid w:val="BFF6B036"/>
    <w:rsid w:val="C6C7403D"/>
    <w:rsid w:val="C7E7191D"/>
    <w:rsid w:val="D46F3DF1"/>
    <w:rsid w:val="D4AF6691"/>
    <w:rsid w:val="D5FD9B31"/>
    <w:rsid w:val="DA7EF42D"/>
    <w:rsid w:val="DBBAFB90"/>
    <w:rsid w:val="DDFFA751"/>
    <w:rsid w:val="DDFFAE1F"/>
    <w:rsid w:val="DE913919"/>
    <w:rsid w:val="DFBDB59D"/>
    <w:rsid w:val="E5FF34AF"/>
    <w:rsid w:val="E637320C"/>
    <w:rsid w:val="E93BADAE"/>
    <w:rsid w:val="EDFDB241"/>
    <w:rsid w:val="EFFAF48D"/>
    <w:rsid w:val="F23F98CC"/>
    <w:rsid w:val="F33F96A3"/>
    <w:rsid w:val="F5E2CDBF"/>
    <w:rsid w:val="F7FBF27B"/>
    <w:rsid w:val="F7FF340B"/>
    <w:rsid w:val="FBE76CE7"/>
    <w:rsid w:val="FF27616C"/>
    <w:rsid w:val="FFBFB4B8"/>
    <w:rsid w:val="FFC73A84"/>
    <w:rsid w:val="FFEE630F"/>
    <w:rsid w:val="FFEF2BAE"/>
    <w:rsid w:val="FFF97370"/>
    <w:rsid w:val="FFFFB75E"/>
    <w:rsid w:val="FFFFF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nhideWhenUsed="0" w:uiPriority="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tabs>
        <w:tab w:val="left" w:pos="1080"/>
      </w:tabs>
      <w:spacing w:before="193" w:beforeLines="50" w:after="193" w:afterLines="50" w:line="360" w:lineRule="auto"/>
      <w:outlineLvl w:val="1"/>
    </w:pPr>
    <w:rPr>
      <w:sz w:val="28"/>
    </w:rPr>
  </w:style>
  <w:style w:type="paragraph" w:styleId="4">
    <w:name w:val="heading 3"/>
    <w:basedOn w:val="1"/>
    <w:next w:val="1"/>
    <w:unhideWhenUsed/>
    <w:qFormat/>
    <w:locked/>
    <w:uiPriority w:val="0"/>
    <w:pPr>
      <w:keepNext/>
      <w:keepLines/>
      <w:spacing w:line="360" w:lineRule="auto"/>
      <w:ind w:firstLine="482" w:firstLineChars="200"/>
      <w:outlineLvl w:val="2"/>
    </w:pPr>
    <w:rPr>
      <w:b/>
    </w:rPr>
  </w:style>
  <w:style w:type="paragraph" w:styleId="5">
    <w:name w:val="heading 4"/>
    <w:basedOn w:val="1"/>
    <w:next w:val="1"/>
    <w:unhideWhenUsed/>
    <w:qFormat/>
    <w:locked/>
    <w:uiPriority w:val="0"/>
    <w:pPr>
      <w:keepNext/>
      <w:keepLines/>
      <w:spacing w:line="360" w:lineRule="auto"/>
      <w:outlineLvl w:val="3"/>
    </w:pPr>
    <w:rPr>
      <w:rFonts w:ascii="Cambria" w:hAnsi="Cambria"/>
      <w:b/>
      <w:bCs/>
      <w:sz w:val="24"/>
      <w:szCs w:val="28"/>
      <w:lang w:eastAsia="en-U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unhideWhenUsed/>
    <w:qFormat/>
    <w:locked/>
    <w:uiPriority w:val="0"/>
    <w:pPr>
      <w:ind w:firstLine="420"/>
    </w:pPr>
    <w:rPr>
      <w:rFonts w:ascii="Calibri" w:hAnsi="Calibri"/>
      <w:kern w:val="0"/>
      <w:sz w:val="24"/>
      <w:szCs w:val="20"/>
    </w:rPr>
  </w:style>
  <w:style w:type="paragraph" w:styleId="7">
    <w:name w:val="caption"/>
    <w:basedOn w:val="1"/>
    <w:next w:val="1"/>
    <w:unhideWhenUsed/>
    <w:qFormat/>
    <w:locked/>
    <w:uiPriority w:val="0"/>
    <w:pPr>
      <w:spacing w:line="360" w:lineRule="auto"/>
      <w:jc w:val="center"/>
    </w:pPr>
    <w:rPr>
      <w:b/>
      <w:szCs w:val="20"/>
    </w:rPr>
  </w:style>
  <w:style w:type="paragraph" w:styleId="8">
    <w:name w:val="annotation text"/>
    <w:basedOn w:val="1"/>
    <w:link w:val="44"/>
    <w:semiHidden/>
    <w:qFormat/>
    <w:uiPriority w:val="0"/>
    <w:pPr>
      <w:jc w:val="left"/>
    </w:pPr>
    <w:rPr>
      <w:kern w:val="0"/>
      <w:sz w:val="24"/>
      <w:szCs w:val="20"/>
    </w:rPr>
  </w:style>
  <w:style w:type="paragraph" w:styleId="9">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10">
    <w:name w:val="Body Text Indent"/>
    <w:basedOn w:val="1"/>
    <w:next w:val="11"/>
    <w:link w:val="46"/>
    <w:qFormat/>
    <w:uiPriority w:val="0"/>
    <w:pPr>
      <w:spacing w:after="120"/>
      <w:ind w:left="420" w:leftChars="200"/>
    </w:pPr>
    <w:rPr>
      <w:kern w:val="0"/>
      <w:sz w:val="24"/>
      <w:szCs w:val="20"/>
    </w:rPr>
  </w:style>
  <w:style w:type="paragraph" w:styleId="11">
    <w:name w:val="header"/>
    <w:basedOn w:val="1"/>
    <w:next w:val="12"/>
    <w:link w:val="51"/>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2">
    <w:name w:val="样式5"/>
    <w:basedOn w:val="13"/>
    <w:qFormat/>
    <w:uiPriority w:val="0"/>
    <w:pPr>
      <w:spacing w:before="120" w:after="120" w:line="400" w:lineRule="exact"/>
      <w:ind w:firstLine="480"/>
    </w:pPr>
    <w:rPr>
      <w:iCs/>
      <w:szCs w:val="20"/>
    </w:rPr>
  </w:style>
  <w:style w:type="paragraph" w:customStyle="1" w:styleId="13">
    <w:name w:val="正文1"/>
    <w:basedOn w:val="1"/>
    <w:qFormat/>
    <w:uiPriority w:val="0"/>
  </w:style>
  <w:style w:type="paragraph" w:styleId="14">
    <w:name w:val="Block Text"/>
    <w:basedOn w:val="1"/>
    <w:qFormat/>
    <w:locked/>
    <w:uiPriority w:val="0"/>
    <w:pPr>
      <w:spacing w:after="120"/>
      <w:ind w:left="1440" w:leftChars="700" w:right="1440" w:rightChars="700"/>
    </w:pPr>
    <w:rPr>
      <w:rFonts w:ascii="Calibri" w:hAnsi="Calibri"/>
      <w:szCs w:val="20"/>
    </w:rPr>
  </w:style>
  <w:style w:type="paragraph" w:styleId="15">
    <w:name w:val="Plain Text"/>
    <w:basedOn w:val="1"/>
    <w:qFormat/>
    <w:locked/>
    <w:uiPriority w:val="0"/>
    <w:pPr>
      <w:snapToGrid w:val="0"/>
      <w:spacing w:line="520" w:lineRule="atLeast"/>
      <w:ind w:firstLine="420"/>
    </w:pPr>
    <w:rPr>
      <w:rFonts w:ascii="宋体" w:hAnsi="Courier New"/>
      <w:sz w:val="28"/>
    </w:rPr>
  </w:style>
  <w:style w:type="paragraph" w:styleId="16">
    <w:name w:val="List Bullet 5"/>
    <w:basedOn w:val="1"/>
    <w:qFormat/>
    <w:locked/>
    <w:uiPriority w:val="0"/>
    <w:pPr>
      <w:numPr>
        <w:ilvl w:val="0"/>
        <w:numId w:val="1"/>
      </w:numPr>
    </w:pPr>
  </w:style>
  <w:style w:type="paragraph" w:styleId="17">
    <w:name w:val="Date"/>
    <w:basedOn w:val="1"/>
    <w:next w:val="1"/>
    <w:link w:val="48"/>
    <w:qFormat/>
    <w:uiPriority w:val="0"/>
    <w:pPr>
      <w:ind w:left="100" w:leftChars="2500"/>
    </w:pPr>
    <w:rPr>
      <w:kern w:val="0"/>
      <w:sz w:val="24"/>
      <w:szCs w:val="20"/>
    </w:rPr>
  </w:style>
  <w:style w:type="paragraph" w:styleId="18">
    <w:name w:val="Body Text Indent 2"/>
    <w:basedOn w:val="1"/>
    <w:qFormat/>
    <w:locked/>
    <w:uiPriority w:val="0"/>
    <w:pPr>
      <w:spacing w:after="120" w:line="480" w:lineRule="auto"/>
      <w:ind w:left="420" w:leftChars="200"/>
    </w:pPr>
  </w:style>
  <w:style w:type="paragraph" w:styleId="19">
    <w:name w:val="Balloon Text"/>
    <w:basedOn w:val="1"/>
    <w:link w:val="49"/>
    <w:semiHidden/>
    <w:qFormat/>
    <w:uiPriority w:val="0"/>
    <w:rPr>
      <w:kern w:val="0"/>
      <w:sz w:val="18"/>
      <w:szCs w:val="20"/>
    </w:rPr>
  </w:style>
  <w:style w:type="paragraph" w:styleId="20">
    <w:name w:val="footer"/>
    <w:basedOn w:val="1"/>
    <w:link w:val="50"/>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39"/>
    <w:pPr>
      <w:tabs>
        <w:tab w:val="right" w:leader="dot" w:pos="8494"/>
      </w:tabs>
      <w:spacing w:line="360" w:lineRule="auto"/>
      <w:jc w:val="center"/>
    </w:pPr>
    <w:rPr>
      <w:sz w:val="24"/>
    </w:rPr>
  </w:style>
  <w:style w:type="paragraph" w:styleId="22">
    <w:name w:val="List"/>
    <w:basedOn w:val="1"/>
    <w:unhideWhenUsed/>
    <w:qFormat/>
    <w:locked/>
    <w:uiPriority w:val="99"/>
    <w:pPr>
      <w:spacing w:before="20" w:after="20"/>
      <w:jc w:val="center"/>
    </w:pPr>
    <w:rPr>
      <w:sz w:val="24"/>
      <w:szCs w:val="20"/>
    </w:rPr>
  </w:style>
  <w:style w:type="paragraph" w:styleId="23">
    <w:name w:val="Body Text Indent 3"/>
    <w:basedOn w:val="1"/>
    <w:qFormat/>
    <w:locked/>
    <w:uiPriority w:val="0"/>
    <w:pPr>
      <w:spacing w:after="120"/>
      <w:ind w:left="420"/>
    </w:pPr>
    <w:rPr>
      <w:sz w:val="16"/>
    </w:rPr>
  </w:style>
  <w:style w:type="paragraph" w:styleId="24">
    <w:name w:val="table of figures"/>
    <w:basedOn w:val="1"/>
    <w:next w:val="1"/>
    <w:semiHidden/>
    <w:qFormat/>
    <w:locked/>
    <w:uiPriority w:val="0"/>
    <w:pPr>
      <w:spacing w:before="50" w:beforeLines="50" w:after="50" w:afterLines="50"/>
      <w:jc w:val="center"/>
    </w:pPr>
    <w:rPr>
      <w:b/>
      <w:sz w:val="28"/>
    </w:rPr>
  </w:style>
  <w:style w:type="paragraph" w:styleId="25">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6">
    <w:name w:val="Normal (Web)"/>
    <w:basedOn w:val="1"/>
    <w:link w:val="52"/>
    <w:qFormat/>
    <w:uiPriority w:val="0"/>
    <w:pPr>
      <w:widowControl/>
      <w:spacing w:before="100" w:beforeAutospacing="1" w:after="100" w:afterAutospacing="1"/>
      <w:jc w:val="left"/>
    </w:pPr>
    <w:rPr>
      <w:rFonts w:ascii="宋体" w:hAnsi="宋体"/>
      <w:kern w:val="0"/>
      <w:sz w:val="24"/>
      <w:szCs w:val="20"/>
    </w:rPr>
  </w:style>
  <w:style w:type="paragraph" w:styleId="27">
    <w:name w:val="Title"/>
    <w:basedOn w:val="1"/>
    <w:next w:val="1"/>
    <w:qFormat/>
    <w:locked/>
    <w:uiPriority w:val="0"/>
    <w:pPr>
      <w:outlineLvl w:val="0"/>
    </w:pPr>
    <w:rPr>
      <w:rFonts w:ascii="Cambria" w:hAnsi="Cambria"/>
      <w:b/>
      <w:bCs/>
      <w:sz w:val="32"/>
      <w:szCs w:val="32"/>
    </w:rPr>
  </w:style>
  <w:style w:type="paragraph" w:styleId="28">
    <w:name w:val="annotation subject"/>
    <w:basedOn w:val="8"/>
    <w:next w:val="8"/>
    <w:link w:val="53"/>
    <w:semiHidden/>
    <w:qFormat/>
    <w:uiPriority w:val="0"/>
    <w:rPr>
      <w:b/>
    </w:rPr>
  </w:style>
  <w:style w:type="paragraph" w:styleId="29">
    <w:name w:val="Body Text First Indent"/>
    <w:basedOn w:val="1"/>
    <w:next w:val="1"/>
    <w:link w:val="47"/>
    <w:unhideWhenUsed/>
    <w:qFormat/>
    <w:locked/>
    <w:uiPriority w:val="99"/>
    <w:pPr>
      <w:ind w:firstLine="100" w:firstLineChars="100"/>
    </w:pPr>
  </w:style>
  <w:style w:type="paragraph" w:styleId="30">
    <w:name w:val="Body Text First Indent 2"/>
    <w:basedOn w:val="10"/>
    <w:next w:val="1"/>
    <w:qFormat/>
    <w:locked/>
    <w:uiPriority w:val="0"/>
    <w:pPr>
      <w:ind w:firstLine="210"/>
    </w:pPr>
    <w:rPr>
      <w:rFonts w:eastAsia="楷体_GB2312"/>
    </w:r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locked/>
    <w:uiPriority w:val="0"/>
    <w:rPr>
      <w:b/>
    </w:rPr>
  </w:style>
  <w:style w:type="character" w:styleId="35">
    <w:name w:val="page number"/>
    <w:basedOn w:val="33"/>
    <w:qFormat/>
    <w:locked/>
    <w:uiPriority w:val="0"/>
  </w:style>
  <w:style w:type="character" w:styleId="36">
    <w:name w:val="Emphasis"/>
    <w:basedOn w:val="33"/>
    <w:qFormat/>
    <w:locked/>
    <w:uiPriority w:val="0"/>
    <w:rPr>
      <w:i/>
    </w:rPr>
  </w:style>
  <w:style w:type="character" w:styleId="37">
    <w:name w:val="annotation reference"/>
    <w:semiHidden/>
    <w:qFormat/>
    <w:uiPriority w:val="0"/>
    <w:rPr>
      <w:sz w:val="21"/>
    </w:rPr>
  </w:style>
  <w:style w:type="paragraph" w:customStyle="1" w:styleId="38">
    <w:name w:val="正文文本 21"/>
    <w:autoRedefine/>
    <w:qFormat/>
    <w:uiPriority w:val="0"/>
    <w:pPr>
      <w:numPr>
        <w:ilvl w:val="0"/>
        <w:numId w:val="2"/>
      </w:numPr>
      <w:kinsoku w:val="0"/>
      <w:autoSpaceDE w:val="0"/>
      <w:autoSpaceDN w:val="0"/>
      <w:adjustRightInd w:val="0"/>
      <w:snapToGrid w:val="0"/>
      <w:spacing w:beforeLines="50" w:line="336" w:lineRule="auto"/>
      <w:ind w:left="0" w:firstLine="0"/>
      <w:textAlignment w:val="baseline"/>
    </w:pPr>
    <w:rPr>
      <w:rFonts w:ascii="Times New Roman" w:hAnsi="Times New Roman" w:eastAsia="黑体" w:cs="Times New Roman"/>
      <w:snapToGrid w:val="0"/>
      <w:color w:val="000000"/>
      <w:sz w:val="21"/>
      <w:lang w:val="en-US" w:eastAsia="zh-CN" w:bidi="ar-SA"/>
    </w:rPr>
  </w:style>
  <w:style w:type="paragraph" w:customStyle="1" w:styleId="39">
    <w:name w:val="样式 正文首行缩进 + 首行缩进:  2 字符1"/>
    <w:basedOn w:val="29"/>
    <w:next w:val="21"/>
    <w:qFormat/>
    <w:uiPriority w:val="0"/>
    <w:pPr>
      <w:spacing w:line="360" w:lineRule="auto"/>
      <w:ind w:firstLine="480"/>
    </w:pPr>
  </w:style>
  <w:style w:type="paragraph" w:customStyle="1" w:styleId="40">
    <w:name w:val="Default"/>
    <w:basedOn w:val="41"/>
    <w:next w:val="1"/>
    <w:unhideWhenUsed/>
    <w:qFormat/>
    <w:uiPriority w:val="99"/>
    <w:pPr>
      <w:autoSpaceDE w:val="0"/>
      <w:autoSpaceDN w:val="0"/>
      <w:adjustRightInd w:val="0"/>
    </w:pPr>
    <w:rPr>
      <w:rFonts w:ascii="仿宋" w:hAnsi="仿宋" w:eastAsia="仿宋"/>
      <w:color w:val="000000"/>
      <w:sz w:val="24"/>
    </w:rPr>
  </w:style>
  <w:style w:type="paragraph" w:customStyle="1" w:styleId="41">
    <w:name w:val="纯文本1"/>
    <w:basedOn w:val="1"/>
    <w:qFormat/>
    <w:uiPriority w:val="0"/>
    <w:rPr>
      <w:rFonts w:ascii="宋体" w:hAnsi="Courier New"/>
      <w:kern w:val="0"/>
      <w:sz w:val="20"/>
      <w:szCs w:val="20"/>
    </w:rPr>
  </w:style>
  <w:style w:type="paragraph" w:customStyle="1" w:styleId="4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43">
    <w:name w:val="样式3"/>
    <w:basedOn w:val="22"/>
    <w:qFormat/>
    <w:uiPriority w:val="0"/>
    <w:pPr>
      <w:keepNext/>
      <w:spacing w:before="60" w:after="60" w:line="600" w:lineRule="exact"/>
      <w:ind w:right="-193" w:firstLine="624"/>
      <w:textAlignment w:val="baseline"/>
    </w:pPr>
    <w:rPr>
      <w:spacing w:val="10"/>
      <w:kern w:val="0"/>
      <w:sz w:val="28"/>
    </w:rPr>
  </w:style>
  <w:style w:type="character" w:customStyle="1" w:styleId="44">
    <w:name w:val="批注文字 字符"/>
    <w:link w:val="8"/>
    <w:qFormat/>
    <w:locked/>
    <w:uiPriority w:val="0"/>
    <w:rPr>
      <w:rFonts w:ascii="Times New Roman" w:hAnsi="Times New Roman" w:eastAsia="宋体"/>
      <w:sz w:val="24"/>
    </w:rPr>
  </w:style>
  <w:style w:type="character" w:customStyle="1" w:styleId="45">
    <w:name w:val="正文文本 字符"/>
    <w:link w:val="9"/>
    <w:qFormat/>
    <w:locked/>
    <w:uiPriority w:val="0"/>
    <w:rPr>
      <w:sz w:val="18"/>
    </w:rPr>
  </w:style>
  <w:style w:type="character" w:customStyle="1" w:styleId="46">
    <w:name w:val="正文文本缩进 字符"/>
    <w:link w:val="10"/>
    <w:semiHidden/>
    <w:qFormat/>
    <w:locked/>
    <w:uiPriority w:val="0"/>
    <w:rPr>
      <w:rFonts w:ascii="Times New Roman" w:hAnsi="Times New Roman" w:eastAsia="宋体"/>
      <w:sz w:val="24"/>
    </w:rPr>
  </w:style>
  <w:style w:type="character" w:customStyle="1" w:styleId="47">
    <w:name w:val="正文文本首行缩进 字符"/>
    <w:link w:val="29"/>
    <w:qFormat/>
    <w:uiPriority w:val="99"/>
  </w:style>
  <w:style w:type="character" w:customStyle="1" w:styleId="48">
    <w:name w:val="日期 字符1"/>
    <w:link w:val="17"/>
    <w:qFormat/>
    <w:locked/>
    <w:uiPriority w:val="0"/>
    <w:rPr>
      <w:rFonts w:ascii="Times New Roman" w:hAnsi="Times New Roman" w:eastAsia="宋体"/>
      <w:sz w:val="24"/>
    </w:rPr>
  </w:style>
  <w:style w:type="character" w:customStyle="1" w:styleId="49">
    <w:name w:val="批注框文本 字符"/>
    <w:link w:val="19"/>
    <w:semiHidden/>
    <w:qFormat/>
    <w:locked/>
    <w:uiPriority w:val="0"/>
    <w:rPr>
      <w:rFonts w:ascii="Times New Roman" w:hAnsi="Times New Roman" w:eastAsia="宋体"/>
      <w:sz w:val="18"/>
    </w:rPr>
  </w:style>
  <w:style w:type="character" w:customStyle="1" w:styleId="50">
    <w:name w:val="页脚 字符1"/>
    <w:link w:val="20"/>
    <w:qFormat/>
    <w:locked/>
    <w:uiPriority w:val="99"/>
    <w:rPr>
      <w:sz w:val="18"/>
    </w:rPr>
  </w:style>
  <w:style w:type="character" w:customStyle="1" w:styleId="51">
    <w:name w:val="页眉 字符"/>
    <w:link w:val="11"/>
    <w:qFormat/>
    <w:locked/>
    <w:uiPriority w:val="0"/>
    <w:rPr>
      <w:sz w:val="18"/>
    </w:rPr>
  </w:style>
  <w:style w:type="character" w:customStyle="1" w:styleId="52">
    <w:name w:val="普通(网站) 字符"/>
    <w:link w:val="26"/>
    <w:qFormat/>
    <w:locked/>
    <w:uiPriority w:val="0"/>
    <w:rPr>
      <w:rFonts w:ascii="宋体" w:hAnsi="宋体" w:eastAsia="宋体"/>
      <w:sz w:val="24"/>
    </w:rPr>
  </w:style>
  <w:style w:type="character" w:customStyle="1" w:styleId="53">
    <w:name w:val="批注主题 字符"/>
    <w:link w:val="28"/>
    <w:semiHidden/>
    <w:qFormat/>
    <w:locked/>
    <w:uiPriority w:val="0"/>
    <w:rPr>
      <w:rFonts w:ascii="Times New Roman" w:hAnsi="Times New Roman" w:eastAsia="宋体"/>
      <w:b/>
      <w:kern w:val="2"/>
      <w:sz w:val="24"/>
    </w:rPr>
  </w:style>
  <w:style w:type="paragraph" w:customStyle="1" w:styleId="54">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页脚 字符"/>
    <w:basedOn w:val="33"/>
    <w:qFormat/>
    <w:uiPriority w:val="99"/>
  </w:style>
  <w:style w:type="character" w:customStyle="1" w:styleId="57">
    <w:name w:val="日期 字符"/>
    <w:semiHidden/>
    <w:qFormat/>
    <w:uiPriority w:val="0"/>
    <w:rPr>
      <w:rFonts w:ascii="Times New Roman" w:hAnsi="Times New Roman" w:eastAsia="宋体"/>
      <w:sz w:val="24"/>
    </w:rPr>
  </w:style>
  <w:style w:type="character" w:customStyle="1" w:styleId="58">
    <w:name w:val="unnamed11"/>
    <w:qFormat/>
    <w:uiPriority w:val="0"/>
    <w:rPr>
      <w:sz w:val="21"/>
    </w:rPr>
  </w:style>
  <w:style w:type="character" w:customStyle="1" w:styleId="59">
    <w:name w:val="表格 Char"/>
    <w:link w:val="60"/>
    <w:qFormat/>
    <w:locked/>
    <w:uiPriority w:val="0"/>
    <w:rPr>
      <w:rFonts w:ascii="宋体"/>
      <w:sz w:val="21"/>
    </w:rPr>
  </w:style>
  <w:style w:type="paragraph" w:customStyle="1" w:styleId="60">
    <w:name w:val="表格"/>
    <w:basedOn w:val="1"/>
    <w:link w:val="59"/>
    <w:qFormat/>
    <w:uiPriority w:val="0"/>
    <w:pPr>
      <w:adjustRightInd w:val="0"/>
      <w:snapToGrid w:val="0"/>
      <w:spacing w:beforeLines="10" w:afterLines="10" w:line="259" w:lineRule="auto"/>
      <w:jc w:val="center"/>
    </w:pPr>
    <w:rPr>
      <w:rFonts w:ascii="宋体"/>
      <w:kern w:val="0"/>
      <w:szCs w:val="20"/>
    </w:rPr>
  </w:style>
  <w:style w:type="character" w:customStyle="1" w:styleId="61">
    <w:name w:val="批注文字 字符1"/>
    <w:semiHidden/>
    <w:qFormat/>
    <w:uiPriority w:val="0"/>
    <w:rPr>
      <w:rFonts w:ascii="Times New Roman" w:hAnsi="Times New Roman" w:eastAsia="宋体"/>
      <w:sz w:val="24"/>
    </w:rPr>
  </w:style>
  <w:style w:type="paragraph" w:customStyle="1" w:styleId="62">
    <w:name w:val="无 间 隔"/>
    <w:basedOn w:val="1"/>
    <w:qFormat/>
    <w:uiPriority w:val="0"/>
    <w:pPr>
      <w:autoSpaceDE w:val="0"/>
      <w:autoSpaceDN w:val="0"/>
      <w:adjustRightInd w:val="0"/>
      <w:jc w:val="center"/>
    </w:pPr>
    <w:rPr>
      <w:bCs/>
      <w:color w:val="000000"/>
      <w:kern w:val="0"/>
      <w:szCs w:val="21"/>
    </w:rPr>
  </w:style>
  <w:style w:type="paragraph" w:customStyle="1" w:styleId="63">
    <w:name w:val="无间隔表格内"/>
    <w:basedOn w:val="64"/>
    <w:qFormat/>
    <w:uiPriority w:val="0"/>
    <w:rPr>
      <w:b w:val="0"/>
    </w:rPr>
  </w:style>
  <w:style w:type="paragraph" w:customStyle="1" w:styleId="64">
    <w:name w:val="表   头"/>
    <w:basedOn w:val="1"/>
    <w:qFormat/>
    <w:uiPriority w:val="0"/>
    <w:pPr>
      <w:snapToGrid w:val="0"/>
      <w:jc w:val="center"/>
    </w:pPr>
    <w:rPr>
      <w:b/>
    </w:rPr>
  </w:style>
  <w:style w:type="paragraph" w:customStyle="1" w:styleId="65">
    <w:name w:val="cucd-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66">
    <w:name w:val="无间隔1"/>
    <w:basedOn w:val="67"/>
    <w:qFormat/>
    <w:uiPriority w:val="0"/>
    <w:rPr>
      <w:szCs w:val="24"/>
    </w:rPr>
  </w:style>
  <w:style w:type="paragraph" w:styleId="67">
    <w:name w:val="No Spacing"/>
    <w:basedOn w:val="68"/>
    <w:qFormat/>
    <w:uiPriority w:val="1"/>
    <w:pPr>
      <w:snapToGrid w:val="0"/>
    </w:pPr>
    <w:rPr>
      <w:rFonts w:ascii="Times New Roman" w:hAnsi="Times New Roman"/>
      <w:sz w:val="21"/>
      <w:szCs w:val="22"/>
    </w:rPr>
  </w:style>
  <w:style w:type="paragraph" w:customStyle="1" w:styleId="68">
    <w:name w:val="表格修改"/>
    <w:basedOn w:val="1"/>
    <w:qFormat/>
    <w:uiPriority w:val="0"/>
    <w:pPr>
      <w:spacing w:before="40" w:after="40"/>
      <w:jc w:val="center"/>
    </w:pPr>
    <w:rPr>
      <w:rFonts w:ascii="Calibri" w:hAnsi="宋体"/>
      <w:sz w:val="20"/>
    </w:rPr>
  </w:style>
  <w:style w:type="paragraph" w:customStyle="1" w:styleId="69">
    <w:name w:val="样式 样式 首行缩进:  1 字符 + (符号) 宋体 四号"/>
    <w:basedOn w:val="1"/>
    <w:qFormat/>
    <w:uiPriority w:val="0"/>
    <w:pPr>
      <w:adjustRightInd w:val="0"/>
      <w:snapToGrid w:val="0"/>
      <w:spacing w:line="360" w:lineRule="auto"/>
      <w:ind w:firstLine="200" w:firstLineChars="200"/>
    </w:pPr>
    <w:rPr>
      <w:rFonts w:ascii="宋体" w:cs="宋体"/>
      <w:snapToGrid w:val="0"/>
      <w:kern w:val="0"/>
      <w:sz w:val="24"/>
    </w:rPr>
  </w:style>
  <w:style w:type="paragraph" w:customStyle="1" w:styleId="70">
    <w:name w:val="环评表中文字"/>
    <w:basedOn w:val="1"/>
    <w:qFormat/>
    <w:uiPriority w:val="0"/>
    <w:pPr>
      <w:jc w:val="center"/>
    </w:pPr>
    <w:rPr>
      <w:sz w:val="24"/>
      <w:szCs w:val="22"/>
    </w:rPr>
  </w:style>
  <w:style w:type="paragraph" w:customStyle="1" w:styleId="71">
    <w:name w:val="无间隔11"/>
    <w:basedOn w:val="67"/>
    <w:next w:val="62"/>
    <w:qFormat/>
    <w:uiPriority w:val="0"/>
    <w:pPr>
      <w:adjustRightInd w:val="0"/>
    </w:pPr>
    <w:rPr>
      <w:kern w:val="0"/>
      <w:szCs w:val="21"/>
    </w:rPr>
  </w:style>
  <w:style w:type="paragraph" w:customStyle="1" w:styleId="7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3">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4">
    <w:name w:val="Table Paragraph"/>
    <w:basedOn w:val="1"/>
    <w:qFormat/>
    <w:uiPriority w:val="1"/>
    <w:rPr>
      <w:rFonts w:ascii="宋体" w:hAnsi="宋体" w:cs="宋体"/>
    </w:rPr>
  </w:style>
  <w:style w:type="paragraph" w:customStyle="1" w:styleId="75">
    <w:name w:val="列出段落2"/>
    <w:basedOn w:val="1"/>
    <w:qFormat/>
    <w:uiPriority w:val="99"/>
    <w:pPr>
      <w:ind w:firstLine="420" w:firstLineChars="200"/>
    </w:pPr>
    <w:rPr>
      <w:rFonts w:ascii="Calibri" w:hAnsi="Calibri"/>
      <w:szCs w:val="22"/>
    </w:rPr>
  </w:style>
  <w:style w:type="paragraph" w:customStyle="1" w:styleId="76">
    <w:name w:val="表格标题"/>
    <w:basedOn w:val="29"/>
    <w:next w:val="1"/>
    <w:qFormat/>
    <w:uiPriority w:val="0"/>
    <w:pPr>
      <w:adjustRightInd w:val="0"/>
      <w:spacing w:line="360" w:lineRule="auto"/>
      <w:ind w:firstLine="0" w:firstLineChars="0"/>
      <w:jc w:val="center"/>
    </w:pPr>
    <w:rPr>
      <w:b/>
      <w:sz w:val="21"/>
      <w:szCs w:val="28"/>
    </w:rPr>
  </w:style>
  <w:style w:type="paragraph" w:customStyle="1" w:styleId="77">
    <w:name w:val="Char Char Char Char Char Char Char Char Char Char Char"/>
    <w:qFormat/>
    <w:uiPriority w:val="0"/>
    <w:pPr>
      <w:widowControl w:val="0"/>
      <w:adjustRightInd w:val="0"/>
      <w:snapToGrid w:val="0"/>
      <w:spacing w:before="50" w:beforeLines="50"/>
      <w:jc w:val="center"/>
    </w:pPr>
    <w:rPr>
      <w:rFonts w:ascii="Calibri" w:hAnsi="Calibri" w:eastAsia="黑体" w:cs="Times New Roman"/>
      <w:kern w:val="2"/>
      <w:sz w:val="24"/>
      <w:szCs w:val="24"/>
      <w:lang w:val="en-US" w:eastAsia="zh-CN" w:bidi="ar-SA"/>
    </w:rPr>
  </w:style>
  <w:style w:type="paragraph" w:customStyle="1" w:styleId="78">
    <w:name w:val="正文(首行缩进)"/>
    <w:basedOn w:val="1"/>
    <w:semiHidden/>
    <w:qFormat/>
    <w:uiPriority w:val="0"/>
    <w:pPr>
      <w:spacing w:line="360" w:lineRule="auto"/>
      <w:ind w:firstLine="540" w:firstLineChars="225"/>
    </w:pPr>
    <w:rPr>
      <w:snapToGrid w:val="0"/>
      <w:color w:val="000000"/>
      <w:kern w:val="0"/>
      <w:sz w:val="24"/>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paragraph" w:customStyle="1" w:styleId="81">
    <w:name w:val="正文-ls"/>
    <w:basedOn w:val="1"/>
    <w:qFormat/>
    <w:uiPriority w:val="99"/>
    <w:pPr>
      <w:spacing w:line="360" w:lineRule="auto"/>
      <w:ind w:firstLine="200" w:firstLineChars="200"/>
    </w:pPr>
    <w:rPr>
      <w:rFonts w:hAnsi="宋体" w:cs="宋体"/>
      <w:sz w:val="24"/>
      <w:szCs w:val="20"/>
    </w:rPr>
  </w:style>
  <w:style w:type="paragraph" w:customStyle="1" w:styleId="82">
    <w:name w:val="表格文字"/>
    <w:basedOn w:val="83"/>
    <w:next w:val="1"/>
    <w:qFormat/>
    <w:uiPriority w:val="0"/>
    <w:pPr>
      <w:spacing w:line="240" w:lineRule="auto"/>
      <w:jc w:val="center"/>
    </w:pPr>
  </w:style>
  <w:style w:type="paragraph" w:customStyle="1" w:styleId="83">
    <w:name w:val="表格编号"/>
    <w:basedOn w:val="1"/>
    <w:next w:val="82"/>
    <w:qFormat/>
    <w:uiPriority w:val="0"/>
    <w:pPr>
      <w:snapToGrid w:val="0"/>
      <w:spacing w:line="20" w:lineRule="atLeast"/>
    </w:pPr>
  </w:style>
  <w:style w:type="paragraph" w:customStyle="1" w:styleId="84">
    <w:name w:val="表"/>
    <w:basedOn w:val="27"/>
    <w:qFormat/>
    <w:uiPriority w:val="0"/>
    <w:pPr>
      <w:snapToGrid w:val="0"/>
      <w:jc w:val="center"/>
    </w:pPr>
    <w:rPr>
      <w:spacing w:val="2"/>
    </w:rPr>
  </w:style>
  <w:style w:type="paragraph" w:customStyle="1" w:styleId="85">
    <w:name w:val="0正文"/>
    <w:basedOn w:val="10"/>
    <w:qFormat/>
    <w:uiPriority w:val="0"/>
    <w:pPr>
      <w:spacing w:line="300" w:lineRule="auto"/>
    </w:pPr>
    <w:rPr>
      <w:rFonts w:cs="宋体"/>
    </w:rPr>
  </w:style>
  <w:style w:type="paragraph" w:customStyle="1" w:styleId="86">
    <w:name w:val="列表段落1"/>
    <w:next w:val="1"/>
    <w:qFormat/>
    <w:uiPriority w:val="99"/>
    <w:pPr>
      <w:wordWrap w:val="0"/>
      <w:ind w:left="850"/>
      <w:jc w:val="both"/>
    </w:pPr>
    <w:rPr>
      <w:rFonts w:ascii="Calibri" w:hAnsi="Calibri" w:eastAsia="宋体" w:cs="Calibri"/>
      <w:sz w:val="21"/>
      <w:szCs w:val="21"/>
      <w:lang w:val="en-US" w:eastAsia="zh-CN" w:bidi="ar-SA"/>
    </w:rPr>
  </w:style>
  <w:style w:type="paragraph" w:customStyle="1" w:styleId="87">
    <w:name w:val="表题"/>
    <w:basedOn w:val="1"/>
    <w:qFormat/>
    <w:uiPriority w:val="0"/>
    <w:pPr>
      <w:spacing w:line="360" w:lineRule="auto"/>
      <w:jc w:val="center"/>
    </w:pPr>
    <w:rPr>
      <w:b/>
      <w:kern w:val="0"/>
      <w:szCs w:val="21"/>
    </w:rPr>
  </w:style>
  <w:style w:type="paragraph" w:styleId="88">
    <w:name w:val="List Paragraph"/>
    <w:basedOn w:val="1"/>
    <w:qFormat/>
    <w:uiPriority w:val="34"/>
    <w:pPr>
      <w:jc w:val="center"/>
    </w:pPr>
  </w:style>
  <w:style w:type="character" w:customStyle="1" w:styleId="89">
    <w:name w:val="表内容 Char"/>
    <w:qFormat/>
    <w:uiPriority w:val="0"/>
    <w:rPr>
      <w:rFonts w:ascii="Times New Roman" w:hAnsi="Times New Roman" w:eastAsia="宋体" w:cs="Times New Roman"/>
      <w:kern w:val="0"/>
      <w:szCs w:val="21"/>
    </w:rPr>
  </w:style>
  <w:style w:type="character" w:customStyle="1" w:styleId="90">
    <w:name w:val="font11"/>
    <w:basedOn w:val="33"/>
    <w:qFormat/>
    <w:uiPriority w:val="0"/>
    <w:rPr>
      <w:rFonts w:hint="eastAsia" w:ascii="等线" w:hAnsi="等线" w:eastAsia="等线" w:cs="等线"/>
      <w:color w:val="000000"/>
      <w:sz w:val="22"/>
      <w:szCs w:val="22"/>
      <w:u w:val="none"/>
    </w:rPr>
  </w:style>
  <w:style w:type="character" w:customStyle="1" w:styleId="91">
    <w:name w:val="font01"/>
    <w:basedOn w:val="33"/>
    <w:qFormat/>
    <w:uiPriority w:val="0"/>
    <w:rPr>
      <w:rFonts w:hint="eastAsia" w:ascii="等线" w:hAnsi="等线" w:eastAsia="等线" w:cs="等线"/>
      <w:color w:val="000000"/>
      <w:sz w:val="22"/>
      <w:szCs w:val="22"/>
      <w:u w:val="none"/>
    </w:rPr>
  </w:style>
  <w:style w:type="paragraph" w:customStyle="1" w:styleId="92">
    <w:name w:val="A-z正文"/>
    <w:basedOn w:val="1"/>
    <w:qFormat/>
    <w:uiPriority w:val="0"/>
    <w:pPr>
      <w:widowControl/>
      <w:spacing w:line="360" w:lineRule="auto"/>
      <w:ind w:firstLine="200" w:firstLineChars="200"/>
    </w:pPr>
    <w:rPr>
      <w:kern w:val="0"/>
      <w:sz w:val="24"/>
    </w:rPr>
  </w:style>
  <w:style w:type="table" w:customStyle="1" w:styleId="93">
    <w:name w:val="Table Normal"/>
    <w:unhideWhenUsed/>
    <w:qFormat/>
    <w:uiPriority w:val="0"/>
    <w:tblPr>
      <w:tblCellMar>
        <w:top w:w="0" w:type="dxa"/>
        <w:left w:w="0" w:type="dxa"/>
        <w:bottom w:w="0" w:type="dxa"/>
        <w:right w:w="0" w:type="dxa"/>
      </w:tblCellMar>
    </w:tblPr>
  </w:style>
  <w:style w:type="paragraph" w:customStyle="1" w:styleId="94">
    <w:name w:val="Body text|1"/>
    <w:basedOn w:val="1"/>
    <w:qFormat/>
    <w:uiPriority w:val="0"/>
    <w:pPr>
      <w:spacing w:line="468" w:lineRule="auto"/>
      <w:ind w:firstLine="400"/>
    </w:pPr>
    <w:rPr>
      <w:rFonts w:ascii="宋体" w:hAnsi="宋体" w:cs="宋体"/>
      <w:sz w:val="28"/>
      <w:szCs w:val="28"/>
      <w:lang w:val="zh-TW" w:eastAsia="zh-TW" w:bidi="zh-TW"/>
    </w:rPr>
  </w:style>
  <w:style w:type="paragraph" w:customStyle="1" w:styleId="95">
    <w:name w:val="正文 首行缩进:  2 字符"/>
    <w:basedOn w:val="1"/>
    <w:qFormat/>
    <w:uiPriority w:val="0"/>
    <w:pPr>
      <w:ind w:firstLine="579" w:firstLineChars="200"/>
    </w:pPr>
    <w:rPr>
      <w:rFonts w:cs="宋体"/>
      <w:szCs w:val="20"/>
    </w:rPr>
  </w:style>
  <w:style w:type="paragraph" w:customStyle="1" w:styleId="96">
    <w:name w:val="文中表格"/>
    <w:basedOn w:val="1"/>
    <w:qFormat/>
    <w:uiPriority w:val="0"/>
    <w:pPr>
      <w:widowControl/>
      <w:pBdr>
        <w:top w:val="none" w:color="auto" w:sz="0" w:space="1"/>
        <w:left w:val="none" w:color="auto" w:sz="0" w:space="4"/>
        <w:bottom w:val="none" w:color="auto" w:sz="0" w:space="1"/>
        <w:right w:val="none" w:color="auto" w:sz="0" w:space="4"/>
      </w:pBdr>
      <w:jc w:val="center"/>
    </w:pPr>
    <w:rPr>
      <w:color w:val="000000"/>
      <w:kern w:val="0"/>
      <w:szCs w:val="21"/>
    </w:rPr>
  </w:style>
  <w:style w:type="paragraph" w:customStyle="1" w:styleId="97">
    <w:name w:val="0 正文"/>
    <w:basedOn w:val="1"/>
    <w:qFormat/>
    <w:uiPriority w:val="0"/>
    <w:pPr>
      <w:topLinePunct/>
      <w:autoSpaceDE w:val="0"/>
      <w:autoSpaceDN w:val="0"/>
      <w:spacing w:line="360" w:lineRule="auto"/>
      <w:ind w:firstLine="200" w:firstLineChars="200"/>
    </w:pPr>
    <w:rPr>
      <w:kern w:val="0"/>
      <w:sz w:val="24"/>
    </w:rPr>
  </w:style>
  <w:style w:type="paragraph" w:customStyle="1" w:styleId="98">
    <w:name w:val="环科院正文"/>
    <w:basedOn w:val="1"/>
    <w:qFormat/>
    <w:uiPriority w:val="0"/>
    <w:pPr>
      <w:tabs>
        <w:tab w:val="left" w:pos="1620"/>
        <w:tab w:val="left" w:pos="1815"/>
      </w:tabs>
      <w:spacing w:line="360" w:lineRule="auto"/>
      <w:ind w:left="360"/>
    </w:pPr>
    <w:rPr>
      <w:rFonts w:hAnsi="宋体"/>
      <w:color w:val="000000"/>
      <w:sz w:val="24"/>
    </w:rPr>
  </w:style>
  <w:style w:type="paragraph" w:customStyle="1" w:styleId="99">
    <w:name w:val="样式 样式 样式 样式 首行缩进:  1 字符 + 首行缩进:  2 字符2 + 首行缩进:  2 字符 行距: 固定值 23 ...1"/>
    <w:basedOn w:val="1"/>
    <w:qFormat/>
    <w:uiPriority w:val="0"/>
    <w:pPr>
      <w:adjustRightInd w:val="0"/>
      <w:snapToGrid w:val="0"/>
      <w:spacing w:line="360" w:lineRule="auto"/>
      <w:ind w:firstLine="200" w:firstLineChars="200"/>
    </w:pPr>
    <w:rPr>
      <w:rFonts w:ascii="宋体" w:hAnsi="宋体"/>
      <w:sz w:val="24"/>
      <w:szCs w:val="20"/>
    </w:rPr>
  </w:style>
  <w:style w:type="paragraph" w:customStyle="1" w:styleId="100">
    <w:name w:val="文本正文"/>
    <w:basedOn w:val="1"/>
    <w:qFormat/>
    <w:uiPriority w:val="0"/>
    <w:pPr>
      <w:adjustRightInd w:val="0"/>
      <w:spacing w:beforeLines="50" w:afterLines="50" w:line="360" w:lineRule="auto"/>
      <w:ind w:firstLine="200" w:firstLineChars="200"/>
    </w:pPr>
    <w:rPr>
      <w:kern w:val="0"/>
      <w:sz w:val="20"/>
      <w:szCs w:val="20"/>
    </w:rPr>
  </w:style>
  <w:style w:type="character" w:customStyle="1" w:styleId="101">
    <w:name w:val="font21"/>
    <w:basedOn w:val="33"/>
    <w:qFormat/>
    <w:uiPriority w:val="0"/>
    <w:rPr>
      <w:rFonts w:hint="default" w:ascii="Times New Roman" w:hAnsi="Times New Roman" w:cs="Times New Roman"/>
      <w:color w:val="000000"/>
      <w:sz w:val="21"/>
      <w:szCs w:val="21"/>
      <w:u w:val="none"/>
    </w:rPr>
  </w:style>
  <w:style w:type="character" w:customStyle="1" w:styleId="102">
    <w:name w:val="font31"/>
    <w:basedOn w:val="33"/>
    <w:qFormat/>
    <w:uiPriority w:val="0"/>
    <w:rPr>
      <w:rFonts w:hint="default" w:ascii="Times New Roman" w:hAnsi="Times New Roman" w:cs="Times New Roman"/>
      <w:color w:val="000000"/>
      <w:sz w:val="24"/>
      <w:szCs w:val="24"/>
      <w:u w:val="none"/>
    </w:rPr>
  </w:style>
  <w:style w:type="paragraph" w:customStyle="1" w:styleId="103">
    <w:name w:val="dy正文2"/>
    <w:qFormat/>
    <w:uiPriority w:val="0"/>
    <w:pPr>
      <w:tabs>
        <w:tab w:val="left" w:pos="567"/>
      </w:tabs>
      <w:adjustRightInd w:val="0"/>
      <w:snapToGrid w:val="0"/>
      <w:spacing w:line="440" w:lineRule="atLeast"/>
      <w:ind w:firstLine="567"/>
      <w:textAlignment w:val="baseline"/>
    </w:pPr>
    <w:rPr>
      <w:rFonts w:ascii="Times New Roman" w:hAnsi="Times New Roman" w:eastAsia="宋体" w:cs="Times New Roman"/>
      <w:snapToGrid w:val="0"/>
      <w:sz w:val="24"/>
      <w:lang w:val="en-US" w:eastAsia="zh-CN" w:bidi="ar-SA"/>
    </w:rPr>
  </w:style>
  <w:style w:type="paragraph" w:customStyle="1" w:styleId="104">
    <w:name w:val="表单位"/>
    <w:qFormat/>
    <w:uiPriority w:val="0"/>
    <w:pPr>
      <w:jc w:val="center"/>
    </w:pPr>
    <w:rPr>
      <w:rFonts w:ascii="Times New Roman" w:hAnsi="Times New Roman" w:eastAsia="仿宋_GB2312" w:cs="Times New Roman"/>
      <w:kern w:val="44"/>
      <w:sz w:val="21"/>
      <w:szCs w:val="22"/>
      <w:lang w:val="en-US" w:eastAsia="zh-CN" w:bidi="ar-SA"/>
    </w:rPr>
  </w:style>
  <w:style w:type="paragraph" w:customStyle="1" w:styleId="105">
    <w:name w:val="Table Text"/>
    <w:basedOn w:val="1"/>
    <w:semiHidden/>
    <w:qFormat/>
    <w:uiPriority w:val="0"/>
    <w:rPr>
      <w:rFonts w:eastAsia="Times New Roman"/>
      <w:szCs w:val="21"/>
      <w:lang w:eastAsia="en-US"/>
    </w:rPr>
  </w:style>
  <w:style w:type="paragraph" w:customStyle="1" w:styleId="106">
    <w:name w:val="p1"/>
    <w:basedOn w:val="1"/>
    <w:qFormat/>
    <w:uiPriority w:val="0"/>
    <w:pPr>
      <w:spacing w:before="0" w:beforeAutospacing="0" w:after="0" w:afterAutospacing="0"/>
      <w:ind w:left="0" w:right="0"/>
      <w:jc w:val="left"/>
    </w:pPr>
    <w:rPr>
      <w:rFonts w:ascii="Helvetica Neue" w:hAnsi="Helvetica Neue" w:eastAsia="Helvetica Neue" w:cs="Helvetica Neue"/>
      <w:color w:val="000000"/>
      <w:kern w:val="0"/>
      <w:sz w:val="28"/>
      <w:szCs w:val="28"/>
      <w:lang w:val="en-US" w:eastAsia="zh-CN" w:bidi="ar"/>
    </w:rPr>
  </w:style>
  <w:style w:type="character" w:customStyle="1" w:styleId="107">
    <w:name w:val="s1"/>
    <w:basedOn w:val="33"/>
    <w:qFormat/>
    <w:uiPriority w:val="0"/>
    <w:rPr>
      <w:rFonts w:ascii="pingfang sc" w:hAnsi="pingfang sc" w:eastAsia="pingfang sc" w:cs="pingfang sc"/>
      <w:sz w:val="28"/>
      <w:szCs w:val="28"/>
    </w:rPr>
  </w:style>
  <w:style w:type="paragraph" w:customStyle="1" w:styleId="108">
    <w:name w:val="p17"/>
    <w:basedOn w:val="1"/>
    <w:qFormat/>
    <w:uiPriority w:val="0"/>
    <w:pPr>
      <w:widowControl/>
      <w:spacing w:line="300" w:lineRule="atLeast"/>
      <w:jc w:val="center"/>
    </w:pPr>
    <w:rPr>
      <w:spacing w:val="-10"/>
      <w:kern w:val="0"/>
      <w:szCs w:val="21"/>
    </w:rPr>
  </w:style>
  <w:style w:type="paragraph" w:customStyle="1" w:styleId="109">
    <w:name w:val="样式2"/>
    <w:basedOn w:val="20"/>
    <w:qFormat/>
    <w:uiPriority w:val="0"/>
    <w:pPr>
      <w:widowControl/>
    </w:pPr>
    <w:rPr>
      <w:kern w:val="0"/>
      <w:szCs w:val="20"/>
    </w:rPr>
  </w:style>
  <w:style w:type="character" w:customStyle="1" w:styleId="110">
    <w:name w:val="font51"/>
    <w:basedOn w:val="33"/>
    <w:qFormat/>
    <w:uiPriority w:val="0"/>
    <w:rPr>
      <w:rFonts w:hint="default" w:ascii="Times New Roman" w:hAnsi="Times New Roman" w:cs="Times New Roman"/>
      <w:color w:val="000000"/>
      <w:sz w:val="21"/>
      <w:szCs w:val="21"/>
      <w:u w:val="none"/>
    </w:rPr>
  </w:style>
  <w:style w:type="character" w:customStyle="1" w:styleId="111">
    <w:name w:val="font41"/>
    <w:basedOn w:val="3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wmf"/><Relationship Id="rId24" Type="http://schemas.openxmlformats.org/officeDocument/2006/relationships/oleObject" Target="embeddings/oleObject3.bin"/><Relationship Id="rId23" Type="http://schemas.openxmlformats.org/officeDocument/2006/relationships/image" Target="media/image11.png"/><Relationship Id="rId22" Type="http://schemas.openxmlformats.org/officeDocument/2006/relationships/image" Target="media/image10.emf"/><Relationship Id="rId21" Type="http://schemas.openxmlformats.org/officeDocument/2006/relationships/oleObject" Target="embeddings/oleObject2.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1.bin"/><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75</Pages>
  <Words>13521</Words>
  <Characters>15369</Characters>
  <Lines>1</Lines>
  <Paragraphs>1</Paragraphs>
  <TotalTime>52</TotalTime>
  <ScaleCrop>false</ScaleCrop>
  <LinksUpToDate>false</LinksUpToDate>
  <CharactersWithSpaces>15482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2020-12-26T17:29:00Z</dcterms:created>
  <dc:creator>lhj</dc:creator>
  <cp:lastModifiedBy>Huge.   Force</cp:lastModifiedBy>
  <cp:lastPrinted>2024-08-15T01:25:00Z</cp:lastPrinted>
  <dcterms:modified xsi:type="dcterms:W3CDTF">2024-12-17T08:22:37Z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6050438046FB4ABAAC38C9293188E8C8_13</vt:lpwstr>
  </property>
</Properties>
</file>