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9A0C9A4">
      <w:pPr>
        <w:keepNext w:val="0"/>
        <w:keepLines w:val="0"/>
        <w:widowControl/>
        <w:suppressLineNumbers w:val="0"/>
        <w:jc w:val="center"/>
        <w:rPr>
          <w:rFonts w:hint="default" w:ascii="Times New Roman" w:hAnsi="Times New Roman" w:eastAsia="宋体" w:cs="Times New Roman"/>
          <w:b/>
          <w:bCs/>
          <w:color w:val="000000" w:themeColor="text1"/>
          <w:kern w:val="0"/>
          <w:sz w:val="28"/>
          <w:szCs w:val="28"/>
          <w:vertAlign w:val="baseline"/>
          <w:lang w:val="en-US" w:eastAsia="zh-CN" w:bidi="ar"/>
          <w14:textFill>
            <w14:solidFill>
              <w14:schemeClr w14:val="tx1"/>
            </w14:solidFill>
          </w14:textFill>
        </w:rPr>
      </w:pPr>
      <w:r>
        <w:rPr>
          <w:rFonts w:hint="default" w:ascii="Times New Roman" w:hAnsi="Times New Roman" w:eastAsia="宋体" w:cs="Times New Roman"/>
          <w:b/>
          <w:bCs/>
          <w:color w:val="000000" w:themeColor="text1"/>
          <w:kern w:val="0"/>
          <w:sz w:val="28"/>
          <w:szCs w:val="28"/>
          <w:lang w:val="en-US" w:eastAsia="zh-CN" w:bidi="ar"/>
          <w14:textFill>
            <w14:solidFill>
              <w14:schemeClr w14:val="tx1"/>
            </w14:solidFill>
          </w14:textFill>
        </w:rPr>
        <w:t>一、建设项目基本情况</w:t>
      </w:r>
    </w:p>
    <w:tbl>
      <w:tblPr>
        <w:tblStyle w:val="17"/>
        <w:tblW w:w="4983"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850"/>
        <w:gridCol w:w="1368"/>
        <w:gridCol w:w="2248"/>
        <w:gridCol w:w="2191"/>
        <w:gridCol w:w="3271"/>
      </w:tblGrid>
      <w:tr w14:paraId="44F75C2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17" w:type="pct"/>
            <w:gridSpan w:val="2"/>
            <w:tcBorders>
              <w:tl2br w:val="nil"/>
              <w:tr2bl w:val="nil"/>
            </w:tcBorders>
            <w:vAlign w:val="center"/>
          </w:tcPr>
          <w:p w14:paraId="61E557AE">
            <w:pPr>
              <w:keepNext w:val="0"/>
              <w:keepLines w:val="0"/>
              <w:pageBreakBefore w:val="0"/>
              <w:widowControl/>
              <w:suppressLineNumbers w:val="0"/>
              <w:kinsoku/>
              <w:wordWrap/>
              <w:overflowPunct/>
              <w:topLinePunct w:val="0"/>
              <w:autoSpaceDE/>
              <w:autoSpaceDN/>
              <w:bidi w:val="0"/>
              <w:adjustRightInd/>
              <w:snapToGrid/>
              <w:spacing w:line="336" w:lineRule="auto"/>
              <w:jc w:val="center"/>
              <w:textAlignment w:val="auto"/>
              <w:rPr>
                <w:rFonts w:hint="default" w:ascii="Times New Roman" w:hAnsi="Times New Roman" w:eastAsia="宋体" w:cs="Times New Roman"/>
                <w:color w:val="000000" w:themeColor="text1"/>
                <w:kern w:val="0"/>
                <w:sz w:val="24"/>
                <w:szCs w:val="24"/>
                <w:vertAlign w:val="baseli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建设项目名称</w:t>
            </w:r>
          </w:p>
        </w:tc>
        <w:tc>
          <w:tcPr>
            <w:tcW w:w="3882" w:type="pct"/>
            <w:gridSpan w:val="3"/>
            <w:tcBorders>
              <w:tl2br w:val="nil"/>
              <w:tr2bl w:val="nil"/>
            </w:tcBorders>
            <w:vAlign w:val="center"/>
          </w:tcPr>
          <w:p w14:paraId="3F4D634B">
            <w:pPr>
              <w:keepNext w:val="0"/>
              <w:keepLines w:val="0"/>
              <w:pageBreakBefore w:val="0"/>
              <w:widowControl/>
              <w:suppressLineNumbers w:val="0"/>
              <w:kinsoku/>
              <w:wordWrap/>
              <w:overflowPunct/>
              <w:topLinePunct w:val="0"/>
              <w:autoSpaceDE/>
              <w:autoSpaceDN/>
              <w:bidi w:val="0"/>
              <w:adjustRightInd/>
              <w:snapToGrid/>
              <w:spacing w:line="336" w:lineRule="auto"/>
              <w:jc w:val="center"/>
              <w:textAlignment w:val="auto"/>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九龙山LNG气化站及锅炉供气工程</w:t>
            </w:r>
          </w:p>
        </w:tc>
      </w:tr>
      <w:tr w14:paraId="27CEE73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17" w:type="pct"/>
            <w:gridSpan w:val="2"/>
            <w:tcBorders>
              <w:tl2br w:val="nil"/>
              <w:tr2bl w:val="nil"/>
            </w:tcBorders>
            <w:vAlign w:val="center"/>
          </w:tcPr>
          <w:p w14:paraId="5521A1F7">
            <w:pPr>
              <w:keepNext w:val="0"/>
              <w:keepLines w:val="0"/>
              <w:pageBreakBefore w:val="0"/>
              <w:widowControl/>
              <w:suppressLineNumbers w:val="0"/>
              <w:kinsoku/>
              <w:wordWrap/>
              <w:overflowPunct/>
              <w:topLinePunct w:val="0"/>
              <w:autoSpaceDE/>
              <w:autoSpaceDN/>
              <w:bidi w:val="0"/>
              <w:adjustRightInd/>
              <w:snapToGrid/>
              <w:spacing w:line="336" w:lineRule="auto"/>
              <w:jc w:val="center"/>
              <w:textAlignment w:val="auto"/>
              <w:rPr>
                <w:rFonts w:hint="default" w:ascii="Times New Roman" w:hAnsi="Times New Roman" w:eastAsia="宋体" w:cs="Times New Roman"/>
                <w:color w:val="000000" w:themeColor="text1"/>
                <w:kern w:val="0"/>
                <w:sz w:val="24"/>
                <w:szCs w:val="24"/>
                <w:vertAlign w:val="baseli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项目代码</w:t>
            </w:r>
          </w:p>
        </w:tc>
        <w:tc>
          <w:tcPr>
            <w:tcW w:w="3882" w:type="pct"/>
            <w:gridSpan w:val="3"/>
            <w:tcBorders>
              <w:tl2br w:val="nil"/>
              <w:tr2bl w:val="nil"/>
            </w:tcBorders>
            <w:vAlign w:val="center"/>
          </w:tcPr>
          <w:p w14:paraId="2078F325">
            <w:pPr>
              <w:keepNext w:val="0"/>
              <w:keepLines w:val="0"/>
              <w:pageBreakBefore w:val="0"/>
              <w:widowControl/>
              <w:suppressLineNumbers w:val="0"/>
              <w:kinsoku/>
              <w:wordWrap/>
              <w:overflowPunct/>
              <w:topLinePunct w:val="0"/>
              <w:autoSpaceDE/>
              <w:autoSpaceDN/>
              <w:bidi w:val="0"/>
              <w:adjustRightInd/>
              <w:snapToGrid/>
              <w:spacing w:line="336" w:lineRule="auto"/>
              <w:jc w:val="center"/>
              <w:textAlignment w:val="auto"/>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2407-610304-04-01-332951</w:t>
            </w:r>
          </w:p>
        </w:tc>
      </w:tr>
      <w:tr w14:paraId="2DA6D81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17" w:type="pct"/>
            <w:gridSpan w:val="2"/>
            <w:tcBorders>
              <w:tl2br w:val="nil"/>
              <w:tr2bl w:val="nil"/>
            </w:tcBorders>
            <w:vAlign w:val="center"/>
          </w:tcPr>
          <w:p w14:paraId="195BC2A6">
            <w:pPr>
              <w:keepNext w:val="0"/>
              <w:keepLines w:val="0"/>
              <w:pageBreakBefore w:val="0"/>
              <w:widowControl/>
              <w:suppressLineNumbers w:val="0"/>
              <w:kinsoku/>
              <w:wordWrap/>
              <w:overflowPunct/>
              <w:topLinePunct w:val="0"/>
              <w:autoSpaceDE/>
              <w:autoSpaceDN/>
              <w:bidi w:val="0"/>
              <w:adjustRightInd/>
              <w:snapToGrid/>
              <w:spacing w:line="336" w:lineRule="auto"/>
              <w:jc w:val="center"/>
              <w:textAlignment w:val="auto"/>
              <w:rPr>
                <w:rFonts w:hint="default" w:ascii="Times New Roman" w:hAnsi="Times New Roman" w:eastAsia="宋体" w:cs="Times New Roman"/>
                <w:color w:val="000000" w:themeColor="text1"/>
                <w:kern w:val="0"/>
                <w:sz w:val="24"/>
                <w:szCs w:val="24"/>
                <w:vertAlign w:val="baseli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建设单位联系人</w:t>
            </w:r>
          </w:p>
        </w:tc>
        <w:tc>
          <w:tcPr>
            <w:tcW w:w="1132" w:type="pct"/>
            <w:tcBorders>
              <w:tl2br w:val="nil"/>
              <w:tr2bl w:val="nil"/>
            </w:tcBorders>
            <w:vAlign w:val="center"/>
          </w:tcPr>
          <w:p w14:paraId="52AF963E">
            <w:pPr>
              <w:keepNext w:val="0"/>
              <w:keepLines w:val="0"/>
              <w:pageBreakBefore w:val="0"/>
              <w:widowControl/>
              <w:suppressLineNumbers w:val="0"/>
              <w:kinsoku/>
              <w:wordWrap/>
              <w:overflowPunct/>
              <w:topLinePunct w:val="0"/>
              <w:autoSpaceDE/>
              <w:autoSpaceDN/>
              <w:bidi w:val="0"/>
              <w:adjustRightInd/>
              <w:snapToGrid/>
              <w:spacing w:line="336" w:lineRule="auto"/>
              <w:jc w:val="center"/>
              <w:textAlignment w:val="auto"/>
              <w:rPr>
                <w:rFonts w:hint="default" w:ascii="Times New Roman" w:hAnsi="Times New Roman" w:eastAsia="宋体" w:cs="Times New Roman"/>
                <w:color w:val="000000" w:themeColor="text1"/>
                <w:kern w:val="0"/>
                <w:sz w:val="24"/>
                <w:szCs w:val="24"/>
                <w:vertAlign w:val="baseline"/>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24"/>
                <w:szCs w:val="24"/>
                <w:vertAlign w:val="baseline"/>
                <w:lang w:val="en-US" w:eastAsia="zh-CN" w:bidi="ar"/>
                <w14:textFill>
                  <w14:solidFill>
                    <w14:schemeClr w14:val="tx1"/>
                  </w14:solidFill>
                </w14:textFill>
              </w:rPr>
              <w:t>/</w:t>
            </w:r>
          </w:p>
        </w:tc>
        <w:tc>
          <w:tcPr>
            <w:tcW w:w="1103" w:type="pct"/>
            <w:tcBorders>
              <w:tl2br w:val="nil"/>
              <w:tr2bl w:val="nil"/>
            </w:tcBorders>
            <w:vAlign w:val="center"/>
          </w:tcPr>
          <w:p w14:paraId="2FB343EE">
            <w:pPr>
              <w:keepNext w:val="0"/>
              <w:keepLines w:val="0"/>
              <w:pageBreakBefore w:val="0"/>
              <w:widowControl/>
              <w:suppressLineNumbers w:val="0"/>
              <w:kinsoku/>
              <w:wordWrap/>
              <w:overflowPunct/>
              <w:topLinePunct w:val="0"/>
              <w:autoSpaceDE/>
              <w:autoSpaceDN/>
              <w:bidi w:val="0"/>
              <w:adjustRightInd/>
              <w:snapToGrid/>
              <w:spacing w:line="336" w:lineRule="auto"/>
              <w:jc w:val="center"/>
              <w:textAlignment w:val="auto"/>
              <w:rPr>
                <w:rFonts w:hint="default" w:ascii="Times New Roman" w:hAnsi="Times New Roman" w:eastAsia="宋体" w:cs="Times New Roman"/>
                <w:color w:val="000000" w:themeColor="text1"/>
                <w:kern w:val="0"/>
                <w:sz w:val="24"/>
                <w:szCs w:val="24"/>
                <w:vertAlign w:val="baseli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联系方式</w:t>
            </w:r>
          </w:p>
        </w:tc>
        <w:tc>
          <w:tcPr>
            <w:tcW w:w="1646" w:type="pct"/>
            <w:tcBorders>
              <w:tl2br w:val="nil"/>
              <w:tr2bl w:val="nil"/>
            </w:tcBorders>
            <w:vAlign w:val="center"/>
          </w:tcPr>
          <w:p w14:paraId="2A88A232">
            <w:pPr>
              <w:keepNext w:val="0"/>
              <w:keepLines w:val="0"/>
              <w:pageBreakBefore w:val="0"/>
              <w:widowControl/>
              <w:suppressLineNumbers w:val="0"/>
              <w:kinsoku/>
              <w:wordWrap/>
              <w:overflowPunct/>
              <w:topLinePunct w:val="0"/>
              <w:autoSpaceDE/>
              <w:autoSpaceDN/>
              <w:bidi w:val="0"/>
              <w:adjustRightInd/>
              <w:snapToGrid/>
              <w:spacing w:line="336" w:lineRule="auto"/>
              <w:jc w:val="center"/>
              <w:textAlignment w:val="auto"/>
              <w:rPr>
                <w:rFonts w:hint="default" w:ascii="Times New Roman" w:hAnsi="Times New Roman" w:eastAsia="宋体" w:cs="Times New Roman"/>
                <w:color w:val="000000" w:themeColor="text1"/>
                <w:kern w:val="0"/>
                <w:sz w:val="24"/>
                <w:szCs w:val="24"/>
                <w:vertAlign w:val="baseline"/>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24"/>
                <w:szCs w:val="24"/>
                <w:vertAlign w:val="baseline"/>
                <w:lang w:val="en-US" w:eastAsia="zh-CN" w:bidi="ar"/>
                <w14:textFill>
                  <w14:solidFill>
                    <w14:schemeClr w14:val="tx1"/>
                  </w14:solidFill>
                </w14:textFill>
              </w:rPr>
              <w:t>/</w:t>
            </w:r>
            <w:bookmarkStart w:id="0" w:name="_GoBack"/>
            <w:bookmarkEnd w:id="0"/>
          </w:p>
        </w:tc>
      </w:tr>
      <w:tr w14:paraId="3AEC15D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17" w:type="pct"/>
            <w:gridSpan w:val="2"/>
            <w:tcBorders>
              <w:tl2br w:val="nil"/>
              <w:tr2bl w:val="nil"/>
            </w:tcBorders>
            <w:vAlign w:val="center"/>
          </w:tcPr>
          <w:p w14:paraId="6D4D06F7">
            <w:pPr>
              <w:keepNext w:val="0"/>
              <w:keepLines w:val="0"/>
              <w:pageBreakBefore w:val="0"/>
              <w:widowControl/>
              <w:suppressLineNumbers w:val="0"/>
              <w:kinsoku/>
              <w:wordWrap/>
              <w:overflowPunct/>
              <w:topLinePunct w:val="0"/>
              <w:autoSpaceDE/>
              <w:autoSpaceDN/>
              <w:bidi w:val="0"/>
              <w:adjustRightInd/>
              <w:snapToGrid/>
              <w:spacing w:line="336" w:lineRule="auto"/>
              <w:jc w:val="center"/>
              <w:textAlignment w:val="auto"/>
              <w:rPr>
                <w:rFonts w:hint="default" w:ascii="Times New Roman" w:hAnsi="Times New Roman" w:eastAsia="宋体" w:cs="Times New Roman"/>
                <w:color w:val="000000" w:themeColor="text1"/>
                <w:kern w:val="0"/>
                <w:sz w:val="24"/>
                <w:szCs w:val="24"/>
                <w:vertAlign w:val="baseli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建设地点</w:t>
            </w:r>
          </w:p>
        </w:tc>
        <w:tc>
          <w:tcPr>
            <w:tcW w:w="3882" w:type="pct"/>
            <w:gridSpan w:val="3"/>
            <w:tcBorders>
              <w:tl2br w:val="nil"/>
              <w:tr2bl w:val="nil"/>
            </w:tcBorders>
            <w:vAlign w:val="center"/>
          </w:tcPr>
          <w:p w14:paraId="61EBC256">
            <w:pPr>
              <w:keepNext w:val="0"/>
              <w:keepLines w:val="0"/>
              <w:pageBreakBefore w:val="0"/>
              <w:widowControl/>
              <w:suppressLineNumbers w:val="0"/>
              <w:kinsoku/>
              <w:wordWrap/>
              <w:overflowPunct/>
              <w:topLinePunct w:val="0"/>
              <w:autoSpaceDE/>
              <w:autoSpaceDN/>
              <w:bidi w:val="0"/>
              <w:adjustRightInd/>
              <w:snapToGrid/>
              <w:spacing w:line="336" w:lineRule="auto"/>
              <w:jc w:val="center"/>
              <w:textAlignment w:val="auto"/>
              <w:rPr>
                <w:rFonts w:hint="default" w:ascii="Times New Roman" w:hAnsi="Times New Roman" w:eastAsia="宋体" w:cs="Times New Roman"/>
                <w:color w:val="000000" w:themeColor="text1"/>
                <w:kern w:val="0"/>
                <w:sz w:val="24"/>
                <w:szCs w:val="24"/>
                <w:vertAlign w:val="baseli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4"/>
                <w:szCs w:val="24"/>
                <w:vertAlign w:val="baseline"/>
                <w:lang w:val="en-US" w:eastAsia="zh-CN" w:bidi="ar"/>
                <w14:textFill>
                  <w14:solidFill>
                    <w14:schemeClr w14:val="tx1"/>
                  </w14:solidFill>
                </w14:textFill>
              </w:rPr>
              <w:t>宝鸡市陈仓区坪头镇新民村九龙山景区内（</w:t>
            </w:r>
            <w:r>
              <w:rPr>
                <w:rFonts w:hint="default" w:ascii="Times New Roman" w:hAnsi="Times New Roman" w:eastAsia="宋体" w:cs="Times New Roman"/>
                <w:b w:val="0"/>
                <w:bCs w:val="0"/>
                <w:color w:val="000000" w:themeColor="text1"/>
                <w:kern w:val="0"/>
                <w:sz w:val="24"/>
                <w:szCs w:val="24"/>
                <w:u w:val="none"/>
                <w:vertAlign w:val="baseline"/>
                <w:lang w:val="en-US" w:eastAsia="zh-CN" w:bidi="ar"/>
                <w14:textFill>
                  <w14:solidFill>
                    <w14:schemeClr w14:val="tx1"/>
                  </w14:solidFill>
                </w14:textFill>
              </w:rPr>
              <w:t>庵里村综合服务区停车场）</w:t>
            </w:r>
          </w:p>
        </w:tc>
      </w:tr>
      <w:tr w14:paraId="074396B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29" w:hRule="atLeast"/>
        </w:trPr>
        <w:tc>
          <w:tcPr>
            <w:tcW w:w="1117" w:type="pct"/>
            <w:gridSpan w:val="2"/>
            <w:tcBorders>
              <w:tl2br w:val="nil"/>
              <w:tr2bl w:val="nil"/>
            </w:tcBorders>
            <w:vAlign w:val="center"/>
          </w:tcPr>
          <w:p w14:paraId="6AE9E4BD">
            <w:pPr>
              <w:keepNext w:val="0"/>
              <w:keepLines w:val="0"/>
              <w:pageBreakBefore w:val="0"/>
              <w:widowControl/>
              <w:suppressLineNumbers w:val="0"/>
              <w:kinsoku/>
              <w:wordWrap/>
              <w:overflowPunct/>
              <w:topLinePunct w:val="0"/>
              <w:autoSpaceDE/>
              <w:autoSpaceDN/>
              <w:bidi w:val="0"/>
              <w:adjustRightInd/>
              <w:snapToGrid/>
              <w:spacing w:line="336" w:lineRule="auto"/>
              <w:jc w:val="center"/>
              <w:textAlignment w:val="auto"/>
              <w:rPr>
                <w:rFonts w:hint="default" w:ascii="Times New Roman" w:hAnsi="Times New Roman" w:eastAsia="宋体" w:cs="Times New Roman"/>
                <w:color w:val="000000" w:themeColor="text1"/>
                <w:kern w:val="0"/>
                <w:sz w:val="24"/>
                <w:szCs w:val="24"/>
                <w:vertAlign w:val="baseli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地理坐标</w:t>
            </w:r>
          </w:p>
        </w:tc>
        <w:tc>
          <w:tcPr>
            <w:tcW w:w="3882" w:type="pct"/>
            <w:gridSpan w:val="3"/>
            <w:tcBorders>
              <w:tl2br w:val="nil"/>
              <w:tr2bl w:val="nil"/>
            </w:tcBorders>
            <w:vAlign w:val="center"/>
          </w:tcPr>
          <w:p w14:paraId="7E4694D7">
            <w:pPr>
              <w:keepNext w:val="0"/>
              <w:keepLines w:val="0"/>
              <w:pageBreakBefore w:val="0"/>
              <w:widowControl/>
              <w:suppressLineNumbers w:val="0"/>
              <w:kinsoku/>
              <w:wordWrap/>
              <w:overflowPunct/>
              <w:topLinePunct w:val="0"/>
              <w:autoSpaceDE/>
              <w:autoSpaceDN/>
              <w:bidi w:val="0"/>
              <w:adjustRightInd/>
              <w:snapToGrid/>
              <w:spacing w:line="336" w:lineRule="auto"/>
              <w:jc w:val="center"/>
              <w:textAlignment w:val="auto"/>
              <w:rPr>
                <w:rFonts w:hint="default" w:ascii="Times New Roman" w:hAnsi="Times New Roman" w:eastAsia="宋体" w:cs="Times New Roman"/>
                <w:color w:val="000000" w:themeColor="text1"/>
                <w:kern w:val="0"/>
                <w:sz w:val="24"/>
                <w:szCs w:val="24"/>
                <w:vertAlign w:val="baseli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（东经106度50分9.730秒，北纬34度25分7.895秒）</w:t>
            </w:r>
          </w:p>
        </w:tc>
      </w:tr>
      <w:tr w14:paraId="787E81D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17" w:type="pct"/>
            <w:gridSpan w:val="2"/>
            <w:tcBorders>
              <w:tl2br w:val="nil"/>
              <w:tr2bl w:val="nil"/>
            </w:tcBorders>
            <w:vAlign w:val="center"/>
          </w:tcPr>
          <w:p w14:paraId="565D2A28">
            <w:pPr>
              <w:keepNext w:val="0"/>
              <w:keepLines w:val="0"/>
              <w:pageBreakBefore w:val="0"/>
              <w:widowControl/>
              <w:suppressLineNumbers w:val="0"/>
              <w:kinsoku/>
              <w:wordWrap/>
              <w:overflowPunct/>
              <w:topLinePunct w:val="0"/>
              <w:autoSpaceDE/>
              <w:autoSpaceDN/>
              <w:bidi w:val="0"/>
              <w:adjustRightInd/>
              <w:snapToGrid/>
              <w:spacing w:line="336" w:lineRule="auto"/>
              <w:jc w:val="center"/>
              <w:textAlignment w:val="auto"/>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国民经济</w:t>
            </w:r>
          </w:p>
          <w:p w14:paraId="28932BA8">
            <w:pPr>
              <w:keepNext w:val="0"/>
              <w:keepLines w:val="0"/>
              <w:pageBreakBefore w:val="0"/>
              <w:widowControl/>
              <w:suppressLineNumbers w:val="0"/>
              <w:kinsoku/>
              <w:wordWrap/>
              <w:overflowPunct/>
              <w:topLinePunct w:val="0"/>
              <w:autoSpaceDE/>
              <w:autoSpaceDN/>
              <w:bidi w:val="0"/>
              <w:adjustRightInd/>
              <w:snapToGrid/>
              <w:spacing w:line="336" w:lineRule="auto"/>
              <w:jc w:val="center"/>
              <w:textAlignment w:val="auto"/>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行业类别</w:t>
            </w:r>
          </w:p>
        </w:tc>
        <w:tc>
          <w:tcPr>
            <w:tcW w:w="1132" w:type="pct"/>
            <w:tcBorders>
              <w:tl2br w:val="nil"/>
              <w:tr2bl w:val="nil"/>
            </w:tcBorders>
            <w:vAlign w:val="center"/>
          </w:tcPr>
          <w:p w14:paraId="6B52A5D8">
            <w:pPr>
              <w:keepNext w:val="0"/>
              <w:keepLines w:val="0"/>
              <w:pageBreakBefore w:val="0"/>
              <w:widowControl/>
              <w:suppressLineNumbers w:val="0"/>
              <w:kinsoku/>
              <w:wordWrap/>
              <w:overflowPunct/>
              <w:topLinePunct w:val="0"/>
              <w:autoSpaceDE/>
              <w:autoSpaceDN/>
              <w:bidi w:val="0"/>
              <w:adjustRightInd/>
              <w:snapToGrid/>
              <w:spacing w:line="336" w:lineRule="auto"/>
              <w:jc w:val="center"/>
              <w:textAlignment w:val="auto"/>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G5941油气仓储</w:t>
            </w:r>
          </w:p>
        </w:tc>
        <w:tc>
          <w:tcPr>
            <w:tcW w:w="1103" w:type="pct"/>
            <w:tcBorders>
              <w:tl2br w:val="nil"/>
              <w:tr2bl w:val="nil"/>
            </w:tcBorders>
            <w:vAlign w:val="center"/>
          </w:tcPr>
          <w:p w14:paraId="059FC916">
            <w:pPr>
              <w:keepNext w:val="0"/>
              <w:keepLines w:val="0"/>
              <w:pageBreakBefore w:val="0"/>
              <w:widowControl/>
              <w:suppressLineNumbers w:val="0"/>
              <w:kinsoku/>
              <w:wordWrap/>
              <w:overflowPunct/>
              <w:topLinePunct w:val="0"/>
              <w:autoSpaceDE/>
              <w:autoSpaceDN/>
              <w:bidi w:val="0"/>
              <w:adjustRightInd/>
              <w:snapToGrid/>
              <w:spacing w:line="336" w:lineRule="auto"/>
              <w:jc w:val="center"/>
              <w:textAlignment w:val="auto"/>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建设项目</w:t>
            </w:r>
          </w:p>
          <w:p w14:paraId="04BF560D">
            <w:pPr>
              <w:keepNext w:val="0"/>
              <w:keepLines w:val="0"/>
              <w:pageBreakBefore w:val="0"/>
              <w:widowControl/>
              <w:suppressLineNumbers w:val="0"/>
              <w:kinsoku/>
              <w:wordWrap/>
              <w:overflowPunct/>
              <w:topLinePunct w:val="0"/>
              <w:autoSpaceDE/>
              <w:autoSpaceDN/>
              <w:bidi w:val="0"/>
              <w:adjustRightInd/>
              <w:snapToGrid/>
              <w:spacing w:line="336" w:lineRule="auto"/>
              <w:jc w:val="center"/>
              <w:textAlignment w:val="auto"/>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行业类别</w:t>
            </w:r>
          </w:p>
        </w:tc>
        <w:tc>
          <w:tcPr>
            <w:tcW w:w="1646" w:type="pct"/>
            <w:tcBorders>
              <w:tl2br w:val="nil"/>
              <w:tr2bl w:val="nil"/>
            </w:tcBorders>
            <w:vAlign w:val="center"/>
          </w:tcPr>
          <w:p w14:paraId="50B5FE7A">
            <w:pPr>
              <w:keepNext w:val="0"/>
              <w:keepLines w:val="0"/>
              <w:pageBreakBefore w:val="0"/>
              <w:widowControl/>
              <w:suppressLineNumbers w:val="0"/>
              <w:kinsoku/>
              <w:wordWrap/>
              <w:overflowPunct/>
              <w:topLinePunct w:val="0"/>
              <w:autoSpaceDE/>
              <w:autoSpaceDN/>
              <w:bidi w:val="0"/>
              <w:adjustRightInd/>
              <w:snapToGrid/>
              <w:spacing w:line="336" w:lineRule="auto"/>
              <w:jc w:val="center"/>
              <w:textAlignment w:val="auto"/>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危险品仓储 594（不含加油站的油库；不含加气站的气库），其他（含有毒、有害、危险品的仓储；含液化天然气库）</w:t>
            </w:r>
          </w:p>
        </w:tc>
      </w:tr>
      <w:tr w14:paraId="797C863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17" w:type="pct"/>
            <w:gridSpan w:val="2"/>
            <w:tcBorders>
              <w:tl2br w:val="nil"/>
              <w:tr2bl w:val="nil"/>
            </w:tcBorders>
            <w:vAlign w:val="center"/>
          </w:tcPr>
          <w:p w14:paraId="5984170B">
            <w:pPr>
              <w:keepNext w:val="0"/>
              <w:keepLines w:val="0"/>
              <w:pageBreakBefore w:val="0"/>
              <w:widowControl/>
              <w:suppressLineNumbers w:val="0"/>
              <w:kinsoku/>
              <w:wordWrap/>
              <w:overflowPunct/>
              <w:topLinePunct w:val="0"/>
              <w:autoSpaceDE/>
              <w:autoSpaceDN/>
              <w:bidi w:val="0"/>
              <w:adjustRightInd/>
              <w:snapToGrid/>
              <w:spacing w:line="336" w:lineRule="auto"/>
              <w:jc w:val="center"/>
              <w:textAlignment w:val="auto"/>
              <w:rPr>
                <w:rFonts w:hint="default" w:ascii="Times New Roman" w:hAnsi="Times New Roman" w:eastAsia="宋体" w:cs="Times New Roman"/>
                <w:color w:val="000000" w:themeColor="text1"/>
                <w:kern w:val="0"/>
                <w:sz w:val="24"/>
                <w:szCs w:val="24"/>
                <w:vertAlign w:val="baseli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建设性质</w:t>
            </w:r>
          </w:p>
        </w:tc>
        <w:tc>
          <w:tcPr>
            <w:tcW w:w="1132" w:type="pct"/>
            <w:tcBorders>
              <w:tl2br w:val="nil"/>
              <w:tr2bl w:val="nil"/>
            </w:tcBorders>
            <w:vAlign w:val="center"/>
          </w:tcPr>
          <w:p w14:paraId="03528398">
            <w:pPr>
              <w:keepNext w:val="0"/>
              <w:keepLines w:val="0"/>
              <w:pageBreakBefore w:val="0"/>
              <w:widowControl/>
              <w:suppressLineNumbers w:val="0"/>
              <w:kinsoku/>
              <w:wordWrap/>
              <w:overflowPunct/>
              <w:topLinePunct w:val="0"/>
              <w:autoSpaceDE/>
              <w:autoSpaceDN/>
              <w:bidi w:val="0"/>
              <w:adjustRightInd/>
              <w:snapToGrid/>
              <w:spacing w:line="336" w:lineRule="auto"/>
              <w:jc w:val="left"/>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□新建（迁建）</w:t>
            </w:r>
          </w:p>
          <w:p w14:paraId="7C8B97C3">
            <w:pPr>
              <w:keepNext w:val="0"/>
              <w:keepLines w:val="0"/>
              <w:pageBreakBefore w:val="0"/>
              <w:widowControl/>
              <w:suppressLineNumbers w:val="0"/>
              <w:kinsoku/>
              <w:wordWrap/>
              <w:overflowPunct/>
              <w:topLinePunct w:val="0"/>
              <w:autoSpaceDE/>
              <w:autoSpaceDN/>
              <w:bidi w:val="0"/>
              <w:adjustRightInd/>
              <w:snapToGrid/>
              <w:spacing w:line="336" w:lineRule="auto"/>
              <w:jc w:val="left"/>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☑改建</w:t>
            </w:r>
          </w:p>
          <w:p w14:paraId="0B562B1C">
            <w:pPr>
              <w:keepNext w:val="0"/>
              <w:keepLines w:val="0"/>
              <w:pageBreakBefore w:val="0"/>
              <w:widowControl/>
              <w:suppressLineNumbers w:val="0"/>
              <w:kinsoku/>
              <w:wordWrap/>
              <w:overflowPunct/>
              <w:topLinePunct w:val="0"/>
              <w:autoSpaceDE/>
              <w:autoSpaceDN/>
              <w:bidi w:val="0"/>
              <w:adjustRightInd/>
              <w:snapToGrid/>
              <w:spacing w:line="336" w:lineRule="auto"/>
              <w:jc w:val="left"/>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□扩建</w:t>
            </w:r>
          </w:p>
          <w:p w14:paraId="5A3283D0">
            <w:pPr>
              <w:keepNext w:val="0"/>
              <w:keepLines w:val="0"/>
              <w:pageBreakBefore w:val="0"/>
              <w:widowControl/>
              <w:suppressLineNumbers w:val="0"/>
              <w:kinsoku/>
              <w:wordWrap/>
              <w:overflowPunct/>
              <w:topLinePunct w:val="0"/>
              <w:autoSpaceDE/>
              <w:autoSpaceDN/>
              <w:bidi w:val="0"/>
              <w:adjustRightInd/>
              <w:snapToGrid/>
              <w:spacing w:line="336" w:lineRule="auto"/>
              <w:jc w:val="left"/>
              <w:textAlignment w:val="auto"/>
              <w:rPr>
                <w:rFonts w:hint="default" w:ascii="Times New Roman" w:hAnsi="Times New Roman" w:eastAsia="宋体" w:cs="Times New Roman"/>
                <w:color w:val="000000" w:themeColor="text1"/>
                <w:kern w:val="0"/>
                <w:sz w:val="24"/>
                <w:szCs w:val="24"/>
                <w:vertAlign w:val="baseli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□技术改造</w:t>
            </w:r>
          </w:p>
        </w:tc>
        <w:tc>
          <w:tcPr>
            <w:tcW w:w="1103" w:type="pct"/>
            <w:tcBorders>
              <w:tl2br w:val="nil"/>
              <w:tr2bl w:val="nil"/>
            </w:tcBorders>
            <w:vAlign w:val="center"/>
          </w:tcPr>
          <w:p w14:paraId="3860131B">
            <w:pPr>
              <w:keepNext w:val="0"/>
              <w:keepLines w:val="0"/>
              <w:pageBreakBefore w:val="0"/>
              <w:widowControl/>
              <w:suppressLineNumbers w:val="0"/>
              <w:kinsoku/>
              <w:wordWrap/>
              <w:overflowPunct/>
              <w:topLinePunct w:val="0"/>
              <w:autoSpaceDE/>
              <w:autoSpaceDN/>
              <w:bidi w:val="0"/>
              <w:adjustRightInd/>
              <w:snapToGrid/>
              <w:spacing w:line="336" w:lineRule="auto"/>
              <w:jc w:val="center"/>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建设项目</w:t>
            </w:r>
          </w:p>
          <w:p w14:paraId="1D038375">
            <w:pPr>
              <w:keepNext w:val="0"/>
              <w:keepLines w:val="0"/>
              <w:pageBreakBefore w:val="0"/>
              <w:widowControl/>
              <w:suppressLineNumbers w:val="0"/>
              <w:kinsoku/>
              <w:wordWrap/>
              <w:overflowPunct/>
              <w:topLinePunct w:val="0"/>
              <w:autoSpaceDE/>
              <w:autoSpaceDN/>
              <w:bidi w:val="0"/>
              <w:adjustRightInd/>
              <w:snapToGrid/>
              <w:spacing w:line="336" w:lineRule="auto"/>
              <w:jc w:val="center"/>
              <w:textAlignment w:val="auto"/>
              <w:rPr>
                <w:rFonts w:hint="default" w:ascii="Times New Roman" w:hAnsi="Times New Roman" w:eastAsia="宋体" w:cs="Times New Roman"/>
                <w:color w:val="000000" w:themeColor="text1"/>
                <w:kern w:val="0"/>
                <w:sz w:val="24"/>
                <w:szCs w:val="24"/>
                <w:vertAlign w:val="baseline"/>
                <w:lang w:eastAsia="zh-CN" w:bidi="ar"/>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申报情形</w:t>
            </w:r>
          </w:p>
        </w:tc>
        <w:tc>
          <w:tcPr>
            <w:tcW w:w="1646" w:type="pct"/>
            <w:tcBorders>
              <w:tl2br w:val="nil"/>
              <w:tr2bl w:val="nil"/>
            </w:tcBorders>
            <w:vAlign w:val="center"/>
          </w:tcPr>
          <w:p w14:paraId="2882976F">
            <w:pPr>
              <w:keepNext w:val="0"/>
              <w:keepLines w:val="0"/>
              <w:pageBreakBefore w:val="0"/>
              <w:widowControl/>
              <w:suppressLineNumbers w:val="0"/>
              <w:kinsoku/>
              <w:wordWrap/>
              <w:overflowPunct/>
              <w:topLinePunct w:val="0"/>
              <w:autoSpaceDE/>
              <w:autoSpaceDN/>
              <w:bidi w:val="0"/>
              <w:adjustRightInd/>
              <w:snapToGrid/>
              <w:spacing w:line="336" w:lineRule="auto"/>
              <w:jc w:val="left"/>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☑首次申报项目</w:t>
            </w:r>
          </w:p>
          <w:p w14:paraId="5C3F647F">
            <w:pPr>
              <w:keepNext w:val="0"/>
              <w:keepLines w:val="0"/>
              <w:pageBreakBefore w:val="0"/>
              <w:widowControl/>
              <w:suppressLineNumbers w:val="0"/>
              <w:kinsoku/>
              <w:wordWrap/>
              <w:overflowPunct/>
              <w:topLinePunct w:val="0"/>
              <w:autoSpaceDE/>
              <w:autoSpaceDN/>
              <w:bidi w:val="0"/>
              <w:adjustRightInd/>
              <w:snapToGrid/>
              <w:spacing w:line="336" w:lineRule="auto"/>
              <w:jc w:val="left"/>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□不予批准后再次申报项目</w:t>
            </w:r>
          </w:p>
          <w:p w14:paraId="0B15558A">
            <w:pPr>
              <w:keepNext w:val="0"/>
              <w:keepLines w:val="0"/>
              <w:pageBreakBefore w:val="0"/>
              <w:widowControl/>
              <w:suppressLineNumbers w:val="0"/>
              <w:kinsoku/>
              <w:wordWrap/>
              <w:overflowPunct/>
              <w:topLinePunct w:val="0"/>
              <w:autoSpaceDE/>
              <w:autoSpaceDN/>
              <w:bidi w:val="0"/>
              <w:adjustRightInd/>
              <w:snapToGrid/>
              <w:spacing w:line="336" w:lineRule="auto"/>
              <w:jc w:val="left"/>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□超五年重新审核项目</w:t>
            </w:r>
          </w:p>
          <w:p w14:paraId="1240C0D6">
            <w:pPr>
              <w:keepNext w:val="0"/>
              <w:keepLines w:val="0"/>
              <w:pageBreakBefore w:val="0"/>
              <w:widowControl/>
              <w:suppressLineNumbers w:val="0"/>
              <w:kinsoku/>
              <w:wordWrap/>
              <w:overflowPunct/>
              <w:topLinePunct w:val="0"/>
              <w:autoSpaceDE/>
              <w:autoSpaceDN/>
              <w:bidi w:val="0"/>
              <w:adjustRightInd/>
              <w:snapToGrid/>
              <w:spacing w:line="336" w:lineRule="auto"/>
              <w:jc w:val="left"/>
              <w:textAlignment w:val="auto"/>
              <w:rPr>
                <w:rFonts w:hint="default" w:ascii="Times New Roman" w:hAnsi="Times New Roman" w:eastAsia="宋体" w:cs="Times New Roman"/>
                <w:color w:val="000000" w:themeColor="text1"/>
                <w:kern w:val="0"/>
                <w:sz w:val="24"/>
                <w:szCs w:val="24"/>
                <w:vertAlign w:val="baseli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□重大变动重新报批项目</w:t>
            </w:r>
          </w:p>
        </w:tc>
      </w:tr>
      <w:tr w14:paraId="020456C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17" w:type="pct"/>
            <w:gridSpan w:val="2"/>
            <w:tcBorders>
              <w:tl2br w:val="nil"/>
              <w:tr2bl w:val="nil"/>
            </w:tcBorders>
            <w:vAlign w:val="center"/>
          </w:tcPr>
          <w:p w14:paraId="46988DD3">
            <w:pPr>
              <w:keepNext w:val="0"/>
              <w:keepLines w:val="0"/>
              <w:pageBreakBefore w:val="0"/>
              <w:widowControl/>
              <w:suppressLineNumbers w:val="0"/>
              <w:kinsoku/>
              <w:wordWrap/>
              <w:overflowPunct/>
              <w:topLinePunct w:val="0"/>
              <w:autoSpaceDE/>
              <w:autoSpaceDN/>
              <w:bidi w:val="0"/>
              <w:adjustRightInd/>
              <w:snapToGrid/>
              <w:spacing w:line="336" w:lineRule="auto"/>
              <w:jc w:val="center"/>
              <w:textAlignment w:val="auto"/>
              <w:rPr>
                <w:rFonts w:hint="default" w:ascii="Times New Roman" w:hAnsi="Times New Roman" w:eastAsia="宋体" w:cs="Times New Roman"/>
                <w:color w:val="000000" w:themeColor="text1"/>
                <w:kern w:val="0"/>
                <w:sz w:val="24"/>
                <w:szCs w:val="24"/>
                <w:vertAlign w:val="baseli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项目审批（核准/备案）部门（选填）</w:t>
            </w:r>
          </w:p>
        </w:tc>
        <w:tc>
          <w:tcPr>
            <w:tcW w:w="1132" w:type="pct"/>
            <w:tcBorders>
              <w:tl2br w:val="nil"/>
              <w:tr2bl w:val="nil"/>
            </w:tcBorders>
            <w:vAlign w:val="center"/>
          </w:tcPr>
          <w:p w14:paraId="3594C52C">
            <w:pPr>
              <w:keepNext w:val="0"/>
              <w:keepLines w:val="0"/>
              <w:pageBreakBefore w:val="0"/>
              <w:widowControl/>
              <w:suppressLineNumbers w:val="0"/>
              <w:kinsoku/>
              <w:wordWrap/>
              <w:overflowPunct/>
              <w:topLinePunct w:val="0"/>
              <w:autoSpaceDE/>
              <w:autoSpaceDN/>
              <w:bidi w:val="0"/>
              <w:adjustRightInd/>
              <w:snapToGrid/>
              <w:spacing w:line="336" w:lineRule="auto"/>
              <w:jc w:val="center"/>
              <w:textAlignment w:val="auto"/>
              <w:rPr>
                <w:rFonts w:hint="default" w:ascii="Times New Roman" w:hAnsi="Times New Roman" w:eastAsia="宋体" w:cs="Times New Roman"/>
                <w:color w:val="000000" w:themeColor="text1"/>
                <w:kern w:val="0"/>
                <w:sz w:val="24"/>
                <w:szCs w:val="24"/>
                <w:vertAlign w:val="baseli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4"/>
                <w:szCs w:val="24"/>
                <w:vertAlign w:val="baseline"/>
                <w:lang w:val="en-US" w:eastAsia="zh-CN" w:bidi="ar"/>
                <w14:textFill>
                  <w14:solidFill>
                    <w14:schemeClr w14:val="tx1"/>
                  </w14:solidFill>
                </w14:textFill>
              </w:rPr>
              <w:t>宝鸡市陈仓区发展和改革局</w:t>
            </w:r>
          </w:p>
        </w:tc>
        <w:tc>
          <w:tcPr>
            <w:tcW w:w="1103" w:type="pct"/>
            <w:tcBorders>
              <w:tl2br w:val="nil"/>
              <w:tr2bl w:val="nil"/>
            </w:tcBorders>
            <w:vAlign w:val="center"/>
          </w:tcPr>
          <w:p w14:paraId="12CA4E90">
            <w:pPr>
              <w:keepNext w:val="0"/>
              <w:keepLines w:val="0"/>
              <w:pageBreakBefore w:val="0"/>
              <w:widowControl/>
              <w:suppressLineNumbers w:val="0"/>
              <w:kinsoku/>
              <w:wordWrap/>
              <w:overflowPunct/>
              <w:topLinePunct w:val="0"/>
              <w:autoSpaceDE/>
              <w:autoSpaceDN/>
              <w:bidi w:val="0"/>
              <w:adjustRightInd/>
              <w:snapToGrid/>
              <w:spacing w:line="336" w:lineRule="auto"/>
              <w:jc w:val="center"/>
              <w:textAlignment w:val="auto"/>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项目审批（核准/备案）文号</w:t>
            </w:r>
          </w:p>
          <w:p w14:paraId="793003FD">
            <w:pPr>
              <w:keepNext w:val="0"/>
              <w:keepLines w:val="0"/>
              <w:pageBreakBefore w:val="0"/>
              <w:widowControl/>
              <w:suppressLineNumbers w:val="0"/>
              <w:kinsoku/>
              <w:wordWrap/>
              <w:overflowPunct/>
              <w:topLinePunct w:val="0"/>
              <w:autoSpaceDE/>
              <w:autoSpaceDN/>
              <w:bidi w:val="0"/>
              <w:adjustRightInd/>
              <w:snapToGrid/>
              <w:spacing w:line="336" w:lineRule="auto"/>
              <w:jc w:val="center"/>
              <w:textAlignment w:val="auto"/>
              <w:rPr>
                <w:rFonts w:hint="default" w:ascii="Times New Roman" w:hAnsi="Times New Roman" w:eastAsia="宋体" w:cs="Times New Roman"/>
                <w:color w:val="000000" w:themeColor="text1"/>
                <w:kern w:val="0"/>
                <w:sz w:val="24"/>
                <w:szCs w:val="24"/>
                <w:vertAlign w:val="baseli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（选填）</w:t>
            </w:r>
          </w:p>
        </w:tc>
        <w:tc>
          <w:tcPr>
            <w:tcW w:w="1646" w:type="pct"/>
            <w:tcBorders>
              <w:tl2br w:val="nil"/>
              <w:tr2bl w:val="nil"/>
            </w:tcBorders>
            <w:vAlign w:val="center"/>
          </w:tcPr>
          <w:p w14:paraId="75D6C330">
            <w:pPr>
              <w:keepNext w:val="0"/>
              <w:keepLines w:val="0"/>
              <w:pageBreakBefore w:val="0"/>
              <w:widowControl/>
              <w:suppressLineNumbers w:val="0"/>
              <w:kinsoku/>
              <w:wordWrap/>
              <w:overflowPunct/>
              <w:topLinePunct w:val="0"/>
              <w:autoSpaceDE/>
              <w:autoSpaceDN/>
              <w:bidi w:val="0"/>
              <w:adjustRightInd/>
              <w:snapToGrid/>
              <w:spacing w:line="336" w:lineRule="auto"/>
              <w:jc w:val="center"/>
              <w:textAlignment w:val="auto"/>
              <w:rPr>
                <w:rFonts w:hint="default" w:ascii="Times New Roman" w:hAnsi="Times New Roman" w:eastAsia="宋体" w:cs="Times New Roman"/>
                <w:color w:val="000000" w:themeColor="text1"/>
                <w:kern w:val="0"/>
                <w:sz w:val="24"/>
                <w:szCs w:val="24"/>
                <w:vertAlign w:val="baseline"/>
                <w:lang w:val="en-US" w:eastAsia="zh-CN" w:bidi="ar"/>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无</w:t>
            </w:r>
          </w:p>
        </w:tc>
      </w:tr>
      <w:tr w14:paraId="7FBCF2B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17" w:type="pct"/>
            <w:gridSpan w:val="2"/>
            <w:tcBorders>
              <w:tl2br w:val="nil"/>
              <w:tr2bl w:val="nil"/>
            </w:tcBorders>
            <w:vAlign w:val="center"/>
          </w:tcPr>
          <w:p w14:paraId="1C801AC4">
            <w:pPr>
              <w:keepNext w:val="0"/>
              <w:keepLines w:val="0"/>
              <w:pageBreakBefore w:val="0"/>
              <w:widowControl/>
              <w:suppressLineNumbers w:val="0"/>
              <w:kinsoku/>
              <w:wordWrap/>
              <w:overflowPunct/>
              <w:topLinePunct w:val="0"/>
              <w:autoSpaceDE/>
              <w:autoSpaceDN/>
              <w:bidi w:val="0"/>
              <w:adjustRightInd/>
              <w:snapToGrid/>
              <w:spacing w:line="336" w:lineRule="auto"/>
              <w:jc w:val="center"/>
              <w:textAlignment w:val="auto"/>
              <w:rPr>
                <w:rFonts w:hint="default" w:ascii="Times New Roman" w:hAnsi="Times New Roman" w:eastAsia="宋体" w:cs="Times New Roman"/>
                <w:color w:val="000000" w:themeColor="text1"/>
                <w:kern w:val="0"/>
                <w:sz w:val="24"/>
                <w:szCs w:val="24"/>
                <w:vertAlign w:val="baseli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总投资（万元）</w:t>
            </w:r>
          </w:p>
        </w:tc>
        <w:tc>
          <w:tcPr>
            <w:tcW w:w="1132" w:type="pct"/>
            <w:tcBorders>
              <w:tl2br w:val="nil"/>
              <w:tr2bl w:val="nil"/>
            </w:tcBorders>
            <w:vAlign w:val="center"/>
          </w:tcPr>
          <w:p w14:paraId="477CF74F">
            <w:pPr>
              <w:keepNext w:val="0"/>
              <w:keepLines w:val="0"/>
              <w:pageBreakBefore w:val="0"/>
              <w:widowControl/>
              <w:suppressLineNumbers w:val="0"/>
              <w:kinsoku/>
              <w:wordWrap/>
              <w:overflowPunct/>
              <w:topLinePunct w:val="0"/>
              <w:autoSpaceDE/>
              <w:autoSpaceDN/>
              <w:bidi w:val="0"/>
              <w:adjustRightInd/>
              <w:snapToGrid/>
              <w:spacing w:line="336" w:lineRule="auto"/>
              <w:jc w:val="center"/>
              <w:textAlignment w:val="auto"/>
              <w:rPr>
                <w:rFonts w:hint="default" w:ascii="Times New Roman" w:hAnsi="Times New Roman" w:eastAsia="宋体" w:cs="Times New Roman"/>
                <w:color w:val="000000" w:themeColor="text1"/>
                <w:kern w:val="0"/>
                <w:sz w:val="24"/>
                <w:szCs w:val="24"/>
                <w:vertAlign w:val="baseli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4"/>
                <w:szCs w:val="24"/>
                <w:vertAlign w:val="baseline"/>
                <w:lang w:val="en-US" w:eastAsia="zh-CN" w:bidi="ar"/>
                <w14:textFill>
                  <w14:solidFill>
                    <w14:schemeClr w14:val="tx1"/>
                  </w14:solidFill>
                </w14:textFill>
              </w:rPr>
              <w:t>300</w:t>
            </w:r>
          </w:p>
        </w:tc>
        <w:tc>
          <w:tcPr>
            <w:tcW w:w="1103" w:type="pct"/>
            <w:tcBorders>
              <w:tl2br w:val="nil"/>
              <w:tr2bl w:val="nil"/>
            </w:tcBorders>
            <w:vAlign w:val="center"/>
          </w:tcPr>
          <w:p w14:paraId="0281F49F">
            <w:pPr>
              <w:keepNext w:val="0"/>
              <w:keepLines w:val="0"/>
              <w:pageBreakBefore w:val="0"/>
              <w:widowControl/>
              <w:suppressLineNumbers w:val="0"/>
              <w:kinsoku/>
              <w:wordWrap/>
              <w:overflowPunct/>
              <w:topLinePunct w:val="0"/>
              <w:autoSpaceDE/>
              <w:autoSpaceDN/>
              <w:bidi w:val="0"/>
              <w:adjustRightInd/>
              <w:snapToGrid/>
              <w:spacing w:line="336" w:lineRule="auto"/>
              <w:jc w:val="center"/>
              <w:textAlignment w:val="auto"/>
              <w:rPr>
                <w:rFonts w:hint="default" w:ascii="Times New Roman" w:hAnsi="Times New Roman" w:eastAsia="宋体" w:cs="Times New Roman"/>
                <w:color w:val="000000" w:themeColor="text1"/>
                <w:kern w:val="0"/>
                <w:sz w:val="24"/>
                <w:szCs w:val="24"/>
                <w:vertAlign w:val="baseli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环保投资（万元）</w:t>
            </w:r>
          </w:p>
        </w:tc>
        <w:tc>
          <w:tcPr>
            <w:tcW w:w="1646" w:type="pct"/>
            <w:tcBorders>
              <w:tl2br w:val="nil"/>
              <w:tr2bl w:val="nil"/>
            </w:tcBorders>
            <w:vAlign w:val="center"/>
          </w:tcPr>
          <w:p w14:paraId="501E4502">
            <w:pPr>
              <w:keepNext w:val="0"/>
              <w:keepLines w:val="0"/>
              <w:pageBreakBefore w:val="0"/>
              <w:widowControl/>
              <w:suppressLineNumbers w:val="0"/>
              <w:kinsoku/>
              <w:wordWrap/>
              <w:overflowPunct/>
              <w:topLinePunct w:val="0"/>
              <w:autoSpaceDE/>
              <w:autoSpaceDN/>
              <w:bidi w:val="0"/>
              <w:adjustRightInd/>
              <w:snapToGrid/>
              <w:spacing w:line="336" w:lineRule="auto"/>
              <w:jc w:val="center"/>
              <w:textAlignment w:val="auto"/>
              <w:rPr>
                <w:rFonts w:hint="default" w:ascii="Times New Roman" w:hAnsi="Times New Roman" w:eastAsia="宋体" w:cs="Times New Roman"/>
                <w:color w:val="000000" w:themeColor="text1"/>
                <w:kern w:val="0"/>
                <w:sz w:val="24"/>
                <w:szCs w:val="24"/>
                <w:vertAlign w:val="baseli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4"/>
                <w:szCs w:val="24"/>
                <w:vertAlign w:val="baseline"/>
                <w:lang w:val="en-US" w:eastAsia="zh-CN" w:bidi="ar"/>
                <w14:textFill>
                  <w14:solidFill>
                    <w14:schemeClr w14:val="tx1"/>
                  </w14:solidFill>
                </w14:textFill>
              </w:rPr>
              <w:t>15</w:t>
            </w:r>
          </w:p>
        </w:tc>
      </w:tr>
      <w:tr w14:paraId="4CD3DDE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17" w:type="pct"/>
            <w:gridSpan w:val="2"/>
            <w:tcBorders>
              <w:tl2br w:val="nil"/>
              <w:tr2bl w:val="nil"/>
            </w:tcBorders>
            <w:vAlign w:val="center"/>
          </w:tcPr>
          <w:p w14:paraId="5CA4F3C3">
            <w:pPr>
              <w:keepNext w:val="0"/>
              <w:keepLines w:val="0"/>
              <w:pageBreakBefore w:val="0"/>
              <w:widowControl/>
              <w:suppressLineNumbers w:val="0"/>
              <w:kinsoku/>
              <w:wordWrap/>
              <w:overflowPunct/>
              <w:topLinePunct w:val="0"/>
              <w:autoSpaceDE/>
              <w:autoSpaceDN/>
              <w:bidi w:val="0"/>
              <w:adjustRightInd/>
              <w:snapToGrid/>
              <w:spacing w:line="336" w:lineRule="auto"/>
              <w:jc w:val="center"/>
              <w:textAlignment w:val="auto"/>
              <w:rPr>
                <w:rFonts w:hint="default" w:ascii="Times New Roman" w:hAnsi="Times New Roman" w:eastAsia="宋体" w:cs="Times New Roman"/>
                <w:color w:val="000000" w:themeColor="text1"/>
                <w:kern w:val="0"/>
                <w:sz w:val="24"/>
                <w:szCs w:val="24"/>
                <w:vertAlign w:val="baseli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环保投资占比（%）</w:t>
            </w:r>
          </w:p>
        </w:tc>
        <w:tc>
          <w:tcPr>
            <w:tcW w:w="1132" w:type="pct"/>
            <w:tcBorders>
              <w:tl2br w:val="nil"/>
              <w:tr2bl w:val="nil"/>
            </w:tcBorders>
            <w:vAlign w:val="center"/>
          </w:tcPr>
          <w:p w14:paraId="5D975BA2">
            <w:pPr>
              <w:keepNext w:val="0"/>
              <w:keepLines w:val="0"/>
              <w:pageBreakBefore w:val="0"/>
              <w:widowControl/>
              <w:suppressLineNumbers w:val="0"/>
              <w:kinsoku/>
              <w:wordWrap/>
              <w:overflowPunct/>
              <w:topLinePunct w:val="0"/>
              <w:autoSpaceDE/>
              <w:autoSpaceDN/>
              <w:bidi w:val="0"/>
              <w:adjustRightInd/>
              <w:snapToGrid/>
              <w:spacing w:line="336" w:lineRule="auto"/>
              <w:jc w:val="center"/>
              <w:textAlignment w:val="auto"/>
              <w:rPr>
                <w:rFonts w:hint="default" w:ascii="Times New Roman" w:hAnsi="Times New Roman" w:eastAsia="宋体" w:cs="Times New Roman"/>
                <w:color w:val="000000" w:themeColor="text1"/>
                <w:kern w:val="0"/>
                <w:sz w:val="24"/>
                <w:szCs w:val="24"/>
                <w:vertAlign w:val="baseli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4"/>
                <w:szCs w:val="24"/>
                <w:vertAlign w:val="baseline"/>
                <w:lang w:val="en-US" w:eastAsia="zh-CN" w:bidi="ar"/>
                <w14:textFill>
                  <w14:solidFill>
                    <w14:schemeClr w14:val="tx1"/>
                  </w14:solidFill>
                </w14:textFill>
              </w:rPr>
              <w:t>5</w:t>
            </w:r>
          </w:p>
        </w:tc>
        <w:tc>
          <w:tcPr>
            <w:tcW w:w="1103" w:type="pct"/>
            <w:tcBorders>
              <w:tl2br w:val="nil"/>
              <w:tr2bl w:val="nil"/>
            </w:tcBorders>
            <w:vAlign w:val="center"/>
          </w:tcPr>
          <w:p w14:paraId="62CFC9A9">
            <w:pPr>
              <w:keepNext w:val="0"/>
              <w:keepLines w:val="0"/>
              <w:pageBreakBefore w:val="0"/>
              <w:widowControl/>
              <w:suppressLineNumbers w:val="0"/>
              <w:kinsoku/>
              <w:wordWrap/>
              <w:overflowPunct/>
              <w:topLinePunct w:val="0"/>
              <w:autoSpaceDE/>
              <w:autoSpaceDN/>
              <w:bidi w:val="0"/>
              <w:adjustRightInd/>
              <w:snapToGrid/>
              <w:spacing w:line="336" w:lineRule="auto"/>
              <w:jc w:val="center"/>
              <w:textAlignment w:val="auto"/>
              <w:rPr>
                <w:rFonts w:hint="default" w:ascii="Times New Roman" w:hAnsi="Times New Roman" w:eastAsia="宋体" w:cs="Times New Roman"/>
                <w:color w:val="000000" w:themeColor="text1"/>
                <w:kern w:val="0"/>
                <w:sz w:val="24"/>
                <w:szCs w:val="24"/>
                <w:vertAlign w:val="baseli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施工工期</w:t>
            </w:r>
          </w:p>
        </w:tc>
        <w:tc>
          <w:tcPr>
            <w:tcW w:w="1646" w:type="pct"/>
            <w:tcBorders>
              <w:tl2br w:val="nil"/>
              <w:tr2bl w:val="nil"/>
            </w:tcBorders>
            <w:vAlign w:val="center"/>
          </w:tcPr>
          <w:p w14:paraId="5C4D92C6">
            <w:pPr>
              <w:keepNext w:val="0"/>
              <w:keepLines w:val="0"/>
              <w:pageBreakBefore w:val="0"/>
              <w:widowControl/>
              <w:suppressLineNumbers w:val="0"/>
              <w:kinsoku/>
              <w:wordWrap/>
              <w:overflowPunct/>
              <w:topLinePunct w:val="0"/>
              <w:autoSpaceDE/>
              <w:autoSpaceDN/>
              <w:bidi w:val="0"/>
              <w:adjustRightInd/>
              <w:snapToGrid/>
              <w:spacing w:line="336" w:lineRule="auto"/>
              <w:jc w:val="center"/>
              <w:textAlignment w:val="auto"/>
              <w:rPr>
                <w:rFonts w:hint="default" w:ascii="Times New Roman" w:hAnsi="Times New Roman" w:eastAsia="宋体" w:cs="Times New Roman"/>
                <w:color w:val="000000" w:themeColor="text1"/>
                <w:kern w:val="0"/>
                <w:sz w:val="24"/>
                <w:szCs w:val="24"/>
                <w:vertAlign w:val="baseli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4"/>
                <w:szCs w:val="24"/>
                <w:vertAlign w:val="baseline"/>
                <w:lang w:val="en-US" w:eastAsia="zh-CN" w:bidi="ar"/>
                <w14:textFill>
                  <w14:solidFill>
                    <w14:schemeClr w14:val="tx1"/>
                  </w14:solidFill>
                </w14:textFill>
              </w:rPr>
              <w:t>5个月</w:t>
            </w:r>
          </w:p>
        </w:tc>
      </w:tr>
      <w:tr w14:paraId="43D78B5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17" w:type="pct"/>
            <w:gridSpan w:val="2"/>
            <w:tcBorders>
              <w:tl2br w:val="nil"/>
              <w:tr2bl w:val="nil"/>
            </w:tcBorders>
            <w:vAlign w:val="center"/>
          </w:tcPr>
          <w:p w14:paraId="3AA52489">
            <w:pPr>
              <w:keepNext w:val="0"/>
              <w:keepLines w:val="0"/>
              <w:pageBreakBefore w:val="0"/>
              <w:widowControl/>
              <w:suppressLineNumbers w:val="0"/>
              <w:kinsoku/>
              <w:wordWrap/>
              <w:overflowPunct/>
              <w:topLinePunct w:val="0"/>
              <w:autoSpaceDE/>
              <w:autoSpaceDN/>
              <w:bidi w:val="0"/>
              <w:adjustRightInd/>
              <w:snapToGrid/>
              <w:spacing w:line="336" w:lineRule="auto"/>
              <w:jc w:val="center"/>
              <w:textAlignment w:val="auto"/>
              <w:rPr>
                <w:rFonts w:hint="default" w:ascii="Times New Roman" w:hAnsi="Times New Roman" w:eastAsia="宋体" w:cs="Times New Roman"/>
                <w:color w:val="000000" w:themeColor="text1"/>
                <w:kern w:val="0"/>
                <w:sz w:val="24"/>
                <w:szCs w:val="24"/>
                <w:vertAlign w:val="baseli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是否开工建设</w:t>
            </w:r>
          </w:p>
        </w:tc>
        <w:tc>
          <w:tcPr>
            <w:tcW w:w="1132" w:type="pct"/>
            <w:tcBorders>
              <w:tl2br w:val="nil"/>
              <w:tr2bl w:val="nil"/>
            </w:tcBorders>
            <w:vAlign w:val="center"/>
          </w:tcPr>
          <w:p w14:paraId="4A3E1EAC">
            <w:pPr>
              <w:keepNext w:val="0"/>
              <w:keepLines w:val="0"/>
              <w:pageBreakBefore w:val="0"/>
              <w:widowControl/>
              <w:suppressLineNumbers w:val="0"/>
              <w:kinsoku/>
              <w:wordWrap/>
              <w:overflowPunct/>
              <w:topLinePunct w:val="0"/>
              <w:autoSpaceDE/>
              <w:autoSpaceDN/>
              <w:bidi w:val="0"/>
              <w:adjustRightInd/>
              <w:snapToGrid/>
              <w:spacing w:line="336" w:lineRule="auto"/>
              <w:jc w:val="both"/>
              <w:textAlignment w:val="auto"/>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☑否</w:t>
            </w:r>
          </w:p>
          <w:p w14:paraId="6B569C1D">
            <w:pPr>
              <w:keepNext w:val="0"/>
              <w:keepLines w:val="0"/>
              <w:pageBreakBefore w:val="0"/>
              <w:widowControl/>
              <w:suppressLineNumbers w:val="0"/>
              <w:kinsoku/>
              <w:wordWrap/>
              <w:overflowPunct/>
              <w:topLinePunct w:val="0"/>
              <w:autoSpaceDE/>
              <w:autoSpaceDN/>
              <w:bidi w:val="0"/>
              <w:adjustRightInd/>
              <w:snapToGrid/>
              <w:spacing w:line="336" w:lineRule="auto"/>
              <w:jc w:val="both"/>
              <w:textAlignment w:val="auto"/>
              <w:rPr>
                <w:rFonts w:hint="default" w:ascii="Times New Roman" w:hAnsi="Times New Roman" w:eastAsia="宋体" w:cs="Times New Roman"/>
                <w:color w:val="000000" w:themeColor="text1"/>
                <w:kern w:val="0"/>
                <w:sz w:val="24"/>
                <w:szCs w:val="24"/>
                <w:vertAlign w:val="baseli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□是：</w:t>
            </w:r>
          </w:p>
        </w:tc>
        <w:tc>
          <w:tcPr>
            <w:tcW w:w="1103" w:type="pct"/>
            <w:tcBorders>
              <w:tl2br w:val="nil"/>
              <w:tr2bl w:val="nil"/>
            </w:tcBorders>
            <w:vAlign w:val="center"/>
          </w:tcPr>
          <w:p w14:paraId="2C84FC89">
            <w:pPr>
              <w:keepNext w:val="0"/>
              <w:keepLines w:val="0"/>
              <w:pageBreakBefore w:val="0"/>
              <w:widowControl/>
              <w:suppressLineNumbers w:val="0"/>
              <w:kinsoku/>
              <w:wordWrap/>
              <w:overflowPunct/>
              <w:topLinePunct w:val="0"/>
              <w:autoSpaceDE/>
              <w:autoSpaceDN/>
              <w:bidi w:val="0"/>
              <w:adjustRightInd/>
              <w:snapToGrid/>
              <w:spacing w:line="336" w:lineRule="auto"/>
              <w:jc w:val="center"/>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用地（用海）</w:t>
            </w:r>
          </w:p>
          <w:p w14:paraId="6ABAF2E3">
            <w:pPr>
              <w:keepNext w:val="0"/>
              <w:keepLines w:val="0"/>
              <w:pageBreakBefore w:val="0"/>
              <w:widowControl/>
              <w:suppressLineNumbers w:val="0"/>
              <w:kinsoku/>
              <w:wordWrap/>
              <w:overflowPunct/>
              <w:topLinePunct w:val="0"/>
              <w:autoSpaceDE/>
              <w:autoSpaceDN/>
              <w:bidi w:val="0"/>
              <w:adjustRightInd/>
              <w:snapToGrid/>
              <w:spacing w:line="336" w:lineRule="auto"/>
              <w:jc w:val="center"/>
              <w:textAlignment w:val="auto"/>
              <w:rPr>
                <w:rFonts w:hint="default" w:ascii="Times New Roman" w:hAnsi="Times New Roman" w:eastAsia="宋体" w:cs="Times New Roman"/>
                <w:color w:val="000000" w:themeColor="text1"/>
                <w:kern w:val="0"/>
                <w:sz w:val="24"/>
                <w:szCs w:val="24"/>
                <w:vertAlign w:val="baseli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面积（m</w:t>
            </w:r>
            <w:r>
              <w:rPr>
                <w:rFonts w:hint="default" w:ascii="Times New Roman" w:hAnsi="Times New Roman" w:eastAsia="宋体" w:cs="Times New Roman"/>
                <w:color w:val="000000" w:themeColor="text1"/>
                <w:kern w:val="0"/>
                <w:sz w:val="24"/>
                <w:szCs w:val="24"/>
                <w:vertAlign w:val="superscript"/>
                <w:lang w:val="en-US" w:eastAsia="zh-CN" w:bidi="ar"/>
                <w14:textFill>
                  <w14:solidFill>
                    <w14:schemeClr w14:val="tx1"/>
                  </w14:solidFill>
                </w14:textFill>
              </w:rPr>
              <w:t>2</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w:t>
            </w:r>
          </w:p>
        </w:tc>
        <w:tc>
          <w:tcPr>
            <w:tcW w:w="1646" w:type="pct"/>
            <w:tcBorders>
              <w:tl2br w:val="nil"/>
              <w:tr2bl w:val="nil"/>
            </w:tcBorders>
            <w:vAlign w:val="center"/>
          </w:tcPr>
          <w:p w14:paraId="644BBCEC">
            <w:pPr>
              <w:keepNext w:val="0"/>
              <w:keepLines w:val="0"/>
              <w:pageBreakBefore w:val="0"/>
              <w:widowControl/>
              <w:suppressLineNumbers w:val="0"/>
              <w:kinsoku/>
              <w:wordWrap/>
              <w:overflowPunct/>
              <w:topLinePunct w:val="0"/>
              <w:autoSpaceDE/>
              <w:autoSpaceDN/>
              <w:bidi w:val="0"/>
              <w:adjustRightInd/>
              <w:snapToGrid/>
              <w:spacing w:line="336" w:lineRule="auto"/>
              <w:jc w:val="center"/>
              <w:textAlignment w:val="auto"/>
              <w:rPr>
                <w:rFonts w:hint="default" w:ascii="Times New Roman" w:hAnsi="Times New Roman" w:eastAsia="宋体" w:cs="Times New Roman"/>
                <w:color w:val="000000" w:themeColor="text1"/>
                <w:kern w:val="0"/>
                <w:sz w:val="24"/>
                <w:szCs w:val="24"/>
                <w:vertAlign w:val="baseli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4"/>
                <w:szCs w:val="24"/>
                <w:vertAlign w:val="baseline"/>
                <w:lang w:val="en-US" w:eastAsia="zh-CN" w:bidi="ar"/>
                <w14:textFill>
                  <w14:solidFill>
                    <w14:schemeClr w14:val="tx1"/>
                  </w14:solidFill>
                </w14:textFill>
              </w:rPr>
              <w:t>不新增用地</w:t>
            </w:r>
          </w:p>
        </w:tc>
      </w:tr>
      <w:tr w14:paraId="1D7EBD6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17" w:type="pct"/>
            <w:gridSpan w:val="2"/>
            <w:tcBorders>
              <w:tl2br w:val="nil"/>
              <w:tr2bl w:val="nil"/>
            </w:tcBorders>
            <w:vAlign w:val="center"/>
          </w:tcPr>
          <w:p w14:paraId="3D962DB0">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color w:val="000000" w:themeColor="text1"/>
                <w:kern w:val="0"/>
                <w:sz w:val="24"/>
                <w:szCs w:val="24"/>
                <w:vertAlign w:val="baseli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专项评价设置情况</w:t>
            </w:r>
          </w:p>
        </w:tc>
        <w:tc>
          <w:tcPr>
            <w:tcW w:w="3882" w:type="pct"/>
            <w:gridSpan w:val="3"/>
            <w:tcBorders>
              <w:tl2br w:val="nil"/>
              <w:tr2bl w:val="nil"/>
            </w:tcBorders>
            <w:vAlign w:val="center"/>
          </w:tcPr>
          <w:p w14:paraId="24CA801B">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color w:val="000000" w:themeColor="text1"/>
                <w:kern w:val="0"/>
                <w:sz w:val="24"/>
                <w:szCs w:val="24"/>
                <w:vertAlign w:val="baseli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4"/>
                <w:szCs w:val="24"/>
                <w:vertAlign w:val="baseline"/>
                <w:lang w:val="en-US" w:eastAsia="zh-CN" w:bidi="ar"/>
                <w14:textFill>
                  <w14:solidFill>
                    <w14:schemeClr w14:val="tx1"/>
                  </w14:solidFill>
                </w14:textFill>
              </w:rPr>
              <w:t>设置环境风险专项评价。理由：本项目气化站罐区设置2台50m</w:t>
            </w:r>
            <w:r>
              <w:rPr>
                <w:rFonts w:hint="default" w:ascii="Times New Roman" w:hAnsi="Times New Roman" w:eastAsia="宋体" w:cs="Times New Roman"/>
                <w:color w:val="000000" w:themeColor="text1"/>
                <w:kern w:val="0"/>
                <w:sz w:val="24"/>
                <w:szCs w:val="24"/>
                <w:vertAlign w:val="superscript"/>
                <w:lang w:val="en-US" w:eastAsia="zh-CN" w:bidi="ar"/>
                <w14:textFill>
                  <w14:solidFill>
                    <w14:schemeClr w14:val="tx1"/>
                  </w14:solidFill>
                </w14:textFill>
              </w:rPr>
              <w:t>3</w:t>
            </w:r>
            <w:r>
              <w:rPr>
                <w:rFonts w:hint="default" w:ascii="Times New Roman" w:hAnsi="Times New Roman" w:eastAsia="宋体" w:cs="Times New Roman"/>
                <w:color w:val="000000" w:themeColor="text1"/>
                <w:kern w:val="0"/>
                <w:sz w:val="24"/>
                <w:szCs w:val="24"/>
                <w:vertAlign w:val="baseline"/>
                <w:lang w:val="en-US" w:eastAsia="zh-CN" w:bidi="ar"/>
                <w14:textFill>
                  <w14:solidFill>
                    <w14:schemeClr w14:val="tx1"/>
                  </w14:solidFill>
                </w14:textFill>
              </w:rPr>
              <w:t>LNG卧式储罐，充装系数为90%，LNG主要成分为甲烷，甲烷的最大储存量为40.5t。甲烷的临界量为10t，本项目甲烷的最大储存量大于甲烷的临界量，因此需设置环境风险专项评价。</w:t>
            </w:r>
          </w:p>
        </w:tc>
      </w:tr>
      <w:tr w14:paraId="5D78183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17" w:type="pct"/>
            <w:gridSpan w:val="2"/>
            <w:tcBorders>
              <w:tl2br w:val="nil"/>
              <w:tr2bl w:val="nil"/>
            </w:tcBorders>
            <w:vAlign w:val="center"/>
          </w:tcPr>
          <w:p w14:paraId="531F1BD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000000" w:themeColor="text1"/>
                <w:kern w:val="0"/>
                <w:sz w:val="24"/>
                <w:szCs w:val="24"/>
                <w:vertAlign w:val="baseli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规划情况</w:t>
            </w:r>
          </w:p>
        </w:tc>
        <w:tc>
          <w:tcPr>
            <w:tcW w:w="3882" w:type="pct"/>
            <w:gridSpan w:val="3"/>
            <w:tcBorders>
              <w:tl2br w:val="nil"/>
              <w:tr2bl w:val="nil"/>
            </w:tcBorders>
            <w:vAlign w:val="center"/>
          </w:tcPr>
          <w:p w14:paraId="664FF6A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000000" w:themeColor="text1"/>
                <w:kern w:val="0"/>
                <w:sz w:val="24"/>
                <w:szCs w:val="24"/>
                <w:vertAlign w:val="baseli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4"/>
                <w:szCs w:val="24"/>
                <w:vertAlign w:val="baseline"/>
                <w:lang w:val="en-US" w:eastAsia="zh-CN" w:bidi="ar"/>
                <w14:textFill>
                  <w14:solidFill>
                    <w14:schemeClr w14:val="tx1"/>
                  </w14:solidFill>
                </w14:textFill>
              </w:rPr>
              <w:t>无</w:t>
            </w:r>
          </w:p>
        </w:tc>
      </w:tr>
      <w:tr w14:paraId="685119D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17" w:type="pct"/>
            <w:gridSpan w:val="2"/>
            <w:tcBorders>
              <w:tl2br w:val="nil"/>
              <w:tr2bl w:val="nil"/>
            </w:tcBorders>
            <w:vAlign w:val="center"/>
          </w:tcPr>
          <w:p w14:paraId="2155DAA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规划环境影响</w:t>
            </w:r>
          </w:p>
          <w:p w14:paraId="06660AD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000000" w:themeColor="text1"/>
                <w:kern w:val="0"/>
                <w:sz w:val="24"/>
                <w:szCs w:val="24"/>
                <w:vertAlign w:val="baseli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评价情况</w:t>
            </w:r>
          </w:p>
        </w:tc>
        <w:tc>
          <w:tcPr>
            <w:tcW w:w="3882" w:type="pct"/>
            <w:gridSpan w:val="3"/>
            <w:tcBorders>
              <w:tl2br w:val="nil"/>
              <w:tr2bl w:val="nil"/>
            </w:tcBorders>
            <w:vAlign w:val="center"/>
          </w:tcPr>
          <w:p w14:paraId="2E15633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000000" w:themeColor="text1"/>
                <w:kern w:val="0"/>
                <w:sz w:val="24"/>
                <w:szCs w:val="24"/>
                <w:vertAlign w:val="baseli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4"/>
                <w:szCs w:val="24"/>
                <w:vertAlign w:val="baseline"/>
                <w:lang w:val="en-US" w:eastAsia="zh-CN" w:bidi="ar"/>
                <w14:textFill>
                  <w14:solidFill>
                    <w14:schemeClr w14:val="tx1"/>
                  </w14:solidFill>
                </w14:textFill>
              </w:rPr>
              <w:t>无</w:t>
            </w:r>
          </w:p>
        </w:tc>
      </w:tr>
      <w:tr w14:paraId="4DB0673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17" w:type="pct"/>
            <w:gridSpan w:val="2"/>
            <w:tcBorders>
              <w:tl2br w:val="nil"/>
              <w:tr2bl w:val="nil"/>
            </w:tcBorders>
            <w:vAlign w:val="center"/>
          </w:tcPr>
          <w:p w14:paraId="07FA8D8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000000" w:themeColor="text1"/>
                <w:kern w:val="0"/>
                <w:sz w:val="24"/>
                <w:szCs w:val="24"/>
                <w:vertAlign w:val="baseli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规划及规划环境影响评价符合性分析</w:t>
            </w:r>
          </w:p>
        </w:tc>
        <w:tc>
          <w:tcPr>
            <w:tcW w:w="3882" w:type="pct"/>
            <w:gridSpan w:val="3"/>
            <w:tcBorders>
              <w:tl2br w:val="nil"/>
              <w:tr2bl w:val="nil"/>
            </w:tcBorders>
            <w:vAlign w:val="center"/>
          </w:tcPr>
          <w:p w14:paraId="152F6FD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000000" w:themeColor="text1"/>
                <w:kern w:val="0"/>
                <w:sz w:val="24"/>
                <w:szCs w:val="24"/>
                <w:vertAlign w:val="baseli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4"/>
                <w:szCs w:val="24"/>
                <w:vertAlign w:val="baseline"/>
                <w:lang w:val="en-US" w:eastAsia="zh-CN" w:bidi="ar"/>
                <w14:textFill>
                  <w14:solidFill>
                    <w14:schemeClr w14:val="tx1"/>
                  </w14:solidFill>
                </w14:textFill>
              </w:rPr>
              <w:t>无</w:t>
            </w:r>
          </w:p>
        </w:tc>
      </w:tr>
      <w:tr w14:paraId="4B50B25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28" w:type="pct"/>
            <w:tcBorders>
              <w:tl2br w:val="nil"/>
              <w:tr2bl w:val="nil"/>
            </w:tcBorders>
            <w:vAlign w:val="center"/>
          </w:tcPr>
          <w:p w14:paraId="40FF6AE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000000" w:themeColor="text1"/>
                <w:kern w:val="0"/>
                <w:sz w:val="24"/>
                <w:szCs w:val="24"/>
                <w:vertAlign w:val="baseli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其他符合性分析</w:t>
            </w:r>
          </w:p>
        </w:tc>
        <w:tc>
          <w:tcPr>
            <w:tcW w:w="4571" w:type="pct"/>
            <w:gridSpan w:val="4"/>
            <w:tcBorders>
              <w:tl2br w:val="nil"/>
              <w:tr2bl w:val="nil"/>
            </w:tcBorders>
            <w:vAlign w:val="center"/>
          </w:tcPr>
          <w:p w14:paraId="55137C45">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kern w:val="0"/>
                <w:sz w:val="24"/>
                <w:szCs w:val="24"/>
                <w:vertAlign w:val="baseline"/>
                <w:lang w:val="en-US" w:eastAsia="zh-CN" w:bidi="ar"/>
                <w14:textFill>
                  <w14:solidFill>
                    <w14:schemeClr w14:val="tx1"/>
                  </w14:solidFill>
                </w14:textFill>
              </w:rPr>
              <w:t>1.本项目与“三线一单”的符合性分析</w:t>
            </w:r>
          </w:p>
          <w:p w14:paraId="1CDA6C39">
            <w:pPr>
              <w:keepNext w:val="0"/>
              <w:keepLines w:val="0"/>
              <w:pageBreakBefore w:val="0"/>
              <w:widowControl w:val="0"/>
              <w:kinsoku/>
              <w:wordWrap/>
              <w:overflowPunct/>
              <w:topLinePunct w:val="0"/>
              <w:autoSpaceDE/>
              <w:autoSpaceDN/>
              <w:bidi w:val="0"/>
              <w:adjustRightInd/>
              <w:snapToGrid/>
              <w:spacing w:line="360" w:lineRule="auto"/>
              <w:ind w:left="0" w:leftChars="0" w:firstLine="482" w:firstLineChars="200"/>
              <w:textAlignment w:val="auto"/>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t>（1）“一图”（空间冲突示意图）</w:t>
            </w:r>
          </w:p>
          <w:p w14:paraId="1061D48B">
            <w:pPr>
              <w:pStyle w:val="15"/>
              <w:keepNext w:val="0"/>
              <w:keepLines w:val="0"/>
              <w:pageBreakBefore w:val="0"/>
              <w:widowControl w:val="0"/>
              <w:kinsoku/>
              <w:wordWrap/>
              <w:overflowPunct/>
              <w:topLinePunct w:val="0"/>
              <w:bidi w:val="0"/>
              <w:adjustRightInd/>
              <w:snapToGrid/>
              <w:spacing w:after="0" w:line="360" w:lineRule="auto"/>
              <w:ind w:left="0" w:leftChars="0" w:firstLine="0" w:firstLineChars="0"/>
              <w:jc w:val="center"/>
              <w:textAlignment w:val="auto"/>
              <w:rPr>
                <w:rFonts w:hint="default" w:ascii="Times New Roman" w:hAnsi="Times New Roman" w:eastAsia="宋体" w:cs="Times New Roman"/>
                <w:b/>
                <w:bCs/>
                <w:color w:val="000000" w:themeColor="text1"/>
                <w:lang w:val="en-US" w:eastAsia="zh-CN"/>
                <w14:textFill>
                  <w14:solidFill>
                    <w14:schemeClr w14:val="tx1"/>
                  </w14:solidFill>
                </w14:textFill>
              </w:rPr>
            </w:pPr>
            <w:r>
              <w:rPr>
                <w:rFonts w:hint="default" w:ascii="Times New Roman" w:hAnsi="Times New Roman" w:eastAsia="宋体" w:cs="Times New Roman"/>
                <w:b/>
                <w:bCs/>
                <w:color w:val="000000" w:themeColor="text1"/>
                <w:lang w:val="en-US" w:eastAsia="zh-CN"/>
                <w14:textFill>
                  <w14:solidFill>
                    <w14:schemeClr w14:val="tx1"/>
                  </w14:solidFill>
                </w14:textFill>
              </w:rPr>
              <w:drawing>
                <wp:inline distT="0" distB="0" distL="114300" distR="114300">
                  <wp:extent cx="5255895" cy="7720965"/>
                  <wp:effectExtent l="0" t="0" r="1905" b="13335"/>
                  <wp:docPr id="3" name="图片 3" descr="11111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1111_00"/>
                          <pic:cNvPicPr>
                            <a:picLocks noChangeAspect="1"/>
                          </pic:cNvPicPr>
                        </pic:nvPicPr>
                        <pic:blipFill>
                          <a:blip r:embed="rId5"/>
                          <a:stretch>
                            <a:fillRect/>
                          </a:stretch>
                        </pic:blipFill>
                        <pic:spPr>
                          <a:xfrm>
                            <a:off x="0" y="0"/>
                            <a:ext cx="5255895" cy="7720965"/>
                          </a:xfrm>
                          <a:prstGeom prst="rect">
                            <a:avLst/>
                          </a:prstGeom>
                        </pic:spPr>
                      </pic:pic>
                    </a:graphicData>
                  </a:graphic>
                </wp:inline>
              </w:drawing>
            </w:r>
          </w:p>
          <w:p w14:paraId="4A0AA1EF">
            <w:pPr>
              <w:pStyle w:val="22"/>
              <w:keepNext w:val="0"/>
              <w:keepLines w:val="0"/>
              <w:pageBreakBefore w:val="0"/>
              <w:widowControl w:val="0"/>
              <w:shd w:val="clear" w:color="auto" w:fill="FFFFFF"/>
              <w:kinsoku/>
              <w:wordWrap/>
              <w:overflowPunct/>
              <w:topLinePunct w:val="0"/>
              <w:autoSpaceDE w:val="0"/>
              <w:autoSpaceDN w:val="0"/>
              <w:bidi w:val="0"/>
              <w:adjustRightInd/>
              <w:snapToGrid/>
              <w:spacing w:line="360" w:lineRule="auto"/>
              <w:jc w:val="center"/>
              <w:textAlignment w:val="auto"/>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图1-1   空间冲突示意图</w:t>
            </w:r>
          </w:p>
          <w:p w14:paraId="7264D8D2">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b/>
                <w:bCs/>
                <w:color w:val="000000" w:themeColor="text1"/>
                <w:kern w:val="0"/>
                <w:sz w:val="24"/>
                <w:szCs w:val="24"/>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4"/>
                <w:szCs w:val="24"/>
                <w:lang w:val="en-US" w:eastAsia="zh-CN" w:bidi="ar"/>
                <w14:textFill>
                  <w14:solidFill>
                    <w14:schemeClr w14:val="tx1"/>
                  </w14:solidFill>
                </w14:textFill>
              </w:rPr>
              <w:t>本项目涉及的环境管控单元为一般管控单元，涉及面积约5295.25m</w:t>
            </w:r>
            <w:r>
              <w:rPr>
                <w:rFonts w:hint="default" w:ascii="Times New Roman" w:hAnsi="Times New Roman" w:eastAsia="宋体" w:cs="Times New Roman"/>
                <w:b w:val="0"/>
                <w:bCs w:val="0"/>
                <w:color w:val="000000" w:themeColor="text1"/>
                <w:kern w:val="0"/>
                <w:sz w:val="24"/>
                <w:szCs w:val="24"/>
                <w:vertAlign w:val="superscript"/>
                <w:lang w:val="en-US" w:eastAsia="zh-CN" w:bidi="ar"/>
                <w14:textFill>
                  <w14:solidFill>
                    <w14:schemeClr w14:val="tx1"/>
                  </w14:solidFill>
                </w14:textFill>
              </w:rPr>
              <w:t>2</w:t>
            </w:r>
            <w:r>
              <w:rPr>
                <w:rFonts w:hint="default" w:ascii="Times New Roman" w:hAnsi="Times New Roman" w:eastAsia="宋体" w:cs="Times New Roman"/>
                <w:b w:val="0"/>
                <w:bCs w:val="0"/>
                <w:color w:val="000000" w:themeColor="text1"/>
                <w:kern w:val="0"/>
                <w:sz w:val="24"/>
                <w:szCs w:val="24"/>
                <w:lang w:val="en-US" w:eastAsia="zh-CN" w:bidi="ar"/>
                <w14:textFill>
                  <w14:solidFill>
                    <w14:schemeClr w14:val="tx1"/>
                  </w14:solidFill>
                </w14:textFill>
              </w:rPr>
              <w:t>。</w:t>
            </w:r>
          </w:p>
          <w:p w14:paraId="1E7230F4">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left"/>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b/>
                <w:bCs/>
                <w:color w:val="000000" w:themeColor="text1"/>
                <w:kern w:val="0"/>
                <w:sz w:val="24"/>
                <w:szCs w:val="24"/>
                <w:lang w:val="en-US" w:eastAsia="zh-CN" w:bidi="ar"/>
                <w14:textFill>
                  <w14:solidFill>
                    <w14:schemeClr w14:val="tx1"/>
                  </w14:solidFill>
                </w14:textFill>
              </w:rPr>
              <w:t>（2）“一表”（环境管控单元管控要求）</w:t>
            </w:r>
          </w:p>
          <w:p w14:paraId="0611BC0C">
            <w:pPr>
              <w:pStyle w:val="22"/>
              <w:keepNext w:val="0"/>
              <w:keepLines w:val="0"/>
              <w:pageBreakBefore w:val="0"/>
              <w:widowControl w:val="0"/>
              <w:shd w:val="clear" w:color="auto" w:fill="FFFFFF"/>
              <w:kinsoku/>
              <w:wordWrap/>
              <w:overflowPunct/>
              <w:topLinePunct w:val="0"/>
              <w:autoSpaceDE w:val="0"/>
              <w:autoSpaceDN w:val="0"/>
              <w:bidi w:val="0"/>
              <w:adjustRightInd/>
              <w:snapToGrid/>
              <w:spacing w:line="360" w:lineRule="auto"/>
              <w:jc w:val="center"/>
              <w:textAlignment w:val="auto"/>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表1-1   本项目涉及的环境管控单元管控要求</w:t>
            </w:r>
          </w:p>
          <w:tbl>
            <w:tblPr>
              <w:tblStyle w:val="17"/>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6"/>
              <w:gridCol w:w="715"/>
              <w:gridCol w:w="798"/>
              <w:gridCol w:w="2910"/>
              <w:gridCol w:w="3518"/>
            </w:tblGrid>
            <w:tr w14:paraId="7CFAA5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12" w:type="pct"/>
                  <w:noWrap w:val="0"/>
                  <w:vAlign w:val="center"/>
                </w:tcPr>
                <w:p w14:paraId="1EA1AAAD">
                  <w:pPr>
                    <w:pStyle w:val="22"/>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环境管控单元名称</w:t>
                  </w:r>
                </w:p>
              </w:tc>
              <w:tc>
                <w:tcPr>
                  <w:tcW w:w="404" w:type="pct"/>
                  <w:noWrap w:val="0"/>
                  <w:vAlign w:val="center"/>
                </w:tcPr>
                <w:p w14:paraId="0652A25F">
                  <w:pPr>
                    <w:pStyle w:val="22"/>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单元要素属性</w:t>
                  </w:r>
                </w:p>
              </w:tc>
              <w:tc>
                <w:tcPr>
                  <w:tcW w:w="451" w:type="pct"/>
                  <w:noWrap w:val="0"/>
                  <w:vAlign w:val="center"/>
                </w:tcPr>
                <w:p w14:paraId="1735F4C9">
                  <w:pPr>
                    <w:pStyle w:val="22"/>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管控要求分类</w:t>
                  </w:r>
                </w:p>
              </w:tc>
              <w:tc>
                <w:tcPr>
                  <w:tcW w:w="1644" w:type="pct"/>
                  <w:noWrap w:val="0"/>
                  <w:vAlign w:val="center"/>
                </w:tcPr>
                <w:p w14:paraId="41CA6031">
                  <w:pPr>
                    <w:pStyle w:val="22"/>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管控要求</w:t>
                  </w:r>
                </w:p>
              </w:tc>
              <w:tc>
                <w:tcPr>
                  <w:tcW w:w="1988" w:type="pct"/>
                  <w:noWrap w:val="0"/>
                  <w:vAlign w:val="center"/>
                </w:tcPr>
                <w:p w14:paraId="571E0AB1">
                  <w:pPr>
                    <w:pStyle w:val="22"/>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符合性分析</w:t>
                  </w:r>
                </w:p>
              </w:tc>
            </w:tr>
            <w:tr w14:paraId="2730D6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2" w:type="pct"/>
                  <w:noWrap w:val="0"/>
                  <w:vAlign w:val="center"/>
                </w:tcPr>
                <w:p w14:paraId="607C1519">
                  <w:pPr>
                    <w:keepNext w:val="0"/>
                    <w:keepLines w:val="0"/>
                    <w:pageBreakBefore w:val="0"/>
                    <w:widowControl/>
                    <w:suppressLineNumbers w:val="0"/>
                    <w:kinsoku/>
                    <w:wordWrap/>
                    <w:overflowPunct/>
                    <w:topLinePunct w:val="0"/>
                    <w:bidi w:val="0"/>
                    <w:adjustRightInd/>
                    <w:snapToGrid/>
                    <w:spacing w:line="240" w:lineRule="auto"/>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陕西</w:t>
                  </w:r>
                </w:p>
                <w:p w14:paraId="776FB435">
                  <w:pPr>
                    <w:keepNext w:val="0"/>
                    <w:keepLines w:val="0"/>
                    <w:pageBreakBefore w:val="0"/>
                    <w:widowControl/>
                    <w:suppressLineNumbers w:val="0"/>
                    <w:kinsoku/>
                    <w:wordWrap/>
                    <w:overflowPunct/>
                    <w:topLinePunct w:val="0"/>
                    <w:bidi w:val="0"/>
                    <w:adjustRightInd/>
                    <w:snapToGrid/>
                    <w:spacing w:line="240" w:lineRule="auto"/>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省宝</w:t>
                  </w:r>
                </w:p>
                <w:p w14:paraId="3B5A2EDD">
                  <w:pPr>
                    <w:keepNext w:val="0"/>
                    <w:keepLines w:val="0"/>
                    <w:pageBreakBefore w:val="0"/>
                    <w:widowControl/>
                    <w:suppressLineNumbers w:val="0"/>
                    <w:kinsoku/>
                    <w:wordWrap/>
                    <w:overflowPunct/>
                    <w:topLinePunct w:val="0"/>
                    <w:bidi w:val="0"/>
                    <w:adjustRightInd/>
                    <w:snapToGrid/>
                    <w:spacing w:line="240" w:lineRule="auto"/>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鸡市</w:t>
                  </w:r>
                </w:p>
                <w:p w14:paraId="7D80EED3">
                  <w:pPr>
                    <w:keepNext w:val="0"/>
                    <w:keepLines w:val="0"/>
                    <w:pageBreakBefore w:val="0"/>
                    <w:widowControl/>
                    <w:suppressLineNumbers w:val="0"/>
                    <w:kinsoku/>
                    <w:wordWrap/>
                    <w:overflowPunct/>
                    <w:topLinePunct w:val="0"/>
                    <w:bidi w:val="0"/>
                    <w:adjustRightInd/>
                    <w:snapToGrid/>
                    <w:spacing w:line="240" w:lineRule="auto"/>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陈仓</w:t>
                  </w:r>
                </w:p>
                <w:p w14:paraId="0D04A26C">
                  <w:pPr>
                    <w:keepNext w:val="0"/>
                    <w:keepLines w:val="0"/>
                    <w:pageBreakBefore w:val="0"/>
                    <w:widowControl/>
                    <w:suppressLineNumbers w:val="0"/>
                    <w:kinsoku/>
                    <w:wordWrap/>
                    <w:overflowPunct/>
                    <w:topLinePunct w:val="0"/>
                    <w:bidi w:val="0"/>
                    <w:adjustRightInd/>
                    <w:snapToGrid/>
                    <w:spacing w:line="240" w:lineRule="auto"/>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区一</w:t>
                  </w:r>
                </w:p>
                <w:p w14:paraId="30CA31D0">
                  <w:pPr>
                    <w:keepNext w:val="0"/>
                    <w:keepLines w:val="0"/>
                    <w:pageBreakBefore w:val="0"/>
                    <w:widowControl/>
                    <w:suppressLineNumbers w:val="0"/>
                    <w:kinsoku/>
                    <w:wordWrap/>
                    <w:overflowPunct/>
                    <w:topLinePunct w:val="0"/>
                    <w:bidi w:val="0"/>
                    <w:adjustRightInd/>
                    <w:snapToGrid/>
                    <w:spacing w:line="240" w:lineRule="auto"/>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般管</w:t>
                  </w:r>
                </w:p>
                <w:p w14:paraId="50DC313A">
                  <w:pPr>
                    <w:keepNext w:val="0"/>
                    <w:keepLines w:val="0"/>
                    <w:pageBreakBefore w:val="0"/>
                    <w:widowControl/>
                    <w:suppressLineNumbers w:val="0"/>
                    <w:kinsoku/>
                    <w:wordWrap/>
                    <w:overflowPunct/>
                    <w:topLinePunct w:val="0"/>
                    <w:bidi w:val="0"/>
                    <w:adjustRightInd/>
                    <w:snapToGrid/>
                    <w:spacing w:line="240" w:lineRule="auto"/>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控单</w:t>
                  </w:r>
                </w:p>
                <w:p w14:paraId="6CB9E755">
                  <w:pPr>
                    <w:keepNext w:val="0"/>
                    <w:keepLines w:val="0"/>
                    <w:pageBreakBefore w:val="0"/>
                    <w:widowControl/>
                    <w:suppressLineNumbers w:val="0"/>
                    <w:kinsoku/>
                    <w:wordWrap/>
                    <w:overflowPunct/>
                    <w:topLinePunct w:val="0"/>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元</w:t>
                  </w:r>
                </w:p>
              </w:tc>
              <w:tc>
                <w:tcPr>
                  <w:tcW w:w="404" w:type="pct"/>
                  <w:noWrap w:val="0"/>
                  <w:vAlign w:val="center"/>
                </w:tcPr>
                <w:p w14:paraId="688B25F3">
                  <w:pPr>
                    <w:keepNext w:val="0"/>
                    <w:keepLines w:val="0"/>
                    <w:pageBreakBefore w:val="0"/>
                    <w:widowControl/>
                    <w:suppressLineNumbers w:val="0"/>
                    <w:kinsoku/>
                    <w:wordWrap/>
                    <w:overflowPunct/>
                    <w:topLinePunct w:val="0"/>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无</w:t>
                  </w:r>
                </w:p>
              </w:tc>
              <w:tc>
                <w:tcPr>
                  <w:tcW w:w="451" w:type="pct"/>
                  <w:noWrap w:val="0"/>
                  <w:vAlign w:val="center"/>
                </w:tcPr>
                <w:p w14:paraId="449BC44D">
                  <w:pPr>
                    <w:keepNext w:val="0"/>
                    <w:keepLines w:val="0"/>
                    <w:pageBreakBefore w:val="0"/>
                    <w:widowControl/>
                    <w:suppressLineNumbers w:val="0"/>
                    <w:kinsoku/>
                    <w:wordWrap/>
                    <w:overflowPunct/>
                    <w:topLinePunct w:val="0"/>
                    <w:bidi w:val="0"/>
                    <w:adjustRightInd/>
                    <w:snapToGrid/>
                    <w:spacing w:line="240" w:lineRule="auto"/>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空间布局</w:t>
                  </w:r>
                </w:p>
                <w:p w14:paraId="34EFD1B9">
                  <w:pPr>
                    <w:keepNext w:val="0"/>
                    <w:keepLines w:val="0"/>
                    <w:pageBreakBefore w:val="0"/>
                    <w:widowControl/>
                    <w:suppressLineNumbers w:val="0"/>
                    <w:kinsoku/>
                    <w:wordWrap/>
                    <w:overflowPunct/>
                    <w:topLinePunct w:val="0"/>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约束</w:t>
                  </w:r>
                </w:p>
              </w:tc>
              <w:tc>
                <w:tcPr>
                  <w:tcW w:w="1644" w:type="pct"/>
                  <w:noWrap w:val="0"/>
                  <w:vAlign w:val="center"/>
                </w:tcPr>
                <w:p w14:paraId="3C57AE65">
                  <w:pPr>
                    <w:keepNext w:val="0"/>
                    <w:keepLines w:val="0"/>
                    <w:pageBreakBefore w:val="0"/>
                    <w:widowControl/>
                    <w:suppressLineNumbers w:val="0"/>
                    <w:kinsoku/>
                    <w:wordWrap/>
                    <w:overflowPunct/>
                    <w:topLinePunct w:val="0"/>
                    <w:bidi w:val="0"/>
                    <w:adjustRightInd/>
                    <w:snapToGrid/>
                    <w:spacing w:line="240" w:lineRule="auto"/>
                    <w:jc w:val="both"/>
                    <w:textAlignment w:val="auto"/>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 xml:space="preserve">1.执行宝鸡市生态环境要素分区总体准入清单中“6.1 一般管控单元的总体要求”； </w:t>
                  </w:r>
                </w:p>
                <w:p w14:paraId="0558B7F3">
                  <w:pPr>
                    <w:keepNext w:val="0"/>
                    <w:keepLines w:val="0"/>
                    <w:pageBreakBefore w:val="0"/>
                    <w:widowControl/>
                    <w:suppressLineNumbers w:val="0"/>
                    <w:kinsoku/>
                    <w:wordWrap/>
                    <w:overflowPunct/>
                    <w:topLinePunct w:val="0"/>
                    <w:bidi w:val="0"/>
                    <w:adjustRightInd/>
                    <w:snapToGrid/>
                    <w:spacing w:line="240" w:lineRule="auto"/>
                    <w:jc w:val="both"/>
                    <w:textAlignment w:val="auto"/>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 xml:space="preserve">2.秦岭一般保护区执行宝鸡市生态环境要素分区总体准入清单中“3.10 秦岭一般保护区的空间布局约束”； </w:t>
                  </w:r>
                </w:p>
                <w:p w14:paraId="72C471A8">
                  <w:pPr>
                    <w:keepNext w:val="0"/>
                    <w:keepLines w:val="0"/>
                    <w:pageBreakBefore w:val="0"/>
                    <w:widowControl/>
                    <w:suppressLineNumbers w:val="0"/>
                    <w:kinsoku/>
                    <w:wordWrap/>
                    <w:overflowPunct/>
                    <w:topLinePunct w:val="0"/>
                    <w:bidi w:val="0"/>
                    <w:adjustRightInd/>
                    <w:snapToGrid/>
                    <w:spacing w:line="240" w:lineRule="auto"/>
                    <w:jc w:val="both"/>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3.农用地优先保护区执行宝鸡市生态环境要素分区总体准入清单中“4.2 农用地优先保护区的空间布局约束”。</w:t>
                  </w:r>
                </w:p>
              </w:tc>
              <w:tc>
                <w:tcPr>
                  <w:tcW w:w="1988" w:type="pct"/>
                  <w:noWrap w:val="0"/>
                  <w:vAlign w:val="center"/>
                </w:tcPr>
                <w:p w14:paraId="739B82DA">
                  <w:pPr>
                    <w:keepNext w:val="0"/>
                    <w:keepLines w:val="0"/>
                    <w:pageBreakBefore w:val="0"/>
                    <w:widowControl/>
                    <w:suppressLineNumbers w:val="0"/>
                    <w:kinsoku/>
                    <w:wordWrap/>
                    <w:overflowPunct/>
                    <w:topLinePunct w:val="0"/>
                    <w:bidi w:val="0"/>
                    <w:adjustRightInd/>
                    <w:snapToGrid/>
                    <w:spacing w:line="240" w:lineRule="auto"/>
                    <w:jc w:val="both"/>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1.</w:t>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本项目LNG气化站选址位于</w:t>
                  </w:r>
                  <w:r>
                    <w:rPr>
                      <w:rFonts w:hint="default" w:ascii="Times New Roman" w:hAnsi="Times New Roman" w:eastAsia="宋体" w:cs="Times New Roman"/>
                      <w:color w:val="000000" w:themeColor="text1"/>
                      <w:kern w:val="0"/>
                      <w:sz w:val="21"/>
                      <w:szCs w:val="21"/>
                      <w:vertAlign w:val="baseline"/>
                      <w:lang w:val="en-US" w:eastAsia="zh-CN" w:bidi="ar"/>
                      <w14:textFill>
                        <w14:solidFill>
                          <w14:schemeClr w14:val="tx1"/>
                        </w14:solidFill>
                      </w14:textFill>
                    </w:rPr>
                    <w:t>宝鸡市陈仓区坪头镇新民村九龙山景区内，利用</w:t>
                  </w: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九龙山景区</w:t>
                  </w:r>
                  <w:r>
                    <w:rPr>
                      <w:rFonts w:hint="default" w:ascii="Times New Roman" w:hAnsi="Times New Roman" w:eastAsia="宋体" w:cs="Times New Roman"/>
                      <w:b w:val="0"/>
                      <w:bCs w:val="0"/>
                      <w:color w:val="000000" w:themeColor="text1"/>
                      <w:kern w:val="0"/>
                      <w:sz w:val="21"/>
                      <w:szCs w:val="21"/>
                      <w:u w:val="none"/>
                      <w:vertAlign w:val="baseline"/>
                      <w:lang w:val="en-US" w:eastAsia="zh-CN" w:bidi="ar"/>
                      <w14:textFill>
                        <w14:solidFill>
                          <w14:schemeClr w14:val="tx1"/>
                        </w14:solidFill>
                      </w14:textFill>
                    </w:rPr>
                    <w:t>庵里村综合服务区现有停车场用地进行建设</w:t>
                  </w: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w:t>
                  </w:r>
                </w:p>
                <w:p w14:paraId="4E70F46F">
                  <w:pPr>
                    <w:keepNext w:val="0"/>
                    <w:keepLines w:val="0"/>
                    <w:pageBreakBefore w:val="0"/>
                    <w:widowControl/>
                    <w:suppressLineNumbers w:val="0"/>
                    <w:kinsoku/>
                    <w:wordWrap/>
                    <w:overflowPunct/>
                    <w:topLinePunct w:val="0"/>
                    <w:bidi w:val="0"/>
                    <w:adjustRightInd/>
                    <w:snapToGrid/>
                    <w:spacing w:line="240" w:lineRule="auto"/>
                    <w:jc w:val="both"/>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p>
                <w:p w14:paraId="791F878F">
                  <w:pPr>
                    <w:keepNext w:val="0"/>
                    <w:keepLines w:val="0"/>
                    <w:pageBreakBefore w:val="0"/>
                    <w:widowControl/>
                    <w:suppressLineNumbers w:val="0"/>
                    <w:kinsoku/>
                    <w:wordWrap/>
                    <w:overflowPunct/>
                    <w:topLinePunct w:val="0"/>
                    <w:bidi w:val="0"/>
                    <w:adjustRightInd/>
                    <w:snapToGrid/>
                    <w:spacing w:line="240" w:lineRule="auto"/>
                    <w:jc w:val="both"/>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p>
                <w:p w14:paraId="6D75BA90">
                  <w:pPr>
                    <w:keepNext w:val="0"/>
                    <w:keepLines w:val="0"/>
                    <w:pageBreakBefore w:val="0"/>
                    <w:widowControl/>
                    <w:suppressLineNumbers w:val="0"/>
                    <w:kinsoku/>
                    <w:wordWrap/>
                    <w:overflowPunct/>
                    <w:topLinePunct w:val="0"/>
                    <w:bidi w:val="0"/>
                    <w:adjustRightInd/>
                    <w:snapToGrid/>
                    <w:spacing w:line="240" w:lineRule="auto"/>
                    <w:jc w:val="both"/>
                    <w:textAlignment w:val="auto"/>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不涉及法定保护地，本项目</w:t>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属于景区燃气锅炉房配套设施。</w:t>
                  </w:r>
                </w:p>
                <w:p w14:paraId="6706DF6D">
                  <w:pPr>
                    <w:keepNext w:val="0"/>
                    <w:keepLines w:val="0"/>
                    <w:pageBreakBefore w:val="0"/>
                    <w:widowControl/>
                    <w:suppressLineNumbers w:val="0"/>
                    <w:kinsoku/>
                    <w:wordWrap/>
                    <w:overflowPunct/>
                    <w:topLinePunct w:val="0"/>
                    <w:bidi w:val="0"/>
                    <w:adjustRightInd/>
                    <w:snapToGrid/>
                    <w:spacing w:line="240" w:lineRule="auto"/>
                    <w:jc w:val="both"/>
                    <w:textAlignment w:val="auto"/>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2.依据陕西省人民政府办公厅《关于印发秦岭生态环境保护总体规划的通知》（陕政办发〔2020〕13号），本项目位于</w:t>
                  </w:r>
                  <w:r>
                    <w:rPr>
                      <w:rFonts w:hint="default" w:ascii="Times New Roman" w:hAnsi="Times New Roman" w:eastAsia="宋体" w:cs="Times New Roman"/>
                      <w:color w:val="000000" w:themeColor="text1"/>
                      <w:kern w:val="0"/>
                      <w:sz w:val="21"/>
                      <w:szCs w:val="21"/>
                      <w:vertAlign w:val="baseline"/>
                      <w:lang w:val="en-US" w:eastAsia="zh-CN" w:bidi="ar"/>
                      <w14:textFill>
                        <w14:solidFill>
                          <w14:schemeClr w14:val="tx1"/>
                        </w14:solidFill>
                      </w14:textFill>
                    </w:rPr>
                    <w:t>新民村九龙山景区内，位于渭河北岸约3.6km处，</w:t>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不在秦岭保护区范围内。</w:t>
                  </w:r>
                </w:p>
                <w:p w14:paraId="0D14B967">
                  <w:pPr>
                    <w:keepNext w:val="0"/>
                    <w:keepLines w:val="0"/>
                    <w:pageBreakBefore w:val="0"/>
                    <w:widowControl/>
                    <w:suppressLineNumbers w:val="0"/>
                    <w:kinsoku/>
                    <w:wordWrap/>
                    <w:overflowPunct/>
                    <w:topLinePunct w:val="0"/>
                    <w:bidi w:val="0"/>
                    <w:adjustRightInd/>
                    <w:snapToGrid/>
                    <w:spacing w:line="240" w:lineRule="auto"/>
                    <w:jc w:val="both"/>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3.本项目用地性质为建设用地。</w:t>
                  </w:r>
                </w:p>
              </w:tc>
            </w:tr>
          </w:tbl>
          <w:p w14:paraId="383287C1">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bCs/>
                <w:color w:val="000000" w:themeColor="text1"/>
                <w:sz w:val="24"/>
                <w:szCs w:val="24"/>
                <w14:textFill>
                  <w14:solidFill>
                    <w14:schemeClr w14:val="tx1"/>
                  </w14:solidFill>
                </w14:textFill>
              </w:rPr>
            </w:pPr>
            <w:r>
              <w:rPr>
                <w:rFonts w:hint="default" w:ascii="Times New Roman" w:hAnsi="Times New Roman" w:eastAsia="宋体" w:cs="Times New Roman"/>
                <w:b/>
                <w:bCs/>
                <w:color w:val="000000" w:themeColor="text1"/>
                <w:sz w:val="24"/>
                <w:szCs w:val="24"/>
                <w14:textFill>
                  <w14:solidFill>
                    <w14:schemeClr w14:val="tx1"/>
                  </w14:solidFill>
                </w14:textFill>
              </w:rPr>
              <w:t>（3）“一说明”</w:t>
            </w:r>
          </w:p>
          <w:p w14:paraId="450DFACB">
            <w:pPr>
              <w:keepNext w:val="0"/>
              <w:keepLines w:val="0"/>
              <w:pageBreakBefore w:val="0"/>
              <w:widowControl/>
              <w:suppressLineNumbers w:val="0"/>
              <w:kinsoku/>
              <w:wordWrap/>
              <w:overflowPunct/>
              <w:topLinePunct w:val="0"/>
              <w:bidi w:val="0"/>
              <w:adjustRightInd/>
              <w:snapToGrid/>
              <w:spacing w:line="360" w:lineRule="auto"/>
              <w:ind w:firstLine="480" w:firstLineChars="200"/>
              <w:jc w:val="both"/>
              <w:textAlignment w:val="auto"/>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九龙山景区位于</w:t>
            </w:r>
            <w:r>
              <w:rPr>
                <w:rFonts w:hint="default" w:ascii="Times New Roman" w:hAnsi="Times New Roman" w:eastAsia="宋体" w:cs="Times New Roman"/>
                <w:color w:val="000000" w:themeColor="text1"/>
                <w:kern w:val="0"/>
                <w:sz w:val="24"/>
                <w:szCs w:val="24"/>
                <w:vertAlign w:val="baseline"/>
                <w:lang w:val="en-US" w:eastAsia="zh-CN" w:bidi="ar"/>
                <w14:textFill>
                  <w14:solidFill>
                    <w14:schemeClr w14:val="tx1"/>
                  </w14:solidFill>
                </w14:textFill>
              </w:rPr>
              <w:t>坪头镇新民村，</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位置偏远，目前市政天然气管线未接通，新建的燃气锅炉无法使用市政天然气管网供气。企业为了解决燃气锅炉用气问题，</w:t>
            </w:r>
            <w:r>
              <w:rPr>
                <w:rFonts w:hint="default" w:ascii="Times New Roman" w:hAnsi="Times New Roman" w:eastAsia="宋体" w:cs="Times New Roman"/>
                <w:color w:val="000000" w:themeColor="text1"/>
                <w:kern w:val="0"/>
                <w:sz w:val="24"/>
                <w:szCs w:val="24"/>
                <w:vertAlign w:val="baseline"/>
                <w:lang w:val="en-US" w:eastAsia="zh-CN" w:bidi="ar"/>
                <w14:textFill>
                  <w14:solidFill>
                    <w14:schemeClr w14:val="tx1"/>
                  </w14:solidFill>
                </w14:textFill>
              </w:rPr>
              <w:t>利用</w:t>
            </w:r>
            <w:r>
              <w:rPr>
                <w:rFonts w:hint="default" w:ascii="Times New Roman" w:hAnsi="Times New Roman" w:eastAsia="宋体" w:cs="Times New Roman"/>
                <w:b w:val="0"/>
                <w:bCs w:val="0"/>
                <w:color w:val="000000" w:themeColor="text1"/>
                <w:kern w:val="0"/>
                <w:sz w:val="24"/>
                <w:szCs w:val="24"/>
                <w:vertAlign w:val="baseline"/>
                <w:lang w:val="en-US" w:eastAsia="zh-CN" w:bidi="ar"/>
                <w14:textFill>
                  <w14:solidFill>
                    <w14:schemeClr w14:val="tx1"/>
                  </w14:solidFill>
                </w14:textFill>
              </w:rPr>
              <w:t>九龙山景区</w:t>
            </w:r>
            <w:r>
              <w:rPr>
                <w:rFonts w:hint="default" w:ascii="Times New Roman" w:hAnsi="Times New Roman" w:eastAsia="宋体" w:cs="Times New Roman"/>
                <w:b w:val="0"/>
                <w:bCs w:val="0"/>
                <w:color w:val="000000" w:themeColor="text1"/>
                <w:kern w:val="0"/>
                <w:sz w:val="24"/>
                <w:szCs w:val="24"/>
                <w:u w:val="none"/>
                <w:vertAlign w:val="baseline"/>
                <w:lang w:val="en-US" w:eastAsia="zh-CN" w:bidi="ar"/>
                <w14:textFill>
                  <w14:solidFill>
                    <w14:schemeClr w14:val="tx1"/>
                  </w14:solidFill>
                </w14:textFill>
              </w:rPr>
              <w:t>庵里村综合服务区现有停车场用地</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新建1座LNG气化站，外购LNG经气化后通过燃气管道输送至锅炉房外调压柜，经调压后送入燃气锅炉房。</w:t>
            </w:r>
          </w:p>
          <w:p w14:paraId="0B0C7447">
            <w:pPr>
              <w:keepNext w:val="0"/>
              <w:keepLines w:val="0"/>
              <w:pageBreakBefore w:val="0"/>
              <w:widowControl/>
              <w:suppressLineNumbers w:val="0"/>
              <w:kinsoku/>
              <w:wordWrap/>
              <w:overflowPunct/>
              <w:topLinePunct w:val="0"/>
              <w:bidi w:val="0"/>
              <w:adjustRightInd/>
              <w:snapToGrid/>
              <w:spacing w:line="360" w:lineRule="auto"/>
              <w:ind w:firstLine="480" w:firstLineChars="200"/>
              <w:jc w:val="both"/>
              <w:textAlignment w:val="auto"/>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本项目所在区属于</w:t>
            </w:r>
            <w:r>
              <w:rPr>
                <w:rFonts w:hint="default" w:ascii="Times New Roman" w:hAnsi="Times New Roman" w:eastAsia="宋体" w:cs="Times New Roman"/>
                <w:b w:val="0"/>
                <w:bCs w:val="0"/>
                <w:color w:val="000000" w:themeColor="text1"/>
                <w:kern w:val="0"/>
                <w:sz w:val="24"/>
                <w:szCs w:val="24"/>
                <w:lang w:val="en-US" w:eastAsia="zh-CN" w:bidi="ar"/>
                <w14:textFill>
                  <w14:solidFill>
                    <w14:schemeClr w14:val="tx1"/>
                  </w14:solidFill>
                </w14:textFill>
              </w:rPr>
              <w:t>一般管控单元，不涉及优先保护单元。本项目在</w:t>
            </w:r>
            <w:r>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九龙山景区现有停车场用地上进行建设，不涉及法定保护地、</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秦岭保护区和农用地优先保护区，用地性质为建设用地。</w:t>
            </w:r>
          </w:p>
          <w:p w14:paraId="10710AAB">
            <w:pPr>
              <w:keepNext w:val="0"/>
              <w:keepLines w:val="0"/>
              <w:pageBreakBefore w:val="0"/>
              <w:widowControl/>
              <w:suppressLineNumbers w:val="0"/>
              <w:kinsoku/>
              <w:wordWrap/>
              <w:overflowPunct/>
              <w:topLinePunct w:val="0"/>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4"/>
                <w:szCs w:val="24"/>
                <w:vertAlign w:val="baseline"/>
                <w:lang w:val="en-US" w:eastAsia="zh-CN" w:bidi="ar"/>
                <w14:textFill>
                  <w14:solidFill>
                    <w14:schemeClr w14:val="tx1"/>
                  </w14:solidFill>
                </w14:textFill>
              </w:rPr>
              <w:t>综上，本项目符合生态</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环境管控单元管控要求。</w:t>
            </w:r>
          </w:p>
          <w:p w14:paraId="5EC67B66">
            <w:pPr>
              <w:pStyle w:val="22"/>
              <w:keepNext w:val="0"/>
              <w:keepLines w:val="0"/>
              <w:pageBreakBefore w:val="0"/>
              <w:widowControl w:val="0"/>
              <w:shd w:val="clear" w:color="auto" w:fill="FFFFFF"/>
              <w:kinsoku/>
              <w:wordWrap/>
              <w:overflowPunct/>
              <w:topLinePunct w:val="0"/>
              <w:autoSpaceDE w:val="0"/>
              <w:autoSpaceDN w:val="0"/>
              <w:bidi w:val="0"/>
              <w:adjustRightInd/>
              <w:snapToGrid/>
              <w:spacing w:line="360" w:lineRule="auto"/>
              <w:ind w:firstLine="482" w:firstLineChars="200"/>
              <w:jc w:val="both"/>
              <w:textAlignment w:val="auto"/>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2.本项目与相关生态环境保护法律法规政策、生态环境保护规划的符合性分析</w:t>
            </w:r>
          </w:p>
          <w:p w14:paraId="770449CE">
            <w:pPr>
              <w:pStyle w:val="22"/>
              <w:keepNext w:val="0"/>
              <w:keepLines w:val="0"/>
              <w:pageBreakBefore w:val="0"/>
              <w:widowControl w:val="0"/>
              <w:shd w:val="clear" w:color="auto" w:fill="FFFFFF"/>
              <w:kinsoku/>
              <w:wordWrap/>
              <w:overflowPunct/>
              <w:topLinePunct w:val="0"/>
              <w:bidi w:val="0"/>
              <w:adjustRightInd/>
              <w:snapToGrid/>
              <w:spacing w:line="360" w:lineRule="auto"/>
              <w:jc w:val="center"/>
              <w:textAlignment w:val="auto"/>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表1-2   本项目与相关生态环境保护法律法规政策、生态环境保护规划的符合性分析</w:t>
            </w:r>
          </w:p>
          <w:tbl>
            <w:tblPr>
              <w:tblStyle w:val="17"/>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67"/>
              <w:gridCol w:w="3436"/>
              <w:gridCol w:w="3025"/>
              <w:gridCol w:w="719"/>
            </w:tblGrid>
            <w:tr w14:paraId="53D793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 w:hRule="atLeast"/>
              </w:trPr>
              <w:tc>
                <w:tcPr>
                  <w:tcW w:w="942" w:type="pct"/>
                  <w:vAlign w:val="center"/>
                </w:tcPr>
                <w:p w14:paraId="53CC0A65">
                  <w:pPr>
                    <w:pStyle w:val="22"/>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t>文件名称</w:t>
                  </w:r>
                </w:p>
              </w:tc>
              <w:tc>
                <w:tcPr>
                  <w:tcW w:w="1941" w:type="pct"/>
                  <w:vAlign w:val="center"/>
                </w:tcPr>
                <w:p w14:paraId="76A46C85">
                  <w:pPr>
                    <w:pStyle w:val="22"/>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相关要求</w:t>
                  </w:r>
                </w:p>
              </w:tc>
              <w:tc>
                <w:tcPr>
                  <w:tcW w:w="1709" w:type="pct"/>
                  <w:vAlign w:val="center"/>
                </w:tcPr>
                <w:p w14:paraId="51A9F0FF">
                  <w:pPr>
                    <w:pStyle w:val="22"/>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t>本项目情况</w:t>
                  </w:r>
                </w:p>
              </w:tc>
              <w:tc>
                <w:tcPr>
                  <w:tcW w:w="406" w:type="pct"/>
                  <w:vAlign w:val="center"/>
                </w:tcPr>
                <w:p w14:paraId="22DB2BE1">
                  <w:pPr>
                    <w:pStyle w:val="22"/>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t>结论</w:t>
                  </w:r>
                </w:p>
              </w:tc>
            </w:tr>
            <w:tr w14:paraId="6E8F97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42" w:type="pct"/>
                  <w:vAlign w:val="center"/>
                </w:tcPr>
                <w:p w14:paraId="4173DA97">
                  <w:pPr>
                    <w:keepNext w:val="0"/>
                    <w:keepLines w:val="0"/>
                    <w:pageBreakBefore w:val="0"/>
                    <w:widowControl/>
                    <w:suppressLineNumbers w:val="0"/>
                    <w:kinsoku/>
                    <w:wordWrap/>
                    <w:overflowPunct/>
                    <w:topLinePunct w:val="0"/>
                    <w:bidi w:val="0"/>
                    <w:adjustRightInd/>
                    <w:snapToGrid/>
                    <w:spacing w:line="240" w:lineRule="auto"/>
                    <w:jc w:val="center"/>
                    <w:textAlignment w:val="auto"/>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t>《宝鸡市大气污染防治条例》（2020年3月1日起施行）</w:t>
                  </w:r>
                </w:p>
              </w:tc>
              <w:tc>
                <w:tcPr>
                  <w:tcW w:w="1941" w:type="pct"/>
                  <w:vAlign w:val="center"/>
                </w:tcPr>
                <w:p w14:paraId="65A4CBC2">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bidi w:val="0"/>
                    <w:adjustRightInd/>
                    <w:snapToGrid/>
                    <w:spacing w:before="0" w:beforeAutospacing="0" w:after="0" w:afterAutospacing="0" w:line="240" w:lineRule="auto"/>
                    <w:ind w:left="0" w:right="0" w:firstLine="420"/>
                    <w:textAlignment w:val="auto"/>
                    <w:rPr>
                      <w:rFonts w:hint="default" w:ascii="Times New Roman" w:hAnsi="Times New Roman" w:eastAsia="宋体" w:cs="Times New Roman"/>
                      <w:i w:val="0"/>
                      <w:iCs w:val="0"/>
                      <w:caps w:val="0"/>
                      <w:color w:val="000000" w:themeColor="text1"/>
                      <w:spacing w:val="0"/>
                      <w:sz w:val="21"/>
                      <w:szCs w:val="21"/>
                      <w14:textFill>
                        <w14:solidFill>
                          <w14:schemeClr w14:val="tx1"/>
                        </w14:solidFill>
                      </w14:textFill>
                    </w:rPr>
                  </w:pPr>
                  <w:r>
                    <w:rPr>
                      <w:rFonts w:hint="default" w:ascii="Times New Roman" w:hAnsi="Times New Roman" w:eastAsia="宋体" w:cs="Times New Roman"/>
                      <w:i w:val="0"/>
                      <w:iCs w:val="0"/>
                      <w:caps w:val="0"/>
                      <w:color w:val="000000" w:themeColor="text1"/>
                      <w:spacing w:val="0"/>
                      <w:sz w:val="21"/>
                      <w:szCs w:val="21"/>
                      <w:shd w:val="clear" w:fill="FFFFFF"/>
                      <w14:textFill>
                        <w14:solidFill>
                          <w14:schemeClr w14:val="tx1"/>
                        </w14:solidFill>
                      </w14:textFill>
                    </w:rPr>
                    <w:t>第三十四条施工单位应当制定具体的施工扬尘污染防治实施方案，在施工工地内采取下列防尘措施：</w:t>
                  </w:r>
                </w:p>
                <w:p w14:paraId="75323FFF">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bidi w:val="0"/>
                    <w:adjustRightInd/>
                    <w:snapToGrid/>
                    <w:spacing w:before="0" w:beforeAutospacing="0" w:after="0" w:afterAutospacing="0" w:line="240" w:lineRule="auto"/>
                    <w:ind w:right="0"/>
                    <w:textAlignment w:val="auto"/>
                    <w:rPr>
                      <w:rFonts w:hint="default" w:ascii="Times New Roman" w:hAnsi="Times New Roman" w:eastAsia="宋体" w:cs="Times New Roman"/>
                      <w:i w:val="0"/>
                      <w:iCs w:val="0"/>
                      <w:caps w:val="0"/>
                      <w:color w:val="000000" w:themeColor="text1"/>
                      <w:spacing w:val="0"/>
                      <w:sz w:val="21"/>
                      <w:szCs w:val="21"/>
                      <w14:textFill>
                        <w14:solidFill>
                          <w14:schemeClr w14:val="tx1"/>
                        </w14:solidFill>
                      </w14:textFill>
                    </w:rPr>
                  </w:pPr>
                  <w:r>
                    <w:rPr>
                      <w:rFonts w:hint="default" w:ascii="Times New Roman" w:hAnsi="Times New Roman" w:eastAsia="宋体" w:cs="Times New Roman"/>
                      <w:i w:val="0"/>
                      <w:iCs w:val="0"/>
                      <w:caps w:val="0"/>
                      <w:color w:val="000000" w:themeColor="text1"/>
                      <w:spacing w:val="0"/>
                      <w:sz w:val="21"/>
                      <w:szCs w:val="21"/>
                      <w:shd w:val="clear" w:fill="FFFFFF"/>
                      <w14:textFill>
                        <w14:solidFill>
                          <w14:schemeClr w14:val="tx1"/>
                        </w14:solidFill>
                      </w14:textFill>
                    </w:rPr>
                    <w:t>（一）应当设置硬质围挡，分段作业、择时施工，洒水抑尘、冲洗地面。</w:t>
                  </w:r>
                </w:p>
                <w:p w14:paraId="43C0265D">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bidi w:val="0"/>
                    <w:adjustRightInd/>
                    <w:snapToGrid/>
                    <w:spacing w:before="0" w:beforeAutospacing="0" w:after="0" w:afterAutospacing="0" w:line="240" w:lineRule="auto"/>
                    <w:ind w:right="0"/>
                    <w:textAlignment w:val="auto"/>
                    <w:rPr>
                      <w:rFonts w:hint="default" w:ascii="Times New Roman" w:hAnsi="Times New Roman" w:eastAsia="宋体" w:cs="Times New Roman"/>
                      <w:i w:val="0"/>
                      <w:iCs w:val="0"/>
                      <w:caps w:val="0"/>
                      <w:color w:val="000000" w:themeColor="text1"/>
                      <w:spacing w:val="0"/>
                      <w:sz w:val="21"/>
                      <w:szCs w:val="21"/>
                      <w14:textFill>
                        <w14:solidFill>
                          <w14:schemeClr w14:val="tx1"/>
                        </w14:solidFill>
                      </w14:textFill>
                    </w:rPr>
                  </w:pPr>
                  <w:r>
                    <w:rPr>
                      <w:rFonts w:hint="default" w:ascii="Times New Roman" w:hAnsi="Times New Roman" w:eastAsia="宋体" w:cs="Times New Roman"/>
                      <w:i w:val="0"/>
                      <w:iCs w:val="0"/>
                      <w:caps w:val="0"/>
                      <w:color w:val="000000" w:themeColor="text1"/>
                      <w:spacing w:val="0"/>
                      <w:sz w:val="21"/>
                      <w:szCs w:val="21"/>
                      <w:shd w:val="clear" w:fill="FFFFFF"/>
                      <w14:textFill>
                        <w14:solidFill>
                          <w14:schemeClr w14:val="tx1"/>
                        </w14:solidFill>
                      </w14:textFill>
                    </w:rPr>
                    <w:t>（二）建筑土方、工程渣土、建筑垃圾应当及时清运；在场地内堆存的，应当采用密闭式防尘网遮盖。</w:t>
                  </w:r>
                </w:p>
                <w:p w14:paraId="1D171DF0">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bidi w:val="0"/>
                    <w:adjustRightInd/>
                    <w:snapToGrid/>
                    <w:spacing w:before="0" w:beforeAutospacing="0" w:after="0" w:afterAutospacing="0" w:line="240" w:lineRule="auto"/>
                    <w:ind w:right="0"/>
                    <w:textAlignment w:val="auto"/>
                    <w:rPr>
                      <w:rFonts w:hint="default" w:ascii="Times New Roman" w:hAnsi="Times New Roman" w:eastAsia="宋体" w:cs="Times New Roman"/>
                      <w:i w:val="0"/>
                      <w:iCs w:val="0"/>
                      <w:caps w:val="0"/>
                      <w:color w:val="000000" w:themeColor="text1"/>
                      <w:spacing w:val="0"/>
                      <w:sz w:val="21"/>
                      <w:szCs w:val="21"/>
                      <w14:textFill>
                        <w14:solidFill>
                          <w14:schemeClr w14:val="tx1"/>
                        </w14:solidFill>
                      </w14:textFill>
                    </w:rPr>
                  </w:pPr>
                  <w:r>
                    <w:rPr>
                      <w:rFonts w:hint="default" w:ascii="Times New Roman" w:hAnsi="Times New Roman" w:eastAsia="宋体" w:cs="Times New Roman"/>
                      <w:i w:val="0"/>
                      <w:iCs w:val="0"/>
                      <w:caps w:val="0"/>
                      <w:color w:val="000000" w:themeColor="text1"/>
                      <w:spacing w:val="0"/>
                      <w:sz w:val="21"/>
                      <w:szCs w:val="21"/>
                      <w:shd w:val="clear" w:fill="FFFFFF"/>
                      <w14:textFill>
                        <w14:solidFill>
                          <w14:schemeClr w14:val="tx1"/>
                        </w14:solidFill>
                      </w14:textFill>
                    </w:rPr>
                    <w:t>（三）车行道路采取硬化或者铺设礁渣、砾石或其他功能相当的材料等措施。</w:t>
                  </w:r>
                </w:p>
                <w:p w14:paraId="70E0977A">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bidi w:val="0"/>
                    <w:adjustRightInd/>
                    <w:snapToGrid/>
                    <w:spacing w:before="0" w:beforeAutospacing="0" w:after="0" w:afterAutospacing="0" w:line="240" w:lineRule="auto"/>
                    <w:ind w:right="0"/>
                    <w:textAlignment w:val="auto"/>
                    <w:rPr>
                      <w:rFonts w:hint="default" w:ascii="Times New Roman" w:hAnsi="Times New Roman" w:eastAsia="宋体" w:cs="Times New Roman"/>
                      <w:i w:val="0"/>
                      <w:iCs w:val="0"/>
                      <w:caps w:val="0"/>
                      <w:color w:val="000000" w:themeColor="text1"/>
                      <w:spacing w:val="0"/>
                      <w:sz w:val="21"/>
                      <w:szCs w:val="21"/>
                      <w14:textFill>
                        <w14:solidFill>
                          <w14:schemeClr w14:val="tx1"/>
                        </w14:solidFill>
                      </w14:textFill>
                    </w:rPr>
                  </w:pPr>
                  <w:r>
                    <w:rPr>
                      <w:rFonts w:hint="default" w:ascii="Times New Roman" w:hAnsi="Times New Roman" w:eastAsia="宋体" w:cs="Times New Roman"/>
                      <w:i w:val="0"/>
                      <w:iCs w:val="0"/>
                      <w:caps w:val="0"/>
                      <w:color w:val="000000" w:themeColor="text1"/>
                      <w:spacing w:val="0"/>
                      <w:sz w:val="21"/>
                      <w:szCs w:val="21"/>
                      <w:shd w:val="clear" w:fill="FFFFFF"/>
                      <w14:textFill>
                        <w14:solidFill>
                          <w14:schemeClr w14:val="tx1"/>
                        </w14:solidFill>
                      </w14:textFill>
                    </w:rPr>
                    <w:t>（四）出入口内侧安装车辆冲洗设备，车辆冲洗干净后方可驶出。</w:t>
                  </w:r>
                </w:p>
                <w:p w14:paraId="7ACFAC24">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bidi w:val="0"/>
                    <w:adjustRightInd/>
                    <w:snapToGrid/>
                    <w:spacing w:before="0" w:beforeAutospacing="0" w:after="0" w:afterAutospacing="0" w:line="240" w:lineRule="auto"/>
                    <w:ind w:right="0"/>
                    <w:textAlignment w:val="auto"/>
                    <w:rPr>
                      <w:rFonts w:hint="default" w:ascii="Times New Roman" w:hAnsi="Times New Roman" w:eastAsia="宋体" w:cs="Times New Roman"/>
                      <w:i w:val="0"/>
                      <w:iCs w:val="0"/>
                      <w:caps w:val="0"/>
                      <w:color w:val="000000" w:themeColor="text1"/>
                      <w:spacing w:val="0"/>
                      <w:sz w:val="21"/>
                      <w:szCs w:val="21"/>
                      <w14:textFill>
                        <w14:solidFill>
                          <w14:schemeClr w14:val="tx1"/>
                        </w14:solidFill>
                      </w14:textFill>
                    </w:rPr>
                  </w:pPr>
                  <w:r>
                    <w:rPr>
                      <w:rFonts w:hint="default" w:ascii="Times New Roman" w:hAnsi="Times New Roman" w:eastAsia="宋体" w:cs="Times New Roman"/>
                      <w:i w:val="0"/>
                      <w:iCs w:val="0"/>
                      <w:caps w:val="0"/>
                      <w:color w:val="000000" w:themeColor="text1"/>
                      <w:spacing w:val="0"/>
                      <w:sz w:val="21"/>
                      <w:szCs w:val="21"/>
                      <w:shd w:val="clear" w:fill="FFFFFF"/>
                      <w14:textFill>
                        <w14:solidFill>
                          <w14:schemeClr w14:val="tx1"/>
                        </w14:solidFill>
                      </w14:textFill>
                    </w:rPr>
                    <w:t>（五）施工作业产生泥浆的，设置泥浆池、泥浆沟，确保泥浆不溢流，废弃泥浆采用密封式罐车清运。</w:t>
                  </w:r>
                </w:p>
                <w:p w14:paraId="4D65273B">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bidi w:val="0"/>
                    <w:adjustRightInd/>
                    <w:snapToGrid/>
                    <w:spacing w:before="0" w:beforeAutospacing="0" w:after="0" w:afterAutospacing="0" w:line="240" w:lineRule="auto"/>
                    <w:ind w:right="0"/>
                    <w:textAlignment w:val="auto"/>
                    <w:rPr>
                      <w:rFonts w:hint="default" w:ascii="Times New Roman" w:hAnsi="Times New Roman" w:eastAsia="宋体" w:cs="Times New Roman"/>
                      <w:i w:val="0"/>
                      <w:iCs w:val="0"/>
                      <w:caps w:val="0"/>
                      <w:color w:val="000000" w:themeColor="text1"/>
                      <w:spacing w:val="0"/>
                      <w:sz w:val="21"/>
                      <w:szCs w:val="21"/>
                      <w14:textFill>
                        <w14:solidFill>
                          <w14:schemeClr w14:val="tx1"/>
                        </w14:solidFill>
                      </w14:textFill>
                    </w:rPr>
                  </w:pPr>
                  <w:r>
                    <w:rPr>
                      <w:rFonts w:hint="default" w:ascii="Times New Roman" w:hAnsi="Times New Roman" w:eastAsia="宋体" w:cs="Times New Roman"/>
                      <w:i w:val="0"/>
                      <w:iCs w:val="0"/>
                      <w:caps w:val="0"/>
                      <w:color w:val="000000" w:themeColor="text1"/>
                      <w:spacing w:val="0"/>
                      <w:sz w:val="21"/>
                      <w:szCs w:val="21"/>
                      <w:shd w:val="clear" w:fill="FFFFFF"/>
                      <w14:textFill>
                        <w14:solidFill>
                          <w14:schemeClr w14:val="tx1"/>
                        </w14:solidFill>
                      </w14:textFill>
                    </w:rPr>
                    <w:t>（六）土方作业、拆除、爆破等易产生扬尘的工程，采取洒水抑尘措施。</w:t>
                  </w:r>
                </w:p>
                <w:p w14:paraId="5F332C09">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bidi w:val="0"/>
                    <w:adjustRightInd/>
                    <w:snapToGrid/>
                    <w:spacing w:before="0" w:beforeAutospacing="0" w:after="0" w:afterAutospacing="0" w:line="240" w:lineRule="auto"/>
                    <w:ind w:right="0"/>
                    <w:textAlignment w:val="auto"/>
                    <w:rPr>
                      <w:rFonts w:hint="default" w:ascii="Times New Roman" w:hAnsi="Times New Roman" w:eastAsia="宋体" w:cs="Times New Roman"/>
                      <w:i w:val="0"/>
                      <w:iCs w:val="0"/>
                      <w:caps w:val="0"/>
                      <w:color w:val="000000" w:themeColor="text1"/>
                      <w:spacing w:val="8"/>
                      <w:kern w:val="2"/>
                      <w:sz w:val="21"/>
                      <w:szCs w:val="21"/>
                      <w:shd w:val="clear" w:fill="FFFFFF"/>
                      <w:lang w:val="en-US" w:eastAsia="zh-CN" w:bidi="ar-SA"/>
                      <w14:textFill>
                        <w14:solidFill>
                          <w14:schemeClr w14:val="tx1"/>
                        </w14:solidFill>
                      </w14:textFill>
                    </w:rPr>
                  </w:pPr>
                  <w:r>
                    <w:rPr>
                      <w:rFonts w:hint="default" w:ascii="Times New Roman" w:hAnsi="Times New Roman" w:eastAsia="宋体" w:cs="Times New Roman"/>
                      <w:i w:val="0"/>
                      <w:iCs w:val="0"/>
                      <w:caps w:val="0"/>
                      <w:color w:val="000000" w:themeColor="text1"/>
                      <w:spacing w:val="0"/>
                      <w:sz w:val="21"/>
                      <w:szCs w:val="21"/>
                      <w:shd w:val="clear" w:fill="FFFFFF"/>
                      <w14:textFill>
                        <w14:solidFill>
                          <w14:schemeClr w14:val="tx1"/>
                        </w14:solidFill>
                      </w14:textFill>
                    </w:rPr>
                    <w:t>（七）公示扬尘污染防治措施、负责人、扬尘监督管理主管部门等信息。</w:t>
                  </w:r>
                </w:p>
              </w:tc>
              <w:tc>
                <w:tcPr>
                  <w:tcW w:w="1709" w:type="pct"/>
                  <w:vAlign w:val="center"/>
                </w:tcPr>
                <w:p w14:paraId="267AAC2C">
                  <w:pPr>
                    <w:keepNext w:val="0"/>
                    <w:keepLines w:val="0"/>
                    <w:pageBreakBefore w:val="0"/>
                    <w:widowControl w:val="0"/>
                    <w:kinsoku/>
                    <w:wordWrap/>
                    <w:overflowPunct/>
                    <w:topLinePunct w:val="0"/>
                    <w:bidi w:val="0"/>
                    <w:adjustRightInd/>
                    <w:snapToGrid/>
                    <w:spacing w:line="240" w:lineRule="auto"/>
                    <w:jc w:val="both"/>
                    <w:textAlignment w:val="auto"/>
                    <w:rPr>
                      <w:rFonts w:hint="default" w:ascii="Times New Roman" w:hAnsi="Times New Roman" w:eastAsia="宋体" w:cs="Times New Roman"/>
                      <w:i w:val="0"/>
                      <w:iCs w:val="0"/>
                      <w:caps w:val="0"/>
                      <w:color w:val="000000" w:themeColor="text1"/>
                      <w:spacing w:val="8"/>
                      <w:kern w:val="2"/>
                      <w:sz w:val="21"/>
                      <w:szCs w:val="21"/>
                      <w:shd w:val="clear" w:fill="FFFFFF"/>
                      <w:lang w:val="en-US" w:eastAsia="zh-CN" w:bidi="ar-SA"/>
                      <w14:textFill>
                        <w14:solidFill>
                          <w14:schemeClr w14:val="tx1"/>
                        </w14:solidFill>
                      </w14:textFill>
                    </w:rPr>
                  </w:pPr>
                  <w:r>
                    <w:rPr>
                      <w:rFonts w:hint="default" w:ascii="Times New Roman" w:hAnsi="Times New Roman" w:eastAsia="宋体" w:cs="Times New Roman"/>
                      <w:i w:val="0"/>
                      <w:iCs w:val="0"/>
                      <w:caps w:val="0"/>
                      <w:color w:val="000000" w:themeColor="text1"/>
                      <w:spacing w:val="8"/>
                      <w:kern w:val="2"/>
                      <w:sz w:val="21"/>
                      <w:szCs w:val="21"/>
                      <w:shd w:val="clear" w:fill="FFFFFF"/>
                      <w:lang w:val="en-US" w:eastAsia="zh-CN" w:bidi="ar-SA"/>
                      <w14:textFill>
                        <w14:solidFill>
                          <w14:schemeClr w14:val="tx1"/>
                        </w14:solidFill>
                      </w14:textFill>
                    </w:rPr>
                    <w:t>本项目施工内容包括气化站和天然气管线，施工单位应严格按照要求进行施工和管理。</w:t>
                  </w:r>
                </w:p>
              </w:tc>
              <w:tc>
                <w:tcPr>
                  <w:tcW w:w="406" w:type="pct"/>
                  <w:vAlign w:val="center"/>
                </w:tcPr>
                <w:p w14:paraId="7E25BAD6">
                  <w:pPr>
                    <w:pStyle w:val="22"/>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t>符合</w:t>
                  </w:r>
                </w:p>
              </w:tc>
            </w:tr>
            <w:tr w14:paraId="774787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trPr>
              <w:tc>
                <w:tcPr>
                  <w:tcW w:w="942" w:type="pct"/>
                  <w:vMerge w:val="restart"/>
                  <w:vAlign w:val="center"/>
                </w:tcPr>
                <w:p w14:paraId="417ED131">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bidi w:val="0"/>
                    <w:adjustRightInd/>
                    <w:snapToGrid/>
                    <w:spacing w:before="0" w:beforeAutospacing="0" w:after="0" w:afterAutospacing="0" w:line="240" w:lineRule="auto"/>
                    <w:ind w:left="0" w:leftChars="0" w:right="0" w:rightChars="0" w:firstLine="0" w:firstLineChars="0"/>
                    <w:jc w:val="center"/>
                    <w:textAlignment w:val="auto"/>
                    <w:outlineLvl w:val="0"/>
                    <w:rPr>
                      <w:rFonts w:hint="default" w:ascii="Times New Roman" w:hAnsi="Times New Roman" w:eastAsia="宋体" w:cs="Times New Roman"/>
                      <w:b w:val="0"/>
                      <w:bCs w:val="0"/>
                      <w:color w:val="000000" w:themeColor="text1"/>
                      <w:kern w:val="44"/>
                      <w:sz w:val="21"/>
                      <w:szCs w:val="21"/>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44"/>
                      <w:sz w:val="21"/>
                      <w:szCs w:val="21"/>
                      <w:lang w:val="en-US" w:eastAsia="zh-CN" w:bidi="ar"/>
                      <w14:textFill>
                        <w14:solidFill>
                          <w14:schemeClr w14:val="tx1"/>
                        </w14:solidFill>
                      </w14:textFill>
                    </w:rPr>
                    <w:t>环气候〔2023〕67号关于印发《甲烷排放控制行动方案》的通知</w:t>
                  </w:r>
                </w:p>
              </w:tc>
              <w:tc>
                <w:tcPr>
                  <w:tcW w:w="1941" w:type="pct"/>
                  <w:shd w:val="clear" w:color="auto" w:fill="auto"/>
                  <w:vAlign w:val="center"/>
                </w:tcPr>
                <w:p w14:paraId="670605EE">
                  <w:pPr>
                    <w:jc w:val="center"/>
                    <w:rPr>
                      <w:rFonts w:hint="default" w:ascii="Times New Roman" w:hAnsi="Times New Roman" w:eastAsia="宋体" w:cs="Times New Roman"/>
                      <w:b w:val="0"/>
                      <w:bCs w:val="0"/>
                      <w:smallCaps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val="0"/>
                      <w:bCs w:val="0"/>
                      <w:smallCaps w:val="0"/>
                      <w:color w:val="000000" w:themeColor="text1"/>
                      <w:sz w:val="21"/>
                      <w:szCs w:val="21"/>
                      <w:lang w:val="en-US" w:eastAsia="zh-CN"/>
                      <w14:textFill>
                        <w14:solidFill>
                          <w14:schemeClr w14:val="tx1"/>
                        </w14:solidFill>
                      </w14:textFill>
                    </w:rPr>
                    <w:t>强化甲烷综合利用。促进油气田放空甲烷排放管控，鼓励企业因地制宜开展伴生气与放空气回收利用，不能回收或难以回收的应经燃烧后放空。鼓励引导煤炭企业加大煤矿瓦斯抽采利用。到2025年，煤矿瓦斯年利用量达到 60 亿立方米；到 2030年，油田伴生气集气率达到国际先进水平</w:t>
                  </w:r>
                </w:p>
              </w:tc>
              <w:tc>
                <w:tcPr>
                  <w:tcW w:w="1709" w:type="pct"/>
                  <w:shd w:val="clear" w:color="auto" w:fill="auto"/>
                  <w:vAlign w:val="center"/>
                </w:tcPr>
                <w:p w14:paraId="3F8CA497">
                  <w:pPr>
                    <w:jc w:val="center"/>
                    <w:rPr>
                      <w:rFonts w:hint="default" w:ascii="Times New Roman" w:hAnsi="Times New Roman" w:eastAsia="宋体" w:cs="Times New Roman"/>
                      <w:b w:val="0"/>
                      <w:bCs w:val="0"/>
                      <w:smallCaps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val="0"/>
                      <w:bCs w:val="0"/>
                      <w:smallCaps w:val="0"/>
                      <w:color w:val="000000" w:themeColor="text1"/>
                      <w:sz w:val="21"/>
                      <w:szCs w:val="21"/>
                      <w:lang w:val="en-US" w:eastAsia="zh-CN"/>
                      <w14:textFill>
                        <w14:solidFill>
                          <w14:schemeClr w14:val="tx1"/>
                        </w14:solidFill>
                      </w14:textFill>
                    </w:rPr>
                    <w:t>本项目不属于油气田项目。</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为了保证安全，工程设置了BOG加热器，用于回收BOG，减少放散量。储罐装有降压调节阀，可根据压力高低自动排出储罐储存期间的BOG。由自动控制的超压排放系统排放至BOG加热器气化，气体升温后进入调压配气区，最终输送至天然气管道</w:t>
                  </w:r>
                </w:p>
              </w:tc>
              <w:tc>
                <w:tcPr>
                  <w:tcW w:w="406" w:type="pct"/>
                  <w:shd w:val="clear" w:color="auto" w:fill="auto"/>
                  <w:vAlign w:val="center"/>
                </w:tcPr>
                <w:p w14:paraId="123F5669">
                  <w:pPr>
                    <w:jc w:val="center"/>
                    <w:rPr>
                      <w:rFonts w:hint="default" w:ascii="Times New Roman" w:hAnsi="Times New Roman" w:eastAsia="宋体" w:cs="Times New Roman"/>
                      <w:b w:val="0"/>
                      <w:bCs w:val="0"/>
                      <w:smallCaps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val="0"/>
                      <w:bCs w:val="0"/>
                      <w:smallCaps w:val="0"/>
                      <w:color w:val="000000" w:themeColor="text1"/>
                      <w:sz w:val="21"/>
                      <w:szCs w:val="21"/>
                      <w:lang w:val="en-US" w:eastAsia="zh-CN"/>
                      <w14:textFill>
                        <w14:solidFill>
                          <w14:schemeClr w14:val="tx1"/>
                        </w14:solidFill>
                      </w14:textFill>
                    </w:rPr>
                    <w:t>符合</w:t>
                  </w:r>
                </w:p>
              </w:tc>
            </w:tr>
            <w:tr w14:paraId="48892B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3" w:hRule="atLeast"/>
              </w:trPr>
              <w:tc>
                <w:tcPr>
                  <w:tcW w:w="942" w:type="pct"/>
                  <w:vMerge w:val="continue"/>
                  <w:vAlign w:val="center"/>
                </w:tcPr>
                <w:p w14:paraId="443FF430">
                  <w:pPr>
                    <w:pStyle w:val="22"/>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p>
              </w:tc>
              <w:tc>
                <w:tcPr>
                  <w:tcW w:w="1941" w:type="pct"/>
                  <w:shd w:val="clear" w:color="auto" w:fill="auto"/>
                  <w:vAlign w:val="center"/>
                </w:tcPr>
                <w:p w14:paraId="39E30BCA">
                  <w:pPr>
                    <w:jc w:val="center"/>
                    <w:rPr>
                      <w:rFonts w:hint="default" w:ascii="Times New Roman" w:hAnsi="Times New Roman" w:eastAsia="宋体" w:cs="Times New Roman"/>
                      <w:b w:val="0"/>
                      <w:bCs w:val="0"/>
                      <w:smallCaps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val="0"/>
                      <w:bCs w:val="0"/>
                      <w:smallCaps w:val="0"/>
                      <w:color w:val="000000" w:themeColor="text1"/>
                      <w:sz w:val="21"/>
                      <w:szCs w:val="21"/>
                      <w14:textFill>
                        <w14:solidFill>
                          <w14:schemeClr w14:val="tx1"/>
                        </w14:solidFill>
                      </w14:textFill>
                    </w:rPr>
                    <w:t>推广应用泄漏检测与修复技术。探索逐步完善油气领域泄漏检测与修复技术规范体系，推动全产业链泄漏检测与修复常态化应用。加强管线先进维检修技术、设备的研究与应用，有效提升甲烷泄漏控制能力。</w:t>
                  </w:r>
                </w:p>
              </w:tc>
              <w:tc>
                <w:tcPr>
                  <w:tcW w:w="1709" w:type="pct"/>
                  <w:shd w:val="clear" w:color="auto" w:fill="auto"/>
                  <w:vAlign w:val="center"/>
                </w:tcPr>
                <w:p w14:paraId="3DA72AFA">
                  <w:pPr>
                    <w:jc w:val="center"/>
                    <w:rPr>
                      <w:rFonts w:hint="default" w:ascii="Times New Roman" w:hAnsi="Times New Roman" w:eastAsia="宋体" w:cs="Times New Roman"/>
                      <w:b w:val="0"/>
                      <w:bCs w:val="0"/>
                      <w:smallCaps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val="0"/>
                      <w:bCs w:val="0"/>
                      <w:smallCaps w:val="0"/>
                      <w:color w:val="000000" w:themeColor="text1"/>
                      <w:kern w:val="2"/>
                      <w:sz w:val="21"/>
                      <w:szCs w:val="21"/>
                      <w:lang w:val="en-US" w:eastAsia="zh-CN" w:bidi="ar-SA"/>
                      <w14:textFill>
                        <w14:solidFill>
                          <w14:schemeClr w14:val="tx1"/>
                        </w14:solidFill>
                      </w14:textFill>
                    </w:rPr>
                    <w:t>本项目设置有可燃气体报警器，紧急切断、压力监控系统，可有效确保甲烷正常工况下不会发生泄漏。</w:t>
                  </w:r>
                </w:p>
              </w:tc>
              <w:tc>
                <w:tcPr>
                  <w:tcW w:w="406" w:type="pct"/>
                  <w:shd w:val="clear" w:color="auto" w:fill="auto"/>
                  <w:vAlign w:val="center"/>
                </w:tcPr>
                <w:p w14:paraId="7D131E00">
                  <w:pPr>
                    <w:jc w:val="center"/>
                    <w:rPr>
                      <w:rFonts w:hint="default" w:ascii="Times New Roman" w:hAnsi="Times New Roman" w:eastAsia="宋体" w:cs="Times New Roman"/>
                      <w:b w:val="0"/>
                      <w:bCs w:val="0"/>
                      <w:smallCaps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val="0"/>
                      <w:bCs w:val="0"/>
                      <w:smallCaps w:val="0"/>
                      <w:color w:val="000000" w:themeColor="text1"/>
                      <w:sz w:val="21"/>
                      <w:szCs w:val="21"/>
                      <w:lang w:val="en-US" w:eastAsia="zh-CN"/>
                      <w14:textFill>
                        <w14:solidFill>
                          <w14:schemeClr w14:val="tx1"/>
                        </w14:solidFill>
                      </w14:textFill>
                    </w:rPr>
                    <w:t>符合</w:t>
                  </w:r>
                </w:p>
              </w:tc>
            </w:tr>
            <w:tr w14:paraId="2D60EB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8" w:hRule="atLeast"/>
              </w:trPr>
              <w:tc>
                <w:tcPr>
                  <w:tcW w:w="942" w:type="pct"/>
                  <w:vAlign w:val="center"/>
                </w:tcPr>
                <w:p w14:paraId="11C9FDE1">
                  <w:pPr>
                    <w:keepNext w:val="0"/>
                    <w:keepLines w:val="0"/>
                    <w:pageBreakBefore w:val="0"/>
                    <w:widowControl/>
                    <w:suppressLineNumbers w:val="0"/>
                    <w:kinsoku/>
                    <w:wordWrap/>
                    <w:overflowPunct/>
                    <w:topLinePunct w:val="0"/>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u w:val="none"/>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u w:val="none"/>
                      <w:vertAlign w:val="baseline"/>
                      <w:lang w:val="en-US" w:eastAsia="zh-CN" w:bidi="ar"/>
                      <w14:textFill>
                        <w14:solidFill>
                          <w14:schemeClr w14:val="tx1"/>
                        </w14:solidFill>
                      </w14:textFill>
                    </w:rPr>
                    <w:t>《陕西省噪声污染防治行动计划（2023—2025年）》</w:t>
                  </w:r>
                </w:p>
              </w:tc>
              <w:tc>
                <w:tcPr>
                  <w:tcW w:w="1941" w:type="pct"/>
                  <w:vAlign w:val="center"/>
                </w:tcPr>
                <w:p w14:paraId="63836E1C">
                  <w:pPr>
                    <w:pStyle w:val="22"/>
                    <w:keepNext w:val="0"/>
                    <w:keepLines w:val="0"/>
                    <w:pageBreakBefore w:val="0"/>
                    <w:widowControl w:val="0"/>
                    <w:kinsoku/>
                    <w:wordWrap/>
                    <w:overflowPunct/>
                    <w:topLinePunct w:val="0"/>
                    <w:autoSpaceDE w:val="0"/>
                    <w:autoSpaceDN w:val="0"/>
                    <w:bidi w:val="0"/>
                    <w:adjustRightInd/>
                    <w:snapToGrid/>
                    <w:spacing w:line="240" w:lineRule="auto"/>
                    <w:jc w:val="both"/>
                    <w:textAlignment w:val="auto"/>
                    <w:rPr>
                      <w:rFonts w:hint="default" w:ascii="Times New Roman" w:hAnsi="Times New Roman" w:eastAsia="宋体" w:cs="Times New Roman"/>
                      <w:b w:val="0"/>
                      <w:bCs w:val="0"/>
                      <w:color w:val="000000" w:themeColor="text1"/>
                      <w:kern w:val="0"/>
                      <w:sz w:val="21"/>
                      <w:szCs w:val="21"/>
                      <w:u w:val="none"/>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u w:val="none"/>
                      <w:vertAlign w:val="baseline"/>
                      <w:lang w:val="en-US" w:eastAsia="zh-CN" w:bidi="ar"/>
                      <w14:textFill>
                        <w14:solidFill>
                          <w14:schemeClr w14:val="tx1"/>
                        </w14:solidFill>
                      </w14:textFill>
                    </w:rPr>
                    <w:t>严格工业噪声管理：落实工业噪声过程控制。噪声排放工业企业切实落实噪声污染防治措施，加强厂区内固定设备、运输工具、货物装卸和试车线等声源噪声管理，避免突发噪声扰民。</w:t>
                  </w:r>
                </w:p>
              </w:tc>
              <w:tc>
                <w:tcPr>
                  <w:tcW w:w="1709" w:type="pct"/>
                  <w:vAlign w:val="center"/>
                </w:tcPr>
                <w:p w14:paraId="3E69FEE3">
                  <w:pPr>
                    <w:pStyle w:val="37"/>
                    <w:keepNext w:val="0"/>
                    <w:keepLines w:val="0"/>
                    <w:pageBreakBefore w:val="0"/>
                    <w:widowControl w:val="0"/>
                    <w:tabs>
                      <w:tab w:val="right" w:leader="dot" w:pos="8306"/>
                    </w:tabs>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本项目噪声源经采取选用低噪声设备、基础减振、和距离衰减等降噪措施后，厂界噪声排放满足</w:t>
                  </w:r>
                  <w:r>
                    <w:rPr>
                      <w:rFonts w:hint="default" w:ascii="Times New Roman" w:hAnsi="Times New Roman" w:eastAsia="宋体" w:cs="Times New Roman"/>
                      <w:bCs/>
                      <w:color w:val="000000" w:themeColor="text1"/>
                      <w:sz w:val="21"/>
                      <w:szCs w:val="21"/>
                      <w14:textFill>
                        <w14:solidFill>
                          <w14:schemeClr w14:val="tx1"/>
                        </w14:solidFill>
                      </w14:textFill>
                    </w:rPr>
                    <w:t>《工业企业厂界环境噪声排放标准》（GB12348-2008）</w:t>
                  </w: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2类标准</w:t>
                  </w: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w:t>
                  </w:r>
                </w:p>
              </w:tc>
              <w:tc>
                <w:tcPr>
                  <w:tcW w:w="406" w:type="pct"/>
                  <w:vAlign w:val="center"/>
                </w:tcPr>
                <w:p w14:paraId="3F2DD9A6">
                  <w:pPr>
                    <w:pStyle w:val="22"/>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符合</w:t>
                  </w:r>
                </w:p>
              </w:tc>
            </w:tr>
          </w:tbl>
          <w:p w14:paraId="46A831AA">
            <w:pPr>
              <w:pStyle w:val="22"/>
              <w:keepNext w:val="0"/>
              <w:keepLines w:val="0"/>
              <w:pageBreakBefore w:val="0"/>
              <w:widowControl w:val="0"/>
              <w:shd w:val="clear" w:color="auto" w:fill="FFFFFF"/>
              <w:kinsoku/>
              <w:wordWrap/>
              <w:overflowPunct/>
              <w:topLinePunct w:val="0"/>
              <w:autoSpaceDE w:val="0"/>
              <w:autoSpaceDN w:val="0"/>
              <w:bidi w:val="0"/>
              <w:adjustRightInd/>
              <w:snapToGrid/>
              <w:spacing w:line="360" w:lineRule="auto"/>
              <w:ind w:firstLine="482" w:firstLineChars="200"/>
              <w:jc w:val="both"/>
              <w:textAlignment w:val="auto"/>
              <w:rPr>
                <w:rFonts w:hint="default" w:ascii="Times New Roman" w:hAnsi="Times New Roman" w:eastAsia="宋体" w:cs="Times New Roman"/>
                <w:b/>
                <w:bCs/>
                <w:color w:val="000000" w:themeColor="text1"/>
                <w:sz w:val="24"/>
                <w:szCs w:val="24"/>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vertAlign w:val="baseline"/>
                <w:lang w:val="en-US" w:eastAsia="zh-CN"/>
                <w14:textFill>
                  <w14:solidFill>
                    <w14:schemeClr w14:val="tx1"/>
                  </w14:solidFill>
                </w14:textFill>
              </w:rPr>
              <w:t>3.选址合理性分析</w:t>
            </w:r>
          </w:p>
          <w:p w14:paraId="00735727">
            <w:pPr>
              <w:keepNext w:val="0"/>
              <w:keepLines w:val="0"/>
              <w:pageBreakBefore w:val="0"/>
              <w:widowControl/>
              <w:suppressLineNumbers w:val="0"/>
              <w:kinsoku/>
              <w:wordWrap/>
              <w:overflowPunct/>
              <w:topLinePunct w:val="0"/>
              <w:bidi w:val="0"/>
              <w:adjustRightInd/>
              <w:snapToGrid/>
              <w:spacing w:line="360" w:lineRule="auto"/>
              <w:ind w:firstLine="480" w:firstLineChars="200"/>
              <w:jc w:val="both"/>
              <w:textAlignment w:val="auto"/>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九龙山景区位于</w:t>
            </w:r>
            <w:r>
              <w:rPr>
                <w:rFonts w:hint="default" w:ascii="Times New Roman" w:hAnsi="Times New Roman" w:eastAsia="宋体" w:cs="Times New Roman"/>
                <w:color w:val="000000" w:themeColor="text1"/>
                <w:kern w:val="0"/>
                <w:sz w:val="24"/>
                <w:szCs w:val="24"/>
                <w:vertAlign w:val="baseline"/>
                <w:lang w:val="en-US" w:eastAsia="zh-CN" w:bidi="ar"/>
                <w14:textFill>
                  <w14:solidFill>
                    <w14:schemeClr w14:val="tx1"/>
                  </w14:solidFill>
                </w14:textFill>
              </w:rPr>
              <w:t>坪头镇新民村，</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位置偏远，目前市政天然气管线未接通，煤改气后新建的燃气锅炉无法使用市政天然气管网供气。企业为了解决燃气锅炉用气问题，</w:t>
            </w:r>
            <w:r>
              <w:rPr>
                <w:rFonts w:hint="default" w:ascii="Times New Roman" w:hAnsi="Times New Roman" w:eastAsia="宋体" w:cs="Times New Roman"/>
                <w:color w:val="000000" w:themeColor="text1"/>
                <w:kern w:val="0"/>
                <w:sz w:val="24"/>
                <w:szCs w:val="24"/>
                <w:vertAlign w:val="baseline"/>
                <w:lang w:val="en-US" w:eastAsia="zh-CN" w:bidi="ar"/>
                <w14:textFill>
                  <w14:solidFill>
                    <w14:schemeClr w14:val="tx1"/>
                  </w14:solidFill>
                </w14:textFill>
              </w:rPr>
              <w:t>利用</w:t>
            </w:r>
            <w:r>
              <w:rPr>
                <w:rFonts w:hint="default" w:ascii="Times New Roman" w:hAnsi="Times New Roman" w:eastAsia="宋体" w:cs="Times New Roman"/>
                <w:b w:val="0"/>
                <w:bCs w:val="0"/>
                <w:color w:val="000000" w:themeColor="text1"/>
                <w:kern w:val="0"/>
                <w:sz w:val="24"/>
                <w:szCs w:val="24"/>
                <w:vertAlign w:val="baseline"/>
                <w:lang w:val="en-US" w:eastAsia="zh-CN" w:bidi="ar"/>
                <w14:textFill>
                  <w14:solidFill>
                    <w14:schemeClr w14:val="tx1"/>
                  </w14:solidFill>
                </w14:textFill>
              </w:rPr>
              <w:t>九龙山景区</w:t>
            </w:r>
            <w:r>
              <w:rPr>
                <w:rFonts w:hint="default" w:ascii="Times New Roman" w:hAnsi="Times New Roman" w:eastAsia="宋体" w:cs="Times New Roman"/>
                <w:b w:val="0"/>
                <w:bCs w:val="0"/>
                <w:color w:val="000000" w:themeColor="text1"/>
                <w:kern w:val="0"/>
                <w:sz w:val="24"/>
                <w:szCs w:val="24"/>
                <w:u w:val="none"/>
                <w:vertAlign w:val="baseline"/>
                <w:lang w:val="en-US" w:eastAsia="zh-CN" w:bidi="ar"/>
                <w14:textFill>
                  <w14:solidFill>
                    <w14:schemeClr w14:val="tx1"/>
                  </w14:solidFill>
                </w14:textFill>
              </w:rPr>
              <w:t>庵里村综合服务区现有停车场用地</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新建1座LNG气化站，外购LNG经槽车运至气化站气化后通过燃气管道输送至锅炉房外调压柜，经调压后送入燃气锅炉房使用。</w:t>
            </w:r>
          </w:p>
          <w:p w14:paraId="05C098C4">
            <w:pPr>
              <w:keepNext w:val="0"/>
              <w:keepLines w:val="0"/>
              <w:pageBreakBefore w:val="0"/>
              <w:widowControl/>
              <w:suppressLineNumbers w:val="0"/>
              <w:kinsoku/>
              <w:wordWrap/>
              <w:overflowPunct/>
              <w:topLinePunct w:val="0"/>
              <w:bidi w:val="0"/>
              <w:adjustRightInd/>
              <w:snapToGrid/>
              <w:spacing w:line="360" w:lineRule="auto"/>
              <w:ind w:firstLine="480" w:firstLineChars="200"/>
              <w:jc w:val="both"/>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本项目包括LNG气化站和天然气管线两项工程内容，均位于</w:t>
            </w:r>
            <w:r>
              <w:rPr>
                <w:rFonts w:hint="default" w:ascii="Times New Roman" w:hAnsi="Times New Roman" w:eastAsia="宋体" w:cs="Times New Roman"/>
                <w:color w:val="000000" w:themeColor="text1"/>
                <w:kern w:val="0"/>
                <w:sz w:val="24"/>
                <w:szCs w:val="24"/>
                <w:vertAlign w:val="baseline"/>
                <w:lang w:val="en-US" w:eastAsia="zh-CN" w:bidi="ar"/>
                <w14:textFill>
                  <w14:solidFill>
                    <w14:schemeClr w14:val="tx1"/>
                  </w14:solidFill>
                </w14:textFill>
              </w:rPr>
              <w:t>宝鸡市陈仓区坪头镇新民村九龙山景区内</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。LNG气化站</w:t>
            </w:r>
            <w:r>
              <w:rPr>
                <w:rFonts w:hint="default" w:ascii="Times New Roman" w:hAnsi="Times New Roman" w:eastAsia="宋体" w:cs="Times New Roman"/>
                <w:color w:val="000000" w:themeColor="text1"/>
                <w:kern w:val="0"/>
                <w:sz w:val="24"/>
                <w:szCs w:val="24"/>
                <w:vertAlign w:val="baseline"/>
                <w:lang w:val="en-US" w:eastAsia="zh-CN" w:bidi="ar"/>
                <w14:textFill>
                  <w14:solidFill>
                    <w14:schemeClr w14:val="tx1"/>
                  </w14:solidFill>
                </w14:textFill>
              </w:rPr>
              <w:t>利用</w:t>
            </w:r>
            <w:r>
              <w:rPr>
                <w:rFonts w:hint="default" w:ascii="Times New Roman" w:hAnsi="Times New Roman" w:eastAsia="宋体" w:cs="Times New Roman"/>
                <w:b w:val="0"/>
                <w:bCs w:val="0"/>
                <w:color w:val="000000" w:themeColor="text1"/>
                <w:kern w:val="0"/>
                <w:sz w:val="24"/>
                <w:szCs w:val="24"/>
                <w:vertAlign w:val="baseline"/>
                <w:lang w:val="en-US" w:eastAsia="zh-CN" w:bidi="ar"/>
                <w14:textFill>
                  <w14:solidFill>
                    <w14:schemeClr w14:val="tx1"/>
                  </w14:solidFill>
                </w14:textFill>
              </w:rPr>
              <w:t>九龙山景区</w:t>
            </w:r>
            <w:r>
              <w:rPr>
                <w:rFonts w:hint="default" w:ascii="Times New Roman" w:hAnsi="Times New Roman" w:eastAsia="宋体" w:cs="Times New Roman"/>
                <w:b w:val="0"/>
                <w:bCs w:val="0"/>
                <w:color w:val="000000" w:themeColor="text1"/>
                <w:kern w:val="0"/>
                <w:sz w:val="24"/>
                <w:szCs w:val="24"/>
                <w:u w:val="none"/>
                <w:vertAlign w:val="baseline"/>
                <w:lang w:val="en-US" w:eastAsia="zh-CN" w:bidi="ar"/>
                <w14:textFill>
                  <w14:solidFill>
                    <w14:schemeClr w14:val="tx1"/>
                  </w14:solidFill>
                </w14:textFill>
              </w:rPr>
              <w:t>庵里村综合服务区现有停车场用地进行建设，</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土地类型为其他商服用地，</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LNG气化站</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为九龙山景区锅炉房提供天然气，不对外经营，属于九龙山景区配套设施，符合土地利用要求；本工程配套天然气中压管道从拟建LNG气化站出</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站</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预留de160管道接气，自起点接出后沿停车场沥青道路边缘向西北方向敷设，随桥架空敷设后沿着</w:t>
            </w:r>
            <w:r>
              <w:rPr>
                <w:rFonts w:hint="default" w:ascii="Times New Roman" w:hAnsi="Times New Roman" w:eastAsia="宋体" w:cs="Times New Roman"/>
                <w:b w:val="0"/>
                <w:bCs w:val="0"/>
                <w:color w:val="000000" w:themeColor="text1"/>
                <w:kern w:val="0"/>
                <w:sz w:val="24"/>
                <w:szCs w:val="24"/>
                <w:u w:val="none"/>
                <w:vertAlign w:val="baseline"/>
                <w:lang w:val="en-US" w:eastAsia="zh-CN" w:bidi="ar"/>
                <w14:textFill>
                  <w14:solidFill>
                    <w14:schemeClr w14:val="tx1"/>
                  </w14:solidFill>
                </w14:textFill>
              </w:rPr>
              <w:t>庵里村综合服务区道路一直向西北方向敷设至锅炉房外调压柜，燃气管线采用地埋+随桥架空敷设的方式，设置1处截断阀，位于气化站接气点，施工期线路开挖产生的土方堆放于管沟两侧，施工结束全部回填，并对临时占地进行平整和恢复，线路工程不新增用地。</w:t>
            </w:r>
          </w:p>
          <w:p w14:paraId="3D4124FE">
            <w:pPr>
              <w:keepNext w:val="0"/>
              <w:keepLines w:val="0"/>
              <w:pageBreakBefore w:val="0"/>
              <w:widowControl/>
              <w:suppressLineNumbers w:val="0"/>
              <w:kinsoku/>
              <w:wordWrap/>
              <w:overflowPunct/>
              <w:topLinePunct w:val="0"/>
              <w:bidi w:val="0"/>
              <w:adjustRightInd/>
              <w:snapToGrid/>
              <w:spacing w:line="360" w:lineRule="auto"/>
              <w:ind w:firstLine="480" w:firstLineChars="200"/>
              <w:jc w:val="both"/>
              <w:textAlignment w:val="auto"/>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本项目</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LNG气化站和天然气管线所在区域</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属于</w:t>
            </w:r>
            <w:r>
              <w:rPr>
                <w:rFonts w:hint="default" w:ascii="Times New Roman" w:hAnsi="Times New Roman" w:eastAsia="宋体" w:cs="Times New Roman"/>
                <w:b w:val="0"/>
                <w:bCs w:val="0"/>
                <w:color w:val="000000" w:themeColor="text1"/>
                <w:kern w:val="0"/>
                <w:sz w:val="24"/>
                <w:szCs w:val="24"/>
                <w:lang w:val="en-US" w:eastAsia="zh-CN" w:bidi="ar"/>
                <w14:textFill>
                  <w14:solidFill>
                    <w14:schemeClr w14:val="tx1"/>
                  </w14:solidFill>
                </w14:textFill>
              </w:rPr>
              <w:t>陈仓区一般管控单元，不涉及优先保护单元</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LNG气化站</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用地和</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天然气管线</w:t>
            </w:r>
            <w:r>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不涉及法定保护地、</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秦岭保护区和农用地优先保护区，</w:t>
            </w:r>
            <w:r>
              <w:rPr>
                <w:rFonts w:hint="default" w:ascii="Times New Roman" w:hAnsi="Times New Roman" w:eastAsia="宋体" w:cs="Times New Roman"/>
                <w:b w:val="0"/>
                <w:bCs w:val="0"/>
                <w:color w:val="000000" w:themeColor="text1"/>
                <w:kern w:val="0"/>
                <w:sz w:val="24"/>
                <w:szCs w:val="24"/>
                <w:vertAlign w:val="baseline"/>
                <w:lang w:val="en-US" w:eastAsia="zh-CN" w:bidi="ar"/>
                <w14:textFill>
                  <w14:solidFill>
                    <w14:schemeClr w14:val="tx1"/>
                  </w14:solidFill>
                </w14:textFill>
              </w:rPr>
              <w:t>符合宝鸡市“三线一单”生态</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环境分区管控要求</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w:t>
            </w:r>
          </w:p>
          <w:p w14:paraId="4556B3BE">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本项目气化站西侧和南侧为停车场，东侧和北侧为未利用地。企业已委托陕西首创天成工程技术有限公司编制了《九龙山LNG气化站及锅炉供气工程安全设施设计文件》《九龙山LNG气化站及锅炉供气工程消防设计文件》，结论为：项目气化站选址区域位置合理，总图布置符合规范要求，工艺技术安全可靠，从总体上来看本项目是安全的。项目四邻关系图见附图3。</w:t>
            </w:r>
          </w:p>
          <w:p w14:paraId="58DB8D14">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themeColor="text1"/>
                <w:sz w:val="24"/>
                <w:szCs w:val="24"/>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4"/>
                <w:szCs w:val="24"/>
                <w:vertAlign w:val="baseline"/>
                <w:lang w:val="en-US" w:eastAsia="zh-CN" w:bidi="ar"/>
                <w14:textFill>
                  <w14:solidFill>
                    <w14:schemeClr w14:val="tx1"/>
                  </w14:solidFill>
                </w14:textFill>
              </w:rPr>
              <w:t>本项目LNG不属于</w:t>
            </w:r>
            <w:r>
              <w:rPr>
                <w:rFonts w:hint="default" w:ascii="Times New Roman" w:hAnsi="Times New Roman" w:eastAsia="宋体" w:cs="Times New Roman"/>
                <w:color w:val="000000" w:themeColor="text1"/>
                <w:sz w:val="24"/>
                <w:szCs w:val="24"/>
                <w:vertAlign w:val="baseline"/>
                <w:lang w:val="en-US" w:eastAsia="zh-CN"/>
                <w14:textFill>
                  <w14:solidFill>
                    <w14:schemeClr w14:val="tx1"/>
                  </w14:solidFill>
                </w14:textFill>
              </w:rPr>
              <w:t>VOCs物料和挥发性有机液体，</w:t>
            </w:r>
            <w:r>
              <w:rPr>
                <w:rFonts w:hint="default" w:ascii="Times New Roman" w:hAnsi="Times New Roman" w:eastAsia="宋体" w:cs="Times New Roman"/>
                <w:b w:val="0"/>
                <w:bCs w:val="0"/>
                <w:color w:val="000000" w:themeColor="text1"/>
                <w:kern w:val="0"/>
                <w:sz w:val="24"/>
                <w:szCs w:val="24"/>
                <w:vertAlign w:val="baseline"/>
                <w:lang w:val="en-US" w:eastAsia="zh-CN" w:bidi="ar"/>
                <w14:textFill>
                  <w14:solidFill>
                    <w14:schemeClr w14:val="tx1"/>
                  </w14:solidFill>
                </w14:textFill>
              </w:rPr>
              <w:t>气化站无LNG净化工艺，LNG采用低压密闭储罐储存和低压密闭管道输送，系统漏热和容器进出料产生的BOG经加热后输送至天然气管网回收，不外排，</w:t>
            </w:r>
            <w:r>
              <w:rPr>
                <w:rFonts w:hint="default" w:ascii="Times New Roman" w:hAnsi="Times New Roman" w:eastAsia="宋体" w:cs="Times New Roman"/>
                <w:color w:val="000000" w:themeColor="text1"/>
                <w:sz w:val="24"/>
                <w:szCs w:val="24"/>
                <w:vertAlign w:val="baseline"/>
                <w:lang w:val="en-US" w:eastAsia="zh-CN"/>
                <w14:textFill>
                  <w14:solidFill>
                    <w14:schemeClr w14:val="tx1"/>
                  </w14:solidFill>
                </w14:textFill>
              </w:rPr>
              <w:t>储罐系统超压（非正常工况）情况下，BOG经EAG加热后经1根10m高集中放散管排放，对大气环境影响可以接受。运营期无生产废水，生活污水依托景区公共卫生间处理，生活垃圾纳入景区生活垃圾转运系统。</w:t>
            </w:r>
          </w:p>
          <w:p w14:paraId="0EDB98F4">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themeColor="text1"/>
                <w:sz w:val="24"/>
                <w:szCs w:val="24"/>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vertAlign w:val="baseline"/>
                <w:lang w:val="en-US" w:eastAsia="zh-CN"/>
                <w14:textFill>
                  <w14:solidFill>
                    <w14:schemeClr w14:val="tx1"/>
                  </w14:solidFill>
                </w14:textFill>
              </w:rPr>
              <w:t>气化站及天然气管线在严格按照</w:t>
            </w:r>
            <w:r>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《城镇燃气设计规范（2020版）》（GB50028-2006）等相关文件进行设计和建设，同时落实本环评提出的风险防范措施以及</w:t>
            </w:r>
            <w:r>
              <w:rPr>
                <w:rFonts w:hint="default" w:ascii="Times New Roman" w:hAnsi="Times New Roman" w:eastAsia="宋体" w:cs="Times New Roman"/>
                <w:color w:val="000000" w:themeColor="text1"/>
                <w:sz w:val="24"/>
                <w:szCs w:val="24"/>
                <w:vertAlign w:val="baseline"/>
                <w:lang w:val="en-US" w:eastAsia="zh-CN"/>
                <w14:textFill>
                  <w14:solidFill>
                    <w14:schemeClr w14:val="tx1"/>
                  </w14:solidFill>
                </w14:textFill>
              </w:rPr>
              <w:t>安全、消防等专项文件提出的措施后，环境风险可以接受。</w:t>
            </w:r>
          </w:p>
          <w:p w14:paraId="7CEE1EA5">
            <w:pPr>
              <w:pStyle w:val="37"/>
              <w:keepNext w:val="0"/>
              <w:keepLines w:val="0"/>
              <w:pageBreakBefore w:val="0"/>
              <w:widowControl w:val="0"/>
              <w:tabs>
                <w:tab w:val="right" w:leader="dot" w:pos="8306"/>
              </w:tabs>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themeColor="text1"/>
                <w:kern w:val="0"/>
                <w:sz w:val="24"/>
                <w:szCs w:val="24"/>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综上，从环境影响角度分析，项目选址合理。</w:t>
            </w:r>
          </w:p>
        </w:tc>
      </w:tr>
    </w:tbl>
    <w:p w14:paraId="54C101BB">
      <w:pPr>
        <w:keepNext w:val="0"/>
        <w:keepLines w:val="0"/>
        <w:widowControl/>
        <w:suppressLineNumbers w:val="0"/>
        <w:jc w:val="center"/>
        <w:rPr>
          <w:rFonts w:hint="default" w:ascii="Times New Roman" w:hAnsi="Times New Roman" w:eastAsia="宋体" w:cs="Times New Roman"/>
          <w:color w:val="000000" w:themeColor="text1"/>
          <w:kern w:val="0"/>
          <w:sz w:val="32"/>
          <w:szCs w:val="32"/>
          <w:lang w:val="en-US" w:eastAsia="zh-CN" w:bidi="ar"/>
          <w14:textFill>
            <w14:solidFill>
              <w14:schemeClr w14:val="tx1"/>
            </w14:solidFill>
          </w14:textFill>
        </w:rPr>
        <w:sectPr>
          <w:footerReference r:id="rId3" w:type="default"/>
          <w:pgSz w:w="11906" w:h="16838"/>
          <w:pgMar w:top="1440" w:right="1080" w:bottom="1440" w:left="1080" w:header="851" w:footer="992" w:gutter="0"/>
          <w:pgBorders w:offsetFrom="page">
            <w:top w:val="none" w:sz="0" w:space="0"/>
            <w:left w:val="none" w:sz="0" w:space="0"/>
            <w:bottom w:val="none" w:sz="0" w:space="0"/>
            <w:right w:val="none" w:sz="0" w:space="0"/>
          </w:pgBorders>
          <w:pgNumType w:fmt="decimal" w:start="1"/>
          <w:cols w:space="425" w:num="1"/>
          <w:docGrid w:type="lines" w:linePitch="312" w:charSpace="0"/>
        </w:sectPr>
      </w:pPr>
    </w:p>
    <w:p w14:paraId="14B908E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bCs/>
          <w:color w:val="000000" w:themeColor="text1"/>
          <w:kern w:val="0"/>
          <w:sz w:val="28"/>
          <w:szCs w:val="28"/>
          <w:vertAlign w:val="baseline"/>
          <w:lang w:val="en-US" w:eastAsia="zh-CN" w:bidi="ar"/>
          <w14:textFill>
            <w14:solidFill>
              <w14:schemeClr w14:val="tx1"/>
            </w14:solidFill>
          </w14:textFill>
        </w:rPr>
      </w:pPr>
      <w:r>
        <w:rPr>
          <w:rFonts w:hint="default" w:ascii="Times New Roman" w:hAnsi="Times New Roman" w:eastAsia="宋体" w:cs="Times New Roman"/>
          <w:b/>
          <w:bCs/>
          <w:color w:val="000000" w:themeColor="text1"/>
          <w:kern w:val="0"/>
          <w:sz w:val="28"/>
          <w:szCs w:val="28"/>
          <w:lang w:val="en-US" w:eastAsia="zh-CN" w:bidi="ar"/>
          <w14:textFill>
            <w14:solidFill>
              <w14:schemeClr w14:val="tx1"/>
            </w14:solidFill>
          </w14:textFill>
        </w:rPr>
        <w:t>二、建设项目工程分析</w:t>
      </w:r>
    </w:p>
    <w:tbl>
      <w:tblPr>
        <w:tblStyle w:val="17"/>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454"/>
        <w:gridCol w:w="9508"/>
      </w:tblGrid>
      <w:tr w14:paraId="48B5A5D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71" w:type="pct"/>
            <w:tcBorders>
              <w:tl2br w:val="nil"/>
              <w:tr2bl w:val="nil"/>
            </w:tcBorders>
            <w:vAlign w:val="center"/>
          </w:tcPr>
          <w:p w14:paraId="0B3FD9E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000000" w:themeColor="text1"/>
                <w:sz w:val="24"/>
                <w:szCs w:val="24"/>
                <w14:textFill>
                  <w14:solidFill>
                    <w14:schemeClr w14:val="tx1"/>
                  </w14:solidFill>
                </w14:textFill>
              </w:rPr>
            </w:pPr>
            <w:r>
              <w:rPr>
                <w:rFonts w:hint="default" w:ascii="Times New Roman" w:hAnsi="Times New Roman" w:eastAsia="宋体" w:cs="Times New Roman"/>
                <w:b/>
                <w:bCs/>
                <w:color w:val="000000" w:themeColor="text1"/>
                <w:kern w:val="0"/>
                <w:sz w:val="24"/>
                <w:szCs w:val="24"/>
                <w:lang w:val="en-US" w:eastAsia="zh-CN" w:bidi="ar"/>
                <w14:textFill>
                  <w14:solidFill>
                    <w14:schemeClr w14:val="tx1"/>
                  </w14:solidFill>
                </w14:textFill>
              </w:rPr>
              <w:t>建设</w:t>
            </w:r>
          </w:p>
          <w:p w14:paraId="04DB746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000000" w:themeColor="text1"/>
                <w:kern w:val="0"/>
                <w:sz w:val="24"/>
                <w:szCs w:val="24"/>
                <w:vertAlign w:val="baseline"/>
                <w:lang w:val="en-US" w:eastAsia="zh-CN" w:bidi="ar"/>
                <w14:textFill>
                  <w14:solidFill>
                    <w14:schemeClr w14:val="tx1"/>
                  </w14:solidFill>
                </w14:textFill>
              </w:rPr>
            </w:pPr>
            <w:r>
              <w:rPr>
                <w:rFonts w:hint="default" w:ascii="Times New Roman" w:hAnsi="Times New Roman" w:eastAsia="宋体" w:cs="Times New Roman"/>
                <w:b/>
                <w:bCs/>
                <w:color w:val="000000" w:themeColor="text1"/>
                <w:kern w:val="0"/>
                <w:sz w:val="24"/>
                <w:szCs w:val="24"/>
                <w:lang w:val="en-US" w:eastAsia="zh-CN" w:bidi="ar"/>
                <w14:textFill>
                  <w14:solidFill>
                    <w14:schemeClr w14:val="tx1"/>
                  </w14:solidFill>
                </w14:textFill>
              </w:rPr>
              <w:t>内容</w:t>
            </w:r>
          </w:p>
        </w:tc>
        <w:tc>
          <w:tcPr>
            <w:tcW w:w="4728" w:type="pct"/>
            <w:tcBorders>
              <w:tl2br w:val="nil"/>
              <w:tr2bl w:val="nil"/>
            </w:tcBorders>
            <w:vAlign w:val="center"/>
          </w:tcPr>
          <w:p w14:paraId="01493949">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000000" w:themeColor="text1"/>
                <w:kern w:val="0"/>
                <w:sz w:val="24"/>
                <w:szCs w:val="24"/>
                <w:u w:val="none"/>
                <w:vertAlign w:val="baseline"/>
                <w:lang w:val="en-US" w:eastAsia="zh-CN" w:bidi="ar"/>
                <w14:textFill>
                  <w14:solidFill>
                    <w14:schemeClr w14:val="tx1"/>
                  </w14:solidFill>
                </w14:textFill>
              </w:rPr>
            </w:pPr>
            <w:r>
              <w:rPr>
                <w:rFonts w:hint="default" w:ascii="Times New Roman" w:hAnsi="Times New Roman" w:eastAsia="宋体" w:cs="Times New Roman"/>
                <w:b/>
                <w:bCs/>
                <w:color w:val="000000" w:themeColor="text1"/>
                <w:kern w:val="0"/>
                <w:sz w:val="24"/>
                <w:szCs w:val="24"/>
                <w:u w:val="none"/>
                <w:vertAlign w:val="baseline"/>
                <w:lang w:val="en-US" w:eastAsia="zh-CN" w:bidi="ar"/>
                <w14:textFill>
                  <w14:solidFill>
                    <w14:schemeClr w14:val="tx1"/>
                  </w14:solidFill>
                </w14:textFill>
              </w:rPr>
              <w:t>1.项目由来</w:t>
            </w:r>
          </w:p>
          <w:p w14:paraId="0A5ACA73">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000000" w:themeColor="text1"/>
                <w:kern w:val="0"/>
                <w:sz w:val="24"/>
                <w:szCs w:val="24"/>
                <w:u w:val="none"/>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4"/>
                <w:szCs w:val="24"/>
                <w:u w:val="none"/>
                <w:vertAlign w:val="baseline"/>
                <w:lang w:val="en-US" w:eastAsia="zh-CN" w:bidi="ar"/>
                <w14:textFill>
                  <w14:solidFill>
                    <w14:schemeClr w14:val="tx1"/>
                  </w14:solidFill>
                </w14:textFill>
              </w:rPr>
              <w:t>陕西九龙山旅游开发有限公司成立于2015年，于2016年10月16日委托宝鸡市环境影响评价所编写了《九龙山景区开发建设项目环境影响报告书》，2016年10月24日通过了宝鸡市环境保护局的审批，审批文号为宝市环函〔2016〕456号，2019年4月通过《九龙山景区开发建设项目（水、气、声、生态）》自主验收，2019年7月15日取得宝鸡市生态环境局《关于九龙山景区开发建设项目固体废物污染防治设施验收的批复》（宝市环函</w:t>
            </w:r>
            <w:r>
              <w:rPr>
                <w:rFonts w:hint="default" w:ascii="Times New Roman" w:hAnsi="Times New Roman" w:eastAsia="宋体" w:cs="Times New Roman"/>
                <w:b w:val="0"/>
                <w:bCs w:val="0"/>
                <w:color w:val="000000" w:themeColor="text1"/>
                <w:kern w:val="0"/>
                <w:sz w:val="24"/>
                <w:szCs w:val="24"/>
                <w:u w:val="none"/>
                <w:lang w:val="en-US" w:eastAsia="zh-CN" w:bidi="ar"/>
                <w14:textFill>
                  <w14:solidFill>
                    <w14:schemeClr w14:val="tx1"/>
                  </w14:solidFill>
                </w14:textFill>
              </w:rPr>
              <w:t>〔2019〕293号），以下简称“现有项目”。</w:t>
            </w:r>
            <w:r>
              <w:rPr>
                <w:rFonts w:hint="default" w:ascii="Times New Roman" w:hAnsi="Times New Roman" w:eastAsia="宋体" w:cs="Times New Roman"/>
                <w:b w:val="0"/>
                <w:bCs w:val="0"/>
                <w:color w:val="000000" w:themeColor="text1"/>
                <w:kern w:val="0"/>
                <w:sz w:val="24"/>
                <w:szCs w:val="24"/>
                <w:u w:val="none"/>
                <w:vertAlign w:val="baseline"/>
                <w:lang w:val="en-US" w:eastAsia="zh-CN" w:bidi="ar"/>
                <w14:textFill>
                  <w14:solidFill>
                    <w14:schemeClr w14:val="tx1"/>
                  </w14:solidFill>
                </w14:textFill>
              </w:rPr>
              <w:t>该项目位于宝鸡市陈仓区坪头镇新民村、庵里村、王家咀村、赵家山村四组辖区的峡谷内，总规划面积为10km</w:t>
            </w:r>
            <w:r>
              <w:rPr>
                <w:rFonts w:hint="default" w:ascii="Times New Roman" w:hAnsi="Times New Roman" w:eastAsia="宋体" w:cs="Times New Roman"/>
                <w:b w:val="0"/>
                <w:bCs w:val="0"/>
                <w:color w:val="000000" w:themeColor="text1"/>
                <w:kern w:val="0"/>
                <w:sz w:val="24"/>
                <w:szCs w:val="24"/>
                <w:u w:val="none"/>
                <w:vertAlign w:val="superscript"/>
                <w:lang w:val="en-US" w:eastAsia="zh-CN" w:bidi="ar"/>
                <w14:textFill>
                  <w14:solidFill>
                    <w14:schemeClr w14:val="tx1"/>
                  </w14:solidFill>
                </w14:textFill>
              </w:rPr>
              <w:t>2</w:t>
            </w:r>
            <w:r>
              <w:rPr>
                <w:rFonts w:hint="default" w:ascii="Times New Roman" w:hAnsi="Times New Roman" w:eastAsia="宋体" w:cs="Times New Roman"/>
                <w:b w:val="0"/>
                <w:bCs w:val="0"/>
                <w:color w:val="000000" w:themeColor="text1"/>
                <w:kern w:val="0"/>
                <w:sz w:val="24"/>
                <w:szCs w:val="24"/>
                <w:u w:val="none"/>
                <w:vertAlign w:val="baseline"/>
                <w:lang w:val="en-US" w:eastAsia="zh-CN" w:bidi="ar"/>
                <w14:textFill>
                  <w14:solidFill>
                    <w14:schemeClr w14:val="tx1"/>
                  </w14:solidFill>
                </w14:textFill>
              </w:rPr>
              <w:t>，实际开发面积为1.83km</w:t>
            </w:r>
            <w:r>
              <w:rPr>
                <w:rFonts w:hint="default" w:ascii="Times New Roman" w:hAnsi="Times New Roman" w:eastAsia="宋体" w:cs="Times New Roman"/>
                <w:b w:val="0"/>
                <w:bCs w:val="0"/>
                <w:color w:val="000000" w:themeColor="text1"/>
                <w:kern w:val="0"/>
                <w:sz w:val="24"/>
                <w:szCs w:val="24"/>
                <w:u w:val="none"/>
                <w:vertAlign w:val="superscript"/>
                <w:lang w:val="en-US" w:eastAsia="zh-CN" w:bidi="ar"/>
                <w14:textFill>
                  <w14:solidFill>
                    <w14:schemeClr w14:val="tx1"/>
                  </w14:solidFill>
                </w14:textFill>
              </w:rPr>
              <w:t>2</w:t>
            </w:r>
            <w:r>
              <w:rPr>
                <w:rFonts w:hint="default" w:ascii="Times New Roman" w:hAnsi="Times New Roman" w:eastAsia="宋体" w:cs="Times New Roman"/>
                <w:b w:val="0"/>
                <w:bCs w:val="0"/>
                <w:color w:val="000000" w:themeColor="text1"/>
                <w:kern w:val="0"/>
                <w:sz w:val="24"/>
                <w:szCs w:val="24"/>
                <w:u w:val="none"/>
                <w:vertAlign w:val="baseline"/>
                <w:lang w:val="en-US" w:eastAsia="zh-CN" w:bidi="ar"/>
                <w14:textFill>
                  <w14:solidFill>
                    <w14:schemeClr w14:val="tx1"/>
                  </w14:solidFill>
                </w14:textFill>
              </w:rPr>
              <w:t>左右，规划结构为“一带三区”，一带指小水河激情体验带、三区指庵里村综合服务区、宽沟蔡地下版块、禅休养生区，同时配套建设游客综合服务中心、游客住宿设施、人行步道、给排水管网、电力管网、通讯管网、旅游厕所和景区停车场等附属设施，项目实际总投资21.15亿元。</w:t>
            </w:r>
          </w:p>
          <w:p w14:paraId="5A733885">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000000" w:themeColor="text1"/>
                <w:kern w:val="0"/>
                <w:sz w:val="24"/>
                <w:szCs w:val="24"/>
                <w:u w:val="none"/>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4"/>
                <w:szCs w:val="24"/>
                <w:u w:val="none"/>
                <w:vertAlign w:val="baseline"/>
                <w:lang w:val="en-US" w:eastAsia="zh-CN" w:bidi="ar"/>
                <w14:textFill>
                  <w14:solidFill>
                    <w14:schemeClr w14:val="tx1"/>
                  </w14:solidFill>
                </w14:textFill>
              </w:rPr>
              <w:t>2017年11月委托安徽中环环境科学研究院有限公司编制了《九龙山景区集中供热项目环境影响报告表》，2019年11月6日取得宝鸡市生态环境局陈仓分局《关于九龙山景区集中供热项目环境影响报告表的批复》（宝环陈函〔2019〕220号），2019年12月18日通过竣工环境保护验收。九龙山景区集中供热项目位于陈仓区坪头镇新民村，距离庵里村综合服务区约1.7km，占地面积7000m</w:t>
            </w:r>
            <w:r>
              <w:rPr>
                <w:rFonts w:hint="default" w:ascii="Times New Roman" w:hAnsi="Times New Roman" w:eastAsia="宋体" w:cs="Times New Roman"/>
                <w:b w:val="0"/>
                <w:bCs w:val="0"/>
                <w:color w:val="000000" w:themeColor="text1"/>
                <w:kern w:val="0"/>
                <w:sz w:val="24"/>
                <w:szCs w:val="24"/>
                <w:u w:val="none"/>
                <w:vertAlign w:val="superscript"/>
                <w:lang w:val="en-US" w:eastAsia="zh-CN" w:bidi="ar"/>
                <w14:textFill>
                  <w14:solidFill>
                    <w14:schemeClr w14:val="tx1"/>
                  </w14:solidFill>
                </w14:textFill>
              </w:rPr>
              <w:t>2</w:t>
            </w:r>
            <w:r>
              <w:rPr>
                <w:rFonts w:hint="default" w:ascii="Times New Roman" w:hAnsi="Times New Roman" w:eastAsia="宋体" w:cs="Times New Roman"/>
                <w:b w:val="0"/>
                <w:bCs w:val="0"/>
                <w:color w:val="000000" w:themeColor="text1"/>
                <w:kern w:val="0"/>
                <w:sz w:val="24"/>
                <w:szCs w:val="24"/>
                <w:u w:val="none"/>
                <w:vertAlign w:val="baseline"/>
                <w:lang w:val="en-US" w:eastAsia="zh-CN" w:bidi="ar"/>
                <w14:textFill>
                  <w14:solidFill>
                    <w14:schemeClr w14:val="tx1"/>
                  </w14:solidFill>
                </w14:textFill>
              </w:rPr>
              <w:t>，建设2台14MW（20t）粉煤高温热水锅炉（一备一用）及配套设施，同时配套建设6座换热站、一次供热管网和二次供热管网，为九龙山景区供热、供暖。</w:t>
            </w:r>
          </w:p>
          <w:p w14:paraId="6F673088">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4"/>
                <w:szCs w:val="24"/>
                <w:u w:val="none"/>
                <w:vertAlign w:val="baseline"/>
                <w:lang w:val="en-US" w:eastAsia="zh-CN" w:bidi="ar"/>
                <w14:textFill>
                  <w14:solidFill>
                    <w14:schemeClr w14:val="tx1"/>
                  </w14:solidFill>
                </w14:textFill>
              </w:rPr>
              <w:t>依据</w:t>
            </w:r>
            <w:r>
              <w:rPr>
                <w:rFonts w:hint="default" w:ascii="Times New Roman" w:hAnsi="Times New Roman" w:eastAsia="宋体" w:cs="Times New Roman"/>
                <w:color w:val="000000" w:themeColor="text1"/>
                <w:sz w:val="24"/>
                <w:szCs w:val="24"/>
                <w:u w:val="none"/>
                <w:lang w:val="en-US" w:eastAsia="zh-CN"/>
                <w14:textFill>
                  <w14:solidFill>
                    <w14:schemeClr w14:val="tx1"/>
                  </w14:solidFill>
                </w14:textFill>
              </w:rPr>
              <w:t>宝鸡市大气办</w:t>
            </w:r>
            <w:r>
              <w:rPr>
                <w:rFonts w:hint="default" w:ascii="Times New Roman" w:hAnsi="Times New Roman" w:eastAsia="宋体" w:cs="Times New Roman"/>
                <w:b w:val="0"/>
                <w:bCs w:val="0"/>
                <w:color w:val="000000" w:themeColor="text1"/>
                <w:kern w:val="0"/>
                <w:sz w:val="24"/>
                <w:szCs w:val="24"/>
                <w:u w:val="none"/>
                <w:vertAlign w:val="baseline"/>
                <w:lang w:val="en-US" w:eastAsia="zh-CN" w:bidi="ar"/>
                <w14:textFill>
                  <w14:solidFill>
                    <w14:schemeClr w14:val="tx1"/>
                  </w14:solidFill>
                </w14:textFill>
              </w:rPr>
              <w:t>《</w:t>
            </w:r>
            <w:r>
              <w:rPr>
                <w:rFonts w:hint="default" w:ascii="Times New Roman" w:hAnsi="Times New Roman" w:eastAsia="宋体" w:cs="Times New Roman"/>
                <w:color w:val="000000" w:themeColor="text1"/>
                <w:sz w:val="24"/>
                <w:szCs w:val="24"/>
                <w:u w:val="none"/>
                <w:lang w:val="en-US" w:eastAsia="zh-CN"/>
                <w14:textFill>
                  <w14:solidFill>
                    <w14:schemeClr w14:val="tx1"/>
                  </w14:solidFill>
                </w14:textFill>
              </w:rPr>
              <w:t>关于印发</w:t>
            </w:r>
            <w:r>
              <w:rPr>
                <w:rFonts w:hint="default" w:ascii="Times New Roman" w:hAnsi="Times New Roman" w:eastAsia="宋体" w:cs="Times New Roman"/>
                <w:b w:val="0"/>
                <w:bCs w:val="0"/>
                <w:color w:val="000000" w:themeColor="text1"/>
                <w:kern w:val="0"/>
                <w:sz w:val="24"/>
                <w:szCs w:val="24"/>
                <w:u w:val="none"/>
                <w:vertAlign w:val="baseline"/>
                <w:lang w:val="en-US" w:eastAsia="zh-CN" w:bidi="ar"/>
                <w14:textFill>
                  <w14:solidFill>
                    <w14:schemeClr w14:val="tx1"/>
                  </w14:solidFill>
                </w14:textFill>
              </w:rPr>
              <w:t>2023年秋冬季期间重点大气污染物协同管控工作方案》要求，2023年年底前，完成35蒸吨/小时以下燃煤锅炉淘汰任务（不含2018年10月底前完成超低排放改造的20蒸吨/小时及以上锅炉）。陕西九龙山旅游开发有限公司为响应政策要求，拟</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拆除现有</w:t>
            </w:r>
            <w:r>
              <w:rPr>
                <w:rFonts w:hint="default" w:ascii="Times New Roman" w:hAnsi="Times New Roman" w:eastAsia="宋体" w:cs="Times New Roman"/>
                <w:b w:val="0"/>
                <w:bCs w:val="0"/>
                <w:color w:val="000000" w:themeColor="text1"/>
                <w:kern w:val="0"/>
                <w:sz w:val="24"/>
                <w:szCs w:val="24"/>
                <w:u w:val="none"/>
                <w:vertAlign w:val="baseline"/>
                <w:lang w:val="en-US" w:eastAsia="zh-CN" w:bidi="ar"/>
                <w14:textFill>
                  <w14:solidFill>
                    <w14:schemeClr w14:val="tx1"/>
                  </w14:solidFill>
                </w14:textFill>
              </w:rPr>
              <w:t>2台14MW（20t）粉煤高温热水锅炉（目前一台已拆除），重新选址，在庵里村综合服务区</w:t>
            </w:r>
            <w:r>
              <w:rPr>
                <w:rFonts w:hint="default" w:ascii="Times New Roman" w:hAnsi="Times New Roman" w:eastAsia="宋体" w:cs="Times New Roman"/>
                <w:b w:val="0"/>
                <w:bCs w:val="0"/>
                <w:color w:val="000000" w:themeColor="text1"/>
                <w:kern w:val="0"/>
                <w:sz w:val="24"/>
                <w:szCs w:val="24"/>
                <w:vertAlign w:val="baseline"/>
                <w:lang w:val="en-US" w:eastAsia="zh-CN" w:bidi="ar"/>
                <w14:textFill>
                  <w14:solidFill>
                    <w14:schemeClr w14:val="tx1"/>
                  </w14:solidFill>
                </w14:textFill>
              </w:rPr>
              <w:t>现有一级供回水</w:t>
            </w:r>
            <w:r>
              <w:rPr>
                <w:rFonts w:hint="default" w:ascii="Times New Roman" w:hAnsi="Times New Roman" w:eastAsia="宋体" w:cs="Times New Roman"/>
                <w:color w:val="000000" w:themeColor="text1"/>
                <w:sz w:val="24"/>
                <w:szCs w:val="24"/>
                <w14:textFill>
                  <w14:solidFill>
                    <w14:schemeClr w14:val="tx1"/>
                  </w14:solidFill>
                </w14:textFill>
              </w:rPr>
              <w:t>配水站</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站房内新增两台8.4</w:t>
            </w:r>
            <w:r>
              <w:rPr>
                <w:rFonts w:hint="default" w:ascii="Times New Roman" w:hAnsi="Times New Roman" w:eastAsia="宋体" w:cs="Times New Roman"/>
                <w:b w:val="0"/>
                <w:bCs w:val="0"/>
                <w:color w:val="000000" w:themeColor="text1"/>
                <w:kern w:val="0"/>
                <w:sz w:val="24"/>
                <w:szCs w:val="24"/>
                <w:u w:val="none"/>
                <w:vertAlign w:val="baseline"/>
                <w:lang w:val="en-US" w:eastAsia="zh-CN" w:bidi="ar"/>
                <w14:textFill>
                  <w14:solidFill>
                    <w14:schemeClr w14:val="tx1"/>
                  </w14:solidFill>
                </w14:textFill>
              </w:rPr>
              <w:t>MW（12t）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天然气热水锅炉（一用一备）及配套设施，为九龙山景区</w:t>
            </w:r>
            <w:r>
              <w:rPr>
                <w:rFonts w:hint="default" w:ascii="Times New Roman" w:hAnsi="Times New Roman" w:eastAsia="宋体" w:cs="Times New Roman"/>
                <w:b w:val="0"/>
                <w:bCs w:val="0"/>
                <w:color w:val="000000" w:themeColor="text1"/>
                <w:kern w:val="0"/>
                <w:sz w:val="24"/>
                <w:szCs w:val="24"/>
                <w:u w:val="none"/>
                <w:vertAlign w:val="baseline"/>
                <w:lang w:val="en-US" w:eastAsia="zh-CN" w:bidi="ar"/>
                <w14:textFill>
                  <w14:solidFill>
                    <w14:schemeClr w14:val="tx1"/>
                  </w14:solidFill>
                </w14:textFill>
              </w:rPr>
              <w:t>供热、供暖。该项目于2024年10月21日取得宝鸡市行政审批服务局《关于陕西九龙山旅游开发有限公司</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九龙山景区集中供热锅炉提升改造项目环境影响报告表的批复》（宝审服环字〔2024〕75号），目前正在建设，还没开展竣工环境保护验收，以下简称“在建项目”。</w:t>
            </w:r>
          </w:p>
          <w:p w14:paraId="31B3BA6F">
            <w:pPr>
              <w:keepNext w:val="0"/>
              <w:keepLines w:val="0"/>
              <w:pageBreakBefore w:val="0"/>
              <w:widowControl/>
              <w:suppressLineNumbers w:val="0"/>
              <w:kinsoku/>
              <w:wordWrap/>
              <w:overflowPunct/>
              <w:topLinePunct w:val="0"/>
              <w:bidi w:val="0"/>
              <w:adjustRightInd/>
              <w:snapToGrid/>
              <w:spacing w:line="360" w:lineRule="auto"/>
              <w:ind w:firstLine="480" w:firstLineChars="200"/>
              <w:jc w:val="both"/>
              <w:textAlignment w:val="auto"/>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九龙山景区位于</w:t>
            </w:r>
            <w:r>
              <w:rPr>
                <w:rFonts w:hint="default" w:ascii="Times New Roman" w:hAnsi="Times New Roman" w:eastAsia="宋体" w:cs="Times New Roman"/>
                <w:color w:val="000000" w:themeColor="text1"/>
                <w:kern w:val="0"/>
                <w:sz w:val="24"/>
                <w:szCs w:val="24"/>
                <w:vertAlign w:val="baseline"/>
                <w:lang w:val="en-US" w:eastAsia="zh-CN" w:bidi="ar"/>
                <w14:textFill>
                  <w14:solidFill>
                    <w14:schemeClr w14:val="tx1"/>
                  </w14:solidFill>
                </w14:textFill>
              </w:rPr>
              <w:t>坪头镇新民村，</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位置偏远，目前市政天然气管线未接通，景区现有CNG减压站规模较小，现有燃煤供热中心“煤改气”后，新建的燃气锅炉无法使用市政天然气管网供气，同时现有CNG减压站供气规模不足。企业为了解决燃气锅炉用气问题，拟</w:t>
            </w:r>
            <w:r>
              <w:rPr>
                <w:rFonts w:hint="default" w:ascii="Times New Roman" w:hAnsi="Times New Roman" w:eastAsia="宋体" w:cs="Times New Roman"/>
                <w:color w:val="000000" w:themeColor="text1"/>
                <w:kern w:val="0"/>
                <w:sz w:val="24"/>
                <w:szCs w:val="24"/>
                <w:vertAlign w:val="baseline"/>
                <w:lang w:val="en-US" w:eastAsia="zh-CN" w:bidi="ar"/>
                <w14:textFill>
                  <w14:solidFill>
                    <w14:schemeClr w14:val="tx1"/>
                  </w14:solidFill>
                </w14:textFill>
              </w:rPr>
              <w:t>利用</w:t>
            </w:r>
            <w:r>
              <w:rPr>
                <w:rFonts w:hint="default" w:ascii="Times New Roman" w:hAnsi="Times New Roman" w:eastAsia="宋体" w:cs="Times New Roman"/>
                <w:b w:val="0"/>
                <w:bCs w:val="0"/>
                <w:color w:val="000000" w:themeColor="text1"/>
                <w:kern w:val="0"/>
                <w:sz w:val="24"/>
                <w:szCs w:val="24"/>
                <w:vertAlign w:val="baseline"/>
                <w:lang w:val="en-US" w:eastAsia="zh-CN" w:bidi="ar"/>
                <w14:textFill>
                  <w14:solidFill>
                    <w14:schemeClr w14:val="tx1"/>
                  </w14:solidFill>
                </w14:textFill>
              </w:rPr>
              <w:t>九龙山景区</w:t>
            </w:r>
            <w:r>
              <w:rPr>
                <w:rFonts w:hint="default" w:ascii="Times New Roman" w:hAnsi="Times New Roman" w:eastAsia="宋体" w:cs="Times New Roman"/>
                <w:b w:val="0"/>
                <w:bCs w:val="0"/>
                <w:color w:val="000000" w:themeColor="text1"/>
                <w:kern w:val="0"/>
                <w:sz w:val="24"/>
                <w:szCs w:val="24"/>
                <w:u w:val="none"/>
                <w:vertAlign w:val="baseline"/>
                <w:lang w:val="en-US" w:eastAsia="zh-CN" w:bidi="ar"/>
                <w14:textFill>
                  <w14:solidFill>
                    <w14:schemeClr w14:val="tx1"/>
                  </w14:solidFill>
                </w14:textFill>
              </w:rPr>
              <w:t>庵里村综合服务区现有停车场用地</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新建1座LNG气化站，同时拆除站区用地范围东侧现有CNG减压站，外购LNG经槽车运至气化站气化后通过燃气管道输送至锅炉房外调压柜，经调压后送入燃气锅炉房使用。</w:t>
            </w:r>
          </w:p>
          <w:p w14:paraId="14FAE294">
            <w:pPr>
              <w:keepNext w:val="0"/>
              <w:keepLines w:val="0"/>
              <w:pageBreakBefore w:val="0"/>
              <w:widowControl/>
              <w:suppressLineNumbers w:val="0"/>
              <w:kinsoku/>
              <w:wordWrap/>
              <w:overflowPunct/>
              <w:topLinePunct w:val="0"/>
              <w:bidi w:val="0"/>
              <w:adjustRightInd/>
              <w:snapToGrid/>
              <w:spacing w:line="360" w:lineRule="auto"/>
              <w:ind w:firstLine="480" w:firstLineChars="200"/>
              <w:jc w:val="both"/>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本项目包括LNG气化站和天然气管线两项工程内容，均位于</w:t>
            </w:r>
            <w:r>
              <w:rPr>
                <w:rFonts w:hint="default" w:ascii="Times New Roman" w:hAnsi="Times New Roman" w:eastAsia="宋体" w:cs="Times New Roman"/>
                <w:color w:val="000000" w:themeColor="text1"/>
                <w:kern w:val="0"/>
                <w:sz w:val="24"/>
                <w:szCs w:val="24"/>
                <w:vertAlign w:val="baseline"/>
                <w:lang w:val="en-US" w:eastAsia="zh-CN" w:bidi="ar"/>
                <w14:textFill>
                  <w14:solidFill>
                    <w14:schemeClr w14:val="tx1"/>
                  </w14:solidFill>
                </w14:textFill>
              </w:rPr>
              <w:t>宝鸡市陈仓区坪头镇新民村九龙山景区内</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。LNG气化站</w:t>
            </w:r>
            <w:r>
              <w:rPr>
                <w:rFonts w:hint="default" w:ascii="Times New Roman" w:hAnsi="Times New Roman" w:eastAsia="宋体" w:cs="Times New Roman"/>
                <w:color w:val="000000" w:themeColor="text1"/>
                <w:kern w:val="0"/>
                <w:sz w:val="24"/>
                <w:szCs w:val="24"/>
                <w:vertAlign w:val="baseline"/>
                <w:lang w:val="en-US" w:eastAsia="zh-CN" w:bidi="ar"/>
                <w14:textFill>
                  <w14:solidFill>
                    <w14:schemeClr w14:val="tx1"/>
                  </w14:solidFill>
                </w14:textFill>
              </w:rPr>
              <w:t>利用</w:t>
            </w:r>
            <w:r>
              <w:rPr>
                <w:rFonts w:hint="default" w:ascii="Times New Roman" w:hAnsi="Times New Roman" w:eastAsia="宋体" w:cs="Times New Roman"/>
                <w:b w:val="0"/>
                <w:bCs w:val="0"/>
                <w:color w:val="000000" w:themeColor="text1"/>
                <w:kern w:val="0"/>
                <w:sz w:val="24"/>
                <w:szCs w:val="24"/>
                <w:vertAlign w:val="baseline"/>
                <w:lang w:val="en-US" w:eastAsia="zh-CN" w:bidi="ar"/>
                <w14:textFill>
                  <w14:solidFill>
                    <w14:schemeClr w14:val="tx1"/>
                  </w14:solidFill>
                </w14:textFill>
              </w:rPr>
              <w:t>九龙山景区</w:t>
            </w:r>
            <w:r>
              <w:rPr>
                <w:rFonts w:hint="default" w:ascii="Times New Roman" w:hAnsi="Times New Roman" w:eastAsia="宋体" w:cs="Times New Roman"/>
                <w:b w:val="0"/>
                <w:bCs w:val="0"/>
                <w:color w:val="000000" w:themeColor="text1"/>
                <w:kern w:val="0"/>
                <w:sz w:val="24"/>
                <w:szCs w:val="24"/>
                <w:u w:val="none"/>
                <w:vertAlign w:val="baseline"/>
                <w:lang w:val="en-US" w:eastAsia="zh-CN" w:bidi="ar"/>
                <w14:textFill>
                  <w14:solidFill>
                    <w14:schemeClr w14:val="tx1"/>
                  </w14:solidFill>
                </w14:textFill>
              </w:rPr>
              <w:t>庵里村综合服务区现有停车场用地进行建设，占地面积</w:t>
            </w:r>
            <w:r>
              <w:rPr>
                <w:rFonts w:hint="default" w:ascii="Times New Roman" w:hAnsi="Times New Roman" w:eastAsia="宋体" w:cs="Times New Roman"/>
                <w:color w:val="000000" w:themeColor="text1"/>
                <w:kern w:val="0"/>
                <w:sz w:val="24"/>
                <w:szCs w:val="24"/>
                <w:vertAlign w:val="baseline"/>
                <w:lang w:val="en-US" w:eastAsia="zh-CN" w:bidi="ar"/>
                <w14:textFill>
                  <w14:solidFill>
                    <w14:schemeClr w14:val="tx1"/>
                  </w14:solidFill>
                </w14:textFill>
              </w:rPr>
              <w:t>5244.31m</w:t>
            </w:r>
            <w:r>
              <w:rPr>
                <w:rFonts w:hint="default" w:ascii="Times New Roman" w:hAnsi="Times New Roman" w:eastAsia="宋体" w:cs="Times New Roman"/>
                <w:color w:val="000000" w:themeColor="text1"/>
                <w:kern w:val="0"/>
                <w:sz w:val="24"/>
                <w:szCs w:val="24"/>
                <w:vertAlign w:val="superscript"/>
                <w:lang w:val="en-US" w:eastAsia="zh-CN" w:bidi="ar"/>
                <w14:textFill>
                  <w14:solidFill>
                    <w14:schemeClr w14:val="tx1"/>
                  </w14:solidFill>
                </w14:textFill>
              </w:rPr>
              <w:t>2</w:t>
            </w:r>
            <w:r>
              <w:rPr>
                <w:rFonts w:hint="default" w:ascii="Times New Roman" w:hAnsi="Times New Roman" w:eastAsia="宋体" w:cs="Times New Roman"/>
                <w:color w:val="000000" w:themeColor="text1"/>
                <w:kern w:val="0"/>
                <w:sz w:val="24"/>
                <w:szCs w:val="24"/>
                <w:vertAlign w:val="baseline"/>
                <w:lang w:val="en-US" w:eastAsia="zh-CN" w:bidi="ar"/>
                <w14:textFill>
                  <w14:solidFill>
                    <w14:schemeClr w14:val="tx1"/>
                  </w14:solidFill>
                </w14:textFill>
              </w:rPr>
              <w:t>，包括生产区和辅助区，气化站设计气化能力为2000Nm</w:t>
            </w:r>
            <w:r>
              <w:rPr>
                <w:rFonts w:hint="default" w:ascii="Times New Roman" w:hAnsi="Times New Roman" w:eastAsia="宋体" w:cs="Times New Roman"/>
                <w:color w:val="000000" w:themeColor="text1"/>
                <w:kern w:val="0"/>
                <w:sz w:val="24"/>
                <w:szCs w:val="24"/>
                <w:vertAlign w:val="superscript"/>
                <w:lang w:val="en-US" w:eastAsia="zh-CN" w:bidi="ar"/>
                <w14:textFill>
                  <w14:solidFill>
                    <w14:schemeClr w14:val="tx1"/>
                  </w14:solidFill>
                </w14:textFill>
              </w:rPr>
              <w:t>3</w:t>
            </w:r>
            <w:r>
              <w:rPr>
                <w:rFonts w:hint="default" w:ascii="Times New Roman" w:hAnsi="Times New Roman" w:eastAsia="宋体" w:cs="Times New Roman"/>
                <w:color w:val="000000" w:themeColor="text1"/>
                <w:kern w:val="0"/>
                <w:sz w:val="24"/>
                <w:szCs w:val="24"/>
                <w:vertAlign w:val="baseline"/>
                <w:lang w:val="en-US" w:eastAsia="zh-CN" w:bidi="ar"/>
                <w14:textFill>
                  <w14:solidFill>
                    <w14:schemeClr w14:val="tx1"/>
                  </w14:solidFill>
                </w14:textFill>
              </w:rPr>
              <w:t>/h；</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配套de160天然气管道全长562.6m，起点位于LNG气化站出</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站</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预留de160管道，终点位</w:t>
            </w:r>
            <w:r>
              <w:rPr>
                <w:rFonts w:hint="default" w:ascii="Times New Roman" w:hAnsi="Times New Roman" w:eastAsia="宋体" w:cs="Times New Roman"/>
                <w:b w:val="0"/>
                <w:bCs w:val="0"/>
                <w:color w:val="000000" w:themeColor="text1"/>
                <w:kern w:val="0"/>
                <w:sz w:val="24"/>
                <w:szCs w:val="24"/>
                <w:u w:val="none"/>
                <w:vertAlign w:val="baseline"/>
                <w:lang w:val="en-US" w:eastAsia="zh-CN" w:bidi="ar"/>
                <w14:textFill>
                  <w14:solidFill>
                    <w14:schemeClr w14:val="tx1"/>
                  </w14:solidFill>
                </w14:textFill>
              </w:rPr>
              <w:t>锅炉房外调压柜。</w:t>
            </w:r>
          </w:p>
          <w:p w14:paraId="3EDC2F40">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000000" w:themeColor="text1"/>
                <w:kern w:val="0"/>
                <w:sz w:val="24"/>
                <w:szCs w:val="24"/>
                <w:vertAlign w:val="baseline"/>
                <w:lang w:val="en-US" w:eastAsia="zh-CN" w:bidi="ar"/>
                <w14:textFill>
                  <w14:solidFill>
                    <w14:schemeClr w14:val="tx1"/>
                  </w14:solidFill>
                </w14:textFill>
              </w:rPr>
            </w:pPr>
            <w:r>
              <w:rPr>
                <w:rFonts w:hint="default" w:ascii="Times New Roman" w:hAnsi="Times New Roman" w:eastAsia="宋体" w:cs="Times New Roman"/>
                <w:b/>
                <w:bCs/>
                <w:color w:val="000000" w:themeColor="text1"/>
                <w:kern w:val="0"/>
                <w:sz w:val="24"/>
                <w:szCs w:val="24"/>
                <w:u w:val="none"/>
                <w:vertAlign w:val="baseline"/>
                <w:lang w:val="en-US" w:eastAsia="zh-CN" w:bidi="ar"/>
                <w14:textFill>
                  <w14:solidFill>
                    <w14:schemeClr w14:val="tx1"/>
                  </w14:solidFill>
                </w14:textFill>
              </w:rPr>
              <w:t>2.</w:t>
            </w:r>
            <w:r>
              <w:rPr>
                <w:rFonts w:hint="default" w:ascii="Times New Roman" w:hAnsi="Times New Roman" w:eastAsia="宋体" w:cs="Times New Roman"/>
                <w:b/>
                <w:bCs/>
                <w:color w:val="000000" w:themeColor="text1"/>
                <w:kern w:val="0"/>
                <w:sz w:val="24"/>
                <w:szCs w:val="24"/>
                <w:vertAlign w:val="baseline"/>
                <w:lang w:val="en-US" w:eastAsia="zh-CN" w:bidi="ar"/>
                <w14:textFill>
                  <w14:solidFill>
                    <w14:schemeClr w14:val="tx1"/>
                  </w14:solidFill>
                </w14:textFill>
              </w:rPr>
              <w:t>工程内容一览表</w:t>
            </w:r>
          </w:p>
          <w:p w14:paraId="3948AE1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bCs/>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bCs/>
                <w:color w:val="000000" w:themeColor="text1"/>
                <w:kern w:val="0"/>
                <w:sz w:val="21"/>
                <w:szCs w:val="21"/>
                <w:vertAlign w:val="baseline"/>
                <w:lang w:val="en-US" w:eastAsia="zh-CN" w:bidi="ar"/>
                <w14:textFill>
                  <w14:solidFill>
                    <w14:schemeClr w14:val="tx1"/>
                  </w14:solidFill>
                </w14:textFill>
              </w:rPr>
              <w:t>表2-1   工程内容一览表</w:t>
            </w:r>
          </w:p>
          <w:tbl>
            <w:tblPr>
              <w:tblStyle w:val="1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1"/>
              <w:gridCol w:w="1533"/>
              <w:gridCol w:w="6249"/>
              <w:gridCol w:w="749"/>
            </w:tblGrid>
            <w:tr w14:paraId="63B43A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5" w:type="pct"/>
                  <w:vAlign w:val="center"/>
                </w:tcPr>
                <w:p w14:paraId="79863DEB">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bCs/>
                      <w:color w:val="000000" w:themeColor="text1"/>
                      <w:kern w:val="0"/>
                      <w:sz w:val="21"/>
                      <w:szCs w:val="21"/>
                      <w:vertAlign w:val="baseline"/>
                      <w:lang w:val="en-US" w:eastAsia="zh-CN" w:bidi="ar"/>
                      <w14:textFill>
                        <w14:solidFill>
                          <w14:schemeClr w14:val="tx1"/>
                        </w14:solidFill>
                      </w14:textFill>
                    </w:rPr>
                    <w:t>类别</w:t>
                  </w:r>
                </w:p>
              </w:tc>
              <w:tc>
                <w:tcPr>
                  <w:tcW w:w="825" w:type="pct"/>
                  <w:vAlign w:val="center"/>
                </w:tcPr>
                <w:p w14:paraId="37414BC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bCs/>
                      <w:color w:val="000000" w:themeColor="text1"/>
                      <w:kern w:val="0"/>
                      <w:sz w:val="21"/>
                      <w:szCs w:val="21"/>
                      <w:vertAlign w:val="baseline"/>
                      <w:lang w:val="en-US" w:eastAsia="zh-CN" w:bidi="ar"/>
                      <w14:textFill>
                        <w14:solidFill>
                          <w14:schemeClr w14:val="tx1"/>
                        </w14:solidFill>
                      </w14:textFill>
                    </w:rPr>
                    <w:t>工程名称</w:t>
                  </w:r>
                </w:p>
              </w:tc>
              <w:tc>
                <w:tcPr>
                  <w:tcW w:w="3364" w:type="pct"/>
                  <w:vAlign w:val="center"/>
                </w:tcPr>
                <w:p w14:paraId="0420EA21">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bCs/>
                      <w:color w:val="000000" w:themeColor="text1"/>
                      <w:kern w:val="0"/>
                      <w:sz w:val="21"/>
                      <w:szCs w:val="21"/>
                      <w:vertAlign w:val="baseline"/>
                      <w:lang w:val="en-US" w:eastAsia="zh-CN" w:bidi="ar"/>
                      <w14:textFill>
                        <w14:solidFill>
                          <w14:schemeClr w14:val="tx1"/>
                        </w14:solidFill>
                      </w14:textFill>
                    </w:rPr>
                    <w:t>主要建设内容</w:t>
                  </w:r>
                </w:p>
              </w:tc>
              <w:tc>
                <w:tcPr>
                  <w:tcW w:w="403" w:type="pct"/>
                  <w:vAlign w:val="center"/>
                </w:tcPr>
                <w:p w14:paraId="67A5FEA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bCs/>
                      <w:color w:val="000000" w:themeColor="text1"/>
                      <w:kern w:val="0"/>
                      <w:sz w:val="21"/>
                      <w:szCs w:val="21"/>
                      <w:vertAlign w:val="baseline"/>
                      <w:lang w:val="en-US" w:eastAsia="zh-CN" w:bidi="ar"/>
                      <w14:textFill>
                        <w14:solidFill>
                          <w14:schemeClr w14:val="tx1"/>
                        </w14:solidFill>
                      </w14:textFill>
                    </w:rPr>
                    <w:t>备注</w:t>
                  </w:r>
                </w:p>
              </w:tc>
            </w:tr>
            <w:tr w14:paraId="61871E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trPr>
              <w:tc>
                <w:tcPr>
                  <w:tcW w:w="405" w:type="pct"/>
                  <w:vAlign w:val="center"/>
                </w:tcPr>
                <w:p w14:paraId="4795C101">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主体工程</w:t>
                  </w:r>
                </w:p>
              </w:tc>
              <w:tc>
                <w:tcPr>
                  <w:tcW w:w="825" w:type="pct"/>
                  <w:vAlign w:val="center"/>
                </w:tcPr>
                <w:p w14:paraId="27F3A871">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LNG气化站</w:t>
                  </w:r>
                </w:p>
                <w:p w14:paraId="3C04EE9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生产区</w:t>
                  </w:r>
                </w:p>
              </w:tc>
              <w:tc>
                <w:tcPr>
                  <w:tcW w:w="3364" w:type="pct"/>
                  <w:vAlign w:val="center"/>
                </w:tcPr>
                <w:p w14:paraId="6449D2AB">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位于站区南侧，占地面积4231.85m</w:t>
                  </w:r>
                  <w:r>
                    <w:rPr>
                      <w:rFonts w:hint="default" w:ascii="Times New Roman" w:hAnsi="Times New Roman" w:eastAsia="宋体" w:cs="Times New Roman"/>
                      <w:b w:val="0"/>
                      <w:bCs w:val="0"/>
                      <w:color w:val="000000" w:themeColor="text1"/>
                      <w:kern w:val="0"/>
                      <w:sz w:val="21"/>
                      <w:szCs w:val="21"/>
                      <w:vertAlign w:val="superscript"/>
                      <w:lang w:val="en-US" w:eastAsia="zh-CN" w:bidi="ar"/>
                      <w14:textFill>
                        <w14:solidFill>
                          <w14:schemeClr w14:val="tx1"/>
                        </w14:solidFill>
                      </w14:textFill>
                    </w:rPr>
                    <w:t>2</w:t>
                  </w: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，水泥硬化地面，边界建设2.2m非燃烧实体围墙</w:t>
                  </w:r>
                  <w:r>
                    <w:rPr>
                      <w:rFonts w:hint="default" w:ascii="Times New Roman" w:hAnsi="Times New Roman" w:eastAsia="宋体" w:cs="Times New Roman"/>
                      <w:color w:val="000000" w:themeColor="text1"/>
                      <w:kern w:val="0"/>
                      <w:sz w:val="21"/>
                      <w:szCs w:val="21"/>
                      <w:vertAlign w:val="baseline"/>
                      <w:lang w:val="en-US" w:eastAsia="zh-CN" w:bidi="ar"/>
                      <w14:textFill>
                        <w14:solidFill>
                          <w14:schemeClr w14:val="tx1"/>
                        </w14:solidFill>
                      </w14:textFill>
                    </w:rPr>
                    <w:t>。主要设置LNG储罐区、工艺装置区、集中放散口，LNG储罐区内设置2台50m</w:t>
                  </w:r>
                  <w:r>
                    <w:rPr>
                      <w:rFonts w:hint="default" w:ascii="Times New Roman" w:hAnsi="Times New Roman" w:eastAsia="宋体" w:cs="Times New Roman"/>
                      <w:color w:val="000000" w:themeColor="text1"/>
                      <w:kern w:val="0"/>
                      <w:sz w:val="21"/>
                      <w:szCs w:val="21"/>
                      <w:vertAlign w:val="superscript"/>
                      <w:lang w:val="en-US" w:eastAsia="zh-CN" w:bidi="ar"/>
                      <w14:textFill>
                        <w14:solidFill>
                          <w14:schemeClr w14:val="tx1"/>
                        </w14:solidFill>
                      </w14:textFill>
                    </w:rPr>
                    <w:t>3</w:t>
                  </w:r>
                  <w:r>
                    <w:rPr>
                      <w:rFonts w:hint="default" w:ascii="Times New Roman" w:hAnsi="Times New Roman" w:eastAsia="宋体" w:cs="Times New Roman"/>
                      <w:color w:val="000000" w:themeColor="text1"/>
                      <w:kern w:val="0"/>
                      <w:sz w:val="21"/>
                      <w:szCs w:val="21"/>
                      <w:vertAlign w:val="baseline"/>
                      <w:lang w:val="en-US" w:eastAsia="zh-CN" w:bidi="ar"/>
                      <w14:textFill>
                        <w14:solidFill>
                          <w14:schemeClr w14:val="tx1"/>
                        </w14:solidFill>
                      </w14:textFill>
                    </w:rPr>
                    <w:t>卧式LNG储罐，工艺装置区设置2台气化器、1套气化调压计量撬、1台卸车增压撬，集中放散口设置1根10m高安全放散管。气化站</w:t>
                  </w: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设计气化能力为</w:t>
                  </w:r>
                  <w:r>
                    <w:rPr>
                      <w:rFonts w:hint="default" w:ascii="Times New Roman" w:hAnsi="Times New Roman" w:eastAsia="宋体" w:cs="Times New Roman"/>
                      <w:color w:val="000000" w:themeColor="text1"/>
                      <w:kern w:val="0"/>
                      <w:sz w:val="21"/>
                      <w:szCs w:val="21"/>
                      <w:vertAlign w:val="baseline"/>
                      <w:lang w:val="en-US" w:eastAsia="zh-CN" w:bidi="ar"/>
                      <w14:textFill>
                        <w14:solidFill>
                          <w14:schemeClr w14:val="tx1"/>
                        </w14:solidFill>
                      </w14:textFill>
                    </w:rPr>
                    <w:t>2000Nm</w:t>
                  </w:r>
                  <w:r>
                    <w:rPr>
                      <w:rFonts w:hint="default" w:ascii="Times New Roman" w:hAnsi="Times New Roman" w:eastAsia="宋体" w:cs="Times New Roman"/>
                      <w:color w:val="000000" w:themeColor="text1"/>
                      <w:kern w:val="0"/>
                      <w:sz w:val="21"/>
                      <w:szCs w:val="21"/>
                      <w:vertAlign w:val="superscript"/>
                      <w:lang w:val="en-US" w:eastAsia="zh-CN" w:bidi="ar"/>
                      <w14:textFill>
                        <w14:solidFill>
                          <w14:schemeClr w14:val="tx1"/>
                        </w14:solidFill>
                      </w14:textFill>
                    </w:rPr>
                    <w:t>3</w:t>
                  </w:r>
                  <w:r>
                    <w:rPr>
                      <w:rFonts w:hint="default" w:ascii="Times New Roman" w:hAnsi="Times New Roman" w:eastAsia="宋体" w:cs="Times New Roman"/>
                      <w:color w:val="000000" w:themeColor="text1"/>
                      <w:kern w:val="0"/>
                      <w:sz w:val="21"/>
                      <w:szCs w:val="21"/>
                      <w:vertAlign w:val="baseline"/>
                      <w:lang w:val="en-US" w:eastAsia="zh-CN" w:bidi="ar"/>
                      <w14:textFill>
                        <w14:solidFill>
                          <w14:schemeClr w14:val="tx1"/>
                        </w14:solidFill>
                      </w14:textFill>
                    </w:rPr>
                    <w:t>/h</w:t>
                  </w:r>
                </w:p>
              </w:tc>
              <w:tc>
                <w:tcPr>
                  <w:tcW w:w="403" w:type="pct"/>
                  <w:vAlign w:val="center"/>
                </w:tcPr>
                <w:p w14:paraId="2C69EEDD">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新建</w:t>
                  </w:r>
                </w:p>
              </w:tc>
            </w:tr>
            <w:tr w14:paraId="0F2147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trPr>
              <w:tc>
                <w:tcPr>
                  <w:tcW w:w="405" w:type="pct"/>
                  <w:vAlign w:val="center"/>
                </w:tcPr>
                <w:p w14:paraId="534341D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辅助工程</w:t>
                  </w:r>
                </w:p>
              </w:tc>
              <w:tc>
                <w:tcPr>
                  <w:tcW w:w="825" w:type="pct"/>
                  <w:vAlign w:val="center"/>
                </w:tcPr>
                <w:p w14:paraId="276CAA9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LNG气化站</w:t>
                  </w:r>
                </w:p>
                <w:p w14:paraId="5AFC0C64">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辅助区</w:t>
                  </w:r>
                </w:p>
              </w:tc>
              <w:tc>
                <w:tcPr>
                  <w:tcW w:w="3364" w:type="pct"/>
                  <w:vAlign w:val="center"/>
                </w:tcPr>
                <w:p w14:paraId="6973CF86">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位于站区北侧，占地面积922.46m</w:t>
                  </w:r>
                  <w:r>
                    <w:rPr>
                      <w:rFonts w:hint="default" w:ascii="Times New Roman" w:hAnsi="Times New Roman" w:eastAsia="宋体" w:cs="Times New Roman"/>
                      <w:b w:val="0"/>
                      <w:bCs w:val="0"/>
                      <w:color w:val="000000" w:themeColor="text1"/>
                      <w:kern w:val="0"/>
                      <w:sz w:val="21"/>
                      <w:szCs w:val="21"/>
                      <w:vertAlign w:val="superscript"/>
                      <w:lang w:val="en-US" w:eastAsia="zh-CN" w:bidi="ar"/>
                      <w14:textFill>
                        <w14:solidFill>
                          <w14:schemeClr w14:val="tx1"/>
                        </w14:solidFill>
                      </w14:textFill>
                    </w:rPr>
                    <w:t>2</w:t>
                  </w: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，水泥硬化地面，边界设置2.2m铁艺围栏</w:t>
                  </w:r>
                  <w:r>
                    <w:rPr>
                      <w:rFonts w:hint="default" w:ascii="Times New Roman" w:hAnsi="Times New Roman" w:eastAsia="宋体" w:cs="Times New Roman"/>
                      <w:color w:val="000000" w:themeColor="text1"/>
                      <w:kern w:val="0"/>
                      <w:sz w:val="21"/>
                      <w:szCs w:val="21"/>
                      <w:vertAlign w:val="baseline"/>
                      <w:lang w:val="en-US" w:eastAsia="zh-CN" w:bidi="ar"/>
                      <w14:textFill>
                        <w14:solidFill>
                          <w14:schemeClr w14:val="tx1"/>
                        </w14:solidFill>
                      </w14:textFill>
                    </w:rPr>
                    <w:t>。</w:t>
                  </w: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建设1座辅助用房，1F，砖混结构，建筑面积107.16m</w:t>
                  </w:r>
                  <w:r>
                    <w:rPr>
                      <w:rFonts w:hint="default" w:ascii="Times New Roman" w:hAnsi="Times New Roman" w:eastAsia="宋体" w:cs="Times New Roman"/>
                      <w:b w:val="0"/>
                      <w:bCs w:val="0"/>
                      <w:color w:val="000000" w:themeColor="text1"/>
                      <w:kern w:val="0"/>
                      <w:sz w:val="21"/>
                      <w:szCs w:val="21"/>
                      <w:vertAlign w:val="superscript"/>
                      <w:lang w:val="en-US" w:eastAsia="zh-CN" w:bidi="ar"/>
                      <w14:textFill>
                        <w14:solidFill>
                          <w14:schemeClr w14:val="tx1"/>
                        </w14:solidFill>
                      </w14:textFill>
                    </w:rPr>
                    <w:t>2</w:t>
                  </w: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，包括值班室、控制室、发电机房和空压机间。</w:t>
                  </w:r>
                </w:p>
              </w:tc>
              <w:tc>
                <w:tcPr>
                  <w:tcW w:w="403" w:type="pct"/>
                  <w:vAlign w:val="center"/>
                </w:tcPr>
                <w:p w14:paraId="12EA9CEA">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新建</w:t>
                  </w:r>
                </w:p>
              </w:tc>
            </w:tr>
            <w:tr w14:paraId="084A9B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trPr>
              <w:tc>
                <w:tcPr>
                  <w:tcW w:w="405" w:type="pct"/>
                  <w:vMerge w:val="restart"/>
                  <w:vAlign w:val="center"/>
                </w:tcPr>
                <w:p w14:paraId="6715C73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储运工程</w:t>
                  </w:r>
                </w:p>
              </w:tc>
              <w:tc>
                <w:tcPr>
                  <w:tcW w:w="825" w:type="pct"/>
                  <w:vAlign w:val="center"/>
                </w:tcPr>
                <w:p w14:paraId="67FF923D">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LNG储罐区</w:t>
                  </w:r>
                </w:p>
              </w:tc>
              <w:tc>
                <w:tcPr>
                  <w:tcW w:w="3364" w:type="pct"/>
                  <w:vAlign w:val="center"/>
                </w:tcPr>
                <w:p w14:paraId="5578B900">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位于生产区中间位置，占地面积516.75m</w:t>
                  </w:r>
                  <w:r>
                    <w:rPr>
                      <w:rFonts w:hint="default" w:ascii="Times New Roman" w:hAnsi="Times New Roman" w:eastAsia="宋体" w:cs="Times New Roman"/>
                      <w:b w:val="0"/>
                      <w:bCs w:val="0"/>
                      <w:color w:val="000000" w:themeColor="text1"/>
                      <w:kern w:val="0"/>
                      <w:sz w:val="21"/>
                      <w:szCs w:val="21"/>
                      <w:vertAlign w:val="superscript"/>
                      <w:lang w:val="en-US" w:eastAsia="zh-CN" w:bidi="ar"/>
                      <w14:textFill>
                        <w14:solidFill>
                          <w14:schemeClr w14:val="tx1"/>
                        </w14:solidFill>
                      </w14:textFill>
                    </w:rPr>
                    <w:t>2</w:t>
                  </w: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w:t>
                  </w:r>
                  <w:r>
                    <w:rPr>
                      <w:rFonts w:hint="default" w:ascii="Times New Roman" w:hAnsi="Times New Roman" w:eastAsia="宋体" w:cs="Times New Roman"/>
                      <w:color w:val="000000" w:themeColor="text1"/>
                      <w:kern w:val="0"/>
                      <w:sz w:val="21"/>
                      <w:szCs w:val="21"/>
                      <w:vertAlign w:val="baseline"/>
                      <w:lang w:val="en-US" w:eastAsia="zh-CN" w:bidi="ar"/>
                      <w14:textFill>
                        <w14:solidFill>
                          <w14:schemeClr w14:val="tx1"/>
                        </w14:solidFill>
                      </w14:textFill>
                    </w:rPr>
                    <w:t>罐区周围建设防护堤，高出堤内地面1.0m，有效容积505.0m</w:t>
                  </w:r>
                  <w:r>
                    <w:rPr>
                      <w:rFonts w:hint="default" w:ascii="Times New Roman" w:hAnsi="Times New Roman" w:eastAsia="宋体" w:cs="Times New Roman"/>
                      <w:color w:val="000000" w:themeColor="text1"/>
                      <w:kern w:val="0"/>
                      <w:sz w:val="21"/>
                      <w:szCs w:val="21"/>
                      <w:vertAlign w:val="superscript"/>
                      <w:lang w:val="en-US" w:eastAsia="zh-CN" w:bidi="ar"/>
                      <w14:textFill>
                        <w14:solidFill>
                          <w14:schemeClr w14:val="tx1"/>
                        </w14:solidFill>
                      </w14:textFill>
                    </w:rPr>
                    <w:t>3</w:t>
                  </w:r>
                  <w:r>
                    <w:rPr>
                      <w:rFonts w:hint="default" w:ascii="Times New Roman" w:hAnsi="Times New Roman" w:eastAsia="宋体" w:cs="Times New Roman"/>
                      <w:color w:val="000000" w:themeColor="text1"/>
                      <w:kern w:val="0"/>
                      <w:sz w:val="21"/>
                      <w:szCs w:val="21"/>
                      <w:vertAlign w:val="baseline"/>
                      <w:lang w:val="en-US" w:eastAsia="zh-CN" w:bidi="ar"/>
                      <w14:textFill>
                        <w14:solidFill>
                          <w14:schemeClr w14:val="tx1"/>
                        </w14:solidFill>
                      </w14:textFill>
                    </w:rPr>
                    <w:t>，防护堤采用钢筋混凝土挡墙，内侧墙壁喷涂高温隔热防火涂料。防护堤内</w:t>
                  </w: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设置</w:t>
                  </w:r>
                  <w:r>
                    <w:rPr>
                      <w:rFonts w:hint="default" w:ascii="Times New Roman" w:hAnsi="Times New Roman" w:eastAsia="宋体" w:cs="Times New Roman"/>
                      <w:color w:val="000000" w:themeColor="text1"/>
                      <w:kern w:val="0"/>
                      <w:sz w:val="21"/>
                      <w:szCs w:val="21"/>
                      <w:vertAlign w:val="baseline"/>
                      <w:lang w:val="en-US" w:eastAsia="zh-CN" w:bidi="ar"/>
                      <w14:textFill>
                        <w14:solidFill>
                          <w14:schemeClr w14:val="tx1"/>
                        </w14:solidFill>
                      </w14:textFill>
                    </w:rPr>
                    <w:t>2台50m</w:t>
                  </w:r>
                  <w:r>
                    <w:rPr>
                      <w:rFonts w:hint="default" w:ascii="Times New Roman" w:hAnsi="Times New Roman" w:eastAsia="宋体" w:cs="Times New Roman"/>
                      <w:color w:val="000000" w:themeColor="text1"/>
                      <w:kern w:val="0"/>
                      <w:sz w:val="21"/>
                      <w:szCs w:val="21"/>
                      <w:vertAlign w:val="superscript"/>
                      <w:lang w:val="en-US" w:eastAsia="zh-CN" w:bidi="ar"/>
                      <w14:textFill>
                        <w14:solidFill>
                          <w14:schemeClr w14:val="tx1"/>
                        </w14:solidFill>
                      </w14:textFill>
                    </w:rPr>
                    <w:t>3</w:t>
                  </w:r>
                  <w:r>
                    <w:rPr>
                      <w:rFonts w:hint="default" w:ascii="Times New Roman" w:hAnsi="Times New Roman" w:eastAsia="宋体" w:cs="Times New Roman"/>
                      <w:color w:val="000000" w:themeColor="text1"/>
                      <w:kern w:val="0"/>
                      <w:sz w:val="21"/>
                      <w:szCs w:val="21"/>
                      <w:vertAlign w:val="baseline"/>
                      <w:lang w:val="en-US" w:eastAsia="zh-CN" w:bidi="ar"/>
                      <w14:textFill>
                        <w14:solidFill>
                          <w14:schemeClr w14:val="tx1"/>
                        </w14:solidFill>
                      </w14:textFill>
                    </w:rPr>
                    <w:t>卧式LNG储罐、1台储罐增压器、1座集液池（6m</w:t>
                  </w:r>
                  <w:r>
                    <w:rPr>
                      <w:rFonts w:hint="default" w:ascii="Times New Roman" w:hAnsi="Times New Roman" w:eastAsia="宋体" w:cs="Times New Roman"/>
                      <w:color w:val="000000" w:themeColor="text1"/>
                      <w:kern w:val="0"/>
                      <w:sz w:val="21"/>
                      <w:szCs w:val="21"/>
                      <w:vertAlign w:val="superscript"/>
                      <w:lang w:val="en-US" w:eastAsia="zh-CN" w:bidi="ar"/>
                      <w14:textFill>
                        <w14:solidFill>
                          <w14:schemeClr w14:val="tx1"/>
                        </w14:solidFill>
                      </w14:textFill>
                    </w:rPr>
                    <w:t>3</w:t>
                  </w:r>
                  <w:r>
                    <w:rPr>
                      <w:rFonts w:hint="default" w:ascii="Times New Roman" w:hAnsi="Times New Roman" w:eastAsia="宋体" w:cs="Times New Roman"/>
                      <w:color w:val="000000" w:themeColor="text1"/>
                      <w:kern w:val="0"/>
                      <w:sz w:val="21"/>
                      <w:szCs w:val="21"/>
                      <w:vertAlign w:val="baseline"/>
                      <w:lang w:val="en-US" w:eastAsia="zh-CN" w:bidi="ar"/>
                      <w14:textFill>
                        <w14:solidFill>
                          <w14:schemeClr w14:val="tx1"/>
                        </w14:solidFill>
                      </w14:textFill>
                    </w:rPr>
                    <w:t>）。</w:t>
                  </w:r>
                </w:p>
              </w:tc>
              <w:tc>
                <w:tcPr>
                  <w:tcW w:w="403" w:type="pct"/>
                  <w:vAlign w:val="center"/>
                </w:tcPr>
                <w:p w14:paraId="3E420A4D">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新建</w:t>
                  </w:r>
                </w:p>
              </w:tc>
            </w:tr>
            <w:tr w14:paraId="6E44C7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trPr>
              <w:tc>
                <w:tcPr>
                  <w:tcW w:w="405" w:type="pct"/>
                  <w:vMerge w:val="continue"/>
                  <w:vAlign w:val="center"/>
                </w:tcPr>
                <w:p w14:paraId="69322E2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825" w:type="pct"/>
                  <w:vAlign w:val="center"/>
                </w:tcPr>
                <w:p w14:paraId="5662963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天然气管线</w:t>
                  </w:r>
                </w:p>
              </w:tc>
              <w:tc>
                <w:tcPr>
                  <w:tcW w:w="3364" w:type="pct"/>
                  <w:vAlign w:val="center"/>
                </w:tcPr>
                <w:p w14:paraId="62D9D911">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天然气管道全长562.6m，其中de160PE管道516.2m，D159×6.0无缝钢管46.4m，设计压力0.4MPa，起点位于LNG气化站出</w:t>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站</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预留de160管道，终点位</w:t>
                  </w:r>
                  <w:r>
                    <w:rPr>
                      <w:rFonts w:hint="default" w:ascii="Times New Roman" w:hAnsi="Times New Roman" w:eastAsia="宋体" w:cs="Times New Roman"/>
                      <w:b w:val="0"/>
                      <w:bCs w:val="0"/>
                      <w:color w:val="000000" w:themeColor="text1"/>
                      <w:kern w:val="0"/>
                      <w:sz w:val="21"/>
                      <w:szCs w:val="21"/>
                      <w:u w:val="none"/>
                      <w:vertAlign w:val="baseline"/>
                      <w:lang w:val="en-US" w:eastAsia="zh-CN" w:bidi="ar"/>
                      <w14:textFill>
                        <w14:solidFill>
                          <w14:schemeClr w14:val="tx1"/>
                        </w14:solidFill>
                      </w14:textFill>
                    </w:rPr>
                    <w:t>锅炉房外调压柜。燃气管线采用地埋+随桥架空敷设的方式，穿越河流1次，采用随桥架空敷设，长36m，穿越一般道路4次，总长26m，采用大开挖加钢筋混凝土套管方式，其余沿道路边缘敷设，总长500.6m，采用地埋方式。天然气管线设置1处截断阀，位于气化站接气点。</w:t>
                  </w:r>
                </w:p>
              </w:tc>
              <w:tc>
                <w:tcPr>
                  <w:tcW w:w="403" w:type="pct"/>
                  <w:vAlign w:val="center"/>
                </w:tcPr>
                <w:p w14:paraId="2F713E4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新建</w:t>
                  </w:r>
                </w:p>
              </w:tc>
            </w:tr>
            <w:tr w14:paraId="7BEEA1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 w:hRule="atLeast"/>
              </w:trPr>
              <w:tc>
                <w:tcPr>
                  <w:tcW w:w="405" w:type="pct"/>
                  <w:vMerge w:val="restart"/>
                  <w:vAlign w:val="center"/>
                </w:tcPr>
                <w:p w14:paraId="1AA5FBE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公用工程</w:t>
                  </w:r>
                </w:p>
              </w:tc>
              <w:tc>
                <w:tcPr>
                  <w:tcW w:w="825" w:type="pct"/>
                  <w:vAlign w:val="center"/>
                </w:tcPr>
                <w:p w14:paraId="08E263A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给水工程</w:t>
                  </w:r>
                </w:p>
              </w:tc>
              <w:tc>
                <w:tcPr>
                  <w:tcW w:w="3364" w:type="pct"/>
                  <w:vAlign w:val="center"/>
                </w:tcPr>
                <w:p w14:paraId="2A7F015C">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本工程生活给水水源接自站内已有给水管网；消防给水水源接站区已建消火栓管网和喷淋水管网，现有消防系统位于景区酒店地下1层，包括1座消防泵房和1座消防水池，可以满足站区消火栓和储罐喷淋用水要求，本站不再新建消防泵房和消防水池。</w:t>
                  </w:r>
                </w:p>
              </w:tc>
              <w:tc>
                <w:tcPr>
                  <w:tcW w:w="403" w:type="pct"/>
                  <w:vAlign w:val="center"/>
                </w:tcPr>
                <w:p w14:paraId="5F4FCCCA">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依托</w:t>
                  </w:r>
                </w:p>
              </w:tc>
            </w:tr>
            <w:tr w14:paraId="6177BA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 w:hRule="atLeast"/>
              </w:trPr>
              <w:tc>
                <w:tcPr>
                  <w:tcW w:w="405" w:type="pct"/>
                  <w:vMerge w:val="continue"/>
                  <w:vAlign w:val="center"/>
                </w:tcPr>
                <w:p w14:paraId="757EB83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14:textFill>
                        <w14:solidFill>
                          <w14:schemeClr w14:val="tx1"/>
                        </w14:solidFill>
                      </w14:textFill>
                    </w:rPr>
                  </w:pPr>
                </w:p>
              </w:tc>
              <w:tc>
                <w:tcPr>
                  <w:tcW w:w="825" w:type="pct"/>
                  <w:vAlign w:val="center"/>
                </w:tcPr>
                <w:p w14:paraId="6934A061">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排水工程</w:t>
                  </w:r>
                </w:p>
              </w:tc>
              <w:tc>
                <w:tcPr>
                  <w:tcW w:w="3364" w:type="pct"/>
                  <w:vAlign w:val="center"/>
                </w:tcPr>
                <w:p w14:paraId="284E4697">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站内排水采取雨、污分流系统。建筑物屋面雨水经收集后自流汇入站外路面雨水系统，站内路面雨水利用竖向设计散排出站；LNG储罐区防护堤内设有集液池，池内设计有防爆潜污泵，防护堤内雨水汇集到集液池后由防爆潜污泵排出防护堤，当LNG发生泄漏时，潜污泵不启动。</w:t>
                  </w:r>
                </w:p>
              </w:tc>
              <w:tc>
                <w:tcPr>
                  <w:tcW w:w="403" w:type="pct"/>
                  <w:vAlign w:val="center"/>
                </w:tcPr>
                <w:p w14:paraId="51D5B564">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新建</w:t>
                  </w:r>
                </w:p>
              </w:tc>
            </w:tr>
            <w:tr w14:paraId="7DADF0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 w:hRule="atLeast"/>
              </w:trPr>
              <w:tc>
                <w:tcPr>
                  <w:tcW w:w="405" w:type="pct"/>
                  <w:vMerge w:val="continue"/>
                  <w:vAlign w:val="center"/>
                </w:tcPr>
                <w:p w14:paraId="470B62AB">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p>
              </w:tc>
              <w:tc>
                <w:tcPr>
                  <w:tcW w:w="825" w:type="pct"/>
                  <w:vAlign w:val="center"/>
                </w:tcPr>
                <w:p w14:paraId="1F39294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采暖及通风</w:t>
                  </w:r>
                </w:p>
              </w:tc>
              <w:tc>
                <w:tcPr>
                  <w:tcW w:w="3364" w:type="pct"/>
                  <w:vAlign w:val="center"/>
                </w:tcPr>
                <w:p w14:paraId="37D64210">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辅助用房冬季采暖热源采用分体式空调。发电机房（柴油）、储油间（柴油）、空压机房采用轴流风机强制通风。</w:t>
                  </w:r>
                </w:p>
              </w:tc>
              <w:tc>
                <w:tcPr>
                  <w:tcW w:w="403" w:type="pct"/>
                  <w:vAlign w:val="center"/>
                </w:tcPr>
                <w:p w14:paraId="702DEC4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新建</w:t>
                  </w:r>
                </w:p>
              </w:tc>
            </w:tr>
            <w:tr w14:paraId="72DEDA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 w:hRule="atLeast"/>
              </w:trPr>
              <w:tc>
                <w:tcPr>
                  <w:tcW w:w="405" w:type="pct"/>
                  <w:vMerge w:val="continue"/>
                  <w:vAlign w:val="center"/>
                </w:tcPr>
                <w:p w14:paraId="6AD11DC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p>
              </w:tc>
              <w:tc>
                <w:tcPr>
                  <w:tcW w:w="825" w:type="pct"/>
                  <w:vAlign w:val="center"/>
                </w:tcPr>
                <w:p w14:paraId="1E50975B">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供配电工程</w:t>
                  </w:r>
                </w:p>
              </w:tc>
              <w:tc>
                <w:tcPr>
                  <w:tcW w:w="3364" w:type="pct"/>
                  <w:vAlign w:val="center"/>
                </w:tcPr>
                <w:p w14:paraId="46BDB4E0">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本工程工作电源引自站外已有0.4kV电源，经电缆埋地引入站内动力配电柜。站内设置1台75kW自备柴油发电机作为二级负荷的备用电源，位于发电机房内，同时配套1个储油间，油箱容积≤1m</w:t>
                  </w:r>
                  <w:r>
                    <w:rPr>
                      <w:rFonts w:hint="default" w:ascii="Times New Roman" w:hAnsi="Times New Roman" w:eastAsia="宋体" w:cs="Times New Roman"/>
                      <w:b w:val="0"/>
                      <w:bCs w:val="0"/>
                      <w:color w:val="000000" w:themeColor="text1"/>
                      <w:kern w:val="0"/>
                      <w:sz w:val="21"/>
                      <w:szCs w:val="21"/>
                      <w:vertAlign w:val="superscript"/>
                      <w:lang w:val="en-US" w:eastAsia="zh-CN" w:bidi="ar"/>
                      <w14:textFill>
                        <w14:solidFill>
                          <w14:schemeClr w14:val="tx1"/>
                        </w14:solidFill>
                      </w14:textFill>
                    </w:rPr>
                    <w:t>3</w:t>
                  </w: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，油箱底部设置有集油坑。</w:t>
                  </w:r>
                </w:p>
              </w:tc>
              <w:tc>
                <w:tcPr>
                  <w:tcW w:w="403" w:type="pct"/>
                  <w:vAlign w:val="center"/>
                </w:tcPr>
                <w:p w14:paraId="1CB3F3F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新建</w:t>
                  </w:r>
                </w:p>
              </w:tc>
            </w:tr>
            <w:tr w14:paraId="5C2A5F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05" w:type="pct"/>
                  <w:vMerge w:val="restart"/>
                  <w:vAlign w:val="center"/>
                </w:tcPr>
                <w:p w14:paraId="3499C56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环保工程</w:t>
                  </w:r>
                </w:p>
              </w:tc>
              <w:tc>
                <w:tcPr>
                  <w:tcW w:w="825" w:type="pct"/>
                  <w:vAlign w:val="center"/>
                </w:tcPr>
                <w:p w14:paraId="1BCFFDA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废气</w:t>
                  </w:r>
                </w:p>
              </w:tc>
              <w:tc>
                <w:tcPr>
                  <w:tcW w:w="3364" w:type="pct"/>
                  <w:vAlign w:val="center"/>
                </w:tcPr>
                <w:p w14:paraId="2177CF42">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系统漏热、</w:t>
                  </w: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容器进出料压力变化产生的BOG：LNG采用低压密闭储罐储存和低压密闭管道输送，BOG</w:t>
                  </w: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经BOG加热器加热升温后回收至天然气管道，不外排。</w:t>
                  </w:r>
                </w:p>
                <w:p w14:paraId="17612E03">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储罐超压放散：经EAG加热器加热后，经1根10m高放散管排放。</w:t>
                  </w:r>
                </w:p>
              </w:tc>
              <w:tc>
                <w:tcPr>
                  <w:tcW w:w="403" w:type="pct"/>
                  <w:vAlign w:val="center"/>
                </w:tcPr>
                <w:p w14:paraId="000190B4">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新建</w:t>
                  </w:r>
                </w:p>
              </w:tc>
            </w:tr>
            <w:tr w14:paraId="174F79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trPr>
              <w:tc>
                <w:tcPr>
                  <w:tcW w:w="405" w:type="pct"/>
                  <w:vMerge w:val="continue"/>
                  <w:vAlign w:val="center"/>
                </w:tcPr>
                <w:p w14:paraId="3CA0EF2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14:textFill>
                        <w14:solidFill>
                          <w14:schemeClr w14:val="tx1"/>
                        </w14:solidFill>
                      </w14:textFill>
                    </w:rPr>
                  </w:pPr>
                </w:p>
              </w:tc>
              <w:tc>
                <w:tcPr>
                  <w:tcW w:w="825" w:type="pct"/>
                  <w:vAlign w:val="center"/>
                </w:tcPr>
                <w:p w14:paraId="718C0F5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废水</w:t>
                  </w:r>
                </w:p>
              </w:tc>
              <w:tc>
                <w:tcPr>
                  <w:tcW w:w="3364" w:type="pct"/>
                  <w:vAlign w:val="center"/>
                </w:tcPr>
                <w:p w14:paraId="6C0CF5E4">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站区职工生活污水依托景区公共化粪池处理。</w:t>
                  </w:r>
                </w:p>
              </w:tc>
              <w:tc>
                <w:tcPr>
                  <w:tcW w:w="403" w:type="pct"/>
                  <w:vAlign w:val="center"/>
                </w:tcPr>
                <w:p w14:paraId="179BB9D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依托</w:t>
                  </w:r>
                </w:p>
              </w:tc>
            </w:tr>
            <w:tr w14:paraId="38A64F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trPr>
              <w:tc>
                <w:tcPr>
                  <w:tcW w:w="405" w:type="pct"/>
                  <w:vMerge w:val="continue"/>
                  <w:vAlign w:val="center"/>
                </w:tcPr>
                <w:p w14:paraId="485C35B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825" w:type="pct"/>
                  <w:vAlign w:val="center"/>
                </w:tcPr>
                <w:p w14:paraId="6E4B5D2B">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固废</w:t>
                  </w:r>
                </w:p>
              </w:tc>
              <w:tc>
                <w:tcPr>
                  <w:tcW w:w="3364" w:type="pct"/>
                  <w:vAlign w:val="center"/>
                </w:tcPr>
                <w:p w14:paraId="50E4BBB3">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站区职工产生的生活垃圾经收集后纳入景区生活垃圾转运系统。</w:t>
                  </w:r>
                </w:p>
              </w:tc>
              <w:tc>
                <w:tcPr>
                  <w:tcW w:w="403" w:type="pct"/>
                  <w:vAlign w:val="center"/>
                </w:tcPr>
                <w:p w14:paraId="4759482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依托</w:t>
                  </w:r>
                </w:p>
              </w:tc>
            </w:tr>
            <w:tr w14:paraId="14F320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 w:hRule="atLeast"/>
              </w:trPr>
              <w:tc>
                <w:tcPr>
                  <w:tcW w:w="405" w:type="pct"/>
                  <w:vMerge w:val="continue"/>
                  <w:vAlign w:val="center"/>
                </w:tcPr>
                <w:p w14:paraId="177DA35A">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p>
              </w:tc>
              <w:tc>
                <w:tcPr>
                  <w:tcW w:w="825" w:type="pct"/>
                  <w:vAlign w:val="center"/>
                </w:tcPr>
                <w:p w14:paraId="2BE5E95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噪声</w:t>
                  </w:r>
                </w:p>
              </w:tc>
              <w:tc>
                <w:tcPr>
                  <w:tcW w:w="3364" w:type="pct"/>
                  <w:vAlign w:val="center"/>
                </w:tcPr>
                <w:p w14:paraId="5CD3A7A3">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选用低噪声设备，基础减振，距离衰减。</w:t>
                  </w:r>
                </w:p>
              </w:tc>
              <w:tc>
                <w:tcPr>
                  <w:tcW w:w="403" w:type="pct"/>
                  <w:vAlign w:val="center"/>
                </w:tcPr>
                <w:p w14:paraId="3D56E4AB">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新建</w:t>
                  </w:r>
                </w:p>
              </w:tc>
            </w:tr>
            <w:tr w14:paraId="6F27B9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05" w:type="pct"/>
                  <w:vMerge w:val="continue"/>
                  <w:vAlign w:val="center"/>
                </w:tcPr>
                <w:p w14:paraId="36D5B7F4">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825" w:type="pct"/>
                  <w:vAlign w:val="center"/>
                </w:tcPr>
                <w:p w14:paraId="14A0D7D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环境风险</w:t>
                  </w:r>
                </w:p>
              </w:tc>
              <w:tc>
                <w:tcPr>
                  <w:tcW w:w="3364" w:type="pct"/>
                  <w:vAlign w:val="center"/>
                </w:tcPr>
                <w:p w14:paraId="735210CC">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u w:val="none"/>
                      <w:lang w:val="en-US" w:eastAsia="zh-CN" w:bidi="ar"/>
                      <w14:textFill>
                        <w14:solidFill>
                          <w14:schemeClr w14:val="tx1"/>
                        </w14:solidFill>
                      </w14:textFill>
                    </w:rPr>
                    <w:t>1.严格按照《城镇燃气设计规范（2020版）》（GB50028-2006）及安全设施设计文件要求进行设计和建设。2.设置事故紧急切断系统，发生泄漏后第一时间切断泄漏源。</w:t>
                  </w: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3.采取源头控制和</w:t>
                  </w:r>
                  <w:r>
                    <w:rPr>
                      <w:rFonts w:hint="default" w:ascii="Times New Roman" w:hAnsi="Times New Roman" w:eastAsia="宋体" w:cs="Times New Roman"/>
                      <w:b w:val="0"/>
                      <w:bCs w:val="0"/>
                      <w:color w:val="000000" w:themeColor="text1"/>
                      <w:kern w:val="0"/>
                      <w:sz w:val="21"/>
                      <w:szCs w:val="21"/>
                      <w:lang w:val="en-US" w:eastAsia="zh-CN" w:bidi="ar"/>
                      <w14:textFill>
                        <w14:solidFill>
                          <w14:schemeClr w14:val="tx1"/>
                        </w14:solidFill>
                      </w14:textFill>
                    </w:rPr>
                    <w:t>分区防渗措施防止地下水污染。</w:t>
                  </w:r>
                  <w:r>
                    <w:rPr>
                      <w:rFonts w:hint="default" w:ascii="Times New Roman" w:hAnsi="Times New Roman" w:eastAsia="宋体" w:cs="Times New Roman"/>
                      <w:color w:val="000000" w:themeColor="text1"/>
                      <w:kern w:val="0"/>
                      <w:sz w:val="21"/>
                      <w:szCs w:val="21"/>
                      <w:u w:val="none"/>
                      <w:lang w:val="en-US" w:eastAsia="zh-CN" w:bidi="ar"/>
                      <w14:textFill>
                        <w14:solidFill>
                          <w14:schemeClr w14:val="tx1"/>
                        </w14:solidFill>
                      </w14:textFill>
                    </w:rPr>
                    <w:t>4.</w:t>
                  </w:r>
                  <w:r>
                    <w:rPr>
                      <w:rFonts w:hint="default" w:ascii="Times New Roman" w:hAnsi="Times New Roman" w:eastAsia="宋体" w:cs="Times New Roman"/>
                      <w:b w:val="0"/>
                      <w:bCs/>
                      <w:color w:val="000000" w:themeColor="text1"/>
                      <w:kern w:val="0"/>
                      <w:sz w:val="21"/>
                      <w:szCs w:val="21"/>
                      <w:lang w:val="en-US" w:eastAsia="zh-CN" w:bidi="ar"/>
                      <w14:textFill>
                        <w14:solidFill>
                          <w14:schemeClr w14:val="tx1"/>
                        </w14:solidFill>
                      </w14:textFill>
                    </w:rPr>
                    <w:t>采取“防护堤-事故池-</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围墙及雨水收集系统”三级防控体系，确保生产事故废水不外排。</w:t>
                  </w:r>
                </w:p>
              </w:tc>
              <w:tc>
                <w:tcPr>
                  <w:tcW w:w="403" w:type="pct"/>
                  <w:vAlign w:val="center"/>
                </w:tcPr>
                <w:p w14:paraId="12C4648E">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新建</w:t>
                  </w:r>
                </w:p>
              </w:tc>
            </w:tr>
            <w:tr w14:paraId="42A4CD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 w:hRule="atLeast"/>
              </w:trPr>
              <w:tc>
                <w:tcPr>
                  <w:tcW w:w="405" w:type="pct"/>
                  <w:vMerge w:val="continue"/>
                  <w:vAlign w:val="center"/>
                </w:tcPr>
                <w:p w14:paraId="11B245A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825" w:type="pct"/>
                  <w:vAlign w:val="center"/>
                </w:tcPr>
                <w:p w14:paraId="30A86EA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土壤及地下水污染防治措施</w:t>
                  </w:r>
                </w:p>
              </w:tc>
              <w:tc>
                <w:tcPr>
                  <w:tcW w:w="3364" w:type="pct"/>
                  <w:vAlign w:val="center"/>
                </w:tcPr>
                <w:p w14:paraId="48A880A7">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采取源头控制和分区防渗措施。</w:t>
                  </w:r>
                </w:p>
              </w:tc>
              <w:tc>
                <w:tcPr>
                  <w:tcW w:w="403" w:type="pct"/>
                  <w:vAlign w:val="center"/>
                </w:tcPr>
                <w:p w14:paraId="0593EAC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新建</w:t>
                  </w:r>
                </w:p>
              </w:tc>
            </w:tr>
            <w:tr w14:paraId="45BEC7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 w:hRule="atLeast"/>
              </w:trPr>
              <w:tc>
                <w:tcPr>
                  <w:tcW w:w="405" w:type="pct"/>
                  <w:vAlign w:val="center"/>
                </w:tcPr>
                <w:p w14:paraId="51CC540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拆除工程</w:t>
                  </w:r>
                </w:p>
              </w:tc>
              <w:tc>
                <w:tcPr>
                  <w:tcW w:w="825" w:type="pct"/>
                  <w:vAlign w:val="center"/>
                </w:tcPr>
                <w:p w14:paraId="6A6EFD11">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CNG减压站</w:t>
                  </w:r>
                </w:p>
              </w:tc>
              <w:tc>
                <w:tcPr>
                  <w:tcW w:w="3364" w:type="pct"/>
                  <w:vAlign w:val="center"/>
                </w:tcPr>
                <w:p w14:paraId="30398273">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位于气化站用地范围内东侧，面积约660m</w:t>
                  </w:r>
                  <w:r>
                    <w:rPr>
                      <w:rFonts w:hint="default" w:ascii="Times New Roman" w:hAnsi="Times New Roman" w:eastAsia="宋体" w:cs="Times New Roman"/>
                      <w:b w:val="0"/>
                      <w:bCs w:val="0"/>
                      <w:color w:val="000000" w:themeColor="text1"/>
                      <w:kern w:val="0"/>
                      <w:sz w:val="21"/>
                      <w:szCs w:val="21"/>
                      <w:vertAlign w:val="superscript"/>
                      <w:lang w:val="en-US" w:eastAsia="zh-CN" w:bidi="ar"/>
                      <w14:textFill>
                        <w14:solidFill>
                          <w14:schemeClr w14:val="tx1"/>
                        </w14:solidFill>
                      </w14:textFill>
                    </w:rPr>
                    <w:t>2</w:t>
                  </w: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，主要拆除工程内容包括CNG储配站、调压柜、储气瓶组、泄气柱等设施及门卫室等建筑物。</w:t>
                  </w:r>
                </w:p>
              </w:tc>
              <w:tc>
                <w:tcPr>
                  <w:tcW w:w="403" w:type="pct"/>
                  <w:vAlign w:val="center"/>
                </w:tcPr>
                <w:p w14:paraId="3D101E4C">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拆除</w:t>
                  </w:r>
                </w:p>
              </w:tc>
            </w:tr>
          </w:tbl>
          <w:p w14:paraId="0EDDC1F7">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000000" w:themeColor="text1"/>
                <w:kern w:val="0"/>
                <w:sz w:val="24"/>
                <w:szCs w:val="24"/>
                <w:vertAlign w:val="baseline"/>
                <w:lang w:val="en-US" w:eastAsia="zh-CN" w:bidi="ar"/>
                <w14:textFill>
                  <w14:solidFill>
                    <w14:schemeClr w14:val="tx1"/>
                  </w14:solidFill>
                </w14:textFill>
              </w:rPr>
            </w:pPr>
            <w:r>
              <w:rPr>
                <w:rFonts w:hint="default" w:ascii="Times New Roman" w:hAnsi="Times New Roman" w:eastAsia="宋体" w:cs="Times New Roman"/>
                <w:b/>
                <w:bCs/>
                <w:color w:val="000000" w:themeColor="text1"/>
                <w:kern w:val="0"/>
                <w:sz w:val="24"/>
                <w:szCs w:val="24"/>
                <w:vertAlign w:val="baseline"/>
                <w:lang w:val="en-US" w:eastAsia="zh-CN" w:bidi="ar"/>
                <w14:textFill>
                  <w14:solidFill>
                    <w14:schemeClr w14:val="tx1"/>
                  </w14:solidFill>
                </w14:textFill>
              </w:rPr>
              <w:t>3.产品及产能一览表</w:t>
            </w:r>
          </w:p>
          <w:p w14:paraId="19CEC21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bCs/>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bCs/>
                <w:color w:val="000000" w:themeColor="text1"/>
                <w:kern w:val="0"/>
                <w:sz w:val="21"/>
                <w:szCs w:val="21"/>
                <w:vertAlign w:val="baseline"/>
                <w:lang w:val="en-US" w:eastAsia="zh-CN" w:bidi="ar"/>
                <w14:textFill>
                  <w14:solidFill>
                    <w14:schemeClr w14:val="tx1"/>
                  </w14:solidFill>
                </w14:textFill>
              </w:rPr>
              <w:t>表2-2   产品及产能一览表</w:t>
            </w:r>
          </w:p>
          <w:tbl>
            <w:tblPr>
              <w:tblStyle w:val="17"/>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80"/>
              <w:gridCol w:w="1890"/>
              <w:gridCol w:w="2464"/>
              <w:gridCol w:w="1965"/>
              <w:gridCol w:w="1677"/>
            </w:tblGrid>
            <w:tr w14:paraId="129D8B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90" w:type="pct"/>
                </w:tcPr>
                <w:p w14:paraId="0044CD4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序号</w:t>
                  </w:r>
                </w:p>
              </w:tc>
              <w:tc>
                <w:tcPr>
                  <w:tcW w:w="1019" w:type="pct"/>
                </w:tcPr>
                <w:p w14:paraId="4A5F101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产品名称</w:t>
                  </w:r>
                </w:p>
              </w:tc>
              <w:tc>
                <w:tcPr>
                  <w:tcW w:w="1328" w:type="pct"/>
                </w:tcPr>
                <w:p w14:paraId="7722B0E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性状</w:t>
                  </w:r>
                </w:p>
              </w:tc>
              <w:tc>
                <w:tcPr>
                  <w:tcW w:w="1059" w:type="pct"/>
                </w:tcPr>
                <w:p w14:paraId="3AB7589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气化能力</w:t>
                  </w:r>
                </w:p>
              </w:tc>
              <w:tc>
                <w:tcPr>
                  <w:tcW w:w="902" w:type="pct"/>
                </w:tcPr>
                <w:p w14:paraId="486CF38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生产规模</w:t>
                  </w:r>
                </w:p>
              </w:tc>
            </w:tr>
            <w:tr w14:paraId="064DF3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0" w:type="pct"/>
                </w:tcPr>
                <w:p w14:paraId="7A062C2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1</w:t>
                  </w:r>
                </w:p>
              </w:tc>
              <w:tc>
                <w:tcPr>
                  <w:tcW w:w="1019" w:type="pct"/>
                </w:tcPr>
                <w:p w14:paraId="7EF4691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天然气（NG）</w:t>
                  </w:r>
                </w:p>
              </w:tc>
              <w:tc>
                <w:tcPr>
                  <w:tcW w:w="1328" w:type="pct"/>
                </w:tcPr>
                <w:p w14:paraId="024C117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气态（加臭）</w:t>
                  </w:r>
                </w:p>
              </w:tc>
              <w:tc>
                <w:tcPr>
                  <w:tcW w:w="1059" w:type="pct"/>
                </w:tcPr>
                <w:p w14:paraId="6CEE890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2000m</w:t>
                  </w:r>
                  <w:r>
                    <w:rPr>
                      <w:rFonts w:hint="default" w:ascii="Times New Roman" w:hAnsi="Times New Roman" w:eastAsia="宋体" w:cs="Times New Roman"/>
                      <w:b w:val="0"/>
                      <w:bCs w:val="0"/>
                      <w:color w:val="000000" w:themeColor="text1"/>
                      <w:kern w:val="0"/>
                      <w:sz w:val="21"/>
                      <w:szCs w:val="21"/>
                      <w:vertAlign w:val="superscript"/>
                      <w:lang w:val="en-US" w:eastAsia="zh-CN" w:bidi="ar"/>
                      <w14:textFill>
                        <w14:solidFill>
                          <w14:schemeClr w14:val="tx1"/>
                        </w14:solidFill>
                      </w14:textFill>
                    </w:rPr>
                    <w:t>3</w:t>
                  </w: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/h</w:t>
                  </w:r>
                </w:p>
              </w:tc>
              <w:tc>
                <w:tcPr>
                  <w:tcW w:w="902" w:type="pct"/>
                </w:tcPr>
                <w:p w14:paraId="2FD5868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288万m</w:t>
                  </w:r>
                  <w:r>
                    <w:rPr>
                      <w:rFonts w:hint="default" w:ascii="Times New Roman" w:hAnsi="Times New Roman" w:eastAsia="宋体" w:cs="Times New Roman"/>
                      <w:b w:val="0"/>
                      <w:bCs w:val="0"/>
                      <w:color w:val="000000" w:themeColor="text1"/>
                      <w:kern w:val="0"/>
                      <w:sz w:val="21"/>
                      <w:szCs w:val="21"/>
                      <w:vertAlign w:val="superscript"/>
                      <w:lang w:val="en-US" w:eastAsia="zh-CN" w:bidi="ar"/>
                      <w14:textFill>
                        <w14:solidFill>
                          <w14:schemeClr w14:val="tx1"/>
                        </w14:solidFill>
                      </w14:textFill>
                    </w:rPr>
                    <w:t>3</w:t>
                  </w: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/a</w:t>
                  </w:r>
                </w:p>
              </w:tc>
            </w:tr>
            <w:tr w14:paraId="560761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5"/>
                </w:tcPr>
                <w:p w14:paraId="1DD13E14">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备注：本项目属于九龙山燃气锅炉及其他生活用天然气气源，</w:t>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外购LNG经槽车运至气化站气化后通过燃气管道输送至锅炉房外调压柜，经调压后送入燃气锅炉房使用。</w:t>
                  </w:r>
                </w:p>
              </w:tc>
            </w:tr>
          </w:tbl>
          <w:p w14:paraId="30689243">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000000" w:themeColor="text1"/>
                <w:kern w:val="0"/>
                <w:sz w:val="24"/>
                <w:szCs w:val="24"/>
                <w:vertAlign w:val="baseline"/>
                <w:lang w:val="en-US" w:eastAsia="zh-CN" w:bidi="ar"/>
                <w14:textFill>
                  <w14:solidFill>
                    <w14:schemeClr w14:val="tx1"/>
                  </w14:solidFill>
                </w14:textFill>
              </w:rPr>
            </w:pPr>
            <w:r>
              <w:rPr>
                <w:rFonts w:hint="default" w:ascii="Times New Roman" w:hAnsi="Times New Roman" w:eastAsia="宋体" w:cs="Times New Roman"/>
                <w:b/>
                <w:bCs/>
                <w:color w:val="000000" w:themeColor="text1"/>
                <w:kern w:val="0"/>
                <w:sz w:val="24"/>
                <w:szCs w:val="24"/>
                <w:vertAlign w:val="baseline"/>
                <w:lang w:val="en-US" w:eastAsia="zh-CN" w:bidi="ar"/>
                <w14:textFill>
                  <w14:solidFill>
                    <w14:schemeClr w14:val="tx1"/>
                  </w14:solidFill>
                </w14:textFill>
              </w:rPr>
              <w:t>4.生产设施一览表</w:t>
            </w:r>
          </w:p>
          <w:p w14:paraId="2A13986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bCs/>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bCs/>
                <w:color w:val="000000" w:themeColor="text1"/>
                <w:kern w:val="0"/>
                <w:sz w:val="21"/>
                <w:szCs w:val="21"/>
                <w:vertAlign w:val="baseline"/>
                <w:lang w:val="en-US" w:eastAsia="zh-CN" w:bidi="ar"/>
                <w14:textFill>
                  <w14:solidFill>
                    <w14:schemeClr w14:val="tx1"/>
                  </w14:solidFill>
                </w14:textFill>
              </w:rPr>
              <w:t>表2-3   生产设施一览表</w:t>
            </w:r>
          </w:p>
          <w:tbl>
            <w:tblPr>
              <w:tblStyle w:val="17"/>
              <w:tblW w:w="497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4"/>
              <w:gridCol w:w="1178"/>
              <w:gridCol w:w="1519"/>
              <w:gridCol w:w="738"/>
              <w:gridCol w:w="2649"/>
              <w:gridCol w:w="1278"/>
              <w:gridCol w:w="1065"/>
            </w:tblGrid>
            <w:tr w14:paraId="19301B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40" w:type="pct"/>
                  <w:vAlign w:val="center"/>
                </w:tcPr>
                <w:p w14:paraId="4898FB4C">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主要生产单元</w:t>
                  </w:r>
                </w:p>
              </w:tc>
              <w:tc>
                <w:tcPr>
                  <w:tcW w:w="637" w:type="pct"/>
                  <w:vAlign w:val="center"/>
                </w:tcPr>
                <w:p w14:paraId="55E9543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主要</w:t>
                  </w:r>
                </w:p>
                <w:p w14:paraId="3DCC6734">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工艺</w:t>
                  </w:r>
                </w:p>
              </w:tc>
              <w:tc>
                <w:tcPr>
                  <w:tcW w:w="821" w:type="pct"/>
                  <w:vAlign w:val="center"/>
                </w:tcPr>
                <w:p w14:paraId="7ED7020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主要生产设施</w:t>
                  </w:r>
                </w:p>
              </w:tc>
              <w:tc>
                <w:tcPr>
                  <w:tcW w:w="399" w:type="pct"/>
                  <w:vAlign w:val="center"/>
                </w:tcPr>
                <w:p w14:paraId="03A1F57C">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数量</w:t>
                  </w:r>
                </w:p>
              </w:tc>
              <w:tc>
                <w:tcPr>
                  <w:tcW w:w="1432" w:type="pct"/>
                  <w:vAlign w:val="center"/>
                </w:tcPr>
                <w:p w14:paraId="0916357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设施参数</w:t>
                  </w:r>
                </w:p>
              </w:tc>
              <w:tc>
                <w:tcPr>
                  <w:tcW w:w="691" w:type="pct"/>
                  <w:vAlign w:val="center"/>
                </w:tcPr>
                <w:p w14:paraId="1D5351A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材质</w:t>
                  </w:r>
                </w:p>
              </w:tc>
              <w:tc>
                <w:tcPr>
                  <w:tcW w:w="576" w:type="pct"/>
                  <w:vAlign w:val="center"/>
                </w:tcPr>
                <w:p w14:paraId="3EADC5DC">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备注</w:t>
                  </w:r>
                </w:p>
              </w:tc>
            </w:tr>
            <w:tr w14:paraId="625081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 w:hRule="atLeast"/>
              </w:trPr>
              <w:tc>
                <w:tcPr>
                  <w:tcW w:w="440" w:type="pct"/>
                  <w:vMerge w:val="restart"/>
                  <w:vAlign w:val="center"/>
                </w:tcPr>
                <w:p w14:paraId="6BE6D7B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vertAlign w:val="baseline"/>
                      <w:lang w:val="en-US" w:eastAsia="zh-CN" w:bidi="ar"/>
                      <w14:textFill>
                        <w14:solidFill>
                          <w14:schemeClr w14:val="tx1"/>
                        </w14:solidFill>
                      </w14:textFill>
                    </w:rPr>
                    <w:t>LNG储罐区</w:t>
                  </w:r>
                </w:p>
              </w:tc>
              <w:tc>
                <w:tcPr>
                  <w:tcW w:w="637" w:type="pct"/>
                  <w:vAlign w:val="center"/>
                </w:tcPr>
                <w:p w14:paraId="26FF751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储存</w:t>
                  </w:r>
                </w:p>
              </w:tc>
              <w:tc>
                <w:tcPr>
                  <w:tcW w:w="821" w:type="pct"/>
                  <w:vAlign w:val="center"/>
                </w:tcPr>
                <w:p w14:paraId="5A6C5BEC">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LNG卧式储罐</w:t>
                  </w:r>
                </w:p>
              </w:tc>
              <w:tc>
                <w:tcPr>
                  <w:tcW w:w="399" w:type="pct"/>
                  <w:vAlign w:val="center"/>
                </w:tcPr>
                <w:p w14:paraId="40B86274">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2台</w:t>
                  </w:r>
                </w:p>
              </w:tc>
              <w:tc>
                <w:tcPr>
                  <w:tcW w:w="1432" w:type="pct"/>
                  <w:vAlign w:val="center"/>
                </w:tcPr>
                <w:p w14:paraId="32EF4A3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全容积：50m</w:t>
                  </w:r>
                  <w:r>
                    <w:rPr>
                      <w:rFonts w:hint="default" w:ascii="Times New Roman" w:hAnsi="Times New Roman" w:eastAsia="宋体" w:cs="Times New Roman"/>
                      <w:b w:val="0"/>
                      <w:bCs w:val="0"/>
                      <w:color w:val="000000" w:themeColor="text1"/>
                      <w:kern w:val="0"/>
                      <w:sz w:val="21"/>
                      <w:szCs w:val="21"/>
                      <w:vertAlign w:val="superscript"/>
                      <w:lang w:val="en-US" w:eastAsia="zh-CN" w:bidi="ar"/>
                      <w14:textFill>
                        <w14:solidFill>
                          <w14:schemeClr w14:val="tx1"/>
                        </w14:solidFill>
                      </w14:textFill>
                    </w:rPr>
                    <w:t>3</w:t>
                  </w: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，设计压力：0.84MPa（低压），储存压力容器</w:t>
                  </w:r>
                </w:p>
              </w:tc>
              <w:tc>
                <w:tcPr>
                  <w:tcW w:w="691" w:type="pct"/>
                  <w:vAlign w:val="center"/>
                </w:tcPr>
                <w:p w14:paraId="40051EA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内筒：06Cr19Ni10外筒：Q345R</w:t>
                  </w:r>
                </w:p>
              </w:tc>
              <w:tc>
                <w:tcPr>
                  <w:tcW w:w="576" w:type="pct"/>
                  <w:vAlign w:val="center"/>
                </w:tcPr>
                <w:p w14:paraId="078CE00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充装系数0.9</w:t>
                  </w:r>
                </w:p>
              </w:tc>
            </w:tr>
            <w:tr w14:paraId="7B8511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trPr>
              <w:tc>
                <w:tcPr>
                  <w:tcW w:w="440" w:type="pct"/>
                  <w:vMerge w:val="continue"/>
                  <w:vAlign w:val="center"/>
                </w:tcPr>
                <w:p w14:paraId="3BA0796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637" w:type="pct"/>
                  <w:vAlign w:val="center"/>
                </w:tcPr>
                <w:p w14:paraId="31E7461B">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增压</w:t>
                  </w:r>
                </w:p>
              </w:tc>
              <w:tc>
                <w:tcPr>
                  <w:tcW w:w="821" w:type="pct"/>
                  <w:vAlign w:val="center"/>
                </w:tcPr>
                <w:p w14:paraId="0EDA08B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储罐增压器</w:t>
                  </w:r>
                </w:p>
              </w:tc>
              <w:tc>
                <w:tcPr>
                  <w:tcW w:w="399" w:type="pct"/>
                  <w:vAlign w:val="center"/>
                </w:tcPr>
                <w:p w14:paraId="7176228C">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1台</w:t>
                  </w:r>
                </w:p>
              </w:tc>
              <w:tc>
                <w:tcPr>
                  <w:tcW w:w="1432" w:type="pct"/>
                  <w:vAlign w:val="center"/>
                </w:tcPr>
                <w:p w14:paraId="3632DB64">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处理量：300m</w:t>
                  </w:r>
                  <w:r>
                    <w:rPr>
                      <w:rFonts w:hint="default" w:ascii="Times New Roman" w:hAnsi="Times New Roman" w:eastAsia="宋体" w:cs="Times New Roman"/>
                      <w:b w:val="0"/>
                      <w:bCs w:val="0"/>
                      <w:color w:val="000000" w:themeColor="text1"/>
                      <w:kern w:val="0"/>
                      <w:sz w:val="21"/>
                      <w:szCs w:val="21"/>
                      <w:vertAlign w:val="superscript"/>
                      <w:lang w:val="en-US" w:eastAsia="zh-CN" w:bidi="ar"/>
                      <w14:textFill>
                        <w14:solidFill>
                          <w14:schemeClr w14:val="tx1"/>
                        </w14:solidFill>
                      </w14:textFill>
                    </w:rPr>
                    <w:t>3</w:t>
                  </w: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/h，设计压力：1.6MPa</w:t>
                  </w:r>
                </w:p>
              </w:tc>
              <w:tc>
                <w:tcPr>
                  <w:tcW w:w="691" w:type="pct"/>
                  <w:vAlign w:val="center"/>
                </w:tcPr>
                <w:p w14:paraId="3788D04A">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6063-T5</w:t>
                  </w:r>
                </w:p>
              </w:tc>
              <w:tc>
                <w:tcPr>
                  <w:tcW w:w="576" w:type="pct"/>
                  <w:vAlign w:val="center"/>
                </w:tcPr>
                <w:p w14:paraId="33C602C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LNG转换BOG</w:t>
                  </w:r>
                </w:p>
              </w:tc>
            </w:tr>
            <w:tr w14:paraId="6FDCFA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trPr>
              <w:tc>
                <w:tcPr>
                  <w:tcW w:w="440" w:type="pct"/>
                  <w:vMerge w:val="continue"/>
                  <w:vAlign w:val="center"/>
                </w:tcPr>
                <w:p w14:paraId="081D2A0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637" w:type="pct"/>
                  <w:vAlign w:val="center"/>
                </w:tcPr>
                <w:p w14:paraId="2A91E5B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集液</w:t>
                  </w:r>
                </w:p>
              </w:tc>
              <w:tc>
                <w:tcPr>
                  <w:tcW w:w="821" w:type="pct"/>
                  <w:vAlign w:val="center"/>
                </w:tcPr>
                <w:p w14:paraId="644CE0FD">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集液池</w:t>
                  </w:r>
                </w:p>
              </w:tc>
              <w:tc>
                <w:tcPr>
                  <w:tcW w:w="399" w:type="pct"/>
                  <w:vAlign w:val="center"/>
                </w:tcPr>
                <w:p w14:paraId="1EE3059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1座</w:t>
                  </w:r>
                </w:p>
              </w:tc>
              <w:tc>
                <w:tcPr>
                  <w:tcW w:w="1432" w:type="pct"/>
                  <w:vAlign w:val="center"/>
                </w:tcPr>
                <w:p w14:paraId="3AC45C3B">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容积：</w:t>
                  </w:r>
                  <w:r>
                    <w:rPr>
                      <w:rFonts w:hint="default" w:ascii="Times New Roman" w:hAnsi="Times New Roman" w:eastAsia="宋体" w:cs="Times New Roman"/>
                      <w:color w:val="000000" w:themeColor="text1"/>
                      <w:kern w:val="0"/>
                      <w:sz w:val="21"/>
                      <w:szCs w:val="21"/>
                      <w:vertAlign w:val="baseline"/>
                      <w:lang w:val="en-US" w:eastAsia="zh-CN" w:bidi="ar"/>
                      <w14:textFill>
                        <w14:solidFill>
                          <w14:schemeClr w14:val="tx1"/>
                        </w14:solidFill>
                      </w14:textFill>
                    </w:rPr>
                    <w:t>6m</w:t>
                  </w:r>
                  <w:r>
                    <w:rPr>
                      <w:rFonts w:hint="default" w:ascii="Times New Roman" w:hAnsi="Times New Roman" w:eastAsia="宋体" w:cs="Times New Roman"/>
                      <w:color w:val="000000" w:themeColor="text1"/>
                      <w:kern w:val="0"/>
                      <w:sz w:val="21"/>
                      <w:szCs w:val="21"/>
                      <w:vertAlign w:val="superscript"/>
                      <w:lang w:val="en-US" w:eastAsia="zh-CN" w:bidi="ar"/>
                      <w14:textFill>
                        <w14:solidFill>
                          <w14:schemeClr w14:val="tx1"/>
                        </w14:solidFill>
                      </w14:textFill>
                    </w:rPr>
                    <w:t>3</w:t>
                  </w:r>
                </w:p>
              </w:tc>
              <w:tc>
                <w:tcPr>
                  <w:tcW w:w="691" w:type="pct"/>
                  <w:vAlign w:val="center"/>
                </w:tcPr>
                <w:p w14:paraId="79E3D9F4">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混凝土</w:t>
                  </w:r>
                </w:p>
              </w:tc>
              <w:tc>
                <w:tcPr>
                  <w:tcW w:w="576" w:type="pct"/>
                  <w:vAlign w:val="center"/>
                </w:tcPr>
                <w:p w14:paraId="2A0B8B6D">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地下</w:t>
                  </w:r>
                </w:p>
              </w:tc>
            </w:tr>
            <w:tr w14:paraId="23FC0B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trPr>
              <w:tc>
                <w:tcPr>
                  <w:tcW w:w="440" w:type="pct"/>
                  <w:vMerge w:val="restart"/>
                  <w:vAlign w:val="center"/>
                </w:tcPr>
                <w:p w14:paraId="2A1EAC61">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vertAlign w:val="baseline"/>
                      <w:lang w:val="en-US" w:eastAsia="zh-CN" w:bidi="ar"/>
                      <w14:textFill>
                        <w14:solidFill>
                          <w14:schemeClr w14:val="tx1"/>
                        </w14:solidFill>
                      </w14:textFill>
                    </w:rPr>
                    <w:t>工艺装置区</w:t>
                  </w:r>
                </w:p>
              </w:tc>
              <w:tc>
                <w:tcPr>
                  <w:tcW w:w="637" w:type="pct"/>
                  <w:vAlign w:val="center"/>
                </w:tcPr>
                <w:p w14:paraId="38C34E0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卸车</w:t>
                  </w:r>
                </w:p>
              </w:tc>
              <w:tc>
                <w:tcPr>
                  <w:tcW w:w="821" w:type="pct"/>
                  <w:vAlign w:val="center"/>
                </w:tcPr>
                <w:p w14:paraId="0B73223B">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卸车撬</w:t>
                  </w:r>
                </w:p>
              </w:tc>
              <w:tc>
                <w:tcPr>
                  <w:tcW w:w="399" w:type="pct"/>
                  <w:vAlign w:val="center"/>
                </w:tcPr>
                <w:p w14:paraId="3E44666A">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1台</w:t>
                  </w:r>
                </w:p>
              </w:tc>
              <w:tc>
                <w:tcPr>
                  <w:tcW w:w="1432" w:type="pct"/>
                  <w:vAlign w:val="center"/>
                </w:tcPr>
                <w:p w14:paraId="5A6D3BE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处理量：300m</w:t>
                  </w:r>
                  <w:r>
                    <w:rPr>
                      <w:rFonts w:hint="default" w:ascii="Times New Roman" w:hAnsi="Times New Roman" w:eastAsia="宋体" w:cs="Times New Roman"/>
                      <w:b w:val="0"/>
                      <w:bCs w:val="0"/>
                      <w:color w:val="000000" w:themeColor="text1"/>
                      <w:kern w:val="0"/>
                      <w:sz w:val="21"/>
                      <w:szCs w:val="21"/>
                      <w:vertAlign w:val="superscript"/>
                      <w:lang w:val="en-US" w:eastAsia="zh-CN" w:bidi="ar"/>
                      <w14:textFill>
                        <w14:solidFill>
                          <w14:schemeClr w14:val="tx1"/>
                        </w14:solidFill>
                      </w14:textFill>
                    </w:rPr>
                    <w:t>3</w:t>
                  </w: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/h，设计压力：1.6MPa</w:t>
                  </w:r>
                </w:p>
              </w:tc>
              <w:tc>
                <w:tcPr>
                  <w:tcW w:w="691" w:type="pct"/>
                  <w:vAlign w:val="center"/>
                </w:tcPr>
                <w:p w14:paraId="2BA11976">
                  <w:pPr>
                    <w:keepNext w:val="0"/>
                    <w:keepLines w:val="0"/>
                    <w:pageBreakBefore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6063-T5</w:t>
                  </w:r>
                </w:p>
              </w:tc>
              <w:tc>
                <w:tcPr>
                  <w:tcW w:w="576" w:type="pct"/>
                  <w:vAlign w:val="center"/>
                </w:tcPr>
                <w:p w14:paraId="7E837F93">
                  <w:pPr>
                    <w:keepNext w:val="0"/>
                    <w:keepLines w:val="0"/>
                    <w:pageBreakBefore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w:t>
                  </w:r>
                </w:p>
              </w:tc>
            </w:tr>
            <w:tr w14:paraId="5C2FD1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trPr>
              <w:tc>
                <w:tcPr>
                  <w:tcW w:w="440" w:type="pct"/>
                  <w:vMerge w:val="continue"/>
                  <w:vAlign w:val="center"/>
                </w:tcPr>
                <w:p w14:paraId="5ED4558D">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637" w:type="pct"/>
                  <w:shd w:val="clear" w:color="auto" w:fill="auto"/>
                  <w:vAlign w:val="center"/>
                </w:tcPr>
                <w:p w14:paraId="751634C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气化</w:t>
                  </w:r>
                </w:p>
              </w:tc>
              <w:tc>
                <w:tcPr>
                  <w:tcW w:w="821" w:type="pct"/>
                  <w:shd w:val="clear" w:color="auto" w:fill="auto"/>
                  <w:vAlign w:val="center"/>
                </w:tcPr>
                <w:p w14:paraId="53D64B4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空温式气化器（立式）</w:t>
                  </w:r>
                </w:p>
              </w:tc>
              <w:tc>
                <w:tcPr>
                  <w:tcW w:w="399" w:type="pct"/>
                  <w:shd w:val="clear" w:color="auto" w:fill="auto"/>
                  <w:vAlign w:val="center"/>
                </w:tcPr>
                <w:p w14:paraId="6B315D5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2台</w:t>
                  </w:r>
                </w:p>
              </w:tc>
              <w:tc>
                <w:tcPr>
                  <w:tcW w:w="1432" w:type="pct"/>
                  <w:shd w:val="clear" w:color="auto" w:fill="auto"/>
                  <w:vAlign w:val="center"/>
                </w:tcPr>
                <w:p w14:paraId="0F0D8774">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单台气化量：3000m</w:t>
                  </w:r>
                  <w:r>
                    <w:rPr>
                      <w:rFonts w:hint="default" w:ascii="Times New Roman" w:hAnsi="Times New Roman" w:eastAsia="宋体" w:cs="Times New Roman"/>
                      <w:color w:val="000000" w:themeColor="text1"/>
                      <w:sz w:val="21"/>
                      <w:szCs w:val="21"/>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/h，设计压力：1.6</w:t>
                  </w: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MPa（中压），换热压力容器</w:t>
                  </w:r>
                </w:p>
              </w:tc>
              <w:tc>
                <w:tcPr>
                  <w:tcW w:w="691" w:type="pct"/>
                  <w:shd w:val="clear" w:color="auto" w:fill="auto"/>
                  <w:vAlign w:val="center"/>
                </w:tcPr>
                <w:p w14:paraId="4A4DF5A7">
                  <w:pPr>
                    <w:keepNext w:val="0"/>
                    <w:keepLines w:val="0"/>
                    <w:pageBreakBefore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铝翘片</w:t>
                  </w:r>
                </w:p>
              </w:tc>
              <w:tc>
                <w:tcPr>
                  <w:tcW w:w="576" w:type="pct"/>
                  <w:shd w:val="clear" w:color="auto" w:fill="auto"/>
                  <w:vAlign w:val="center"/>
                </w:tcPr>
                <w:p w14:paraId="001AA2B4">
                  <w:pPr>
                    <w:keepNext w:val="0"/>
                    <w:keepLines w:val="0"/>
                    <w:pageBreakBefore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一用</w:t>
                  </w:r>
                </w:p>
                <w:p w14:paraId="78FBBCE2">
                  <w:pPr>
                    <w:keepNext w:val="0"/>
                    <w:keepLines w:val="0"/>
                    <w:pageBreakBefore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一备</w:t>
                  </w:r>
                </w:p>
              </w:tc>
            </w:tr>
            <w:tr w14:paraId="57014E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 w:hRule="atLeast"/>
              </w:trPr>
              <w:tc>
                <w:tcPr>
                  <w:tcW w:w="440" w:type="pct"/>
                  <w:vMerge w:val="continue"/>
                  <w:vAlign w:val="center"/>
                </w:tcPr>
                <w:p w14:paraId="0F806E5A">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637" w:type="pct"/>
                  <w:vMerge w:val="restart"/>
                  <w:vAlign w:val="center"/>
                </w:tcPr>
                <w:p w14:paraId="6705B53A">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调压计量加臭系统</w:t>
                  </w:r>
                </w:p>
              </w:tc>
              <w:tc>
                <w:tcPr>
                  <w:tcW w:w="821" w:type="pct"/>
                  <w:vAlign w:val="center"/>
                </w:tcPr>
                <w:p w14:paraId="22815BB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BOG加热器</w:t>
                  </w:r>
                </w:p>
              </w:tc>
              <w:tc>
                <w:tcPr>
                  <w:tcW w:w="399" w:type="pct"/>
                  <w:vAlign w:val="center"/>
                </w:tcPr>
                <w:p w14:paraId="6CCCBABB">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1台</w:t>
                  </w:r>
                </w:p>
              </w:tc>
              <w:tc>
                <w:tcPr>
                  <w:tcW w:w="1432" w:type="pct"/>
                  <w:vAlign w:val="center"/>
                </w:tcPr>
                <w:p w14:paraId="3F2D8B3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处理量：500m</w:t>
                  </w:r>
                  <w:r>
                    <w:rPr>
                      <w:rFonts w:hint="default" w:ascii="Times New Roman" w:hAnsi="Times New Roman" w:eastAsia="宋体" w:cs="Times New Roman"/>
                      <w:color w:val="000000" w:themeColor="text1"/>
                      <w:sz w:val="21"/>
                      <w:szCs w:val="21"/>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/h，设计压力：1.6</w:t>
                  </w: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MPa（中压）</w:t>
                  </w:r>
                </w:p>
              </w:tc>
              <w:tc>
                <w:tcPr>
                  <w:tcW w:w="691" w:type="pct"/>
                  <w:vAlign w:val="center"/>
                </w:tcPr>
                <w:p w14:paraId="450B0B11">
                  <w:pPr>
                    <w:keepNext w:val="0"/>
                    <w:keepLines w:val="0"/>
                    <w:pageBreakBefore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6063-T5</w:t>
                  </w:r>
                </w:p>
              </w:tc>
              <w:tc>
                <w:tcPr>
                  <w:tcW w:w="576" w:type="pct"/>
                  <w:vAlign w:val="center"/>
                </w:tcPr>
                <w:p w14:paraId="1FF0DB5F">
                  <w:pPr>
                    <w:keepNext w:val="0"/>
                    <w:keepLines w:val="0"/>
                    <w:pageBreakBefore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蒸发气体加热器</w:t>
                  </w:r>
                </w:p>
              </w:tc>
            </w:tr>
            <w:tr w14:paraId="0F5996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 w:hRule="atLeast"/>
              </w:trPr>
              <w:tc>
                <w:tcPr>
                  <w:tcW w:w="440" w:type="pct"/>
                  <w:vMerge w:val="continue"/>
                  <w:vAlign w:val="center"/>
                </w:tcPr>
                <w:p w14:paraId="479D32F9">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637" w:type="pct"/>
                  <w:vMerge w:val="continue"/>
                  <w:vAlign w:val="center"/>
                </w:tcPr>
                <w:p w14:paraId="5C37914A">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821" w:type="pct"/>
                  <w:vAlign w:val="center"/>
                </w:tcPr>
                <w:p w14:paraId="7165F889">
                  <w:pPr>
                    <w:keepNext w:val="0"/>
                    <w:keepLines w:val="0"/>
                    <w:pageBreakBefore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EAG加热器</w:t>
                  </w:r>
                </w:p>
              </w:tc>
              <w:tc>
                <w:tcPr>
                  <w:tcW w:w="399" w:type="pct"/>
                  <w:vAlign w:val="center"/>
                </w:tcPr>
                <w:p w14:paraId="4596D190">
                  <w:pPr>
                    <w:keepNext w:val="0"/>
                    <w:keepLines w:val="0"/>
                    <w:pageBreakBefore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1台</w:t>
                  </w:r>
                </w:p>
              </w:tc>
              <w:tc>
                <w:tcPr>
                  <w:tcW w:w="1432" w:type="pct"/>
                  <w:vAlign w:val="center"/>
                </w:tcPr>
                <w:p w14:paraId="0DBD6509">
                  <w:pPr>
                    <w:keepNext w:val="0"/>
                    <w:keepLines w:val="0"/>
                    <w:pageBreakBefore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处理量：150m</w:t>
                  </w:r>
                  <w:r>
                    <w:rPr>
                      <w:rFonts w:hint="default" w:ascii="Times New Roman" w:hAnsi="Times New Roman" w:eastAsia="宋体" w:cs="Times New Roman"/>
                      <w:color w:val="000000" w:themeColor="text1"/>
                      <w:sz w:val="21"/>
                      <w:szCs w:val="21"/>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/h，设计压力：1.6</w:t>
                  </w: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MPa（中压）</w:t>
                  </w:r>
                </w:p>
              </w:tc>
              <w:tc>
                <w:tcPr>
                  <w:tcW w:w="691" w:type="pct"/>
                  <w:vAlign w:val="center"/>
                </w:tcPr>
                <w:p w14:paraId="699FF3C0">
                  <w:pPr>
                    <w:keepNext w:val="0"/>
                    <w:keepLines w:val="0"/>
                    <w:pageBreakBefore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6063-T5</w:t>
                  </w:r>
                </w:p>
              </w:tc>
              <w:tc>
                <w:tcPr>
                  <w:tcW w:w="576" w:type="pct"/>
                  <w:vAlign w:val="center"/>
                </w:tcPr>
                <w:p w14:paraId="5ADAFC27">
                  <w:pPr>
                    <w:keepNext w:val="0"/>
                    <w:keepLines w:val="0"/>
                    <w:pageBreakBefore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安全放散气体加热器</w:t>
                  </w:r>
                </w:p>
              </w:tc>
            </w:tr>
            <w:tr w14:paraId="561EAA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 w:hRule="atLeast"/>
              </w:trPr>
              <w:tc>
                <w:tcPr>
                  <w:tcW w:w="440" w:type="pct"/>
                  <w:vMerge w:val="continue"/>
                  <w:vAlign w:val="center"/>
                </w:tcPr>
                <w:p w14:paraId="5F68D796">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637" w:type="pct"/>
                  <w:vMerge w:val="continue"/>
                  <w:vAlign w:val="center"/>
                </w:tcPr>
                <w:p w14:paraId="5E251257">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821" w:type="pct"/>
                  <w:vAlign w:val="center"/>
                </w:tcPr>
                <w:p w14:paraId="49FB65D0">
                  <w:pPr>
                    <w:keepNext w:val="0"/>
                    <w:keepLines w:val="0"/>
                    <w:pageBreakBefore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水浴式电加热器</w:t>
                  </w:r>
                </w:p>
              </w:tc>
              <w:tc>
                <w:tcPr>
                  <w:tcW w:w="399" w:type="pct"/>
                  <w:vAlign w:val="center"/>
                </w:tcPr>
                <w:p w14:paraId="24A27729">
                  <w:pPr>
                    <w:keepNext w:val="0"/>
                    <w:keepLines w:val="0"/>
                    <w:pageBreakBefore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1台</w:t>
                  </w:r>
                </w:p>
              </w:tc>
              <w:tc>
                <w:tcPr>
                  <w:tcW w:w="1432" w:type="pct"/>
                  <w:vAlign w:val="center"/>
                </w:tcPr>
                <w:p w14:paraId="533B71B3">
                  <w:pPr>
                    <w:keepNext w:val="0"/>
                    <w:keepLines w:val="0"/>
                    <w:pageBreakBefore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处理量：2000+500m</w:t>
                  </w:r>
                  <w:r>
                    <w:rPr>
                      <w:rFonts w:hint="default" w:ascii="Times New Roman" w:hAnsi="Times New Roman" w:eastAsia="宋体" w:cs="Times New Roman"/>
                      <w:color w:val="000000" w:themeColor="text1"/>
                      <w:sz w:val="21"/>
                      <w:szCs w:val="21"/>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/h，设计压力：1.6</w:t>
                  </w: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MPa（中压）</w:t>
                  </w:r>
                </w:p>
              </w:tc>
              <w:tc>
                <w:tcPr>
                  <w:tcW w:w="691" w:type="pct"/>
                  <w:vAlign w:val="center"/>
                </w:tcPr>
                <w:p w14:paraId="3E7AF954">
                  <w:pPr>
                    <w:keepNext w:val="0"/>
                    <w:keepLines w:val="0"/>
                    <w:pageBreakBefore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内筒：06Cr19Ni10外筒：Q235B</w:t>
                  </w:r>
                </w:p>
              </w:tc>
              <w:tc>
                <w:tcPr>
                  <w:tcW w:w="576" w:type="pct"/>
                  <w:vAlign w:val="center"/>
                </w:tcPr>
                <w:p w14:paraId="53EC8532">
                  <w:pPr>
                    <w:keepNext w:val="0"/>
                    <w:keepLines w:val="0"/>
                    <w:pageBreakBefore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冬季二次加热气化</w:t>
                  </w:r>
                </w:p>
              </w:tc>
            </w:tr>
            <w:tr w14:paraId="5E0F25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 w:hRule="atLeast"/>
              </w:trPr>
              <w:tc>
                <w:tcPr>
                  <w:tcW w:w="440" w:type="pct"/>
                  <w:vMerge w:val="continue"/>
                  <w:vAlign w:val="center"/>
                </w:tcPr>
                <w:p w14:paraId="52D7047E">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637" w:type="pct"/>
                  <w:vMerge w:val="continue"/>
                  <w:vAlign w:val="center"/>
                </w:tcPr>
                <w:p w14:paraId="3D83672F">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821" w:type="pct"/>
                  <w:vAlign w:val="center"/>
                </w:tcPr>
                <w:p w14:paraId="492C6380">
                  <w:pPr>
                    <w:keepNext w:val="0"/>
                    <w:keepLines w:val="0"/>
                    <w:pageBreakBefore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调压计量装置</w:t>
                  </w:r>
                </w:p>
              </w:tc>
              <w:tc>
                <w:tcPr>
                  <w:tcW w:w="399" w:type="pct"/>
                  <w:vAlign w:val="center"/>
                </w:tcPr>
                <w:p w14:paraId="2D8ECE5F">
                  <w:pPr>
                    <w:keepNext w:val="0"/>
                    <w:keepLines w:val="0"/>
                    <w:pageBreakBefore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1套</w:t>
                  </w:r>
                </w:p>
              </w:tc>
              <w:tc>
                <w:tcPr>
                  <w:tcW w:w="1432" w:type="pct"/>
                  <w:vAlign w:val="center"/>
                </w:tcPr>
                <w:p w14:paraId="59BA9ADB">
                  <w:pPr>
                    <w:keepNext w:val="0"/>
                    <w:keepLines w:val="0"/>
                    <w:pageBreakBefore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处理量：2000+500m</w:t>
                  </w:r>
                  <w:r>
                    <w:rPr>
                      <w:rFonts w:hint="default" w:ascii="Times New Roman" w:hAnsi="Times New Roman" w:eastAsia="宋体" w:cs="Times New Roman"/>
                      <w:color w:val="000000" w:themeColor="text1"/>
                      <w:sz w:val="21"/>
                      <w:szCs w:val="21"/>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/h，出口压力：0.36</w:t>
                  </w: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MPa（低压）</w:t>
                  </w:r>
                </w:p>
              </w:tc>
              <w:tc>
                <w:tcPr>
                  <w:tcW w:w="691" w:type="pct"/>
                  <w:vAlign w:val="center"/>
                </w:tcPr>
                <w:p w14:paraId="2B115434">
                  <w:pPr>
                    <w:keepNext w:val="0"/>
                    <w:keepLines w:val="0"/>
                    <w:pageBreakBefore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p>
              </w:tc>
              <w:tc>
                <w:tcPr>
                  <w:tcW w:w="576" w:type="pct"/>
                  <w:vAlign w:val="center"/>
                </w:tcPr>
                <w:p w14:paraId="37747944">
                  <w:pPr>
                    <w:keepNext w:val="0"/>
                    <w:keepLines w:val="0"/>
                    <w:pageBreakBefore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p>
              </w:tc>
            </w:tr>
            <w:tr w14:paraId="3789DD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40" w:type="pct"/>
                  <w:vMerge w:val="continue"/>
                  <w:vAlign w:val="center"/>
                </w:tcPr>
                <w:p w14:paraId="3ECA1B89">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637" w:type="pct"/>
                  <w:vMerge w:val="continue"/>
                  <w:vAlign w:val="center"/>
                </w:tcPr>
                <w:p w14:paraId="113F1CBE">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821" w:type="pct"/>
                  <w:vAlign w:val="center"/>
                </w:tcPr>
                <w:p w14:paraId="55AA2F9B">
                  <w:pPr>
                    <w:keepNext w:val="0"/>
                    <w:keepLines w:val="0"/>
                    <w:pageBreakBefore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加臭机</w:t>
                  </w:r>
                </w:p>
              </w:tc>
              <w:tc>
                <w:tcPr>
                  <w:tcW w:w="399" w:type="pct"/>
                  <w:vAlign w:val="center"/>
                </w:tcPr>
                <w:p w14:paraId="07BA02EF">
                  <w:pPr>
                    <w:keepNext w:val="0"/>
                    <w:keepLines w:val="0"/>
                    <w:pageBreakBefore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1台</w:t>
                  </w:r>
                </w:p>
              </w:tc>
              <w:tc>
                <w:tcPr>
                  <w:tcW w:w="1432" w:type="pct"/>
                  <w:vAlign w:val="center"/>
                </w:tcPr>
                <w:p w14:paraId="0BB3F355">
                  <w:pPr>
                    <w:keepNext w:val="0"/>
                    <w:keepLines w:val="0"/>
                    <w:pageBreakBefore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容量：100L</w:t>
                  </w:r>
                </w:p>
              </w:tc>
              <w:tc>
                <w:tcPr>
                  <w:tcW w:w="691" w:type="pct"/>
                  <w:vAlign w:val="center"/>
                </w:tcPr>
                <w:p w14:paraId="03CA9D2B">
                  <w:pPr>
                    <w:keepNext w:val="0"/>
                    <w:keepLines w:val="0"/>
                    <w:pageBreakBefore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06Cr19Ni10</w:t>
                  </w:r>
                </w:p>
              </w:tc>
              <w:tc>
                <w:tcPr>
                  <w:tcW w:w="576" w:type="pct"/>
                  <w:vAlign w:val="center"/>
                </w:tcPr>
                <w:p w14:paraId="21C643F3">
                  <w:pPr>
                    <w:keepNext w:val="0"/>
                    <w:keepLines w:val="0"/>
                    <w:pageBreakBefore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充装系数0.9</w:t>
                  </w:r>
                </w:p>
              </w:tc>
            </w:tr>
            <w:tr w14:paraId="230A50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 w:hRule="atLeast"/>
              </w:trPr>
              <w:tc>
                <w:tcPr>
                  <w:tcW w:w="440" w:type="pct"/>
                  <w:vAlign w:val="center"/>
                </w:tcPr>
                <w:p w14:paraId="19ABDAC0">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集中放散口</w:t>
                  </w:r>
                </w:p>
              </w:tc>
              <w:tc>
                <w:tcPr>
                  <w:tcW w:w="637" w:type="pct"/>
                  <w:vAlign w:val="center"/>
                </w:tcPr>
                <w:p w14:paraId="65DAD7C3">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安全放散</w:t>
                  </w:r>
                </w:p>
              </w:tc>
              <w:tc>
                <w:tcPr>
                  <w:tcW w:w="821" w:type="pct"/>
                  <w:vAlign w:val="center"/>
                </w:tcPr>
                <w:p w14:paraId="49422DA3">
                  <w:pPr>
                    <w:keepNext w:val="0"/>
                    <w:keepLines w:val="0"/>
                    <w:pageBreakBefore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集中放散管</w:t>
                  </w:r>
                </w:p>
              </w:tc>
              <w:tc>
                <w:tcPr>
                  <w:tcW w:w="399" w:type="pct"/>
                  <w:vAlign w:val="center"/>
                </w:tcPr>
                <w:p w14:paraId="7EA0D9CF">
                  <w:pPr>
                    <w:keepNext w:val="0"/>
                    <w:keepLines w:val="0"/>
                    <w:pageBreakBefore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1根</w:t>
                  </w:r>
                </w:p>
              </w:tc>
              <w:tc>
                <w:tcPr>
                  <w:tcW w:w="1432" w:type="pct"/>
                  <w:vAlign w:val="center"/>
                </w:tcPr>
                <w:p w14:paraId="0E5C0523">
                  <w:pPr>
                    <w:keepNext w:val="0"/>
                    <w:keepLines w:val="0"/>
                    <w:pageBreakBefore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DN80,PN16,H10m</w:t>
                  </w:r>
                </w:p>
              </w:tc>
              <w:tc>
                <w:tcPr>
                  <w:tcW w:w="691" w:type="pct"/>
                  <w:vAlign w:val="center"/>
                </w:tcPr>
                <w:p w14:paraId="307D1ADC">
                  <w:pPr>
                    <w:keepNext w:val="0"/>
                    <w:keepLines w:val="0"/>
                    <w:pageBreakBefore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06Cr19Ni10</w:t>
                  </w:r>
                </w:p>
              </w:tc>
              <w:tc>
                <w:tcPr>
                  <w:tcW w:w="576" w:type="pct"/>
                  <w:vAlign w:val="center"/>
                </w:tcPr>
                <w:p w14:paraId="0E912BAD">
                  <w:pPr>
                    <w:keepNext w:val="0"/>
                    <w:keepLines w:val="0"/>
                    <w:pageBreakBefore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p>
              </w:tc>
            </w:tr>
            <w:tr w14:paraId="146FEB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440" w:type="pct"/>
                  <w:vMerge w:val="restart"/>
                  <w:vAlign w:val="center"/>
                </w:tcPr>
                <w:p w14:paraId="0EDE4E90">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发电机房</w:t>
                  </w:r>
                </w:p>
              </w:tc>
              <w:tc>
                <w:tcPr>
                  <w:tcW w:w="637" w:type="pct"/>
                  <w:vMerge w:val="restart"/>
                  <w:vAlign w:val="center"/>
                </w:tcPr>
                <w:p w14:paraId="2957F3FC">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备用电源</w:t>
                  </w:r>
                </w:p>
              </w:tc>
              <w:tc>
                <w:tcPr>
                  <w:tcW w:w="821" w:type="pct"/>
                  <w:vAlign w:val="center"/>
                </w:tcPr>
                <w:p w14:paraId="58A9AB54">
                  <w:pPr>
                    <w:keepNext w:val="0"/>
                    <w:keepLines w:val="0"/>
                    <w:pageBreakBefore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柴油发电机</w:t>
                  </w:r>
                </w:p>
              </w:tc>
              <w:tc>
                <w:tcPr>
                  <w:tcW w:w="399" w:type="pct"/>
                  <w:vAlign w:val="center"/>
                </w:tcPr>
                <w:p w14:paraId="306B413B">
                  <w:pPr>
                    <w:keepNext w:val="0"/>
                    <w:keepLines w:val="0"/>
                    <w:pageBreakBefore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1台</w:t>
                  </w:r>
                </w:p>
              </w:tc>
              <w:tc>
                <w:tcPr>
                  <w:tcW w:w="1432" w:type="pct"/>
                  <w:vAlign w:val="center"/>
                </w:tcPr>
                <w:p w14:paraId="6C8E448C">
                  <w:pPr>
                    <w:keepNext w:val="0"/>
                    <w:keepLines w:val="0"/>
                    <w:pageBreakBefore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功率：75kW</w:t>
                  </w:r>
                </w:p>
              </w:tc>
              <w:tc>
                <w:tcPr>
                  <w:tcW w:w="691" w:type="pct"/>
                  <w:vAlign w:val="center"/>
                </w:tcPr>
                <w:p w14:paraId="08CCF1E7">
                  <w:pPr>
                    <w:keepNext w:val="0"/>
                    <w:keepLines w:val="0"/>
                    <w:pageBreakBefore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p>
              </w:tc>
              <w:tc>
                <w:tcPr>
                  <w:tcW w:w="576" w:type="pct"/>
                  <w:vAlign w:val="center"/>
                </w:tcPr>
                <w:p w14:paraId="7C6F42B2">
                  <w:pPr>
                    <w:keepNext w:val="0"/>
                    <w:keepLines w:val="0"/>
                    <w:pageBreakBefore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p>
              </w:tc>
            </w:tr>
            <w:tr w14:paraId="113E2D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440" w:type="pct"/>
                  <w:vMerge w:val="continue"/>
                  <w:vAlign w:val="center"/>
                </w:tcPr>
                <w:p w14:paraId="15375FAA">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637" w:type="pct"/>
                  <w:vMerge w:val="continue"/>
                  <w:vAlign w:val="center"/>
                </w:tcPr>
                <w:p w14:paraId="0995C3C5">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821" w:type="pct"/>
                  <w:vAlign w:val="center"/>
                </w:tcPr>
                <w:p w14:paraId="2BEA7A11">
                  <w:pPr>
                    <w:keepNext w:val="0"/>
                    <w:keepLines w:val="0"/>
                    <w:pageBreakBefore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储油箱</w:t>
                  </w:r>
                </w:p>
              </w:tc>
              <w:tc>
                <w:tcPr>
                  <w:tcW w:w="399" w:type="pct"/>
                  <w:vAlign w:val="center"/>
                </w:tcPr>
                <w:p w14:paraId="3D0893F1">
                  <w:pPr>
                    <w:keepNext w:val="0"/>
                    <w:keepLines w:val="0"/>
                    <w:pageBreakBefore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1432" w:type="pct"/>
                  <w:vAlign w:val="center"/>
                </w:tcPr>
                <w:p w14:paraId="32D91555">
                  <w:pPr>
                    <w:keepNext w:val="0"/>
                    <w:keepLines w:val="0"/>
                    <w:pageBreakBefore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容积≤1m</w:t>
                  </w:r>
                  <w:r>
                    <w:rPr>
                      <w:rFonts w:hint="default" w:ascii="Times New Roman" w:hAnsi="Times New Roman" w:eastAsia="宋体" w:cs="Times New Roman"/>
                      <w:b w:val="0"/>
                      <w:bCs w:val="0"/>
                      <w:color w:val="000000" w:themeColor="text1"/>
                      <w:kern w:val="0"/>
                      <w:sz w:val="21"/>
                      <w:szCs w:val="21"/>
                      <w:vertAlign w:val="superscript"/>
                      <w:lang w:val="en-US" w:eastAsia="zh-CN" w:bidi="ar"/>
                      <w14:textFill>
                        <w14:solidFill>
                          <w14:schemeClr w14:val="tx1"/>
                        </w14:solidFill>
                      </w14:textFill>
                    </w:rPr>
                    <w:t>3</w:t>
                  </w:r>
                </w:p>
              </w:tc>
              <w:tc>
                <w:tcPr>
                  <w:tcW w:w="691" w:type="pct"/>
                  <w:vAlign w:val="center"/>
                </w:tcPr>
                <w:p w14:paraId="745DD516">
                  <w:pPr>
                    <w:keepNext w:val="0"/>
                    <w:keepLines w:val="0"/>
                    <w:pageBreakBefore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p>
              </w:tc>
              <w:tc>
                <w:tcPr>
                  <w:tcW w:w="576" w:type="pct"/>
                  <w:vAlign w:val="center"/>
                </w:tcPr>
                <w:p w14:paraId="013AE9E4">
                  <w:pPr>
                    <w:keepNext w:val="0"/>
                    <w:keepLines w:val="0"/>
                    <w:pageBreakBefore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柴油</w:t>
                  </w:r>
                </w:p>
              </w:tc>
            </w:tr>
            <w:tr w14:paraId="6D2E46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440" w:type="pct"/>
                  <w:vAlign w:val="center"/>
                </w:tcPr>
                <w:p w14:paraId="567FD070">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空压机间</w:t>
                  </w:r>
                </w:p>
              </w:tc>
              <w:tc>
                <w:tcPr>
                  <w:tcW w:w="637" w:type="pct"/>
                  <w:shd w:val="clear" w:color="auto" w:fill="auto"/>
                  <w:vAlign w:val="center"/>
                </w:tcPr>
                <w:p w14:paraId="2AAAC21A">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压缩空气</w:t>
                  </w:r>
                </w:p>
              </w:tc>
              <w:tc>
                <w:tcPr>
                  <w:tcW w:w="821" w:type="pct"/>
                  <w:shd w:val="clear" w:color="auto" w:fill="auto"/>
                  <w:vAlign w:val="center"/>
                </w:tcPr>
                <w:p w14:paraId="554AFAE9">
                  <w:pPr>
                    <w:keepNext w:val="0"/>
                    <w:keepLines w:val="0"/>
                    <w:pageBreakBefore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空压机</w:t>
                  </w:r>
                </w:p>
              </w:tc>
              <w:tc>
                <w:tcPr>
                  <w:tcW w:w="399" w:type="pct"/>
                  <w:shd w:val="clear" w:color="auto" w:fill="auto"/>
                  <w:vAlign w:val="center"/>
                </w:tcPr>
                <w:p w14:paraId="020D12E3">
                  <w:pPr>
                    <w:keepNext w:val="0"/>
                    <w:keepLines w:val="0"/>
                    <w:pageBreakBefore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1台</w:t>
                  </w:r>
                </w:p>
              </w:tc>
              <w:tc>
                <w:tcPr>
                  <w:tcW w:w="1432" w:type="pct"/>
                  <w:shd w:val="clear" w:color="auto" w:fill="auto"/>
                  <w:vAlign w:val="center"/>
                </w:tcPr>
                <w:p w14:paraId="5790353C">
                  <w:pPr>
                    <w:keepNext w:val="0"/>
                    <w:keepLines w:val="0"/>
                    <w:pageBreakBefore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排气量：0.2m</w:t>
                  </w:r>
                  <w:r>
                    <w:rPr>
                      <w:rFonts w:hint="default" w:ascii="Times New Roman" w:hAnsi="Times New Roman" w:eastAsia="宋体" w:cs="Times New Roman"/>
                      <w:color w:val="000000" w:themeColor="text1"/>
                      <w:sz w:val="21"/>
                      <w:szCs w:val="21"/>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/min</w:t>
                  </w:r>
                </w:p>
              </w:tc>
              <w:tc>
                <w:tcPr>
                  <w:tcW w:w="691" w:type="pct"/>
                  <w:shd w:val="clear" w:color="auto" w:fill="auto"/>
                  <w:vAlign w:val="center"/>
                </w:tcPr>
                <w:p w14:paraId="685F51EC">
                  <w:pPr>
                    <w:keepNext w:val="0"/>
                    <w:keepLines w:val="0"/>
                    <w:pageBreakBefore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w:t>
                  </w:r>
                </w:p>
              </w:tc>
              <w:tc>
                <w:tcPr>
                  <w:tcW w:w="576" w:type="pct"/>
                  <w:shd w:val="clear" w:color="auto" w:fill="auto"/>
                  <w:vAlign w:val="center"/>
                </w:tcPr>
                <w:p w14:paraId="16C45CC3">
                  <w:pPr>
                    <w:keepNext w:val="0"/>
                    <w:keepLines w:val="0"/>
                    <w:pageBreakBefore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螺杆式</w:t>
                  </w:r>
                </w:p>
              </w:tc>
            </w:tr>
          </w:tbl>
          <w:p w14:paraId="56A54571">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bCs/>
                <w:color w:val="000000" w:themeColor="text1"/>
                <w:kern w:val="0"/>
                <w:sz w:val="24"/>
                <w:szCs w:val="24"/>
                <w:vertAlign w:val="baseline"/>
                <w:lang w:val="en-US" w:eastAsia="zh-CN" w:bidi="ar"/>
                <w14:textFill>
                  <w14:solidFill>
                    <w14:schemeClr w14:val="tx1"/>
                  </w14:solidFill>
                </w14:textFill>
              </w:rPr>
              <w:t>5.原辅材料及燃料一览表</w:t>
            </w:r>
          </w:p>
          <w:p w14:paraId="2FB77A7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bCs/>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bCs/>
                <w:color w:val="000000" w:themeColor="text1"/>
                <w:kern w:val="0"/>
                <w:sz w:val="21"/>
                <w:szCs w:val="21"/>
                <w:vertAlign w:val="baseline"/>
                <w:lang w:val="en-US" w:eastAsia="zh-CN" w:bidi="ar"/>
                <w14:textFill>
                  <w14:solidFill>
                    <w14:schemeClr w14:val="tx1"/>
                  </w14:solidFill>
                </w14:textFill>
              </w:rPr>
              <w:t>表2-4   原辅材料及燃料一览表</w:t>
            </w:r>
          </w:p>
          <w:tbl>
            <w:tblPr>
              <w:tblStyle w:val="1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45"/>
              <w:gridCol w:w="808"/>
              <w:gridCol w:w="1991"/>
              <w:gridCol w:w="1109"/>
              <w:gridCol w:w="1124"/>
              <w:gridCol w:w="972"/>
              <w:gridCol w:w="1102"/>
              <w:gridCol w:w="1531"/>
            </w:tblGrid>
            <w:tr w14:paraId="492303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atLeast"/>
              </w:trPr>
              <w:tc>
                <w:tcPr>
                  <w:tcW w:w="645" w:type="dxa"/>
                  <w:vAlign w:val="center"/>
                </w:tcPr>
                <w:p w14:paraId="7B18F134">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序号</w:t>
                  </w:r>
                </w:p>
              </w:tc>
              <w:tc>
                <w:tcPr>
                  <w:tcW w:w="808" w:type="dxa"/>
                  <w:vAlign w:val="center"/>
                </w:tcPr>
                <w:p w14:paraId="4C541CE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种类</w:t>
                  </w:r>
                </w:p>
              </w:tc>
              <w:tc>
                <w:tcPr>
                  <w:tcW w:w="1991" w:type="dxa"/>
                  <w:vAlign w:val="center"/>
                </w:tcPr>
                <w:p w14:paraId="109BEF9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名称</w:t>
                  </w:r>
                </w:p>
              </w:tc>
              <w:tc>
                <w:tcPr>
                  <w:tcW w:w="1109" w:type="dxa"/>
                  <w:vAlign w:val="center"/>
                </w:tcPr>
                <w:p w14:paraId="66EDA86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用量</w:t>
                  </w:r>
                </w:p>
              </w:tc>
              <w:tc>
                <w:tcPr>
                  <w:tcW w:w="1124" w:type="dxa"/>
                  <w:vAlign w:val="center"/>
                </w:tcPr>
                <w:p w14:paraId="63744D04">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最大储存量</w:t>
                  </w:r>
                </w:p>
              </w:tc>
              <w:tc>
                <w:tcPr>
                  <w:tcW w:w="972" w:type="dxa"/>
                  <w:vAlign w:val="center"/>
                </w:tcPr>
                <w:p w14:paraId="698CC86D">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性状</w:t>
                  </w:r>
                </w:p>
              </w:tc>
              <w:tc>
                <w:tcPr>
                  <w:tcW w:w="1102" w:type="dxa"/>
                  <w:vAlign w:val="center"/>
                </w:tcPr>
                <w:p w14:paraId="0506D64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主要成分</w:t>
                  </w:r>
                </w:p>
              </w:tc>
              <w:tc>
                <w:tcPr>
                  <w:tcW w:w="1531" w:type="dxa"/>
                  <w:vAlign w:val="center"/>
                </w:tcPr>
                <w:p w14:paraId="408B0E91">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储存方式</w:t>
                  </w:r>
                </w:p>
              </w:tc>
            </w:tr>
            <w:tr w14:paraId="681DF9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5" w:type="dxa"/>
                  <w:vAlign w:val="center"/>
                </w:tcPr>
                <w:p w14:paraId="669AEC8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1</w:t>
                  </w:r>
                </w:p>
              </w:tc>
              <w:tc>
                <w:tcPr>
                  <w:tcW w:w="808" w:type="dxa"/>
                  <w:vAlign w:val="center"/>
                </w:tcPr>
                <w:p w14:paraId="1C57BB3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原料</w:t>
                  </w:r>
                </w:p>
              </w:tc>
              <w:tc>
                <w:tcPr>
                  <w:tcW w:w="1991" w:type="dxa"/>
                  <w:vAlign w:val="center"/>
                </w:tcPr>
                <w:p w14:paraId="527F767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液化天然气（LNG）</w:t>
                  </w:r>
                </w:p>
              </w:tc>
              <w:tc>
                <w:tcPr>
                  <w:tcW w:w="1109" w:type="dxa"/>
                  <w:vAlign w:val="center"/>
                </w:tcPr>
                <w:p w14:paraId="2307573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1961.85t/a</w:t>
                  </w:r>
                </w:p>
              </w:tc>
              <w:tc>
                <w:tcPr>
                  <w:tcW w:w="1124" w:type="dxa"/>
                  <w:vAlign w:val="center"/>
                </w:tcPr>
                <w:p w14:paraId="285D7A74">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40.464t</w:t>
                  </w:r>
                </w:p>
              </w:tc>
              <w:tc>
                <w:tcPr>
                  <w:tcW w:w="972" w:type="dxa"/>
                  <w:vAlign w:val="center"/>
                </w:tcPr>
                <w:p w14:paraId="6776444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液态</w:t>
                  </w:r>
                </w:p>
              </w:tc>
              <w:tc>
                <w:tcPr>
                  <w:tcW w:w="1102" w:type="dxa"/>
                  <w:vAlign w:val="center"/>
                </w:tcPr>
                <w:p w14:paraId="0D00E7B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甲烷</w:t>
                  </w:r>
                </w:p>
              </w:tc>
              <w:tc>
                <w:tcPr>
                  <w:tcW w:w="1531" w:type="dxa"/>
                  <w:vAlign w:val="center"/>
                </w:tcPr>
                <w:p w14:paraId="02018B11">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固定罐</w:t>
                  </w:r>
                </w:p>
              </w:tc>
            </w:tr>
            <w:tr w14:paraId="5AC6A7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45" w:type="dxa"/>
                  <w:vAlign w:val="center"/>
                </w:tcPr>
                <w:p w14:paraId="4BF5784D">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2</w:t>
                  </w:r>
                </w:p>
              </w:tc>
              <w:tc>
                <w:tcPr>
                  <w:tcW w:w="808" w:type="dxa"/>
                  <w:vAlign w:val="center"/>
                </w:tcPr>
                <w:p w14:paraId="7199792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辅料</w:t>
                  </w:r>
                </w:p>
              </w:tc>
              <w:tc>
                <w:tcPr>
                  <w:tcW w:w="1991" w:type="dxa"/>
                  <w:vAlign w:val="center"/>
                </w:tcPr>
                <w:p w14:paraId="2FDBD54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四氢噻吩（</w:t>
                  </w:r>
                  <w:r>
                    <w:rPr>
                      <w:rFonts w:hint="default" w:ascii="Times New Roman" w:hAnsi="Times New Roman" w:eastAsia="宋体" w:cs="Times New Roman"/>
                      <w:i w:val="0"/>
                      <w:iCs w:val="0"/>
                      <w:caps w:val="0"/>
                      <w:color w:val="000000" w:themeColor="text1"/>
                      <w:spacing w:val="0"/>
                      <w:sz w:val="21"/>
                      <w:szCs w:val="21"/>
                      <w:shd w:val="clear" w:fill="FFFFFF"/>
                      <w14:textFill>
                        <w14:solidFill>
                          <w14:schemeClr w14:val="tx1"/>
                        </w14:solidFill>
                      </w14:textFill>
                    </w:rPr>
                    <w:t>C</w:t>
                  </w:r>
                  <w:r>
                    <w:rPr>
                      <w:rFonts w:hint="default" w:ascii="Times New Roman" w:hAnsi="Times New Roman" w:eastAsia="宋体" w:cs="Times New Roman"/>
                      <w:i w:val="0"/>
                      <w:iCs w:val="0"/>
                      <w:caps w:val="0"/>
                      <w:color w:val="000000" w:themeColor="text1"/>
                      <w:spacing w:val="0"/>
                      <w:sz w:val="21"/>
                      <w:szCs w:val="21"/>
                      <w:shd w:val="clear" w:fill="FFFFFF"/>
                      <w:vertAlign w:val="subscript"/>
                      <w14:textFill>
                        <w14:solidFill>
                          <w14:schemeClr w14:val="tx1"/>
                        </w14:solidFill>
                      </w14:textFill>
                    </w:rPr>
                    <w:t>4</w:t>
                  </w:r>
                  <w:r>
                    <w:rPr>
                      <w:rFonts w:hint="default" w:ascii="Times New Roman" w:hAnsi="Times New Roman" w:eastAsia="宋体" w:cs="Times New Roman"/>
                      <w:i w:val="0"/>
                      <w:iCs w:val="0"/>
                      <w:caps w:val="0"/>
                      <w:color w:val="000000" w:themeColor="text1"/>
                      <w:spacing w:val="0"/>
                      <w:sz w:val="21"/>
                      <w:szCs w:val="21"/>
                      <w:shd w:val="clear" w:fill="FFFFFF"/>
                      <w14:textFill>
                        <w14:solidFill>
                          <w14:schemeClr w14:val="tx1"/>
                        </w14:solidFill>
                      </w14:textFill>
                    </w:rPr>
                    <w:t>H</w:t>
                  </w:r>
                  <w:r>
                    <w:rPr>
                      <w:rFonts w:hint="default" w:ascii="Times New Roman" w:hAnsi="Times New Roman" w:eastAsia="宋体" w:cs="Times New Roman"/>
                      <w:i w:val="0"/>
                      <w:iCs w:val="0"/>
                      <w:caps w:val="0"/>
                      <w:color w:val="000000" w:themeColor="text1"/>
                      <w:spacing w:val="0"/>
                      <w:sz w:val="21"/>
                      <w:szCs w:val="21"/>
                      <w:shd w:val="clear" w:fill="FFFFFF"/>
                      <w:vertAlign w:val="subscript"/>
                      <w14:textFill>
                        <w14:solidFill>
                          <w14:schemeClr w14:val="tx1"/>
                        </w14:solidFill>
                      </w14:textFill>
                    </w:rPr>
                    <w:t>8</w:t>
                  </w:r>
                  <w:r>
                    <w:rPr>
                      <w:rFonts w:hint="default" w:ascii="Times New Roman" w:hAnsi="Times New Roman" w:eastAsia="宋体" w:cs="Times New Roman"/>
                      <w:i w:val="0"/>
                      <w:iCs w:val="0"/>
                      <w:caps w:val="0"/>
                      <w:color w:val="000000" w:themeColor="text1"/>
                      <w:spacing w:val="0"/>
                      <w:sz w:val="21"/>
                      <w:szCs w:val="21"/>
                      <w:shd w:val="clear" w:fill="FFFFFF"/>
                      <w14:textFill>
                        <w14:solidFill>
                          <w14:schemeClr w14:val="tx1"/>
                        </w14:solidFill>
                      </w14:textFill>
                    </w:rPr>
                    <w:t>S</w:t>
                  </w:r>
                  <w:r>
                    <w:rPr>
                      <w:rFonts w:hint="default" w:ascii="Times New Roman" w:hAnsi="Times New Roman" w:eastAsia="宋体" w:cs="Times New Roman"/>
                      <w:i w:val="0"/>
                      <w:iCs w:val="0"/>
                      <w:caps w:val="0"/>
                      <w:color w:val="000000" w:themeColor="text1"/>
                      <w:spacing w:val="0"/>
                      <w:sz w:val="21"/>
                      <w:szCs w:val="21"/>
                      <w:shd w:val="clear" w:fill="FFFFFF"/>
                      <w:lang w:eastAsia="zh-CN"/>
                      <w14:textFill>
                        <w14:solidFill>
                          <w14:schemeClr w14:val="tx1"/>
                        </w14:solidFill>
                      </w14:textFill>
                    </w:rPr>
                    <w:t>）</w:t>
                  </w:r>
                </w:p>
              </w:tc>
              <w:tc>
                <w:tcPr>
                  <w:tcW w:w="1109" w:type="dxa"/>
                  <w:vAlign w:val="center"/>
                </w:tcPr>
                <w:p w14:paraId="3A92284C">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0.0576t/a</w:t>
                  </w:r>
                </w:p>
              </w:tc>
              <w:tc>
                <w:tcPr>
                  <w:tcW w:w="1124" w:type="dxa"/>
                  <w:vAlign w:val="center"/>
                </w:tcPr>
                <w:p w14:paraId="0217DCDB">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0.0954t</w:t>
                  </w:r>
                </w:p>
              </w:tc>
              <w:tc>
                <w:tcPr>
                  <w:tcW w:w="972" w:type="dxa"/>
                  <w:vAlign w:val="center"/>
                </w:tcPr>
                <w:p w14:paraId="73D6451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液态</w:t>
                  </w:r>
                </w:p>
              </w:tc>
              <w:tc>
                <w:tcPr>
                  <w:tcW w:w="1102" w:type="dxa"/>
                  <w:vAlign w:val="center"/>
                </w:tcPr>
                <w:p w14:paraId="6DDF847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i w:val="0"/>
                      <w:iCs w:val="0"/>
                      <w:caps w:val="0"/>
                      <w:color w:val="000000" w:themeColor="text1"/>
                      <w:spacing w:val="0"/>
                      <w:sz w:val="21"/>
                      <w:szCs w:val="21"/>
                      <w:shd w:val="clear" w:fill="FFFFFF"/>
                      <w14:textFill>
                        <w14:solidFill>
                          <w14:schemeClr w14:val="tx1"/>
                        </w14:solidFill>
                      </w14:textFill>
                    </w:rPr>
                    <w:t>C</w:t>
                  </w:r>
                  <w:r>
                    <w:rPr>
                      <w:rFonts w:hint="default" w:ascii="Times New Roman" w:hAnsi="Times New Roman" w:eastAsia="宋体" w:cs="Times New Roman"/>
                      <w:i w:val="0"/>
                      <w:iCs w:val="0"/>
                      <w:caps w:val="0"/>
                      <w:color w:val="000000" w:themeColor="text1"/>
                      <w:spacing w:val="0"/>
                      <w:sz w:val="21"/>
                      <w:szCs w:val="21"/>
                      <w:shd w:val="clear" w:fill="FFFFFF"/>
                      <w:vertAlign w:val="baseline"/>
                      <w14:textFill>
                        <w14:solidFill>
                          <w14:schemeClr w14:val="tx1"/>
                        </w14:solidFill>
                      </w14:textFill>
                    </w:rPr>
                    <w:t>4</w:t>
                  </w:r>
                  <w:r>
                    <w:rPr>
                      <w:rFonts w:hint="default" w:ascii="Times New Roman" w:hAnsi="Times New Roman" w:eastAsia="宋体" w:cs="Times New Roman"/>
                      <w:i w:val="0"/>
                      <w:iCs w:val="0"/>
                      <w:caps w:val="0"/>
                      <w:color w:val="000000" w:themeColor="text1"/>
                      <w:spacing w:val="0"/>
                      <w:sz w:val="21"/>
                      <w:szCs w:val="21"/>
                      <w:shd w:val="clear" w:fill="FFFFFF"/>
                      <w14:textFill>
                        <w14:solidFill>
                          <w14:schemeClr w14:val="tx1"/>
                        </w14:solidFill>
                      </w14:textFill>
                    </w:rPr>
                    <w:t>H</w:t>
                  </w:r>
                  <w:r>
                    <w:rPr>
                      <w:rFonts w:hint="default" w:ascii="Times New Roman" w:hAnsi="Times New Roman" w:eastAsia="宋体" w:cs="Times New Roman"/>
                      <w:i w:val="0"/>
                      <w:iCs w:val="0"/>
                      <w:caps w:val="0"/>
                      <w:color w:val="000000" w:themeColor="text1"/>
                      <w:spacing w:val="0"/>
                      <w:sz w:val="21"/>
                      <w:szCs w:val="21"/>
                      <w:shd w:val="clear" w:fill="FFFFFF"/>
                      <w:vertAlign w:val="baseline"/>
                      <w14:textFill>
                        <w14:solidFill>
                          <w14:schemeClr w14:val="tx1"/>
                        </w14:solidFill>
                      </w14:textFill>
                    </w:rPr>
                    <w:t>8</w:t>
                  </w:r>
                  <w:r>
                    <w:rPr>
                      <w:rFonts w:hint="default" w:ascii="Times New Roman" w:hAnsi="Times New Roman" w:eastAsia="宋体" w:cs="Times New Roman"/>
                      <w:i w:val="0"/>
                      <w:iCs w:val="0"/>
                      <w:caps w:val="0"/>
                      <w:color w:val="000000" w:themeColor="text1"/>
                      <w:spacing w:val="0"/>
                      <w:sz w:val="21"/>
                      <w:szCs w:val="21"/>
                      <w:shd w:val="clear" w:fill="FFFFFF"/>
                      <w14:textFill>
                        <w14:solidFill>
                          <w14:schemeClr w14:val="tx1"/>
                        </w14:solidFill>
                      </w14:textFill>
                    </w:rPr>
                    <w:t>S</w:t>
                  </w:r>
                </w:p>
              </w:tc>
              <w:tc>
                <w:tcPr>
                  <w:tcW w:w="1531" w:type="dxa"/>
                  <w:vAlign w:val="center"/>
                </w:tcPr>
                <w:p w14:paraId="7119D0B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06Cr19Ni10不锈钢储罐</w:t>
                  </w:r>
                </w:p>
              </w:tc>
            </w:tr>
            <w:tr w14:paraId="0433A4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 w:hRule="atLeast"/>
              </w:trPr>
              <w:tc>
                <w:tcPr>
                  <w:tcW w:w="645" w:type="dxa"/>
                  <w:vAlign w:val="center"/>
                </w:tcPr>
                <w:p w14:paraId="4CD40CF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3</w:t>
                  </w:r>
                </w:p>
              </w:tc>
              <w:tc>
                <w:tcPr>
                  <w:tcW w:w="808" w:type="dxa"/>
                  <w:vAlign w:val="center"/>
                </w:tcPr>
                <w:p w14:paraId="340F506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辅料</w:t>
                  </w:r>
                </w:p>
              </w:tc>
              <w:tc>
                <w:tcPr>
                  <w:tcW w:w="1991" w:type="dxa"/>
                  <w:vAlign w:val="center"/>
                </w:tcPr>
                <w:p w14:paraId="67CEC7AB">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氮气</w:t>
                  </w:r>
                </w:p>
              </w:tc>
              <w:tc>
                <w:tcPr>
                  <w:tcW w:w="1109" w:type="dxa"/>
                  <w:vAlign w:val="center"/>
                </w:tcPr>
                <w:p w14:paraId="5FE6BE8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0.375t/a</w:t>
                  </w:r>
                </w:p>
              </w:tc>
              <w:tc>
                <w:tcPr>
                  <w:tcW w:w="1124" w:type="dxa"/>
                  <w:vAlign w:val="center"/>
                </w:tcPr>
                <w:p w14:paraId="3A5B39CD">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0.45t</w:t>
                  </w:r>
                </w:p>
              </w:tc>
              <w:tc>
                <w:tcPr>
                  <w:tcW w:w="972" w:type="dxa"/>
                  <w:vAlign w:val="center"/>
                </w:tcPr>
                <w:p w14:paraId="2094963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液态</w:t>
                  </w:r>
                </w:p>
              </w:tc>
              <w:tc>
                <w:tcPr>
                  <w:tcW w:w="1102" w:type="dxa"/>
                  <w:vAlign w:val="center"/>
                </w:tcPr>
                <w:p w14:paraId="432DA21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氮气</w:t>
                  </w:r>
                </w:p>
              </w:tc>
              <w:tc>
                <w:tcPr>
                  <w:tcW w:w="1531" w:type="dxa"/>
                  <w:vAlign w:val="center"/>
                </w:tcPr>
                <w:p w14:paraId="4F99306D">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瓶装</w:t>
                  </w:r>
                </w:p>
              </w:tc>
            </w:tr>
            <w:tr w14:paraId="0793CD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 w:hRule="atLeast"/>
              </w:trPr>
              <w:tc>
                <w:tcPr>
                  <w:tcW w:w="645" w:type="dxa"/>
                  <w:vAlign w:val="center"/>
                </w:tcPr>
                <w:p w14:paraId="0E17DA1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4</w:t>
                  </w:r>
                </w:p>
              </w:tc>
              <w:tc>
                <w:tcPr>
                  <w:tcW w:w="808" w:type="dxa"/>
                  <w:vAlign w:val="center"/>
                </w:tcPr>
                <w:p w14:paraId="1DC7958C">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辅料</w:t>
                  </w:r>
                </w:p>
              </w:tc>
              <w:tc>
                <w:tcPr>
                  <w:tcW w:w="1991" w:type="dxa"/>
                  <w:vAlign w:val="center"/>
                </w:tcPr>
                <w:p w14:paraId="4CECBA8C">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柴油</w:t>
                  </w:r>
                </w:p>
              </w:tc>
              <w:tc>
                <w:tcPr>
                  <w:tcW w:w="1109" w:type="dxa"/>
                  <w:vAlign w:val="center"/>
                </w:tcPr>
                <w:p w14:paraId="352F112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w:t>
                  </w:r>
                </w:p>
              </w:tc>
              <w:tc>
                <w:tcPr>
                  <w:tcW w:w="1124" w:type="dxa"/>
                  <w:vAlign w:val="center"/>
                </w:tcPr>
                <w:p w14:paraId="1C90202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0.87t</w:t>
                  </w:r>
                </w:p>
              </w:tc>
              <w:tc>
                <w:tcPr>
                  <w:tcW w:w="972" w:type="dxa"/>
                  <w:vAlign w:val="center"/>
                </w:tcPr>
                <w:p w14:paraId="1E75B10A">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液态</w:t>
                  </w:r>
                </w:p>
              </w:tc>
              <w:tc>
                <w:tcPr>
                  <w:tcW w:w="1102" w:type="dxa"/>
                  <w:vAlign w:val="center"/>
                </w:tcPr>
                <w:p w14:paraId="10372D4C">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石油烃</w:t>
                  </w:r>
                </w:p>
              </w:tc>
              <w:tc>
                <w:tcPr>
                  <w:tcW w:w="1531" w:type="dxa"/>
                  <w:vAlign w:val="center"/>
                </w:tcPr>
                <w:p w14:paraId="0A9FBF9D">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储油箱</w:t>
                  </w:r>
                </w:p>
              </w:tc>
            </w:tr>
            <w:tr w14:paraId="2ABF72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82" w:type="dxa"/>
                  <w:gridSpan w:val="8"/>
                  <w:vAlign w:val="center"/>
                </w:tcPr>
                <w:p w14:paraId="7F7C3D82">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备注：</w:t>
                  </w:r>
                </w:p>
                <w:p w14:paraId="3FD78B4B">
                  <w:pPr>
                    <w:pStyle w:val="15"/>
                    <w:keepNext w:val="0"/>
                    <w:keepLines w:val="0"/>
                    <w:pageBreakBefore w:val="0"/>
                    <w:kinsoku/>
                    <w:wordWrap/>
                    <w:overflowPunct/>
                    <w:topLinePunct w:val="0"/>
                    <w:autoSpaceDE/>
                    <w:autoSpaceDN/>
                    <w:bidi w:val="0"/>
                    <w:adjustRightInd/>
                    <w:snapToGrid/>
                    <w:spacing w:after="0"/>
                    <w:ind w:left="0" w:leftChars="0" w:firstLine="0" w:firstLineChars="0"/>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1.液化天然气用量：企业拟从陕西燃气集团杨凌液化厂购买LNG，LNG的气化率≥1468m</w:t>
                  </w:r>
                  <w:r>
                    <w:rPr>
                      <w:rFonts w:hint="default" w:ascii="Times New Roman" w:hAnsi="Times New Roman" w:eastAsia="宋体" w:cs="Times New Roman"/>
                      <w:b w:val="0"/>
                      <w:bCs w:val="0"/>
                      <w:color w:val="000000" w:themeColor="text1"/>
                      <w:kern w:val="0"/>
                      <w:sz w:val="21"/>
                      <w:szCs w:val="21"/>
                      <w:vertAlign w:val="superscript"/>
                      <w:lang w:val="en-US" w:eastAsia="zh-CN" w:bidi="ar"/>
                      <w14:textFill>
                        <w14:solidFill>
                          <w14:schemeClr w14:val="tx1"/>
                        </w14:solidFill>
                      </w14:textFill>
                    </w:rPr>
                    <w:t>3</w:t>
                  </w: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/t，气化站气化能力为2000m</w:t>
                  </w:r>
                  <w:r>
                    <w:rPr>
                      <w:rFonts w:hint="default" w:ascii="Times New Roman" w:hAnsi="Times New Roman" w:eastAsia="宋体" w:cs="Times New Roman"/>
                      <w:b w:val="0"/>
                      <w:bCs w:val="0"/>
                      <w:color w:val="000000" w:themeColor="text1"/>
                      <w:kern w:val="0"/>
                      <w:sz w:val="21"/>
                      <w:szCs w:val="21"/>
                      <w:vertAlign w:val="superscript"/>
                      <w:lang w:val="en-US" w:eastAsia="zh-CN" w:bidi="ar"/>
                      <w14:textFill>
                        <w14:solidFill>
                          <w14:schemeClr w14:val="tx1"/>
                        </w14:solidFill>
                      </w14:textFill>
                    </w:rPr>
                    <w:t>3</w:t>
                  </w: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/h，年运行1440h，总气化规模为288万m</w:t>
                  </w:r>
                  <w:r>
                    <w:rPr>
                      <w:rFonts w:hint="default" w:ascii="Times New Roman" w:hAnsi="Times New Roman" w:eastAsia="宋体" w:cs="Times New Roman"/>
                      <w:b w:val="0"/>
                      <w:bCs w:val="0"/>
                      <w:color w:val="000000" w:themeColor="text1"/>
                      <w:kern w:val="0"/>
                      <w:sz w:val="21"/>
                      <w:szCs w:val="21"/>
                      <w:vertAlign w:val="superscript"/>
                      <w:lang w:val="en-US" w:eastAsia="zh-CN" w:bidi="ar"/>
                      <w14:textFill>
                        <w14:solidFill>
                          <w14:schemeClr w14:val="tx1"/>
                        </w14:solidFill>
                      </w14:textFill>
                    </w:rPr>
                    <w:t>3</w:t>
                  </w: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/a，根据LNG的气化率可知，需要外购LNG的量为1961.85t/a。</w:t>
                  </w:r>
                </w:p>
                <w:p w14:paraId="4AEB5E1E">
                  <w:pPr>
                    <w:pStyle w:val="15"/>
                    <w:keepNext w:val="0"/>
                    <w:keepLines w:val="0"/>
                    <w:pageBreakBefore w:val="0"/>
                    <w:kinsoku/>
                    <w:wordWrap/>
                    <w:overflowPunct/>
                    <w:topLinePunct w:val="0"/>
                    <w:autoSpaceDE/>
                    <w:autoSpaceDN/>
                    <w:bidi w:val="0"/>
                    <w:adjustRightInd/>
                    <w:snapToGrid/>
                    <w:spacing w:after="0"/>
                    <w:ind w:left="0" w:leftChars="0" w:firstLine="0" w:firstLineChars="0"/>
                    <w:textAlignment w:val="auto"/>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2.液化天然气最大储存量：LNG储罐区设置2个50m</w:t>
                  </w:r>
                  <w:r>
                    <w:rPr>
                      <w:rFonts w:hint="default" w:ascii="Times New Roman" w:hAnsi="Times New Roman" w:eastAsia="宋体" w:cs="Times New Roman"/>
                      <w:color w:val="000000" w:themeColor="text1"/>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lang w:val="en-US" w:eastAsia="zh-CN"/>
                      <w14:textFill>
                        <w14:solidFill>
                          <w14:schemeClr w14:val="tx1"/>
                        </w14:solidFill>
                      </w14:textFill>
                    </w:rPr>
                    <w:t>储罐，充装系数为0.9，则单个储罐有效储存容积为45m</w:t>
                  </w:r>
                  <w:r>
                    <w:rPr>
                      <w:rFonts w:hint="default" w:ascii="Times New Roman" w:hAnsi="Times New Roman" w:eastAsia="宋体" w:cs="Times New Roman"/>
                      <w:color w:val="000000" w:themeColor="text1"/>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lang w:val="en-US" w:eastAsia="zh-CN"/>
                      <w14:textFill>
                        <w14:solidFill>
                          <w14:schemeClr w14:val="tx1"/>
                        </w14:solidFill>
                      </w14:textFill>
                    </w:rPr>
                    <w:t>，液化天然气密度为449.6kg/m</w:t>
                  </w:r>
                  <w:r>
                    <w:rPr>
                      <w:rFonts w:hint="default" w:ascii="Times New Roman" w:hAnsi="Times New Roman" w:eastAsia="宋体" w:cs="Times New Roman"/>
                      <w:color w:val="000000" w:themeColor="text1"/>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lang w:val="en-US" w:eastAsia="zh-CN"/>
                      <w14:textFill>
                        <w14:solidFill>
                          <w14:schemeClr w14:val="tx1"/>
                        </w14:solidFill>
                      </w14:textFill>
                    </w:rPr>
                    <w:t>，则单个储罐最大储存量为20.232t，则两个储罐的最大储存量为40.464t。</w:t>
                  </w:r>
                </w:p>
                <w:p w14:paraId="46E6CC37">
                  <w:pPr>
                    <w:pStyle w:val="15"/>
                    <w:keepNext w:val="0"/>
                    <w:keepLines w:val="0"/>
                    <w:pageBreakBefore w:val="0"/>
                    <w:kinsoku/>
                    <w:wordWrap/>
                    <w:overflowPunct/>
                    <w:topLinePunct w:val="0"/>
                    <w:autoSpaceDE/>
                    <w:autoSpaceDN/>
                    <w:bidi w:val="0"/>
                    <w:adjustRightInd/>
                    <w:snapToGrid/>
                    <w:spacing w:after="0"/>
                    <w:ind w:left="0" w:leftChars="0" w:firstLine="0" w:firstLineChars="0"/>
                    <w:textAlignment w:val="auto"/>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3.</w:t>
                  </w: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四氢噻吩用量：依据《城镇燃气加臭技术规程》（CJJ/T148-2010），采用四氢噻吩作为加臭剂时，常见无毒天然气的加臭剂管网起始端用量为20mg/m</w:t>
                  </w:r>
                  <w:r>
                    <w:rPr>
                      <w:rFonts w:hint="default" w:ascii="Times New Roman" w:hAnsi="Times New Roman" w:eastAsia="宋体" w:cs="Times New Roman"/>
                      <w:b w:val="0"/>
                      <w:bCs w:val="0"/>
                      <w:color w:val="000000" w:themeColor="text1"/>
                      <w:kern w:val="0"/>
                      <w:sz w:val="21"/>
                      <w:szCs w:val="21"/>
                      <w:vertAlign w:val="superscript"/>
                      <w:lang w:val="en-US" w:eastAsia="zh-CN" w:bidi="ar"/>
                      <w14:textFill>
                        <w14:solidFill>
                          <w14:schemeClr w14:val="tx1"/>
                        </w14:solidFill>
                      </w14:textFill>
                    </w:rPr>
                    <w:t>3</w:t>
                  </w: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，则本项目加臭剂的用量为0.0576t/a。</w:t>
                  </w:r>
                </w:p>
                <w:p w14:paraId="083BABC0">
                  <w:pPr>
                    <w:pStyle w:val="15"/>
                    <w:keepNext w:val="0"/>
                    <w:keepLines w:val="0"/>
                    <w:pageBreakBefore w:val="0"/>
                    <w:kinsoku/>
                    <w:wordWrap/>
                    <w:overflowPunct/>
                    <w:topLinePunct w:val="0"/>
                    <w:autoSpaceDE/>
                    <w:autoSpaceDN/>
                    <w:bidi w:val="0"/>
                    <w:adjustRightInd/>
                    <w:snapToGrid/>
                    <w:spacing w:after="0"/>
                    <w:ind w:left="0" w:leftChars="0" w:firstLine="0" w:firstLineChars="0"/>
                    <w:textAlignment w:val="auto"/>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4.</w:t>
                  </w: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四氢噻吩最大储存量：加臭机配套1个</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容量为100L加臭橇，充装系数为0.9，</w:t>
                  </w: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四氢噻吩的密度为1.06t/m</w:t>
                  </w:r>
                  <w:r>
                    <w:rPr>
                      <w:rFonts w:hint="default" w:ascii="Times New Roman" w:hAnsi="Times New Roman" w:eastAsia="宋体" w:cs="Times New Roman"/>
                      <w:b w:val="0"/>
                      <w:bCs w:val="0"/>
                      <w:color w:val="000000" w:themeColor="text1"/>
                      <w:kern w:val="0"/>
                      <w:sz w:val="21"/>
                      <w:szCs w:val="21"/>
                      <w:vertAlign w:val="superscript"/>
                      <w:lang w:val="en-US" w:eastAsia="zh-CN" w:bidi="ar"/>
                      <w14:textFill>
                        <w14:solidFill>
                          <w14:schemeClr w14:val="tx1"/>
                        </w14:solidFill>
                      </w14:textFill>
                    </w:rPr>
                    <w:t>3</w:t>
                  </w: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，则最大储存量为0.0954t。</w:t>
                  </w:r>
                </w:p>
              </w:tc>
            </w:tr>
          </w:tbl>
          <w:p w14:paraId="776664B3">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000000" w:themeColor="text1"/>
                <w:kern w:val="0"/>
                <w:sz w:val="24"/>
                <w:szCs w:val="24"/>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4"/>
                <w:szCs w:val="24"/>
                <w:vertAlign w:val="baseline"/>
                <w:lang w:val="en-US" w:eastAsia="zh-CN" w:bidi="ar"/>
                <w14:textFill>
                  <w14:solidFill>
                    <w14:schemeClr w14:val="tx1"/>
                  </w14:solidFill>
                </w14:textFill>
              </w:rPr>
              <w:t>①原辅料及燃料中与污染物排放有关的物质或元素分析</w:t>
            </w:r>
          </w:p>
          <w:p w14:paraId="3F85E2B8">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000000" w:themeColor="text1"/>
                <w:kern w:val="0"/>
                <w:sz w:val="24"/>
                <w:szCs w:val="24"/>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4"/>
                <w:szCs w:val="24"/>
                <w:vertAlign w:val="baseline"/>
                <w:lang w:val="en-US" w:eastAsia="zh-CN" w:bidi="ar"/>
                <w14:textFill>
                  <w14:solidFill>
                    <w14:schemeClr w14:val="tx1"/>
                  </w14:solidFill>
                </w14:textFill>
              </w:rPr>
              <w:t>液化天然气（LNG）</w:t>
            </w:r>
            <w:r>
              <w:rPr>
                <w:rFonts w:hint="default" w:ascii="Times New Roman" w:hAnsi="Times New Roman" w:eastAsia="宋体" w:cs="Times New Roman"/>
                <w:b w:val="0"/>
                <w:bCs w:val="0"/>
                <w:color w:val="000000" w:themeColor="text1"/>
                <w:kern w:val="0"/>
                <w:sz w:val="24"/>
                <w:szCs w:val="24"/>
                <w:lang w:val="en-US" w:eastAsia="zh-CN" w:bidi="ar"/>
                <w14:textFill>
                  <w14:solidFill>
                    <w14:schemeClr w14:val="tx1"/>
                  </w14:solidFill>
                </w14:textFill>
              </w:rPr>
              <w:t>：企业拟从</w:t>
            </w:r>
            <w:r>
              <w:rPr>
                <w:rFonts w:hint="default" w:ascii="Times New Roman" w:hAnsi="Times New Roman" w:eastAsia="宋体" w:cs="Times New Roman"/>
                <w:b w:val="0"/>
                <w:bCs w:val="0"/>
                <w:color w:val="000000" w:themeColor="text1"/>
                <w:kern w:val="0"/>
                <w:sz w:val="24"/>
                <w:szCs w:val="24"/>
                <w:vertAlign w:val="baseline"/>
                <w:lang w:val="en-US" w:eastAsia="zh-CN" w:bidi="ar"/>
                <w14:textFill>
                  <w14:solidFill>
                    <w14:schemeClr w14:val="tx1"/>
                  </w14:solidFill>
                </w14:textFill>
              </w:rPr>
              <w:t>陕西燃气集团杨凌液化厂购买LNG，经槽车运输至本项目气化站内卸车口。LNG是天然气经压缩、冷却至其凝点（-161.5℃）温度后变成液体，</w:t>
            </w:r>
            <w:r>
              <w:rPr>
                <w:rFonts w:hint="default" w:ascii="Times New Roman" w:hAnsi="Times New Roman" w:eastAsia="宋体" w:cs="Times New Roman"/>
                <w:i w:val="0"/>
                <w:iCs w:val="0"/>
                <w:caps w:val="0"/>
                <w:color w:val="000000" w:themeColor="text1"/>
                <w:spacing w:val="0"/>
                <w:sz w:val="24"/>
                <w:szCs w:val="24"/>
                <w:shd w:val="clear" w:fill="FFFFFF"/>
                <w14:textFill>
                  <w14:solidFill>
                    <w14:schemeClr w14:val="tx1"/>
                  </w14:solidFill>
                </w14:textFill>
              </w:rPr>
              <w:t>主要成分</w:t>
            </w:r>
            <w:r>
              <w:rPr>
                <w:rFonts w:hint="default" w:ascii="Times New Roman" w:hAnsi="Times New Roman" w:eastAsia="宋体" w:cs="Times New Roman"/>
                <w:i w:val="0"/>
                <w:iCs w:val="0"/>
                <w:caps w:val="0"/>
                <w:color w:val="000000" w:themeColor="text1"/>
                <w:spacing w:val="0"/>
                <w:sz w:val="24"/>
                <w:szCs w:val="24"/>
                <w:shd w:val="clear" w:fill="FFFFFF"/>
                <w:lang w:val="en-US" w:eastAsia="zh-CN"/>
                <w14:textFill>
                  <w14:solidFill>
                    <w14:schemeClr w14:val="tx1"/>
                  </w14:solidFill>
                </w14:textFill>
              </w:rPr>
              <w:t>为</w:t>
            </w:r>
            <w:r>
              <w:rPr>
                <w:rFonts w:hint="default" w:ascii="Times New Roman" w:hAnsi="Times New Roman" w:eastAsia="宋体" w:cs="Times New Roman"/>
                <w:i w:val="0"/>
                <w:iCs w:val="0"/>
                <w:caps w:val="0"/>
                <w:color w:val="000000" w:themeColor="text1"/>
                <w:spacing w:val="0"/>
                <w:sz w:val="24"/>
                <w:szCs w:val="24"/>
                <w:u w:val="none"/>
                <w:shd w:val="clear" w:fill="FFFFFF"/>
                <w14:textFill>
                  <w14:solidFill>
                    <w14:schemeClr w14:val="tx1"/>
                  </w14:solidFill>
                </w14:textFill>
              </w:rPr>
              <w:fldChar w:fldCharType="begin"/>
            </w:r>
            <w:r>
              <w:rPr>
                <w:rFonts w:hint="default" w:ascii="Times New Roman" w:hAnsi="Times New Roman" w:eastAsia="宋体" w:cs="Times New Roman"/>
                <w:i w:val="0"/>
                <w:iCs w:val="0"/>
                <w:caps w:val="0"/>
                <w:color w:val="000000" w:themeColor="text1"/>
                <w:spacing w:val="0"/>
                <w:sz w:val="24"/>
                <w:szCs w:val="24"/>
                <w:u w:val="none"/>
                <w:shd w:val="clear" w:fill="FFFFFF"/>
                <w14:textFill>
                  <w14:solidFill>
                    <w14:schemeClr w14:val="tx1"/>
                  </w14:solidFill>
                </w14:textFill>
              </w:rPr>
              <w:instrText xml:space="preserve"> HYPERLINK "https://baike.baidu.com/item/%E7%94%B2%E7%83%B7/634659?fromModule=lemma_inlink" \t "https://baike.baidu.com/item/%E6%B6%B2%E5%8C%96%E5%A4%A9%E7%84%B6%E6%B0%94/_blank" </w:instrText>
            </w:r>
            <w:r>
              <w:rPr>
                <w:rFonts w:hint="default" w:ascii="Times New Roman" w:hAnsi="Times New Roman" w:eastAsia="宋体" w:cs="Times New Roman"/>
                <w:i w:val="0"/>
                <w:iCs w:val="0"/>
                <w:caps w:val="0"/>
                <w:color w:val="000000" w:themeColor="text1"/>
                <w:spacing w:val="0"/>
                <w:sz w:val="24"/>
                <w:szCs w:val="24"/>
                <w:u w:val="none"/>
                <w:shd w:val="clear" w:fill="FFFFFF"/>
                <w14:textFill>
                  <w14:solidFill>
                    <w14:schemeClr w14:val="tx1"/>
                  </w14:solidFill>
                </w14:textFill>
              </w:rPr>
              <w:fldChar w:fldCharType="separate"/>
            </w:r>
            <w:r>
              <w:rPr>
                <w:rStyle w:val="21"/>
                <w:rFonts w:hint="default" w:ascii="Times New Roman" w:hAnsi="Times New Roman" w:eastAsia="宋体" w:cs="Times New Roman"/>
                <w:i w:val="0"/>
                <w:iCs w:val="0"/>
                <w:caps w:val="0"/>
                <w:color w:val="000000" w:themeColor="text1"/>
                <w:spacing w:val="0"/>
                <w:sz w:val="24"/>
                <w:szCs w:val="24"/>
                <w:u w:val="none"/>
                <w:shd w:val="clear" w:fill="FFFFFF"/>
                <w14:textFill>
                  <w14:solidFill>
                    <w14:schemeClr w14:val="tx1"/>
                  </w14:solidFill>
                </w14:textFill>
              </w:rPr>
              <w:t>甲烷</w:t>
            </w:r>
            <w:r>
              <w:rPr>
                <w:rFonts w:hint="default" w:ascii="Times New Roman" w:hAnsi="Times New Roman" w:eastAsia="宋体" w:cs="Times New Roman"/>
                <w:i w:val="0"/>
                <w:iCs w:val="0"/>
                <w:caps w:val="0"/>
                <w:color w:val="000000" w:themeColor="text1"/>
                <w:spacing w:val="0"/>
                <w:sz w:val="24"/>
                <w:szCs w:val="24"/>
                <w:u w:val="none"/>
                <w:shd w:val="clear" w:fill="FFFFFF"/>
                <w14:textFill>
                  <w14:solidFill>
                    <w14:schemeClr w14:val="tx1"/>
                  </w14:solidFill>
                </w14:textFill>
              </w:rPr>
              <w:fldChar w:fldCharType="end"/>
            </w:r>
            <w:r>
              <w:rPr>
                <w:rFonts w:hint="default" w:ascii="Times New Roman" w:hAnsi="Times New Roman" w:eastAsia="宋体" w:cs="Times New Roman"/>
                <w:i w:val="0"/>
                <w:iCs w:val="0"/>
                <w:caps w:val="0"/>
                <w:color w:val="000000" w:themeColor="text1"/>
                <w:spacing w:val="0"/>
                <w:sz w:val="24"/>
                <w:szCs w:val="24"/>
                <w:u w:val="none"/>
                <w:shd w:val="clear" w:fill="FFFFFF"/>
                <w:lang w:eastAsia="zh-CN"/>
                <w14:textFill>
                  <w14:solidFill>
                    <w14:schemeClr w14:val="tx1"/>
                  </w14:solidFill>
                </w14:textFill>
              </w:rPr>
              <w:t>，</w:t>
            </w:r>
            <w:r>
              <w:rPr>
                <w:rFonts w:hint="default" w:ascii="Times New Roman" w:hAnsi="Times New Roman" w:eastAsia="宋体" w:cs="Times New Roman"/>
                <w:i w:val="0"/>
                <w:iCs w:val="0"/>
                <w:caps w:val="0"/>
                <w:color w:val="000000" w:themeColor="text1"/>
                <w:spacing w:val="0"/>
                <w:sz w:val="24"/>
                <w:szCs w:val="24"/>
                <w:shd w:val="clear" w:fill="FFFFFF"/>
                <w14:textFill>
                  <w14:solidFill>
                    <w14:schemeClr w14:val="tx1"/>
                  </w14:solidFill>
                </w14:textFill>
              </w:rPr>
              <w:t>无色、无味、无毒且无腐蚀性</w:t>
            </w:r>
            <w:r>
              <w:rPr>
                <w:rFonts w:hint="default" w:ascii="Times New Roman" w:hAnsi="Times New Roman" w:eastAsia="宋体" w:cs="Times New Roman"/>
                <w:i w:val="0"/>
                <w:iCs w:val="0"/>
                <w:caps w:val="0"/>
                <w:color w:val="000000" w:themeColor="text1"/>
                <w:spacing w:val="0"/>
                <w:sz w:val="24"/>
                <w:szCs w:val="24"/>
                <w:shd w:val="clear" w:fill="FFFFFF"/>
                <w:lang w:eastAsia="zh-CN"/>
                <w14:textFill>
                  <w14:solidFill>
                    <w14:schemeClr w14:val="tx1"/>
                  </w14:solidFill>
                </w14:textFill>
              </w:rPr>
              <w:t>，</w:t>
            </w:r>
            <w:r>
              <w:rPr>
                <w:rFonts w:hint="default" w:ascii="Times New Roman" w:hAnsi="Times New Roman" w:eastAsia="宋体" w:cs="Times New Roman"/>
                <w:i w:val="0"/>
                <w:iCs w:val="0"/>
                <w:caps w:val="0"/>
                <w:color w:val="000000" w:themeColor="text1"/>
                <w:spacing w:val="0"/>
                <w:sz w:val="24"/>
                <w:szCs w:val="24"/>
                <w:shd w:val="clear" w:fill="FFFFFF"/>
                <w:lang w:val="en-US" w:eastAsia="zh-CN"/>
                <w14:textFill>
                  <w14:solidFill>
                    <w14:schemeClr w14:val="tx1"/>
                  </w14:solidFill>
                </w14:textFill>
              </w:rPr>
              <w:t>LNG在</w:t>
            </w:r>
            <w:r>
              <w:rPr>
                <w:rFonts w:hint="default" w:ascii="Times New Roman" w:hAnsi="Times New Roman" w:eastAsia="宋体" w:cs="Times New Roman"/>
                <w:b w:val="0"/>
                <w:bCs w:val="0"/>
                <w:color w:val="000000" w:themeColor="text1"/>
                <w:kern w:val="0"/>
                <w:sz w:val="24"/>
                <w:szCs w:val="24"/>
                <w:vertAlign w:val="baseline"/>
                <w:lang w:val="en-US" w:eastAsia="zh-CN" w:bidi="ar"/>
                <w14:textFill>
                  <w14:solidFill>
                    <w14:schemeClr w14:val="tx1"/>
                  </w14:solidFill>
                </w14:textFill>
              </w:rPr>
              <w:t>-161.5℃储存温度下，饱和蒸汽压力为95kPa</w:t>
            </w:r>
            <w:r>
              <w:rPr>
                <w:rFonts w:hint="default" w:ascii="Times New Roman" w:hAnsi="Times New Roman" w:eastAsia="宋体" w:cs="Times New Roman"/>
                <w:i w:val="0"/>
                <w:iCs w:val="0"/>
                <w:caps w:val="0"/>
                <w:color w:val="000000" w:themeColor="text1"/>
                <w:spacing w:val="0"/>
                <w:sz w:val="24"/>
                <w:szCs w:val="24"/>
                <w:shd w:val="clear" w:fill="FFFFFF"/>
                <w:lang w:eastAsia="zh-CN"/>
                <w14:textFill>
                  <w14:solidFill>
                    <w14:schemeClr w14:val="tx1"/>
                  </w14:solidFill>
                </w14:textFill>
              </w:rPr>
              <w:t>。</w:t>
            </w:r>
            <w:r>
              <w:rPr>
                <w:rFonts w:hint="default" w:ascii="Times New Roman" w:hAnsi="Times New Roman" w:eastAsia="宋体" w:cs="Times New Roman"/>
                <w:i w:val="0"/>
                <w:iCs w:val="0"/>
                <w:caps w:val="0"/>
                <w:color w:val="000000" w:themeColor="text1"/>
                <w:spacing w:val="0"/>
                <w:sz w:val="24"/>
                <w:szCs w:val="24"/>
                <w:shd w:val="clear" w:fill="FFFFFF"/>
                <w:lang w:val="en-US" w:eastAsia="zh-CN"/>
                <w14:textFill>
                  <w14:solidFill>
                    <w14:schemeClr w14:val="tx1"/>
                  </w14:solidFill>
                </w14:textFill>
              </w:rPr>
              <w:t>外购</w:t>
            </w:r>
            <w:r>
              <w:rPr>
                <w:rFonts w:hint="default" w:ascii="Times New Roman" w:hAnsi="Times New Roman" w:eastAsia="宋体" w:cs="Times New Roman"/>
                <w:b w:val="0"/>
                <w:bCs w:val="0"/>
                <w:color w:val="000000" w:themeColor="text1"/>
                <w:kern w:val="0"/>
                <w:sz w:val="24"/>
                <w:szCs w:val="24"/>
                <w:vertAlign w:val="baseline"/>
                <w:lang w:val="en-US" w:eastAsia="zh-CN" w:bidi="ar"/>
                <w14:textFill>
                  <w14:solidFill>
                    <w14:schemeClr w14:val="tx1"/>
                  </w14:solidFill>
                </w14:textFill>
              </w:rPr>
              <w:t>液化天然气（LNG）组分及特性见表2-5。</w:t>
            </w:r>
          </w:p>
          <w:p w14:paraId="4475CBC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bCs/>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b/>
                <w:bCs/>
                <w:color w:val="000000" w:themeColor="text1"/>
                <w:kern w:val="0"/>
                <w:sz w:val="21"/>
                <w:szCs w:val="21"/>
                <w:lang w:val="en-US" w:eastAsia="zh-CN" w:bidi="ar"/>
                <w14:textFill>
                  <w14:solidFill>
                    <w14:schemeClr w14:val="tx1"/>
                  </w14:solidFill>
                </w14:textFill>
              </w:rPr>
              <w:t>表2-5   外购液化天然气（LNG）组分及特性表</w:t>
            </w:r>
          </w:p>
          <w:tbl>
            <w:tblPr>
              <w:tblStyle w:val="1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04"/>
              <w:gridCol w:w="2294"/>
              <w:gridCol w:w="2304"/>
              <w:gridCol w:w="2294"/>
            </w:tblGrid>
            <w:tr w14:paraId="67C82C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9" w:hRule="atLeast"/>
              </w:trPr>
              <w:tc>
                <w:tcPr>
                  <w:tcW w:w="2304" w:type="dxa"/>
                  <w:vAlign w:val="center"/>
                </w:tcPr>
                <w:p w14:paraId="2A99D8EB">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分析项目</w:t>
                  </w:r>
                </w:p>
              </w:tc>
              <w:tc>
                <w:tcPr>
                  <w:tcW w:w="2294" w:type="dxa"/>
                  <w:vAlign w:val="center"/>
                </w:tcPr>
                <w:p w14:paraId="3708581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烃类（%）</w:t>
                  </w:r>
                </w:p>
              </w:tc>
              <w:tc>
                <w:tcPr>
                  <w:tcW w:w="2304" w:type="dxa"/>
                  <w:vAlign w:val="center"/>
                </w:tcPr>
                <w:p w14:paraId="7F65156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分析项目</w:t>
                  </w:r>
                </w:p>
              </w:tc>
              <w:tc>
                <w:tcPr>
                  <w:tcW w:w="2294" w:type="dxa"/>
                  <w:vAlign w:val="center"/>
                </w:tcPr>
                <w:p w14:paraId="1301210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非烃类（%）</w:t>
                  </w:r>
                </w:p>
              </w:tc>
            </w:tr>
            <w:tr w14:paraId="7C0123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9" w:hRule="atLeast"/>
              </w:trPr>
              <w:tc>
                <w:tcPr>
                  <w:tcW w:w="9196" w:type="dxa"/>
                  <w:gridSpan w:val="4"/>
                  <w:vAlign w:val="center"/>
                </w:tcPr>
                <w:p w14:paraId="0CA138DC">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组分含量</w:t>
                  </w:r>
                </w:p>
              </w:tc>
            </w:tr>
            <w:tr w14:paraId="5071EC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04" w:type="dxa"/>
                  <w:vAlign w:val="center"/>
                </w:tcPr>
                <w:p w14:paraId="11064701">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甲烷</w:t>
                  </w:r>
                </w:p>
              </w:tc>
              <w:tc>
                <w:tcPr>
                  <w:tcW w:w="2294" w:type="dxa"/>
                  <w:vAlign w:val="center"/>
                </w:tcPr>
                <w:p w14:paraId="6F2B759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98.13070</w:t>
                  </w:r>
                </w:p>
              </w:tc>
              <w:tc>
                <w:tcPr>
                  <w:tcW w:w="2304" w:type="dxa"/>
                  <w:vAlign w:val="center"/>
                </w:tcPr>
                <w:p w14:paraId="769AF1BC">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二氧化碳</w:t>
                  </w:r>
                </w:p>
              </w:tc>
              <w:tc>
                <w:tcPr>
                  <w:tcW w:w="2294" w:type="dxa"/>
                  <w:vAlign w:val="center"/>
                </w:tcPr>
                <w:p w14:paraId="6769F35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＜0.1ppm</w:t>
                  </w:r>
                </w:p>
              </w:tc>
            </w:tr>
            <w:tr w14:paraId="08BEC6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04" w:type="dxa"/>
                  <w:shd w:val="clear" w:color="auto" w:fill="auto"/>
                  <w:vAlign w:val="center"/>
                </w:tcPr>
                <w:p w14:paraId="74B116A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乙烷</w:t>
                  </w:r>
                </w:p>
              </w:tc>
              <w:tc>
                <w:tcPr>
                  <w:tcW w:w="2294" w:type="dxa"/>
                  <w:shd w:val="clear" w:color="auto" w:fill="auto"/>
                  <w:vAlign w:val="center"/>
                </w:tcPr>
                <w:p w14:paraId="27DDC80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1.40237</w:t>
                  </w:r>
                </w:p>
              </w:tc>
              <w:tc>
                <w:tcPr>
                  <w:tcW w:w="2304" w:type="dxa"/>
                  <w:vAlign w:val="center"/>
                </w:tcPr>
                <w:p w14:paraId="7ACDAACB">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氮气</w:t>
                  </w:r>
                </w:p>
              </w:tc>
              <w:tc>
                <w:tcPr>
                  <w:tcW w:w="2294" w:type="dxa"/>
                  <w:vAlign w:val="center"/>
                </w:tcPr>
                <w:p w14:paraId="152F3C9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0.26800</w:t>
                  </w:r>
                </w:p>
              </w:tc>
            </w:tr>
            <w:tr w14:paraId="059B91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04" w:type="dxa"/>
                  <w:shd w:val="clear" w:color="auto" w:fill="auto"/>
                  <w:vAlign w:val="center"/>
                </w:tcPr>
                <w:p w14:paraId="4AE5930A">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丙烷</w:t>
                  </w:r>
                </w:p>
              </w:tc>
              <w:tc>
                <w:tcPr>
                  <w:tcW w:w="2294" w:type="dxa"/>
                  <w:shd w:val="clear" w:color="auto" w:fill="auto"/>
                  <w:vAlign w:val="center"/>
                </w:tcPr>
                <w:p w14:paraId="7FB38F2D">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0.04048</w:t>
                  </w:r>
                </w:p>
              </w:tc>
              <w:tc>
                <w:tcPr>
                  <w:tcW w:w="2304" w:type="dxa"/>
                  <w:vAlign w:val="center"/>
                </w:tcPr>
                <w:p w14:paraId="285E824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汞</w:t>
                  </w:r>
                </w:p>
              </w:tc>
              <w:tc>
                <w:tcPr>
                  <w:tcW w:w="2294" w:type="dxa"/>
                  <w:vAlign w:val="center"/>
                </w:tcPr>
                <w:p w14:paraId="4B18F29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0.0008ppb</w:t>
                  </w:r>
                </w:p>
              </w:tc>
            </w:tr>
            <w:tr w14:paraId="37CB61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04" w:type="dxa"/>
                  <w:shd w:val="clear" w:color="auto" w:fill="auto"/>
                  <w:vAlign w:val="center"/>
                </w:tcPr>
                <w:p w14:paraId="33B3CCB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异丁烷</w:t>
                  </w:r>
                </w:p>
              </w:tc>
              <w:tc>
                <w:tcPr>
                  <w:tcW w:w="2294" w:type="dxa"/>
                  <w:shd w:val="clear" w:color="auto" w:fill="auto"/>
                  <w:vAlign w:val="center"/>
                </w:tcPr>
                <w:p w14:paraId="1DC0613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0.06483</w:t>
                  </w:r>
                </w:p>
              </w:tc>
              <w:tc>
                <w:tcPr>
                  <w:tcW w:w="2304" w:type="dxa"/>
                  <w:shd w:val="clear" w:color="auto" w:fill="auto"/>
                  <w:vAlign w:val="center"/>
                </w:tcPr>
                <w:p w14:paraId="5C29AA5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总硫</w:t>
                  </w:r>
                </w:p>
              </w:tc>
              <w:tc>
                <w:tcPr>
                  <w:tcW w:w="2294" w:type="dxa"/>
                  <w:shd w:val="clear" w:color="auto" w:fill="auto"/>
                  <w:vAlign w:val="center"/>
                </w:tcPr>
                <w:p w14:paraId="4FB71C94">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＜0.5</w:t>
                  </w:r>
                </w:p>
              </w:tc>
            </w:tr>
            <w:tr w14:paraId="7F2C72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04" w:type="dxa"/>
                  <w:shd w:val="clear" w:color="auto" w:fill="auto"/>
                  <w:vAlign w:val="center"/>
                </w:tcPr>
                <w:p w14:paraId="61E226F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正丁烷</w:t>
                  </w:r>
                </w:p>
              </w:tc>
              <w:tc>
                <w:tcPr>
                  <w:tcW w:w="2294" w:type="dxa"/>
                  <w:shd w:val="clear" w:color="auto" w:fill="auto"/>
                  <w:vAlign w:val="center"/>
                </w:tcPr>
                <w:p w14:paraId="287F2F8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0.07144</w:t>
                  </w:r>
                </w:p>
              </w:tc>
              <w:tc>
                <w:tcPr>
                  <w:tcW w:w="2304" w:type="dxa"/>
                  <w:shd w:val="clear" w:color="auto" w:fill="auto"/>
                  <w:vAlign w:val="center"/>
                </w:tcPr>
                <w:p w14:paraId="321011E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w:t>
                  </w:r>
                </w:p>
              </w:tc>
              <w:tc>
                <w:tcPr>
                  <w:tcW w:w="2294" w:type="dxa"/>
                  <w:shd w:val="clear" w:color="auto" w:fill="auto"/>
                  <w:vAlign w:val="center"/>
                </w:tcPr>
                <w:p w14:paraId="4608FED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w:t>
                  </w:r>
                </w:p>
              </w:tc>
            </w:tr>
            <w:tr w14:paraId="765E3A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9" w:hRule="atLeast"/>
              </w:trPr>
              <w:tc>
                <w:tcPr>
                  <w:tcW w:w="2304" w:type="dxa"/>
                  <w:shd w:val="clear" w:color="auto" w:fill="auto"/>
                  <w:vAlign w:val="center"/>
                </w:tcPr>
                <w:p w14:paraId="475CDEA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异戊烷</w:t>
                  </w:r>
                </w:p>
              </w:tc>
              <w:tc>
                <w:tcPr>
                  <w:tcW w:w="2294" w:type="dxa"/>
                  <w:shd w:val="clear" w:color="auto" w:fill="auto"/>
                  <w:vAlign w:val="center"/>
                </w:tcPr>
                <w:p w14:paraId="0DD6CBD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0.01303</w:t>
                  </w:r>
                </w:p>
              </w:tc>
              <w:tc>
                <w:tcPr>
                  <w:tcW w:w="2304" w:type="dxa"/>
                  <w:shd w:val="clear" w:color="auto" w:fill="auto"/>
                  <w:vAlign w:val="center"/>
                </w:tcPr>
                <w:p w14:paraId="4E2E42F4">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w:t>
                  </w:r>
                </w:p>
              </w:tc>
              <w:tc>
                <w:tcPr>
                  <w:tcW w:w="2294" w:type="dxa"/>
                  <w:shd w:val="clear" w:color="auto" w:fill="auto"/>
                  <w:vAlign w:val="center"/>
                </w:tcPr>
                <w:p w14:paraId="2707F994">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w:t>
                  </w:r>
                </w:p>
              </w:tc>
            </w:tr>
            <w:tr w14:paraId="018B75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9" w:hRule="atLeast"/>
              </w:trPr>
              <w:tc>
                <w:tcPr>
                  <w:tcW w:w="2304" w:type="dxa"/>
                  <w:shd w:val="clear" w:color="auto" w:fill="auto"/>
                  <w:vAlign w:val="center"/>
                </w:tcPr>
                <w:p w14:paraId="66E2D361">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正戊烷</w:t>
                  </w:r>
                </w:p>
              </w:tc>
              <w:tc>
                <w:tcPr>
                  <w:tcW w:w="2294" w:type="dxa"/>
                  <w:shd w:val="clear" w:color="auto" w:fill="auto"/>
                  <w:vAlign w:val="center"/>
                </w:tcPr>
                <w:p w14:paraId="1C5234D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0.00779</w:t>
                  </w:r>
                </w:p>
              </w:tc>
              <w:tc>
                <w:tcPr>
                  <w:tcW w:w="2304" w:type="dxa"/>
                  <w:shd w:val="clear" w:color="auto" w:fill="auto"/>
                  <w:vAlign w:val="center"/>
                </w:tcPr>
                <w:p w14:paraId="18F4C24D">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w:t>
                  </w:r>
                </w:p>
              </w:tc>
              <w:tc>
                <w:tcPr>
                  <w:tcW w:w="2294" w:type="dxa"/>
                  <w:shd w:val="clear" w:color="auto" w:fill="auto"/>
                  <w:vAlign w:val="center"/>
                </w:tcPr>
                <w:p w14:paraId="44C892A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w:t>
                  </w:r>
                </w:p>
              </w:tc>
            </w:tr>
            <w:tr w14:paraId="27721B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04" w:type="dxa"/>
                  <w:shd w:val="clear" w:color="auto" w:fill="auto"/>
                  <w:vAlign w:val="center"/>
                </w:tcPr>
                <w:p w14:paraId="1A30F7B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C6以上组分</w:t>
                  </w:r>
                </w:p>
              </w:tc>
              <w:tc>
                <w:tcPr>
                  <w:tcW w:w="2294" w:type="dxa"/>
                  <w:shd w:val="clear" w:color="auto" w:fill="auto"/>
                  <w:vAlign w:val="center"/>
                </w:tcPr>
                <w:p w14:paraId="52574F6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0.00136</w:t>
                  </w:r>
                </w:p>
              </w:tc>
              <w:tc>
                <w:tcPr>
                  <w:tcW w:w="2304" w:type="dxa"/>
                  <w:vAlign w:val="center"/>
                </w:tcPr>
                <w:p w14:paraId="3C28BF44">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w:t>
                  </w:r>
                </w:p>
              </w:tc>
              <w:tc>
                <w:tcPr>
                  <w:tcW w:w="2294" w:type="dxa"/>
                  <w:vAlign w:val="center"/>
                </w:tcPr>
                <w:p w14:paraId="19B52CB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w:t>
                  </w:r>
                </w:p>
              </w:tc>
            </w:tr>
            <w:tr w14:paraId="0E2F02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96" w:type="dxa"/>
                  <w:gridSpan w:val="4"/>
                  <w:vAlign w:val="center"/>
                </w:tcPr>
                <w:p w14:paraId="7FDF032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计算结果</w:t>
                  </w:r>
                </w:p>
              </w:tc>
            </w:tr>
            <w:tr w14:paraId="29BC3D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04" w:type="dxa"/>
                  <w:vAlign w:val="center"/>
                </w:tcPr>
                <w:p w14:paraId="0A54F4F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气体密度（20℃，101.325KPa）</w:t>
                  </w:r>
                </w:p>
              </w:tc>
              <w:tc>
                <w:tcPr>
                  <w:tcW w:w="2294" w:type="dxa"/>
                  <w:vAlign w:val="center"/>
                </w:tcPr>
                <w:p w14:paraId="55FF3CA4">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0.6867kg/m</w:t>
                  </w:r>
                  <w:r>
                    <w:rPr>
                      <w:rFonts w:hint="default" w:ascii="Times New Roman" w:hAnsi="Times New Roman" w:eastAsia="宋体" w:cs="Times New Roman"/>
                      <w:b w:val="0"/>
                      <w:bCs w:val="0"/>
                      <w:color w:val="000000" w:themeColor="text1"/>
                      <w:kern w:val="0"/>
                      <w:sz w:val="21"/>
                      <w:szCs w:val="21"/>
                      <w:vertAlign w:val="superscript"/>
                      <w:lang w:val="en-US" w:eastAsia="zh-CN" w:bidi="ar"/>
                      <w14:textFill>
                        <w14:solidFill>
                          <w14:schemeClr w14:val="tx1"/>
                        </w14:solidFill>
                      </w14:textFill>
                    </w:rPr>
                    <w:t>3</w:t>
                  </w:r>
                </w:p>
              </w:tc>
              <w:tc>
                <w:tcPr>
                  <w:tcW w:w="2304" w:type="dxa"/>
                  <w:vAlign w:val="center"/>
                </w:tcPr>
                <w:p w14:paraId="2FED5FE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LNG密度（0℃，101.325KPa）</w:t>
                  </w:r>
                </w:p>
              </w:tc>
              <w:tc>
                <w:tcPr>
                  <w:tcW w:w="2294" w:type="dxa"/>
                  <w:vAlign w:val="center"/>
                </w:tcPr>
                <w:p w14:paraId="15BB1C9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449.6kg/m</w:t>
                  </w:r>
                  <w:r>
                    <w:rPr>
                      <w:rFonts w:hint="default" w:ascii="Times New Roman" w:hAnsi="Times New Roman" w:eastAsia="宋体" w:cs="Times New Roman"/>
                      <w:b w:val="0"/>
                      <w:bCs w:val="0"/>
                      <w:color w:val="000000" w:themeColor="text1"/>
                      <w:kern w:val="0"/>
                      <w:sz w:val="21"/>
                      <w:szCs w:val="21"/>
                      <w:vertAlign w:val="superscript"/>
                      <w:lang w:val="en-US" w:eastAsia="zh-CN" w:bidi="ar"/>
                      <w14:textFill>
                        <w14:solidFill>
                          <w14:schemeClr w14:val="tx1"/>
                        </w14:solidFill>
                      </w14:textFill>
                    </w:rPr>
                    <w:t>3</w:t>
                  </w:r>
                </w:p>
              </w:tc>
            </w:tr>
            <w:tr w14:paraId="094E63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04" w:type="dxa"/>
                  <w:vAlign w:val="center"/>
                </w:tcPr>
                <w:p w14:paraId="14F1A16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LNG气化率（20℃，101.325KPa）</w:t>
                  </w:r>
                </w:p>
              </w:tc>
              <w:tc>
                <w:tcPr>
                  <w:tcW w:w="2294" w:type="dxa"/>
                  <w:vAlign w:val="center"/>
                </w:tcPr>
                <w:p w14:paraId="6FDA86C4">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≥1468m</w:t>
                  </w:r>
                  <w:r>
                    <w:rPr>
                      <w:rFonts w:hint="default" w:ascii="Times New Roman" w:hAnsi="Times New Roman" w:eastAsia="宋体" w:cs="Times New Roman"/>
                      <w:b w:val="0"/>
                      <w:bCs w:val="0"/>
                      <w:color w:val="000000" w:themeColor="text1"/>
                      <w:kern w:val="0"/>
                      <w:sz w:val="21"/>
                      <w:szCs w:val="21"/>
                      <w:vertAlign w:val="superscript"/>
                      <w:lang w:val="en-US" w:eastAsia="zh-CN" w:bidi="ar"/>
                      <w14:textFill>
                        <w14:solidFill>
                          <w14:schemeClr w14:val="tx1"/>
                        </w14:solidFill>
                      </w14:textFill>
                    </w:rPr>
                    <w:t>3</w:t>
                  </w: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/t</w:t>
                  </w:r>
                </w:p>
              </w:tc>
              <w:tc>
                <w:tcPr>
                  <w:tcW w:w="2304" w:type="dxa"/>
                  <w:shd w:val="clear" w:color="auto" w:fill="auto"/>
                  <w:vAlign w:val="center"/>
                </w:tcPr>
                <w:p w14:paraId="13E9FD7D">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w:t>
                  </w:r>
                </w:p>
              </w:tc>
              <w:tc>
                <w:tcPr>
                  <w:tcW w:w="2294" w:type="dxa"/>
                  <w:shd w:val="clear" w:color="auto" w:fill="auto"/>
                  <w:vAlign w:val="center"/>
                </w:tcPr>
                <w:p w14:paraId="12432D5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w:t>
                  </w:r>
                </w:p>
              </w:tc>
            </w:tr>
            <w:tr w14:paraId="70138E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98" w:type="dxa"/>
                  <w:gridSpan w:val="2"/>
                  <w:vAlign w:val="center"/>
                </w:tcPr>
                <w:p w14:paraId="15ED38BC">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高位体积热量（MJ/kg）（15℃，101.325KPa）</w:t>
                  </w:r>
                </w:p>
              </w:tc>
              <w:tc>
                <w:tcPr>
                  <w:tcW w:w="4598" w:type="dxa"/>
                  <w:gridSpan w:val="2"/>
                  <w:vAlign w:val="center"/>
                </w:tcPr>
                <w:p w14:paraId="6E5F155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≥55.18</w:t>
                  </w:r>
                </w:p>
              </w:tc>
            </w:tr>
            <w:tr w14:paraId="017BB1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98" w:type="dxa"/>
                  <w:gridSpan w:val="2"/>
                  <w:vAlign w:val="center"/>
                </w:tcPr>
                <w:p w14:paraId="044E6FC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低位体积热量（MJ/kg）（15℃，101.325KPa）</w:t>
                  </w:r>
                </w:p>
              </w:tc>
              <w:tc>
                <w:tcPr>
                  <w:tcW w:w="4598" w:type="dxa"/>
                  <w:gridSpan w:val="2"/>
                  <w:vAlign w:val="center"/>
                </w:tcPr>
                <w:p w14:paraId="7170EBE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≥49.71</w:t>
                  </w:r>
                </w:p>
              </w:tc>
            </w:tr>
          </w:tbl>
          <w:p w14:paraId="7C3952EB">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bCs/>
                <w:color w:val="000000" w:themeColor="text1"/>
                <w:kern w:val="0"/>
                <w:sz w:val="24"/>
                <w:szCs w:val="24"/>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4"/>
                <w:szCs w:val="24"/>
                <w:vertAlign w:val="baseline"/>
                <w:lang w:val="en-US" w:eastAsia="zh-CN" w:bidi="ar"/>
                <w14:textFill>
                  <w14:solidFill>
                    <w14:schemeClr w14:val="tx1"/>
                  </w14:solidFill>
                </w14:textFill>
              </w:rPr>
              <w:t>四氢噻吩</w:t>
            </w:r>
            <w:r>
              <w:rPr>
                <w:rFonts w:hint="default" w:ascii="Times New Roman" w:hAnsi="Times New Roman" w:eastAsia="宋体" w:cs="Times New Roman"/>
                <w:i w:val="0"/>
                <w:iCs w:val="0"/>
                <w:caps w:val="0"/>
                <w:color w:val="000000" w:themeColor="text1"/>
                <w:spacing w:val="0"/>
                <w:sz w:val="24"/>
                <w:szCs w:val="24"/>
                <w:shd w:val="clear" w:fill="FFFFFF"/>
                <w:lang w:eastAsia="zh-CN"/>
                <w14:textFill>
                  <w14:solidFill>
                    <w14:schemeClr w14:val="tx1"/>
                  </w14:solidFill>
                </w14:textFill>
              </w:rPr>
              <w:t>：一种有机化合物，化学式为</w:t>
            </w:r>
            <w:r>
              <w:rPr>
                <w:rFonts w:hint="default" w:ascii="Times New Roman" w:hAnsi="Times New Roman" w:eastAsia="宋体" w:cs="Times New Roman"/>
                <w:i w:val="0"/>
                <w:iCs w:val="0"/>
                <w:caps w:val="0"/>
                <w:color w:val="000000" w:themeColor="text1"/>
                <w:spacing w:val="0"/>
                <w:sz w:val="24"/>
                <w:szCs w:val="24"/>
                <w:shd w:val="clear" w:fill="FFFFFF"/>
                <w14:textFill>
                  <w14:solidFill>
                    <w14:schemeClr w14:val="tx1"/>
                  </w14:solidFill>
                </w14:textFill>
              </w:rPr>
              <w:t>C</w:t>
            </w:r>
            <w:r>
              <w:rPr>
                <w:rFonts w:hint="default" w:ascii="Times New Roman" w:hAnsi="Times New Roman" w:eastAsia="宋体" w:cs="Times New Roman"/>
                <w:i w:val="0"/>
                <w:iCs w:val="0"/>
                <w:caps w:val="0"/>
                <w:color w:val="000000" w:themeColor="text1"/>
                <w:spacing w:val="0"/>
                <w:sz w:val="24"/>
                <w:szCs w:val="24"/>
                <w:shd w:val="clear" w:fill="FFFFFF"/>
                <w:vertAlign w:val="subscript"/>
                <w14:textFill>
                  <w14:solidFill>
                    <w14:schemeClr w14:val="tx1"/>
                  </w14:solidFill>
                </w14:textFill>
              </w:rPr>
              <w:t>4</w:t>
            </w:r>
            <w:r>
              <w:rPr>
                <w:rFonts w:hint="default" w:ascii="Times New Roman" w:hAnsi="Times New Roman" w:eastAsia="宋体" w:cs="Times New Roman"/>
                <w:i w:val="0"/>
                <w:iCs w:val="0"/>
                <w:caps w:val="0"/>
                <w:color w:val="000000" w:themeColor="text1"/>
                <w:spacing w:val="0"/>
                <w:sz w:val="24"/>
                <w:szCs w:val="24"/>
                <w:shd w:val="clear" w:fill="FFFFFF"/>
                <w14:textFill>
                  <w14:solidFill>
                    <w14:schemeClr w14:val="tx1"/>
                  </w14:solidFill>
                </w14:textFill>
              </w:rPr>
              <w:t>H</w:t>
            </w:r>
            <w:r>
              <w:rPr>
                <w:rFonts w:hint="default" w:ascii="Times New Roman" w:hAnsi="Times New Roman" w:eastAsia="宋体" w:cs="Times New Roman"/>
                <w:i w:val="0"/>
                <w:iCs w:val="0"/>
                <w:caps w:val="0"/>
                <w:color w:val="000000" w:themeColor="text1"/>
                <w:spacing w:val="0"/>
                <w:sz w:val="24"/>
                <w:szCs w:val="24"/>
                <w:shd w:val="clear" w:fill="FFFFFF"/>
                <w:vertAlign w:val="subscript"/>
                <w14:textFill>
                  <w14:solidFill>
                    <w14:schemeClr w14:val="tx1"/>
                  </w14:solidFill>
                </w14:textFill>
              </w:rPr>
              <w:t>8</w:t>
            </w:r>
            <w:r>
              <w:rPr>
                <w:rFonts w:hint="default" w:ascii="Times New Roman" w:hAnsi="Times New Roman" w:eastAsia="宋体" w:cs="Times New Roman"/>
                <w:i w:val="0"/>
                <w:iCs w:val="0"/>
                <w:caps w:val="0"/>
                <w:color w:val="000000" w:themeColor="text1"/>
                <w:spacing w:val="0"/>
                <w:sz w:val="24"/>
                <w:szCs w:val="24"/>
                <w:shd w:val="clear" w:fill="FFFFFF"/>
                <w14:textFill>
                  <w14:solidFill>
                    <w14:schemeClr w14:val="tx1"/>
                  </w14:solidFill>
                </w14:textFill>
              </w:rPr>
              <w:t>S</w:t>
            </w:r>
            <w:r>
              <w:rPr>
                <w:rFonts w:hint="default" w:ascii="Times New Roman" w:hAnsi="Times New Roman" w:eastAsia="宋体" w:cs="Times New Roman"/>
                <w:i w:val="0"/>
                <w:iCs w:val="0"/>
                <w:caps w:val="0"/>
                <w:color w:val="000000" w:themeColor="text1"/>
                <w:spacing w:val="0"/>
                <w:sz w:val="24"/>
                <w:szCs w:val="24"/>
                <w:shd w:val="clear" w:fill="FFFFFF"/>
                <w:lang w:eastAsia="zh-CN"/>
                <w14:textFill>
                  <w14:solidFill>
                    <w14:schemeClr w14:val="tx1"/>
                  </w14:solidFill>
                </w14:textFill>
              </w:rPr>
              <w:t>，主要用作城市煤气、石油液化气、天然液化气等燃料气体的加臭剂，</w:t>
            </w:r>
            <w:r>
              <w:rPr>
                <w:rFonts w:hint="default" w:ascii="Times New Roman" w:hAnsi="Times New Roman" w:eastAsia="宋体" w:cs="Times New Roman"/>
                <w:i w:val="0"/>
                <w:iCs w:val="0"/>
                <w:caps w:val="0"/>
                <w:color w:val="000000" w:themeColor="text1"/>
                <w:spacing w:val="0"/>
                <w:sz w:val="24"/>
                <w:szCs w:val="24"/>
                <w:shd w:val="clear" w:fill="FFFFFF"/>
                <w:lang w:val="en-US" w:eastAsia="zh-CN"/>
                <w14:textFill>
                  <w14:solidFill>
                    <w14:schemeClr w14:val="tx1"/>
                  </w14:solidFill>
                </w14:textFill>
              </w:rPr>
              <w:t>无色液体，熔点-96</w:t>
            </w:r>
            <w:r>
              <w:rPr>
                <w:rFonts w:hint="default" w:ascii="Times New Roman" w:hAnsi="Times New Roman" w:eastAsia="宋体" w:cs="Times New Roman"/>
                <w:b w:val="0"/>
                <w:bCs w:val="0"/>
                <w:color w:val="000000" w:themeColor="text1"/>
                <w:kern w:val="0"/>
                <w:sz w:val="24"/>
                <w:szCs w:val="24"/>
                <w:vertAlign w:val="baseline"/>
                <w:lang w:val="en-US" w:eastAsia="zh-CN" w:bidi="ar"/>
                <w14:textFill>
                  <w14:solidFill>
                    <w14:schemeClr w14:val="tx1"/>
                  </w14:solidFill>
                </w14:textFill>
              </w:rPr>
              <w:t>℃，沸点119℃，相对密度（水=1）1.06，</w:t>
            </w:r>
            <w:r>
              <w:rPr>
                <w:rFonts w:hint="default" w:ascii="Times New Roman" w:hAnsi="Times New Roman" w:eastAsia="宋体" w:cs="Times New Roman"/>
                <w:i w:val="0"/>
                <w:iCs w:val="0"/>
                <w:caps w:val="0"/>
                <w:color w:val="000000" w:themeColor="text1"/>
                <w:spacing w:val="0"/>
                <w:sz w:val="24"/>
                <w:szCs w:val="24"/>
                <w:shd w:val="clear" w:fill="FFFFFF"/>
                <w14:textFill>
                  <w14:solidFill>
                    <w14:schemeClr w14:val="tx1"/>
                  </w14:solidFill>
                </w14:textFill>
              </w:rPr>
              <w:t>饱和蒸气压2.4kPa（25℃</w:t>
            </w:r>
            <w:r>
              <w:rPr>
                <w:rFonts w:hint="default" w:ascii="Times New Roman" w:hAnsi="Times New Roman" w:eastAsia="宋体" w:cs="Times New Roman"/>
                <w:i w:val="0"/>
                <w:iCs w:val="0"/>
                <w:caps w:val="0"/>
                <w:color w:val="000000" w:themeColor="text1"/>
                <w:spacing w:val="0"/>
                <w:sz w:val="24"/>
                <w:szCs w:val="24"/>
                <w:shd w:val="clear" w:fill="FFFFFF"/>
                <w:lang w:eastAsia="zh-CN"/>
                <w14:textFill>
                  <w14:solidFill>
                    <w14:schemeClr w14:val="tx1"/>
                  </w14:solidFill>
                </w14:textFill>
              </w:rPr>
              <w:t>），</w:t>
            </w:r>
            <w:r>
              <w:rPr>
                <w:rFonts w:hint="default" w:ascii="Times New Roman" w:hAnsi="Times New Roman" w:eastAsia="宋体" w:cs="Times New Roman"/>
                <w:i w:val="0"/>
                <w:iCs w:val="0"/>
                <w:caps w:val="0"/>
                <w:color w:val="000000" w:themeColor="text1"/>
                <w:spacing w:val="0"/>
                <w:sz w:val="24"/>
                <w:szCs w:val="24"/>
                <w:shd w:val="clear" w:fill="FFFFFF"/>
                <w:lang w:val="en-US" w:eastAsia="zh-CN"/>
                <w14:textFill>
                  <w14:solidFill>
                    <w14:schemeClr w14:val="tx1"/>
                  </w14:solidFill>
                </w14:textFill>
              </w:rPr>
              <w:t>易挥发，</w:t>
            </w:r>
            <w:r>
              <w:rPr>
                <w:rFonts w:hint="default" w:ascii="Times New Roman" w:hAnsi="Times New Roman" w:eastAsia="宋体" w:cs="Times New Roman"/>
                <w:b w:val="0"/>
                <w:bCs w:val="0"/>
                <w:color w:val="000000" w:themeColor="text1"/>
                <w:kern w:val="0"/>
                <w:sz w:val="24"/>
                <w:szCs w:val="24"/>
                <w:vertAlign w:val="baseline"/>
                <w:lang w:val="en-US" w:eastAsia="zh-CN" w:bidi="ar"/>
                <w14:textFill>
                  <w14:solidFill>
                    <w14:schemeClr w14:val="tx1"/>
                  </w14:solidFill>
                </w14:textFill>
              </w:rPr>
              <w:t>易燃。</w:t>
            </w:r>
          </w:p>
          <w:p w14:paraId="7896A2E0">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000000" w:themeColor="text1"/>
                <w:kern w:val="0"/>
                <w:sz w:val="24"/>
                <w:szCs w:val="24"/>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4"/>
                <w:szCs w:val="24"/>
                <w:vertAlign w:val="baseline"/>
                <w:lang w:val="en-US" w:eastAsia="zh-CN" w:bidi="ar"/>
                <w14:textFill>
                  <w14:solidFill>
                    <w14:schemeClr w14:val="tx1"/>
                  </w14:solidFill>
                </w14:textFill>
              </w:rPr>
              <w:t>②元素平衡分析</w:t>
            </w:r>
          </w:p>
          <w:p w14:paraId="0E638B7D">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themeColor="text1"/>
                <w:sz w:val="24"/>
                <w:szCs w:val="24"/>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vertAlign w:val="baseline"/>
                <w:lang w:val="en-US" w:eastAsia="zh-CN"/>
                <w14:textFill>
                  <w14:solidFill>
                    <w14:schemeClr w14:val="tx1"/>
                  </w14:solidFill>
                </w14:textFill>
              </w:rPr>
              <w:t>本项目正常运行工况下，天然气不会发生泄漏和放散，只有在储罐系统超压（非正常工况）情况下，BOG经EAG加热后经1根10m高集中放散管排放。无需开展元素平衡分析。</w:t>
            </w:r>
          </w:p>
          <w:p w14:paraId="6FF8B312">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000000" w:themeColor="text1"/>
                <w:kern w:val="0"/>
                <w:sz w:val="24"/>
                <w:szCs w:val="24"/>
                <w:vertAlign w:val="baseline"/>
                <w:lang w:val="en-US" w:eastAsia="zh-CN" w:bidi="ar"/>
                <w14:textFill>
                  <w14:solidFill>
                    <w14:schemeClr w14:val="tx1"/>
                  </w14:solidFill>
                </w14:textFill>
              </w:rPr>
            </w:pPr>
            <w:r>
              <w:rPr>
                <w:rFonts w:hint="default" w:ascii="Times New Roman" w:hAnsi="Times New Roman" w:eastAsia="宋体" w:cs="Times New Roman"/>
                <w:b/>
                <w:bCs/>
                <w:color w:val="000000" w:themeColor="text1"/>
                <w:kern w:val="0"/>
                <w:sz w:val="24"/>
                <w:szCs w:val="24"/>
                <w:vertAlign w:val="baseline"/>
                <w:lang w:val="en-US" w:eastAsia="zh-CN" w:bidi="ar"/>
                <w14:textFill>
                  <w14:solidFill>
                    <w14:schemeClr w14:val="tx1"/>
                  </w14:solidFill>
                </w14:textFill>
              </w:rPr>
              <w:t>5.水平衡分析</w:t>
            </w:r>
          </w:p>
          <w:p w14:paraId="67248FB1">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本项目</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水浴式电加热器在冬季使用，利用在建燃气锅炉二级循环热水系统作为热源，运营期无新增生产用水，主要用水环节为职工生活用水和生产区消防用水。本项目运营期无工业废水产生，无需开展水平衡分析。</w:t>
            </w:r>
          </w:p>
          <w:p w14:paraId="6E74455E">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000000" w:themeColor="text1"/>
                <w:kern w:val="0"/>
                <w:sz w:val="24"/>
                <w:szCs w:val="24"/>
                <w:vertAlign w:val="baseline"/>
                <w:lang w:val="en-US" w:eastAsia="zh-CN" w:bidi="ar"/>
                <w14:textFill>
                  <w14:solidFill>
                    <w14:schemeClr w14:val="tx1"/>
                  </w14:solidFill>
                </w14:textFill>
              </w:rPr>
            </w:pPr>
            <w:r>
              <w:rPr>
                <w:rFonts w:hint="default" w:ascii="Times New Roman" w:hAnsi="Times New Roman" w:eastAsia="宋体" w:cs="Times New Roman"/>
                <w:b/>
                <w:bCs/>
                <w:color w:val="000000" w:themeColor="text1"/>
                <w:kern w:val="0"/>
                <w:sz w:val="24"/>
                <w:szCs w:val="24"/>
                <w:vertAlign w:val="baseline"/>
                <w:lang w:val="en-US" w:eastAsia="zh-CN" w:bidi="ar"/>
                <w14:textFill>
                  <w14:solidFill>
                    <w14:schemeClr w14:val="tx1"/>
                  </w14:solidFill>
                </w14:textFill>
              </w:rPr>
              <w:t>6.劳动定员及工作制度</w:t>
            </w:r>
          </w:p>
          <w:p w14:paraId="37CFBC07">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000000" w:themeColor="text1"/>
                <w:kern w:val="0"/>
                <w:sz w:val="24"/>
                <w:szCs w:val="24"/>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4"/>
                <w:szCs w:val="24"/>
                <w:vertAlign w:val="baseline"/>
                <w:lang w:val="en-US" w:eastAsia="zh-CN" w:bidi="ar"/>
                <w14:textFill>
                  <w14:solidFill>
                    <w14:schemeClr w14:val="tx1"/>
                  </w14:solidFill>
                </w14:textFill>
              </w:rPr>
              <w:t>（1）劳动定员：气化站运营期安排2人轮流值守，从九龙山景区现有职工调入，不新增职工。</w:t>
            </w:r>
          </w:p>
          <w:p w14:paraId="67374AF9">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000000" w:themeColor="text1"/>
                <w:kern w:val="0"/>
                <w:sz w:val="24"/>
                <w:szCs w:val="24"/>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4"/>
                <w:szCs w:val="24"/>
                <w:vertAlign w:val="baseline"/>
                <w:lang w:val="en-US" w:eastAsia="zh-CN" w:bidi="ar"/>
                <w14:textFill>
                  <w14:solidFill>
                    <w14:schemeClr w14:val="tx1"/>
                  </w14:solidFill>
                </w14:textFill>
              </w:rPr>
              <w:t>（2）工作制度：每天1班（昼间）， 每班4小时运行，年运行360天。</w:t>
            </w:r>
          </w:p>
          <w:p w14:paraId="4468E421">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000000" w:themeColor="text1"/>
                <w:kern w:val="0"/>
                <w:sz w:val="24"/>
                <w:szCs w:val="24"/>
                <w:vertAlign w:val="baseline"/>
                <w:lang w:val="en-US" w:eastAsia="zh-CN" w:bidi="ar"/>
                <w14:textFill>
                  <w14:solidFill>
                    <w14:schemeClr w14:val="tx1"/>
                  </w14:solidFill>
                </w14:textFill>
              </w:rPr>
            </w:pPr>
            <w:r>
              <w:rPr>
                <w:rFonts w:hint="default" w:ascii="Times New Roman" w:hAnsi="Times New Roman" w:eastAsia="宋体" w:cs="Times New Roman"/>
                <w:b/>
                <w:bCs/>
                <w:color w:val="000000" w:themeColor="text1"/>
                <w:kern w:val="0"/>
                <w:sz w:val="24"/>
                <w:szCs w:val="24"/>
                <w:vertAlign w:val="baseline"/>
                <w:lang w:val="en-US" w:eastAsia="zh-CN" w:bidi="ar"/>
                <w14:textFill>
                  <w14:solidFill>
                    <w14:schemeClr w14:val="tx1"/>
                  </w14:solidFill>
                </w14:textFill>
              </w:rPr>
              <w:t>7.厂区平面布置</w:t>
            </w:r>
          </w:p>
          <w:p w14:paraId="6E19E755">
            <w:pPr>
              <w:pStyle w:val="37"/>
              <w:keepNext w:val="0"/>
              <w:keepLines w:val="0"/>
              <w:pageBreakBefore w:val="0"/>
              <w:widowControl w:val="0"/>
              <w:tabs>
                <w:tab w:val="right" w:leader="dot" w:pos="8306"/>
              </w:tabs>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themeColor="text1"/>
                <w:kern w:val="0"/>
                <w:sz w:val="24"/>
                <w:szCs w:val="24"/>
                <w:vertAlign w:val="baseli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本项目包括气化站和天然气管线两项工程内容。气化站整个站区分为生产区和辅助区，生产区位于站区南侧，包括LNG储罐区、工艺装置区和集中放散口，LNG储罐区防护堤内</w:t>
            </w:r>
            <w:r>
              <w:rPr>
                <w:rFonts w:hint="default" w:ascii="Times New Roman" w:hAnsi="Times New Roman" w:eastAsia="宋体" w:cs="Times New Roman"/>
                <w:color w:val="000000" w:themeColor="text1"/>
                <w:kern w:val="0"/>
                <w:sz w:val="24"/>
                <w:szCs w:val="24"/>
                <w:vertAlign w:val="baseline"/>
                <w:lang w:val="en-US" w:eastAsia="zh-CN" w:bidi="ar"/>
                <w14:textFill>
                  <w14:solidFill>
                    <w14:schemeClr w14:val="tx1"/>
                  </w14:solidFill>
                </w14:textFill>
              </w:rPr>
              <w:t>设置2台50m</w:t>
            </w:r>
            <w:r>
              <w:rPr>
                <w:rFonts w:hint="default" w:ascii="Times New Roman" w:hAnsi="Times New Roman" w:eastAsia="宋体" w:cs="Times New Roman"/>
                <w:color w:val="000000" w:themeColor="text1"/>
                <w:kern w:val="0"/>
                <w:sz w:val="24"/>
                <w:szCs w:val="24"/>
                <w:vertAlign w:val="superscript"/>
                <w:lang w:val="en-US" w:eastAsia="zh-CN" w:bidi="ar"/>
                <w14:textFill>
                  <w14:solidFill>
                    <w14:schemeClr w14:val="tx1"/>
                  </w14:solidFill>
                </w14:textFill>
              </w:rPr>
              <w:t>3</w:t>
            </w:r>
            <w:r>
              <w:rPr>
                <w:rFonts w:hint="default" w:ascii="Times New Roman" w:hAnsi="Times New Roman" w:eastAsia="宋体" w:cs="Times New Roman"/>
                <w:color w:val="000000" w:themeColor="text1"/>
                <w:kern w:val="0"/>
                <w:sz w:val="24"/>
                <w:szCs w:val="24"/>
                <w:vertAlign w:val="baseline"/>
                <w:lang w:val="en-US" w:eastAsia="zh-CN" w:bidi="ar"/>
                <w14:textFill>
                  <w14:solidFill>
                    <w14:schemeClr w14:val="tx1"/>
                  </w14:solidFill>
                </w14:textFill>
              </w:rPr>
              <w:t>卧式LNG储罐，</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工艺装置区位于</w:t>
            </w:r>
            <w:r>
              <w:rPr>
                <w:rFonts w:hint="default" w:ascii="Times New Roman" w:hAnsi="Times New Roman" w:eastAsia="宋体" w:cs="Times New Roman"/>
                <w:color w:val="000000" w:themeColor="text1"/>
                <w:kern w:val="0"/>
                <w:sz w:val="24"/>
                <w:szCs w:val="24"/>
                <w:vertAlign w:val="baseline"/>
                <w:lang w:val="en-US" w:eastAsia="zh-CN" w:bidi="ar"/>
                <w14:textFill>
                  <w14:solidFill>
                    <w14:schemeClr w14:val="tx1"/>
                  </w14:solidFill>
                </w14:textFill>
              </w:rPr>
              <w:t>LNG储罐区北侧，</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集中放散口位于</w:t>
            </w:r>
            <w:r>
              <w:rPr>
                <w:rFonts w:hint="default" w:ascii="Times New Roman" w:hAnsi="Times New Roman" w:eastAsia="宋体" w:cs="Times New Roman"/>
                <w:color w:val="000000" w:themeColor="text1"/>
                <w:kern w:val="0"/>
                <w:sz w:val="24"/>
                <w:szCs w:val="24"/>
                <w:vertAlign w:val="baseline"/>
                <w:lang w:val="en-US" w:eastAsia="zh-CN" w:bidi="ar"/>
                <w14:textFill>
                  <w14:solidFill>
                    <w14:schemeClr w14:val="tx1"/>
                  </w14:solidFill>
                </w14:textFill>
              </w:rPr>
              <w:t>LNG储罐区东侧。</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辅助区</w:t>
            </w:r>
            <w:r>
              <w:rPr>
                <w:rFonts w:hint="default" w:ascii="Times New Roman" w:hAnsi="Times New Roman" w:eastAsia="宋体" w:cs="Times New Roman"/>
                <w:b w:val="0"/>
                <w:bCs w:val="0"/>
                <w:color w:val="000000" w:themeColor="text1"/>
                <w:kern w:val="0"/>
                <w:sz w:val="24"/>
                <w:szCs w:val="24"/>
                <w:vertAlign w:val="baseline"/>
                <w:lang w:val="en-US" w:eastAsia="zh-CN" w:bidi="ar"/>
                <w14:textFill>
                  <w14:solidFill>
                    <w14:schemeClr w14:val="tx1"/>
                  </w14:solidFill>
                </w14:textFill>
              </w:rPr>
              <w:t>位于站区北侧，建设1座辅助用房，包括值班室、控制室、发电机房和空压机间。</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天然气管道起点位于LNG气化站出</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站</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预留de160管道，终点位</w:t>
            </w:r>
            <w:r>
              <w:rPr>
                <w:rFonts w:hint="default" w:ascii="Times New Roman" w:hAnsi="Times New Roman" w:eastAsia="宋体" w:cs="Times New Roman"/>
                <w:b w:val="0"/>
                <w:bCs w:val="0"/>
                <w:color w:val="000000" w:themeColor="text1"/>
                <w:kern w:val="0"/>
                <w:sz w:val="24"/>
                <w:szCs w:val="24"/>
                <w:u w:val="none"/>
                <w:vertAlign w:val="baseline"/>
                <w:lang w:val="en-US" w:eastAsia="zh-CN" w:bidi="ar"/>
                <w14:textFill>
                  <w14:solidFill>
                    <w14:schemeClr w14:val="tx1"/>
                  </w14:solidFill>
                </w14:textFill>
              </w:rPr>
              <w:t>锅炉房外调压柜，燃气管线采用地埋+随桥架空敷设的方式，穿越河流1次，采用随桥架空敷设，长36m，穿越一般道路4次，总长26m，采用大开挖加钢筋混凝土套管方式，其余沿道路边缘敷设，总长500.6m，采用地埋方式。天然气管线设置1处截断阀，位于气化站接气点。</w:t>
            </w:r>
            <w:r>
              <w:rPr>
                <w:rFonts w:hint="default" w:ascii="Times New Roman" w:hAnsi="Times New Roman" w:eastAsia="宋体" w:cs="Times New Roman"/>
                <w:b w:val="0"/>
                <w:bCs w:val="0"/>
                <w:color w:val="000000" w:themeColor="text1"/>
                <w:kern w:val="0"/>
                <w:sz w:val="24"/>
                <w:szCs w:val="24"/>
                <w:vertAlign w:val="baseline"/>
                <w:lang w:val="en-US" w:eastAsia="zh-CN" w:bidi="ar"/>
                <w14:textFill>
                  <w14:solidFill>
                    <w14:schemeClr w14:val="tx1"/>
                  </w14:solidFill>
                </w14:textFill>
              </w:rPr>
              <w:t>本项目气化站厂区平面布置图见附图2，天然气管线走向示意图见附图3。</w:t>
            </w:r>
          </w:p>
        </w:tc>
      </w:tr>
      <w:tr w14:paraId="4698E4F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71" w:type="pct"/>
            <w:tcBorders>
              <w:tl2br w:val="nil"/>
              <w:tr2bl w:val="nil"/>
            </w:tcBorders>
            <w:vAlign w:val="center"/>
          </w:tcPr>
          <w:p w14:paraId="6839B70A">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000000" w:themeColor="text1"/>
                <w:sz w:val="24"/>
                <w:szCs w:val="24"/>
                <w14:textFill>
                  <w14:solidFill>
                    <w14:schemeClr w14:val="tx1"/>
                  </w14:solidFill>
                </w14:textFill>
              </w:rPr>
            </w:pPr>
            <w:r>
              <w:rPr>
                <w:rFonts w:hint="default" w:ascii="Times New Roman" w:hAnsi="Times New Roman" w:eastAsia="宋体" w:cs="Times New Roman"/>
                <w:b/>
                <w:bCs/>
                <w:color w:val="000000" w:themeColor="text1"/>
                <w:kern w:val="0"/>
                <w:sz w:val="24"/>
                <w:szCs w:val="24"/>
                <w:lang w:val="en-US" w:eastAsia="zh-CN" w:bidi="ar"/>
                <w14:textFill>
                  <w14:solidFill>
                    <w14:schemeClr w14:val="tx1"/>
                  </w14:solidFill>
                </w14:textFill>
              </w:rPr>
              <w:t>工艺</w:t>
            </w:r>
          </w:p>
          <w:p w14:paraId="171B412D">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000000" w:themeColor="text1"/>
                <w:sz w:val="24"/>
                <w:szCs w:val="24"/>
                <w14:textFill>
                  <w14:solidFill>
                    <w14:schemeClr w14:val="tx1"/>
                  </w14:solidFill>
                </w14:textFill>
              </w:rPr>
            </w:pPr>
            <w:r>
              <w:rPr>
                <w:rFonts w:hint="default" w:ascii="Times New Roman" w:hAnsi="Times New Roman" w:eastAsia="宋体" w:cs="Times New Roman"/>
                <w:b/>
                <w:bCs/>
                <w:color w:val="000000" w:themeColor="text1"/>
                <w:kern w:val="0"/>
                <w:sz w:val="24"/>
                <w:szCs w:val="24"/>
                <w:lang w:val="en-US" w:eastAsia="zh-CN" w:bidi="ar"/>
                <w14:textFill>
                  <w14:solidFill>
                    <w14:schemeClr w14:val="tx1"/>
                  </w14:solidFill>
                </w14:textFill>
              </w:rPr>
              <w:t>流程</w:t>
            </w:r>
          </w:p>
          <w:p w14:paraId="290287CC">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000000" w:themeColor="text1"/>
                <w:sz w:val="24"/>
                <w:szCs w:val="24"/>
                <w14:textFill>
                  <w14:solidFill>
                    <w14:schemeClr w14:val="tx1"/>
                  </w14:solidFill>
                </w14:textFill>
              </w:rPr>
            </w:pPr>
            <w:r>
              <w:rPr>
                <w:rFonts w:hint="default" w:ascii="Times New Roman" w:hAnsi="Times New Roman" w:eastAsia="宋体" w:cs="Times New Roman"/>
                <w:b/>
                <w:bCs/>
                <w:color w:val="000000" w:themeColor="text1"/>
                <w:kern w:val="0"/>
                <w:sz w:val="24"/>
                <w:szCs w:val="24"/>
                <w:lang w:val="en-US" w:eastAsia="zh-CN" w:bidi="ar"/>
                <w14:textFill>
                  <w14:solidFill>
                    <w14:schemeClr w14:val="tx1"/>
                  </w14:solidFill>
                </w14:textFill>
              </w:rPr>
              <w:t>和产</w:t>
            </w:r>
          </w:p>
          <w:p w14:paraId="6D9D066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000000" w:themeColor="text1"/>
                <w:sz w:val="24"/>
                <w:szCs w:val="24"/>
                <w14:textFill>
                  <w14:solidFill>
                    <w14:schemeClr w14:val="tx1"/>
                  </w14:solidFill>
                </w14:textFill>
              </w:rPr>
            </w:pPr>
            <w:r>
              <w:rPr>
                <w:rFonts w:hint="default" w:ascii="Times New Roman" w:hAnsi="Times New Roman" w:eastAsia="宋体" w:cs="Times New Roman"/>
                <w:b/>
                <w:bCs/>
                <w:color w:val="000000" w:themeColor="text1"/>
                <w:kern w:val="0"/>
                <w:sz w:val="24"/>
                <w:szCs w:val="24"/>
                <w:lang w:val="en-US" w:eastAsia="zh-CN" w:bidi="ar"/>
                <w14:textFill>
                  <w14:solidFill>
                    <w14:schemeClr w14:val="tx1"/>
                  </w14:solidFill>
                </w14:textFill>
              </w:rPr>
              <w:t>排污</w:t>
            </w:r>
          </w:p>
          <w:p w14:paraId="746485A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000000" w:themeColor="text1"/>
                <w:kern w:val="0"/>
                <w:sz w:val="24"/>
                <w:szCs w:val="24"/>
                <w:vertAlign w:val="baseline"/>
                <w:lang w:val="en-US" w:eastAsia="zh-CN" w:bidi="ar"/>
                <w14:textFill>
                  <w14:solidFill>
                    <w14:schemeClr w14:val="tx1"/>
                  </w14:solidFill>
                </w14:textFill>
              </w:rPr>
            </w:pPr>
            <w:r>
              <w:rPr>
                <w:rFonts w:hint="default" w:ascii="Times New Roman" w:hAnsi="Times New Roman" w:eastAsia="宋体" w:cs="Times New Roman"/>
                <w:b/>
                <w:bCs/>
                <w:color w:val="000000" w:themeColor="text1"/>
                <w:kern w:val="0"/>
                <w:sz w:val="24"/>
                <w:szCs w:val="24"/>
                <w:lang w:val="en-US" w:eastAsia="zh-CN" w:bidi="ar"/>
                <w14:textFill>
                  <w14:solidFill>
                    <w14:schemeClr w14:val="tx1"/>
                  </w14:solidFill>
                </w14:textFill>
              </w:rPr>
              <w:t>环节</w:t>
            </w:r>
          </w:p>
        </w:tc>
        <w:tc>
          <w:tcPr>
            <w:tcW w:w="4728" w:type="pct"/>
            <w:tcBorders>
              <w:tl2br w:val="nil"/>
              <w:tr2bl w:val="nil"/>
            </w:tcBorders>
            <w:vAlign w:val="center"/>
          </w:tcPr>
          <w:p w14:paraId="6ADA0BE5">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000000" w:themeColor="text1"/>
                <w:kern w:val="0"/>
                <w:sz w:val="24"/>
                <w:szCs w:val="24"/>
                <w:lang w:val="en-US" w:eastAsia="zh-CN" w:bidi="ar"/>
                <w14:textFill>
                  <w14:solidFill>
                    <w14:schemeClr w14:val="tx1"/>
                  </w14:solidFill>
                </w14:textFill>
              </w:rPr>
            </w:pPr>
            <w:r>
              <w:rPr>
                <w:rFonts w:hint="default" w:ascii="Times New Roman" w:hAnsi="Times New Roman" w:eastAsia="宋体" w:cs="Times New Roman"/>
                <w:b/>
                <w:bCs/>
                <w:color w:val="000000" w:themeColor="text1"/>
                <w:kern w:val="0"/>
                <w:sz w:val="24"/>
                <w:szCs w:val="24"/>
                <w:vertAlign w:val="baseline"/>
                <w:lang w:val="en-US" w:eastAsia="zh-CN" w:bidi="ar"/>
                <w14:textFill>
                  <w14:solidFill>
                    <w14:schemeClr w14:val="tx1"/>
                  </w14:solidFill>
                </w14:textFill>
              </w:rPr>
              <w:t>1.施工期</w:t>
            </w:r>
            <w:r>
              <w:rPr>
                <w:rFonts w:hint="default" w:ascii="Times New Roman" w:hAnsi="Times New Roman" w:eastAsia="宋体" w:cs="Times New Roman"/>
                <w:b/>
                <w:bCs/>
                <w:color w:val="000000" w:themeColor="text1"/>
                <w:kern w:val="0"/>
                <w:sz w:val="24"/>
                <w:szCs w:val="24"/>
                <w:lang w:val="en-US" w:eastAsia="zh-CN" w:bidi="ar"/>
                <w14:textFill>
                  <w14:solidFill>
                    <w14:schemeClr w14:val="tx1"/>
                  </w14:solidFill>
                </w14:textFill>
              </w:rPr>
              <w:t>工艺流程和产排污环节</w:t>
            </w:r>
          </w:p>
          <w:p w14:paraId="164937E0">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000000" w:themeColor="text1"/>
                <w:kern w:val="0"/>
                <w:sz w:val="24"/>
                <w:szCs w:val="24"/>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4"/>
                <w:szCs w:val="24"/>
                <w:lang w:val="en-US" w:eastAsia="zh-CN" w:bidi="ar"/>
                <w14:textFill>
                  <w14:solidFill>
                    <w14:schemeClr w14:val="tx1"/>
                  </w14:solidFill>
                </w14:textFill>
              </w:rPr>
              <w:t>（1）气化站</w:t>
            </w:r>
          </w:p>
          <w:p w14:paraId="3DFD7A8B">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000000" w:themeColor="text1"/>
                <w:kern w:val="0"/>
                <w:sz w:val="24"/>
                <w:szCs w:val="24"/>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气化站拟</w:t>
            </w:r>
            <w:r>
              <w:rPr>
                <w:rFonts w:hint="default" w:ascii="Times New Roman" w:hAnsi="Times New Roman" w:eastAsia="宋体" w:cs="Times New Roman"/>
                <w:color w:val="000000" w:themeColor="text1"/>
                <w:kern w:val="0"/>
                <w:sz w:val="24"/>
                <w:szCs w:val="24"/>
                <w:vertAlign w:val="baseline"/>
                <w:lang w:val="en-US" w:eastAsia="zh-CN" w:bidi="ar"/>
                <w14:textFill>
                  <w14:solidFill>
                    <w14:schemeClr w14:val="tx1"/>
                  </w14:solidFill>
                </w14:textFill>
              </w:rPr>
              <w:t>利用</w:t>
            </w:r>
            <w:r>
              <w:rPr>
                <w:rFonts w:hint="default" w:ascii="Times New Roman" w:hAnsi="Times New Roman" w:eastAsia="宋体" w:cs="Times New Roman"/>
                <w:b w:val="0"/>
                <w:bCs w:val="0"/>
                <w:color w:val="000000" w:themeColor="text1"/>
                <w:kern w:val="0"/>
                <w:sz w:val="24"/>
                <w:szCs w:val="24"/>
                <w:vertAlign w:val="baseline"/>
                <w:lang w:val="en-US" w:eastAsia="zh-CN" w:bidi="ar"/>
                <w14:textFill>
                  <w14:solidFill>
                    <w14:schemeClr w14:val="tx1"/>
                  </w14:solidFill>
                </w14:textFill>
              </w:rPr>
              <w:t>九龙山景区</w:t>
            </w:r>
            <w:r>
              <w:rPr>
                <w:rFonts w:hint="default" w:ascii="Times New Roman" w:hAnsi="Times New Roman" w:eastAsia="宋体" w:cs="Times New Roman"/>
                <w:b w:val="0"/>
                <w:bCs w:val="0"/>
                <w:color w:val="000000" w:themeColor="text1"/>
                <w:kern w:val="0"/>
                <w:sz w:val="24"/>
                <w:szCs w:val="24"/>
                <w:u w:val="none"/>
                <w:vertAlign w:val="baseline"/>
                <w:lang w:val="en-US" w:eastAsia="zh-CN" w:bidi="ar"/>
                <w14:textFill>
                  <w14:solidFill>
                    <w14:schemeClr w14:val="tx1"/>
                  </w14:solidFill>
                </w14:textFill>
              </w:rPr>
              <w:t>庵里村综合服务区现有停车场用地进行建设，通过现场踏勘，项目用地地形平坦，现状为硬化地面，无需土地平整和土方开挖；施工场地周边现有道路完善，施工期无需建设施工便道，施工营地依托景区周边民房，施工材料均堆放于施工场地内，无需新增临时用地。</w:t>
            </w:r>
            <w:r>
              <w:rPr>
                <w:rFonts w:hint="default" w:ascii="Times New Roman" w:hAnsi="Times New Roman" w:eastAsia="宋体" w:cs="Times New Roman"/>
                <w:b w:val="0"/>
                <w:bCs w:val="0"/>
                <w:color w:val="000000" w:themeColor="text1"/>
                <w:kern w:val="0"/>
                <w:sz w:val="24"/>
                <w:szCs w:val="24"/>
                <w:lang w:val="en-US" w:eastAsia="zh-CN" w:bidi="ar"/>
                <w14:textFill>
                  <w14:solidFill>
                    <w14:schemeClr w14:val="tx1"/>
                  </w14:solidFill>
                </w14:textFill>
              </w:rPr>
              <w:t>气化站</w:t>
            </w:r>
            <w:r>
              <w:rPr>
                <w:rFonts w:hint="default" w:ascii="Times New Roman" w:hAnsi="Times New Roman" w:eastAsia="宋体" w:cs="Times New Roman"/>
                <w:b w:val="0"/>
                <w:bCs w:val="0"/>
                <w:color w:val="000000" w:themeColor="text1"/>
                <w:kern w:val="0"/>
                <w:sz w:val="24"/>
                <w:szCs w:val="24"/>
                <w:u w:val="none"/>
                <w:vertAlign w:val="baseline"/>
                <w:lang w:val="en-US" w:eastAsia="zh-CN" w:bidi="ar"/>
                <w14:textFill>
                  <w14:solidFill>
                    <w14:schemeClr w14:val="tx1"/>
                  </w14:solidFill>
                </w14:textFill>
              </w:rPr>
              <w:t>施工期主要工艺流程及产排污环节如下：</w:t>
            </w:r>
          </w:p>
          <w:p w14:paraId="4B1211FC">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val="0"/>
                <w:bCs w:val="0"/>
                <w:color w:val="000000" w:themeColor="text1"/>
                <w:kern w:val="0"/>
                <w:sz w:val="24"/>
                <w:szCs w:val="24"/>
                <w:lang w:val="en-US" w:eastAsia="zh-CN" w:bidi="ar"/>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drawing>
                <wp:inline distT="0" distB="0" distL="114300" distR="114300">
                  <wp:extent cx="5951855" cy="1273810"/>
                  <wp:effectExtent l="0" t="0" r="10795" b="2540"/>
                  <wp:docPr id="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8"/>
                          <pic:cNvPicPr>
                            <a:picLocks noChangeAspect="1"/>
                          </pic:cNvPicPr>
                        </pic:nvPicPr>
                        <pic:blipFill>
                          <a:blip r:embed="rId6"/>
                          <a:stretch>
                            <a:fillRect/>
                          </a:stretch>
                        </pic:blipFill>
                        <pic:spPr>
                          <a:xfrm>
                            <a:off x="0" y="0"/>
                            <a:ext cx="5951855" cy="1273810"/>
                          </a:xfrm>
                          <a:prstGeom prst="rect">
                            <a:avLst/>
                          </a:prstGeom>
                          <a:noFill/>
                          <a:ln>
                            <a:noFill/>
                          </a:ln>
                        </pic:spPr>
                      </pic:pic>
                    </a:graphicData>
                  </a:graphic>
                </wp:inline>
              </w:drawing>
            </w:r>
          </w:p>
          <w:p w14:paraId="3EE9962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bCs/>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b/>
                <w:bCs/>
                <w:color w:val="000000" w:themeColor="text1"/>
                <w:kern w:val="0"/>
                <w:sz w:val="21"/>
                <w:szCs w:val="21"/>
                <w:lang w:val="en-US" w:eastAsia="zh-CN" w:bidi="ar"/>
                <w14:textFill>
                  <w14:solidFill>
                    <w14:schemeClr w14:val="tx1"/>
                  </w14:solidFill>
                </w14:textFill>
              </w:rPr>
              <w:t>图2-1   气化站施工期</w:t>
            </w:r>
            <w:r>
              <w:rPr>
                <w:rFonts w:hint="default" w:ascii="Times New Roman" w:hAnsi="Times New Roman" w:eastAsia="宋体" w:cs="Times New Roman"/>
                <w:b/>
                <w:bCs/>
                <w:color w:val="000000" w:themeColor="text1"/>
                <w:kern w:val="0"/>
                <w:sz w:val="21"/>
                <w:szCs w:val="21"/>
                <w:u w:val="none"/>
                <w:vertAlign w:val="baseline"/>
                <w:lang w:val="en-US" w:eastAsia="zh-CN" w:bidi="ar"/>
                <w14:textFill>
                  <w14:solidFill>
                    <w14:schemeClr w14:val="tx1"/>
                  </w14:solidFill>
                </w14:textFill>
              </w:rPr>
              <w:t>工艺流程及产排污环节示意图</w:t>
            </w:r>
          </w:p>
          <w:p w14:paraId="26AC566F">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000000" w:themeColor="text1"/>
                <w:kern w:val="0"/>
                <w:sz w:val="24"/>
                <w:szCs w:val="24"/>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4"/>
                <w:szCs w:val="24"/>
                <w:lang w:val="en-US" w:eastAsia="zh-CN" w:bidi="ar"/>
                <w14:textFill>
                  <w14:solidFill>
                    <w14:schemeClr w14:val="tx1"/>
                  </w14:solidFill>
                </w14:textFill>
              </w:rPr>
              <w:t>（2）天然气管线</w:t>
            </w:r>
          </w:p>
          <w:p w14:paraId="6BCD0425">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000000" w:themeColor="text1"/>
                <w:kern w:val="0"/>
                <w:sz w:val="24"/>
                <w:szCs w:val="24"/>
                <w:lang w:val="en-US" w:eastAsia="zh-CN" w:bidi="ar"/>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本项目天然气管道全长562.6m，其中de160PE管道516.2m，D159×6.0无缝钢管46.4m，设计压力0.4MPa，起点位于LNG气化站出</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站</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预留de160管道，终点位</w:t>
            </w:r>
            <w:r>
              <w:rPr>
                <w:rFonts w:hint="default" w:ascii="Times New Roman" w:hAnsi="Times New Roman" w:eastAsia="宋体" w:cs="Times New Roman"/>
                <w:b w:val="0"/>
                <w:bCs w:val="0"/>
                <w:color w:val="000000" w:themeColor="text1"/>
                <w:kern w:val="0"/>
                <w:sz w:val="24"/>
                <w:szCs w:val="24"/>
                <w:u w:val="none"/>
                <w:vertAlign w:val="baseline"/>
                <w:lang w:val="en-US" w:eastAsia="zh-CN" w:bidi="ar"/>
                <w14:textFill>
                  <w14:solidFill>
                    <w14:schemeClr w14:val="tx1"/>
                  </w14:solidFill>
                </w14:textFill>
              </w:rPr>
              <w:t>锅炉房外调压柜，燃气管线采用地埋+随桥架空敷设的方式，穿越河流1次，采用随桥架空敷设，长36m，穿越一般道路4次，总长26m，采用大开挖加钢筋混凝土套管方式，其余沿道路边缘敷设，总长500.6m，采用地埋方式。天然气管线设置1处截断阀，位于气化站接气点。</w:t>
            </w:r>
          </w:p>
          <w:p w14:paraId="206D00BC">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000000" w:themeColor="text1"/>
                <w:kern w:val="0"/>
                <w:sz w:val="24"/>
                <w:szCs w:val="24"/>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4"/>
                <w:szCs w:val="24"/>
                <w:lang w:val="en-US" w:eastAsia="zh-CN" w:bidi="ar"/>
                <w14:textFill>
                  <w14:solidFill>
                    <w14:schemeClr w14:val="tx1"/>
                  </w14:solidFill>
                </w14:textFill>
              </w:rPr>
              <w:t>天然气管道</w:t>
            </w:r>
            <w:r>
              <w:rPr>
                <w:rFonts w:hint="default" w:ascii="Times New Roman" w:hAnsi="Times New Roman" w:eastAsia="宋体" w:cs="Times New Roman"/>
                <w:b w:val="0"/>
                <w:bCs w:val="0"/>
                <w:color w:val="000000" w:themeColor="text1"/>
                <w:kern w:val="0"/>
                <w:sz w:val="24"/>
                <w:szCs w:val="24"/>
                <w:u w:val="none"/>
                <w:vertAlign w:val="baseline"/>
                <w:lang w:val="en-US" w:eastAsia="zh-CN" w:bidi="ar"/>
                <w14:textFill>
                  <w14:solidFill>
                    <w14:schemeClr w14:val="tx1"/>
                  </w14:solidFill>
                </w14:textFill>
              </w:rPr>
              <w:t>施工期主要工艺流程及产排污环节如下：</w:t>
            </w:r>
          </w:p>
          <w:p w14:paraId="6C3464C0">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000000" w:themeColor="text1"/>
                <w:kern w:val="0"/>
                <w:sz w:val="24"/>
                <w:szCs w:val="24"/>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4"/>
                <w:szCs w:val="24"/>
                <w:lang w:val="en-US" w:eastAsia="zh-CN" w:bidi="ar"/>
                <w14:textFill>
                  <w14:solidFill>
                    <w14:schemeClr w14:val="tx1"/>
                  </w14:solidFill>
                </w14:textFill>
              </w:rPr>
              <w:t>①测量放线：施工单位依据线路平面图、断面图、线路控制桩、水准标桩进行测量放线。</w:t>
            </w:r>
          </w:p>
          <w:p w14:paraId="3EDE1C59">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000000" w:themeColor="text1"/>
                <w:kern w:val="0"/>
                <w:sz w:val="24"/>
                <w:szCs w:val="24"/>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4"/>
                <w:szCs w:val="24"/>
                <w:lang w:val="en-US" w:eastAsia="zh-CN" w:bidi="ar"/>
                <w14:textFill>
                  <w14:solidFill>
                    <w14:schemeClr w14:val="tx1"/>
                  </w14:solidFill>
                </w14:textFill>
              </w:rPr>
              <w:t>②管沟开挖：管沟开挖一般采用机械开挖，部分特殊地段采用人工开挖，开挖产生的土方临时堆放于管沟两侧。开挖过程会产生土方、施工扬尘、噪声。</w:t>
            </w:r>
          </w:p>
          <w:p w14:paraId="7A2051B9">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000000" w:themeColor="text1"/>
                <w:kern w:val="0"/>
                <w:sz w:val="24"/>
                <w:szCs w:val="24"/>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4"/>
                <w:szCs w:val="24"/>
                <w:lang w:val="en-US" w:eastAsia="zh-CN" w:bidi="ar"/>
                <w14:textFill>
                  <w14:solidFill>
                    <w14:schemeClr w14:val="tx1"/>
                  </w14:solidFill>
                </w14:textFill>
              </w:rPr>
              <w:t>③管道架空安装：本项目穿越河流段采用随桥架空敷设，架空位置位于景区风景桥南侧箱梁壁上，管道底部架空高度位于桥面下0.5m。起点设置固定支架1座，每间隔4m设置固定支架1座，采用膨胀螺栓固定。</w:t>
            </w:r>
          </w:p>
          <w:p w14:paraId="65AEFBCC">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000000" w:themeColor="text1"/>
                <w:kern w:val="0"/>
                <w:sz w:val="24"/>
                <w:szCs w:val="24"/>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4"/>
                <w:szCs w:val="24"/>
                <w:lang w:val="en-US" w:eastAsia="zh-CN" w:bidi="ar"/>
                <w14:textFill>
                  <w14:solidFill>
                    <w14:schemeClr w14:val="tx1"/>
                  </w14:solidFill>
                </w14:textFill>
              </w:rPr>
              <w:t>④管道敷设：管道应在沟底标高和管沟质量检查合格后，方可敷设。</w:t>
            </w:r>
          </w:p>
          <w:p w14:paraId="549A596B">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000000" w:themeColor="text1"/>
                <w:kern w:val="0"/>
                <w:sz w:val="24"/>
                <w:szCs w:val="24"/>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4"/>
                <w:szCs w:val="24"/>
                <w:lang w:val="en-US" w:eastAsia="zh-CN" w:bidi="ar"/>
                <w14:textFill>
                  <w14:solidFill>
                    <w14:schemeClr w14:val="tx1"/>
                  </w14:solidFill>
                </w14:textFill>
              </w:rPr>
              <w:t>⑤管道连接：PE管道采用电熔和热熔连接；钢管连接采用氩弧焊打底，手工电弧焊填充表面的焊接工艺。</w:t>
            </w:r>
          </w:p>
          <w:p w14:paraId="3CC0D46F">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000000" w:themeColor="text1"/>
                <w:kern w:val="0"/>
                <w:sz w:val="24"/>
                <w:szCs w:val="24"/>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4"/>
                <w:szCs w:val="24"/>
                <w:lang w:val="en-US" w:eastAsia="zh-CN" w:bidi="ar"/>
                <w14:textFill>
                  <w14:solidFill>
                    <w14:schemeClr w14:val="tx1"/>
                  </w14:solidFill>
                </w14:textFill>
              </w:rPr>
              <w:t>⑥清扫、试压及置换：管道安装完成后，应依次进行清扫、强度实验和严密性试验。本项目管道采用压缩空气吹扫。管道吹扫合格后，进行强度实验和严密性试验，强度实验压力为0.6MPa，严密性试验压力为0.46MPa。</w:t>
            </w:r>
          </w:p>
          <w:p w14:paraId="04B369E2">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000000" w:themeColor="text1"/>
                <w:kern w:val="0"/>
                <w:sz w:val="24"/>
                <w:szCs w:val="24"/>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4"/>
                <w:szCs w:val="24"/>
                <w:lang w:val="en-US" w:eastAsia="zh-CN" w:bidi="ar"/>
                <w14:textFill>
                  <w14:solidFill>
                    <w14:schemeClr w14:val="tx1"/>
                  </w14:solidFill>
                </w14:textFill>
              </w:rPr>
              <w:t>⑦回填：采用原土进行分层回填、压实，并对管沟施工临时占地进行恢复。</w:t>
            </w:r>
          </w:p>
          <w:p w14:paraId="4D3077A2">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000000" w:themeColor="text1"/>
                <w:kern w:val="0"/>
                <w:sz w:val="24"/>
                <w:szCs w:val="24"/>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4"/>
                <w:szCs w:val="24"/>
                <w:lang w:val="en-US" w:eastAsia="zh-CN" w:bidi="ar"/>
                <w14:textFill>
                  <w14:solidFill>
                    <w14:schemeClr w14:val="tx1"/>
                  </w14:solidFill>
                </w14:textFill>
              </w:rPr>
              <w:t>⑧置换：本工程投运前，应采用氮气对管道空气进行置换。氮气置换合格后，再采用天然气对氮气进行置换。</w:t>
            </w:r>
          </w:p>
          <w:p w14:paraId="6944A790">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000000" w:themeColor="text1"/>
                <w:kern w:val="0"/>
                <w:sz w:val="24"/>
                <w:szCs w:val="24"/>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4"/>
                <w:szCs w:val="24"/>
                <w:lang w:val="en-US" w:eastAsia="zh-CN" w:bidi="ar"/>
                <w14:textFill>
                  <w14:solidFill>
                    <w14:schemeClr w14:val="tx1"/>
                  </w14:solidFill>
                </w14:textFill>
              </w:rPr>
              <w:t>⑨示踪线、标志桩、警示牌等附属设施施工安装。</w:t>
            </w:r>
          </w:p>
          <w:p w14:paraId="3B2449B3">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000000" w:themeColor="text1"/>
                <w:kern w:val="0"/>
                <w:sz w:val="24"/>
                <w:szCs w:val="24"/>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4"/>
                <w:szCs w:val="24"/>
                <w:vertAlign w:val="baseline"/>
                <w:lang w:val="en-US" w:eastAsia="zh-CN" w:bidi="ar"/>
                <w14:textFill>
                  <w14:solidFill>
                    <w14:schemeClr w14:val="tx1"/>
                  </w14:solidFill>
                </w14:textFill>
              </w:rPr>
              <w:t>本项目天然气管线沿景区人行道边缘敷设，施工临时占地主要为管沟开挖临时堆土占地，施工结束后进行分层回填，无弃土产生，同时对施工临时占地进行原状恢复。主要产污环节为施工噪声，施工扬尘，建筑垃圾。</w:t>
            </w:r>
          </w:p>
          <w:p w14:paraId="30F5D4BC">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val="0"/>
                <w:bCs w:val="0"/>
                <w:color w:val="000000" w:themeColor="text1"/>
                <w:kern w:val="0"/>
                <w:sz w:val="24"/>
                <w:szCs w:val="24"/>
                <w:lang w:val="en-US" w:eastAsia="zh-CN" w:bidi="ar"/>
                <w14:textFill>
                  <w14:solidFill>
                    <w14:schemeClr w14:val="tx1"/>
                  </w14:solidFill>
                </w14:textFill>
              </w:rPr>
            </w:pPr>
            <w:r>
              <w:rPr>
                <w:rFonts w:hint="default" w:ascii="Times New Roman" w:hAnsi="Times New Roman" w:eastAsia="宋体" w:cs="Times New Roman"/>
                <w:b/>
                <w:bCs/>
                <w:color w:val="000000" w:themeColor="text1"/>
                <w:kern w:val="0"/>
                <w:sz w:val="24"/>
                <w:szCs w:val="24"/>
                <w:vertAlign w:val="baseline"/>
                <w:lang w:val="en-US" w:eastAsia="zh-CN" w:bidi="ar"/>
                <w14:textFill>
                  <w14:solidFill>
                    <w14:schemeClr w14:val="tx1"/>
                  </w14:solidFill>
                </w14:textFill>
              </w:rPr>
              <w:t>2.运营期工艺流程和产排污环节</w:t>
            </w:r>
          </w:p>
          <w:p w14:paraId="5C5C6410">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bCs/>
                <w:color w:val="000000" w:themeColor="text1"/>
                <w:kern w:val="0"/>
                <w:sz w:val="24"/>
                <w:szCs w:val="24"/>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4"/>
                <w:szCs w:val="24"/>
                <w:vertAlign w:val="baseline"/>
                <w:lang w:val="en-US" w:eastAsia="zh-CN" w:bidi="ar"/>
                <w14:textFill>
                  <w14:solidFill>
                    <w14:schemeClr w14:val="tx1"/>
                  </w14:solidFill>
                </w14:textFill>
              </w:rPr>
              <w:t>本项目LNG气化站主要任务是将槽车运输至站内的LNG进行卸气、储存、气化、调压、计量和加臭，最终通过天然气管网输送至在建锅炉房外调压柜，为锅炉提供气源。</w:t>
            </w:r>
          </w:p>
          <w:p w14:paraId="58239AB0">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000000" w:themeColor="text1"/>
                <w:kern w:val="0"/>
                <w:sz w:val="24"/>
                <w:szCs w:val="24"/>
                <w:vertAlign w:val="baseline"/>
                <w:lang w:val="en-US" w:eastAsia="zh-CN" w:bidi="ar"/>
                <w14:textFill>
                  <w14:solidFill>
                    <w14:schemeClr w14:val="tx1"/>
                  </w14:solidFill>
                </w14:textFill>
              </w:rPr>
            </w:pPr>
            <w:r>
              <w:rPr>
                <w:rFonts w:hint="default" w:ascii="Times New Roman" w:hAnsi="Times New Roman" w:eastAsia="宋体" w:cs="Times New Roman"/>
                <w:b/>
                <w:bCs/>
                <w:color w:val="000000" w:themeColor="text1"/>
                <w:kern w:val="0"/>
                <w:sz w:val="24"/>
                <w:szCs w:val="24"/>
                <w:vertAlign w:val="baseline"/>
                <w:lang w:val="en-US" w:eastAsia="zh-CN" w:bidi="ar"/>
                <w14:textFill>
                  <w14:solidFill>
                    <w14:schemeClr w14:val="tx1"/>
                  </w14:solidFill>
                </w14:textFill>
              </w:rPr>
              <w:t>2.1工艺流程</w:t>
            </w:r>
          </w:p>
          <w:p w14:paraId="46EE115A">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（1）外购LNG</w:t>
            </w:r>
          </w:p>
          <w:p w14:paraId="2F2A3610">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4"/>
                <w:szCs w:val="24"/>
                <w:vertAlign w:val="baseline"/>
                <w:lang w:val="en-US" w:eastAsia="zh-CN" w:bidi="ar"/>
                <w14:textFill>
                  <w14:solidFill>
                    <w14:schemeClr w14:val="tx1"/>
                  </w14:solidFill>
                </w14:textFill>
              </w:rPr>
              <w:t>企业拟从陕西燃气集团杨凌液化厂购买LNG，经LNG槽车（56m</w:t>
            </w:r>
            <w:r>
              <w:rPr>
                <w:rFonts w:hint="default" w:ascii="Times New Roman" w:hAnsi="Times New Roman" w:eastAsia="宋体" w:cs="Times New Roman"/>
                <w:b w:val="0"/>
                <w:bCs w:val="0"/>
                <w:color w:val="000000" w:themeColor="text1"/>
                <w:kern w:val="0"/>
                <w:sz w:val="24"/>
                <w:szCs w:val="24"/>
                <w:vertAlign w:val="superscript"/>
                <w:lang w:val="en-US" w:eastAsia="zh-CN" w:bidi="ar"/>
                <w14:textFill>
                  <w14:solidFill>
                    <w14:schemeClr w14:val="tx1"/>
                  </w14:solidFill>
                </w14:textFill>
              </w:rPr>
              <w:t>3</w:t>
            </w:r>
            <w:r>
              <w:rPr>
                <w:rFonts w:hint="default" w:ascii="Times New Roman" w:hAnsi="Times New Roman" w:eastAsia="宋体" w:cs="Times New Roman"/>
                <w:b w:val="0"/>
                <w:bCs w:val="0"/>
                <w:color w:val="000000" w:themeColor="text1"/>
                <w:kern w:val="0"/>
                <w:sz w:val="24"/>
                <w:szCs w:val="24"/>
                <w:vertAlign w:val="baseline"/>
                <w:lang w:val="en-US" w:eastAsia="zh-CN" w:bidi="ar"/>
                <w14:textFill>
                  <w14:solidFill>
                    <w14:schemeClr w14:val="tx1"/>
                  </w14:solidFill>
                </w14:textFill>
              </w:rPr>
              <w:t>）公路运输至本站。</w:t>
            </w:r>
          </w:p>
          <w:p w14:paraId="2EE7BF12">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（2）卸车</w:t>
            </w:r>
          </w:p>
          <w:p w14:paraId="492DB951">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4"/>
                <w:szCs w:val="24"/>
                <w:vertAlign w:val="baseline"/>
                <w:lang w:val="en-US" w:eastAsia="zh-CN" w:bidi="ar"/>
                <w14:textFill>
                  <w14:solidFill>
                    <w14:schemeClr w14:val="tx1"/>
                  </w14:solidFill>
                </w14:textFill>
              </w:rPr>
              <w:t>LNG经槽车运输至本站后，停放于LNG槽车临时停车位，用卸车软管将槽车和卸车台上的气、液两相管道分别连接，依靠站内设置的卸车增压器对槽车进行升压，使槽车与LNG储罐之间形成一定的压差，将液化天然气通过进液管道卸入储罐内暂存。卸车完成后，切换气液相阀门，将槽车罐内残留的气相天然气通过卸车台气相管进行回收。</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此工序产生设备运行噪声。</w:t>
            </w:r>
          </w:p>
          <w:p w14:paraId="3F57AF78">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（3）储存</w:t>
            </w:r>
          </w:p>
          <w:p w14:paraId="720565BE">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本项目LNG储罐区设置2台50m</w:t>
            </w:r>
            <w:r>
              <w:rPr>
                <w:rFonts w:hint="default" w:ascii="Times New Roman" w:hAnsi="Times New Roman" w:eastAsia="宋体" w:cs="Times New Roman"/>
                <w:b w:val="0"/>
                <w:bCs w:val="0"/>
                <w:color w:val="000000" w:themeColor="text1"/>
                <w:sz w:val="24"/>
                <w:szCs w:val="24"/>
                <w:vertAlign w:val="superscript"/>
                <w:lang w:val="en-US" w:eastAsia="zh-CN"/>
                <w14:textFill>
                  <w14:solidFill>
                    <w14:schemeClr w14:val="tx1"/>
                  </w14:solidFill>
                </w14:textFill>
              </w:rPr>
              <w:t>3</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卧式储罐。LNG储罐储存主要考虑运行时储罐压力降低时的增压，以及压力过高时BOG的回收和放散。</w:t>
            </w:r>
          </w:p>
          <w:p w14:paraId="2FC26B9E">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LNG储罐运行时随着罐内LNG的不断排出，压力不断降低。因此需要对LNG储罐进行增压，以维持其压力，保证后续工艺的顺利进行。LNG储罐的自增压是通过储罐与增压器、增压调节阀等组成的一个回路来完成的，当LNG储罐压力（升压调节阀后压力）低于设定压力时，调节阀开启，LNG进入空温式气化器，在气化器中利用大气环境作为热源，与空气换热形成气态天然气（NG），NG通过气相管进入罐内上部气相空间，使气相压力变大，从而将LNG储罐压力升高。</w:t>
            </w:r>
          </w:p>
          <w:p w14:paraId="170FB576">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当LNG储罐压力高于设定压力时，调节阀关闭，空温气化器停止气化，随着罐内LNG的排出，储罐压力下降。通过调节阀的开启和关闭，从而维持LNG储罐压力。储罐气相管设置安全阀，当储罐压力较高时，BOG通过调压进入BOG加热器及调压、计量、加臭</w:t>
            </w:r>
          </w:p>
          <w:p w14:paraId="268208FF">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系统，最终外输至厂区燃气管道。当储罐压力仍很高时，通过安全阀放散。此工序产生设备运行噪声。</w:t>
            </w:r>
          </w:p>
          <w:p w14:paraId="3C8A6493">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（4）气化工艺</w:t>
            </w:r>
          </w:p>
          <w:p w14:paraId="041EB61B">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气化调峰时，由储罐增压器给储罐增压，LNG压力为0.7MPa，将LNG压入空温式气化器，与空气换热后转换成气态NG并升高温度，出口温度低于环境温度10</w:t>
            </w:r>
            <w:r>
              <w:rPr>
                <w:rFonts w:hint="default" w:ascii="Times New Roman" w:hAnsi="Times New Roman" w:eastAsia="宋体" w:cs="Times New Roman"/>
                <w:color w:val="000000" w:themeColor="text1"/>
                <w:sz w:val="24"/>
                <w:szCs w:val="24"/>
                <w14:textFill>
                  <w14:solidFill>
                    <w14:schemeClr w14:val="tx1"/>
                  </w14:solidFill>
                </w14:textFill>
              </w:rPr>
              <w:t>℃</w:t>
            </w:r>
            <w:r>
              <w:rPr>
                <w:rFonts w:hint="default" w:ascii="Times New Roman" w:hAnsi="Times New Roman" w:eastAsia="宋体"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当冬季</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空温式气化器的出口温度达不到5</w:t>
            </w:r>
            <w:r>
              <w:rPr>
                <w:rFonts w:hint="default" w:ascii="Times New Roman" w:hAnsi="Times New Roman" w:eastAsia="宋体" w:cs="Times New Roman"/>
                <w:color w:val="000000" w:themeColor="text1"/>
                <w:sz w:val="24"/>
                <w:szCs w:val="24"/>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以上时，</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气态NG</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经调压计量加臭撬内的水浴式加热器升温达到</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5</w:t>
            </w:r>
            <w:r>
              <w:rPr>
                <w:rFonts w:hint="default" w:ascii="Times New Roman" w:hAnsi="Times New Roman" w:eastAsia="宋体" w:cs="Times New Roman"/>
                <w:color w:val="000000" w:themeColor="text1"/>
                <w:sz w:val="24"/>
                <w:szCs w:val="24"/>
                <w14:textFill>
                  <w14:solidFill>
                    <w14:schemeClr w14:val="tx1"/>
                  </w14:solidFill>
                </w14:textFill>
              </w:rPr>
              <w:t>℃</w:t>
            </w:r>
            <w:r>
              <w:rPr>
                <w:rFonts w:hint="default" w:ascii="Times New Roman" w:hAnsi="Times New Roman" w:eastAsia="宋体"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此工序产生设备运行噪声。</w:t>
            </w:r>
          </w:p>
          <w:p w14:paraId="57C0297F">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（5）调压、计量、加臭</w:t>
            </w:r>
          </w:p>
          <w:p w14:paraId="016A3EA3">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经气化器气化的NG及BOG气体经过调压装置调压后，进入计量装置，计量完成后经过加臭输入厂区天然气管网，出口压力为0.36MPa，设计压力为0.4MPa。此工序产生设备运行噪声。</w:t>
            </w:r>
            <w:r>
              <w:rPr>
                <w:rFonts w:hint="default" w:ascii="Times New Roman" w:hAnsi="Times New Roman" w:eastAsia="宋体" w:cs="Times New Roman"/>
                <w:b w:val="0"/>
                <w:bCs w:val="0"/>
                <w:color w:val="000000" w:themeColor="text1"/>
                <w:kern w:val="0"/>
                <w:sz w:val="24"/>
                <w:szCs w:val="24"/>
                <w:vertAlign w:val="baseline"/>
                <w:lang w:val="en-US" w:eastAsia="zh-CN" w:bidi="ar"/>
                <w14:textFill>
                  <w14:solidFill>
                    <w14:schemeClr w14:val="tx1"/>
                  </w14:solidFill>
                </w14:textFill>
              </w:rPr>
              <w:t>依据《城镇燃气加臭技术规程》（CJJ/T148-2010），采用四氢噻吩作为加臭剂时，常见无毒天然气的加臭剂管网起始端用量为20mg/m</w:t>
            </w:r>
            <w:r>
              <w:rPr>
                <w:rFonts w:hint="default" w:ascii="Times New Roman" w:hAnsi="Times New Roman" w:eastAsia="宋体" w:cs="Times New Roman"/>
                <w:b w:val="0"/>
                <w:bCs w:val="0"/>
                <w:color w:val="000000" w:themeColor="text1"/>
                <w:kern w:val="0"/>
                <w:sz w:val="24"/>
                <w:szCs w:val="24"/>
                <w:vertAlign w:val="superscript"/>
                <w:lang w:val="en-US" w:eastAsia="zh-CN" w:bidi="ar"/>
                <w14:textFill>
                  <w14:solidFill>
                    <w14:schemeClr w14:val="tx1"/>
                  </w14:solidFill>
                </w14:textFill>
              </w:rPr>
              <w:t>3</w:t>
            </w:r>
            <w:r>
              <w:rPr>
                <w:rFonts w:hint="default" w:ascii="Times New Roman" w:hAnsi="Times New Roman" w:eastAsia="宋体" w:cs="Times New Roman"/>
                <w:b w:val="0"/>
                <w:bCs w:val="0"/>
                <w:color w:val="000000" w:themeColor="text1"/>
                <w:kern w:val="0"/>
                <w:sz w:val="24"/>
                <w:szCs w:val="24"/>
                <w:vertAlign w:val="baseline"/>
                <w:lang w:val="en-US" w:eastAsia="zh-CN" w:bidi="ar"/>
                <w14:textFill>
                  <w14:solidFill>
                    <w14:schemeClr w14:val="tx1"/>
                  </w14:solidFill>
                </w14:textFill>
              </w:rPr>
              <w:t>，</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整个添加过程均在密封的环境下进行。</w:t>
            </w:r>
          </w:p>
          <w:p w14:paraId="1959CFCE">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（6）BOG加热器</w:t>
            </w:r>
          </w:p>
          <w:p w14:paraId="4477815F">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BOG（Boil Off Gas）指蒸发天然气，BOG是因为LNG系统漏热产生的蒸发天然气。储罐中的LNG和管道中的LNG都会应系统漏热产生BOG，绝大部分BOG聚集于LNG储罐上部，随着时间推移，系统漏热量逐渐增大，BOG产生量逐渐增多，压力升高，当BOG压力超过系统设定值的时候，超压BOG通过安全阀排出系统，给系统泄压。</w:t>
            </w:r>
          </w:p>
          <w:p w14:paraId="7E19399B">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为了保证安全，工程设置了BOG加热器，用于回收BOG，减少放散量。储罐装有降压调节阀，可根据压力高低自动排出储罐储存期间的BOG。由自动控制的超压排放系统排放至BOG加热器气化，气体升温后进入调压配气区，最终输送至天然气管道。</w:t>
            </w:r>
          </w:p>
          <w:p w14:paraId="65556E9E">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（6）EAG加热器</w:t>
            </w:r>
          </w:p>
          <w:p w14:paraId="07FA3011">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EAG指的是安全放散气体。当储罐系统产生的BOG经BOG加热器回收后，储罐压力仍很高时，通过安全阀放散。</w:t>
            </w:r>
          </w:p>
          <w:p w14:paraId="792B2069">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LNG是以甲烷为主的液态混合物，常压下的沸点为-161.5</w:t>
            </w:r>
            <w:r>
              <w:rPr>
                <w:rFonts w:hint="default" w:ascii="Times New Roman" w:hAnsi="Times New Roman" w:eastAsia="宋体" w:cs="Times New Roman"/>
                <w:color w:val="000000" w:themeColor="text1"/>
                <w:sz w:val="24"/>
                <w:szCs w:val="24"/>
                <w14:textFill>
                  <w14:solidFill>
                    <w14:schemeClr w14:val="tx1"/>
                  </w14:solidFill>
                </w14:textFill>
              </w:rPr>
              <w:t>℃</w:t>
            </w:r>
            <w:r>
              <w:rPr>
                <w:rFonts w:hint="default" w:ascii="Times New Roman" w:hAnsi="Times New Roman" w:eastAsia="宋体"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常压下储存温度为-162.3</w:t>
            </w:r>
            <w:r>
              <w:rPr>
                <w:rFonts w:hint="default" w:ascii="Times New Roman" w:hAnsi="Times New Roman" w:eastAsia="宋体" w:cs="Times New Roman"/>
                <w:color w:val="000000" w:themeColor="text1"/>
                <w:sz w:val="24"/>
                <w:szCs w:val="24"/>
                <w14:textFill>
                  <w14:solidFill>
                    <w14:schemeClr w14:val="tx1"/>
                  </w14:solidFill>
                </w14:textFill>
              </w:rPr>
              <w:t>℃</w:t>
            </w:r>
            <w:r>
              <w:rPr>
                <w:rFonts w:hint="default" w:ascii="Times New Roman" w:hAnsi="Times New Roman" w:eastAsia="宋体"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当LNG气化为气态天然气时，其临界温度为-107</w:t>
            </w:r>
            <w:r>
              <w:rPr>
                <w:rFonts w:hint="default" w:ascii="Times New Roman" w:hAnsi="Times New Roman" w:eastAsia="宋体" w:cs="Times New Roman"/>
                <w:color w:val="000000" w:themeColor="text1"/>
                <w:sz w:val="24"/>
                <w:szCs w:val="24"/>
                <w14:textFill>
                  <w14:solidFill>
                    <w14:schemeClr w14:val="tx1"/>
                  </w14:solidFill>
                </w14:textFill>
              </w:rPr>
              <w:t>℃</w:t>
            </w:r>
            <w:r>
              <w:rPr>
                <w:rFonts w:hint="default" w:ascii="Times New Roman" w:hAnsi="Times New Roman" w:eastAsia="宋体"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按甲烷），当气态天然气温度高于-107</w:t>
            </w:r>
            <w:r>
              <w:rPr>
                <w:rFonts w:hint="default" w:ascii="Times New Roman" w:hAnsi="Times New Roman" w:eastAsia="宋体" w:cs="Times New Roman"/>
                <w:color w:val="000000" w:themeColor="text1"/>
                <w:sz w:val="24"/>
                <w:szCs w:val="24"/>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时，气态天然气比空气轻，将从放散口上升飘走，当气态天然气温度低于-107</w:t>
            </w:r>
            <w:r>
              <w:rPr>
                <w:rFonts w:hint="default" w:ascii="Times New Roman" w:hAnsi="Times New Roman" w:eastAsia="宋体" w:cs="Times New Roman"/>
                <w:color w:val="000000" w:themeColor="text1"/>
                <w:sz w:val="24"/>
                <w:szCs w:val="24"/>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时，气态天然气比空气重，低温气态天然气将从放散口向下聚集，与空气形成可燃性爆炸物。为了防止安全放散口的低温气态天然气向下聚集与空气形成可燃性爆炸物，本工程设置了1台空温式</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EAG（</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安全放散气体）加热器，放散气体先通过</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EAG加热器加热，使其密度小于空气，然后经一根10m高集中放散管高空排放。</w:t>
            </w:r>
          </w:p>
          <w:p w14:paraId="4A0E5C29">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工艺流程及产排污环节示意图见图2-1。</w:t>
            </w:r>
          </w:p>
          <w:p w14:paraId="5D391F5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drawing>
                <wp:inline distT="0" distB="0" distL="114300" distR="114300">
                  <wp:extent cx="5939790" cy="1911985"/>
                  <wp:effectExtent l="0" t="0" r="3810" b="12065"/>
                  <wp:docPr id="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9"/>
                          <pic:cNvPicPr>
                            <a:picLocks noChangeAspect="1"/>
                          </pic:cNvPicPr>
                        </pic:nvPicPr>
                        <pic:blipFill>
                          <a:blip r:embed="rId7"/>
                          <a:srcRect l="6666" r="3216"/>
                          <a:stretch>
                            <a:fillRect/>
                          </a:stretch>
                        </pic:blipFill>
                        <pic:spPr>
                          <a:xfrm>
                            <a:off x="0" y="0"/>
                            <a:ext cx="5939790" cy="1911985"/>
                          </a:xfrm>
                          <a:prstGeom prst="rect">
                            <a:avLst/>
                          </a:prstGeom>
                          <a:noFill/>
                          <a:ln>
                            <a:noFill/>
                          </a:ln>
                        </pic:spPr>
                      </pic:pic>
                    </a:graphicData>
                  </a:graphic>
                </wp:inline>
              </w:drawing>
            </w:r>
          </w:p>
          <w:p w14:paraId="1AB199E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
                <w:bCs/>
                <w:color w:val="000000" w:themeColor="text1"/>
                <w:kern w:val="0"/>
                <w:sz w:val="21"/>
                <w:szCs w:val="21"/>
                <w:lang w:val="en-US" w:eastAsia="zh-CN" w:bidi="ar"/>
                <w14:textFill>
                  <w14:solidFill>
                    <w14:schemeClr w14:val="tx1"/>
                  </w14:solidFill>
                </w14:textFill>
              </w:rPr>
              <w:t>图2-2   气化站运营期工艺流程及产排污环节示意图</w:t>
            </w:r>
          </w:p>
          <w:p w14:paraId="3DC47D73">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2.2产排污环节</w:t>
            </w:r>
          </w:p>
          <w:p w14:paraId="1AC5904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表2-6   产排污环节一览表</w:t>
            </w:r>
          </w:p>
          <w:tbl>
            <w:tblPr>
              <w:tblStyle w:val="17"/>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93"/>
              <w:gridCol w:w="1797"/>
              <w:gridCol w:w="1812"/>
              <w:gridCol w:w="3285"/>
              <w:gridCol w:w="1188"/>
            </w:tblGrid>
            <w:tr w14:paraId="340804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3" w:type="pct"/>
                  <w:vAlign w:val="center"/>
                </w:tcPr>
                <w:p w14:paraId="4E7E380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t>污染因素</w:t>
                  </w:r>
                </w:p>
              </w:tc>
              <w:tc>
                <w:tcPr>
                  <w:tcW w:w="968" w:type="pct"/>
                  <w:vAlign w:val="center"/>
                </w:tcPr>
                <w:p w14:paraId="764EEA5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t>产污环节</w:t>
                  </w:r>
                </w:p>
              </w:tc>
              <w:tc>
                <w:tcPr>
                  <w:tcW w:w="976" w:type="pct"/>
                  <w:vAlign w:val="center"/>
                </w:tcPr>
                <w:p w14:paraId="4F9346F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t>污染因子</w:t>
                  </w:r>
                </w:p>
              </w:tc>
              <w:tc>
                <w:tcPr>
                  <w:tcW w:w="1770" w:type="pct"/>
                  <w:vAlign w:val="center"/>
                </w:tcPr>
                <w:p w14:paraId="0C7EA1F4">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t>治理措施</w:t>
                  </w:r>
                </w:p>
              </w:tc>
              <w:tc>
                <w:tcPr>
                  <w:tcW w:w="640" w:type="pct"/>
                  <w:vAlign w:val="center"/>
                </w:tcPr>
                <w:p w14:paraId="374903D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t>排放方式</w:t>
                  </w:r>
                </w:p>
              </w:tc>
            </w:tr>
            <w:tr w14:paraId="05E2D6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 w:hRule="atLeast"/>
              </w:trPr>
              <w:tc>
                <w:tcPr>
                  <w:tcW w:w="643" w:type="pct"/>
                  <w:vMerge w:val="restart"/>
                  <w:vAlign w:val="center"/>
                </w:tcPr>
                <w:p w14:paraId="4306CC2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废气</w:t>
                  </w:r>
                </w:p>
              </w:tc>
              <w:tc>
                <w:tcPr>
                  <w:tcW w:w="968" w:type="pct"/>
                  <w:vAlign w:val="center"/>
                </w:tcPr>
                <w:p w14:paraId="1053304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系统漏热、</w:t>
                  </w: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容器进出料压力变化产生BOG</w:t>
                  </w:r>
                </w:p>
              </w:tc>
              <w:tc>
                <w:tcPr>
                  <w:tcW w:w="976" w:type="pct"/>
                  <w:vAlign w:val="center"/>
                </w:tcPr>
                <w:p w14:paraId="22236241">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非甲烷总烃</w:t>
                  </w:r>
                </w:p>
              </w:tc>
              <w:tc>
                <w:tcPr>
                  <w:tcW w:w="1770" w:type="pct"/>
                  <w:vAlign w:val="center"/>
                </w:tcPr>
                <w:p w14:paraId="4E54B61C">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经BOG加热器加热升温后回收至天然气管道</w:t>
                  </w:r>
                </w:p>
              </w:tc>
              <w:tc>
                <w:tcPr>
                  <w:tcW w:w="640" w:type="pct"/>
                  <w:vAlign w:val="center"/>
                </w:tcPr>
                <w:p w14:paraId="0B158B1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不排放</w:t>
                  </w:r>
                </w:p>
              </w:tc>
            </w:tr>
            <w:tr w14:paraId="39B276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 w:hRule="atLeast"/>
              </w:trPr>
              <w:tc>
                <w:tcPr>
                  <w:tcW w:w="643" w:type="pct"/>
                  <w:vMerge w:val="continue"/>
                  <w:vAlign w:val="center"/>
                </w:tcPr>
                <w:p w14:paraId="2316829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14:textFill>
                        <w14:solidFill>
                          <w14:schemeClr w14:val="tx1"/>
                        </w14:solidFill>
                      </w14:textFill>
                    </w:rPr>
                  </w:pPr>
                </w:p>
              </w:tc>
              <w:tc>
                <w:tcPr>
                  <w:tcW w:w="968" w:type="pct"/>
                  <w:vAlign w:val="center"/>
                </w:tcPr>
                <w:p w14:paraId="308942BB">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储罐超压放散</w:t>
                  </w:r>
                </w:p>
              </w:tc>
              <w:tc>
                <w:tcPr>
                  <w:tcW w:w="976" w:type="pct"/>
                  <w:vAlign w:val="center"/>
                </w:tcPr>
                <w:p w14:paraId="6865112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非甲烷总烃</w:t>
                  </w:r>
                </w:p>
              </w:tc>
              <w:tc>
                <w:tcPr>
                  <w:tcW w:w="1770" w:type="pct"/>
                  <w:vAlign w:val="center"/>
                </w:tcPr>
                <w:p w14:paraId="293A579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经EAG加热器加热后，经1根10m高放散管排放</w:t>
                  </w:r>
                </w:p>
              </w:tc>
              <w:tc>
                <w:tcPr>
                  <w:tcW w:w="640" w:type="pct"/>
                  <w:vAlign w:val="center"/>
                </w:tcPr>
                <w:p w14:paraId="475B172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w:t>
                  </w:r>
                </w:p>
              </w:tc>
            </w:tr>
            <w:tr w14:paraId="764C39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trPr>
              <w:tc>
                <w:tcPr>
                  <w:tcW w:w="643" w:type="pct"/>
                  <w:vAlign w:val="center"/>
                </w:tcPr>
                <w:p w14:paraId="7B237DF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废水</w:t>
                  </w:r>
                </w:p>
              </w:tc>
              <w:tc>
                <w:tcPr>
                  <w:tcW w:w="968" w:type="pct"/>
                  <w:vAlign w:val="center"/>
                </w:tcPr>
                <w:p w14:paraId="182821E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生活污水</w:t>
                  </w:r>
                </w:p>
              </w:tc>
              <w:tc>
                <w:tcPr>
                  <w:tcW w:w="976" w:type="pct"/>
                  <w:vAlign w:val="center"/>
                </w:tcPr>
                <w:p w14:paraId="2AAECD4F">
                  <w:pPr>
                    <w:keepNext w:val="0"/>
                    <w:keepLines w:val="0"/>
                    <w:widowControl/>
                    <w:suppressLineNumbers w:val="0"/>
                    <w:jc w:val="left"/>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0"/>
                      <w:szCs w:val="20"/>
                      <w:lang w:val="en-US" w:eastAsia="zh-CN" w:bidi="ar"/>
                      <w14:textFill>
                        <w14:solidFill>
                          <w14:schemeClr w14:val="tx1"/>
                        </w14:solidFill>
                      </w14:textFill>
                    </w:rPr>
                    <w:t>化学需氧量、氨 氮、总氮、总磷</w:t>
                  </w:r>
                </w:p>
              </w:tc>
              <w:tc>
                <w:tcPr>
                  <w:tcW w:w="1770" w:type="pct"/>
                  <w:vAlign w:val="center"/>
                </w:tcPr>
                <w:p w14:paraId="5EF82B4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依托站区北侧公共卫生间</w:t>
                  </w:r>
                </w:p>
              </w:tc>
              <w:tc>
                <w:tcPr>
                  <w:tcW w:w="640" w:type="pct"/>
                  <w:vAlign w:val="center"/>
                </w:tcPr>
                <w:p w14:paraId="797BC27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间接排放</w:t>
                  </w:r>
                </w:p>
              </w:tc>
            </w:tr>
            <w:tr w14:paraId="1396CB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43" w:type="pct"/>
                  <w:vAlign w:val="center"/>
                </w:tcPr>
                <w:p w14:paraId="351FD33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噪声</w:t>
                  </w:r>
                </w:p>
              </w:tc>
              <w:tc>
                <w:tcPr>
                  <w:tcW w:w="968" w:type="pct"/>
                  <w:vAlign w:val="center"/>
                </w:tcPr>
                <w:p w14:paraId="58EBF64B">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生产设备</w:t>
                  </w:r>
                </w:p>
              </w:tc>
              <w:tc>
                <w:tcPr>
                  <w:tcW w:w="976" w:type="pct"/>
                  <w:vAlign w:val="center"/>
                </w:tcPr>
                <w:p w14:paraId="092FF1A4">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等效连续A声级</w:t>
                  </w:r>
                </w:p>
              </w:tc>
              <w:tc>
                <w:tcPr>
                  <w:tcW w:w="1770" w:type="pct"/>
                  <w:vAlign w:val="center"/>
                </w:tcPr>
                <w:p w14:paraId="0CA2929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选用低噪声设备、基础减振</w:t>
                  </w:r>
                </w:p>
              </w:tc>
              <w:tc>
                <w:tcPr>
                  <w:tcW w:w="640" w:type="pct"/>
                  <w:vAlign w:val="center"/>
                </w:tcPr>
                <w:p w14:paraId="627B411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w:t>
                  </w:r>
                </w:p>
              </w:tc>
            </w:tr>
            <w:tr w14:paraId="42D716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43" w:type="pct"/>
                  <w:vAlign w:val="center"/>
                </w:tcPr>
                <w:p w14:paraId="2496CDCB">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固废</w:t>
                  </w:r>
                </w:p>
              </w:tc>
              <w:tc>
                <w:tcPr>
                  <w:tcW w:w="968" w:type="pct"/>
                  <w:vAlign w:val="center"/>
                </w:tcPr>
                <w:p w14:paraId="3B8B116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职工生活</w:t>
                  </w:r>
                </w:p>
              </w:tc>
              <w:tc>
                <w:tcPr>
                  <w:tcW w:w="976" w:type="pct"/>
                  <w:vAlign w:val="center"/>
                </w:tcPr>
                <w:p w14:paraId="74931F6B">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生活垃圾</w:t>
                  </w:r>
                </w:p>
              </w:tc>
              <w:tc>
                <w:tcPr>
                  <w:tcW w:w="1770" w:type="pct"/>
                  <w:vAlign w:val="center"/>
                </w:tcPr>
                <w:p w14:paraId="622704C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分类收集后委托环卫部门清远</w:t>
                  </w:r>
                </w:p>
              </w:tc>
              <w:tc>
                <w:tcPr>
                  <w:tcW w:w="640" w:type="pct"/>
                  <w:vAlign w:val="center"/>
                </w:tcPr>
                <w:p w14:paraId="4A8D8E6A">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w:t>
                  </w:r>
                </w:p>
              </w:tc>
            </w:tr>
          </w:tbl>
          <w:p w14:paraId="0CEA5D6E">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color w:val="000000" w:themeColor="text1"/>
                <w:kern w:val="0"/>
                <w:sz w:val="24"/>
                <w:szCs w:val="24"/>
                <w:vertAlign w:val="baseline"/>
                <w:lang w:val="en-US" w:eastAsia="zh-CN" w:bidi="ar"/>
                <w14:textFill>
                  <w14:solidFill>
                    <w14:schemeClr w14:val="tx1"/>
                  </w14:solidFill>
                </w14:textFill>
              </w:rPr>
            </w:pPr>
          </w:p>
        </w:tc>
      </w:tr>
      <w:tr w14:paraId="1D70017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71" w:type="pct"/>
            <w:tcBorders>
              <w:tl2br w:val="nil"/>
              <w:tr2bl w:val="nil"/>
            </w:tcBorders>
            <w:vAlign w:val="center"/>
          </w:tcPr>
          <w:p w14:paraId="3122724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000000" w:themeColor="text1"/>
                <w:sz w:val="24"/>
                <w:szCs w:val="24"/>
                <w14:textFill>
                  <w14:solidFill>
                    <w14:schemeClr w14:val="tx1"/>
                  </w14:solidFill>
                </w14:textFill>
              </w:rPr>
            </w:pPr>
            <w:r>
              <w:rPr>
                <w:rFonts w:hint="default" w:ascii="Times New Roman" w:hAnsi="Times New Roman" w:eastAsia="宋体" w:cs="Times New Roman"/>
                <w:b/>
                <w:bCs/>
                <w:color w:val="000000" w:themeColor="text1"/>
                <w:kern w:val="0"/>
                <w:sz w:val="24"/>
                <w:szCs w:val="24"/>
                <w:lang w:val="en-US" w:eastAsia="zh-CN" w:bidi="ar"/>
                <w14:textFill>
                  <w14:solidFill>
                    <w14:schemeClr w14:val="tx1"/>
                  </w14:solidFill>
                </w14:textFill>
              </w:rPr>
              <w:t>与项</w:t>
            </w:r>
          </w:p>
          <w:p w14:paraId="282156FD">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000000" w:themeColor="text1"/>
                <w:sz w:val="24"/>
                <w:szCs w:val="24"/>
                <w14:textFill>
                  <w14:solidFill>
                    <w14:schemeClr w14:val="tx1"/>
                  </w14:solidFill>
                </w14:textFill>
              </w:rPr>
            </w:pPr>
            <w:r>
              <w:rPr>
                <w:rFonts w:hint="default" w:ascii="Times New Roman" w:hAnsi="Times New Roman" w:eastAsia="宋体" w:cs="Times New Roman"/>
                <w:b/>
                <w:bCs/>
                <w:color w:val="000000" w:themeColor="text1"/>
                <w:kern w:val="0"/>
                <w:sz w:val="24"/>
                <w:szCs w:val="24"/>
                <w:lang w:val="en-US" w:eastAsia="zh-CN" w:bidi="ar"/>
                <w14:textFill>
                  <w14:solidFill>
                    <w14:schemeClr w14:val="tx1"/>
                  </w14:solidFill>
                </w14:textFill>
              </w:rPr>
              <w:t>目有</w:t>
            </w:r>
          </w:p>
          <w:p w14:paraId="0BC96EA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000000" w:themeColor="text1"/>
                <w:sz w:val="24"/>
                <w:szCs w:val="24"/>
                <w14:textFill>
                  <w14:solidFill>
                    <w14:schemeClr w14:val="tx1"/>
                  </w14:solidFill>
                </w14:textFill>
              </w:rPr>
            </w:pPr>
            <w:r>
              <w:rPr>
                <w:rFonts w:hint="default" w:ascii="Times New Roman" w:hAnsi="Times New Roman" w:eastAsia="宋体" w:cs="Times New Roman"/>
                <w:b/>
                <w:bCs/>
                <w:color w:val="000000" w:themeColor="text1"/>
                <w:kern w:val="0"/>
                <w:sz w:val="24"/>
                <w:szCs w:val="24"/>
                <w:lang w:val="en-US" w:eastAsia="zh-CN" w:bidi="ar"/>
                <w14:textFill>
                  <w14:solidFill>
                    <w14:schemeClr w14:val="tx1"/>
                  </w14:solidFill>
                </w14:textFill>
              </w:rPr>
              <w:t>关的</w:t>
            </w:r>
          </w:p>
          <w:p w14:paraId="206EE94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000000" w:themeColor="text1"/>
                <w:sz w:val="24"/>
                <w:szCs w:val="24"/>
                <w14:textFill>
                  <w14:solidFill>
                    <w14:schemeClr w14:val="tx1"/>
                  </w14:solidFill>
                </w14:textFill>
              </w:rPr>
            </w:pPr>
            <w:r>
              <w:rPr>
                <w:rFonts w:hint="default" w:ascii="Times New Roman" w:hAnsi="Times New Roman" w:eastAsia="宋体" w:cs="Times New Roman"/>
                <w:b/>
                <w:bCs/>
                <w:color w:val="000000" w:themeColor="text1"/>
                <w:kern w:val="0"/>
                <w:sz w:val="24"/>
                <w:szCs w:val="24"/>
                <w:lang w:val="en-US" w:eastAsia="zh-CN" w:bidi="ar"/>
                <w14:textFill>
                  <w14:solidFill>
                    <w14:schemeClr w14:val="tx1"/>
                  </w14:solidFill>
                </w14:textFill>
              </w:rPr>
              <w:t>原有</w:t>
            </w:r>
          </w:p>
          <w:p w14:paraId="0628270B">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000000" w:themeColor="text1"/>
                <w:sz w:val="24"/>
                <w:szCs w:val="24"/>
                <w14:textFill>
                  <w14:solidFill>
                    <w14:schemeClr w14:val="tx1"/>
                  </w14:solidFill>
                </w14:textFill>
              </w:rPr>
            </w:pPr>
            <w:r>
              <w:rPr>
                <w:rFonts w:hint="default" w:ascii="Times New Roman" w:hAnsi="Times New Roman" w:eastAsia="宋体" w:cs="Times New Roman"/>
                <w:b/>
                <w:bCs/>
                <w:color w:val="000000" w:themeColor="text1"/>
                <w:kern w:val="0"/>
                <w:sz w:val="24"/>
                <w:szCs w:val="24"/>
                <w:lang w:val="en-US" w:eastAsia="zh-CN" w:bidi="ar"/>
                <w14:textFill>
                  <w14:solidFill>
                    <w14:schemeClr w14:val="tx1"/>
                  </w14:solidFill>
                </w14:textFill>
              </w:rPr>
              <w:t>环境</w:t>
            </w:r>
          </w:p>
          <w:p w14:paraId="7E30C29C">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000000" w:themeColor="text1"/>
                <w:sz w:val="24"/>
                <w:szCs w:val="24"/>
                <w14:textFill>
                  <w14:solidFill>
                    <w14:schemeClr w14:val="tx1"/>
                  </w14:solidFill>
                </w14:textFill>
              </w:rPr>
            </w:pPr>
            <w:r>
              <w:rPr>
                <w:rFonts w:hint="default" w:ascii="Times New Roman" w:hAnsi="Times New Roman" w:eastAsia="宋体" w:cs="Times New Roman"/>
                <w:b/>
                <w:bCs/>
                <w:color w:val="000000" w:themeColor="text1"/>
                <w:kern w:val="0"/>
                <w:sz w:val="24"/>
                <w:szCs w:val="24"/>
                <w:lang w:val="en-US" w:eastAsia="zh-CN" w:bidi="ar"/>
                <w14:textFill>
                  <w14:solidFill>
                    <w14:schemeClr w14:val="tx1"/>
                  </w14:solidFill>
                </w14:textFill>
              </w:rPr>
              <w:t>污染</w:t>
            </w:r>
          </w:p>
          <w:p w14:paraId="7216CFA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000000" w:themeColor="text1"/>
                <w:kern w:val="0"/>
                <w:sz w:val="24"/>
                <w:szCs w:val="24"/>
                <w:vertAlign w:val="baseline"/>
                <w:lang w:val="en-US" w:eastAsia="zh-CN" w:bidi="ar"/>
                <w14:textFill>
                  <w14:solidFill>
                    <w14:schemeClr w14:val="tx1"/>
                  </w14:solidFill>
                </w14:textFill>
              </w:rPr>
            </w:pPr>
            <w:r>
              <w:rPr>
                <w:rFonts w:hint="default" w:ascii="Times New Roman" w:hAnsi="Times New Roman" w:eastAsia="宋体" w:cs="Times New Roman"/>
                <w:b/>
                <w:bCs/>
                <w:color w:val="000000" w:themeColor="text1"/>
                <w:kern w:val="0"/>
                <w:sz w:val="24"/>
                <w:szCs w:val="24"/>
                <w:lang w:val="en-US" w:eastAsia="zh-CN" w:bidi="ar"/>
                <w14:textFill>
                  <w14:solidFill>
                    <w14:schemeClr w14:val="tx1"/>
                  </w14:solidFill>
                </w14:textFill>
              </w:rPr>
              <w:t>问题</w:t>
            </w:r>
          </w:p>
        </w:tc>
        <w:tc>
          <w:tcPr>
            <w:tcW w:w="4728" w:type="pct"/>
            <w:tcBorders>
              <w:tl2br w:val="nil"/>
              <w:tr2bl w:val="nil"/>
            </w:tcBorders>
            <w:vAlign w:val="top"/>
          </w:tcPr>
          <w:p w14:paraId="2FC71C48">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000000" w:themeColor="text1"/>
                <w:kern w:val="0"/>
                <w:sz w:val="24"/>
                <w:szCs w:val="24"/>
                <w:u w:val="none"/>
                <w:lang w:val="en-US" w:eastAsia="zh-CN" w:bidi="ar"/>
                <w14:textFill>
                  <w14:solidFill>
                    <w14:schemeClr w14:val="tx1"/>
                  </w14:solidFill>
                </w14:textFill>
              </w:rPr>
            </w:pPr>
            <w:r>
              <w:rPr>
                <w:rFonts w:hint="default" w:ascii="Times New Roman" w:hAnsi="Times New Roman" w:eastAsia="宋体" w:cs="Times New Roman"/>
                <w:b/>
                <w:bCs/>
                <w:color w:val="000000" w:themeColor="text1"/>
                <w:kern w:val="0"/>
                <w:sz w:val="24"/>
                <w:szCs w:val="24"/>
                <w:u w:val="none"/>
                <w:lang w:val="en-US" w:eastAsia="zh-CN" w:bidi="ar"/>
                <w14:textFill>
                  <w14:solidFill>
                    <w14:schemeClr w14:val="tx1"/>
                  </w14:solidFill>
                </w14:textFill>
              </w:rPr>
              <w:t>1.现有工程环保手续履行情况</w:t>
            </w:r>
          </w:p>
          <w:p w14:paraId="25A4AB0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bCs/>
                <w:color w:val="000000" w:themeColor="text1"/>
                <w:kern w:val="0"/>
                <w:sz w:val="21"/>
                <w:szCs w:val="21"/>
                <w:u w:val="none"/>
                <w:vertAlign w:val="baseline"/>
                <w:lang w:val="en-US" w:eastAsia="zh-CN" w:bidi="ar"/>
                <w14:textFill>
                  <w14:solidFill>
                    <w14:schemeClr w14:val="tx1"/>
                  </w14:solidFill>
                </w14:textFill>
              </w:rPr>
            </w:pPr>
            <w:r>
              <w:rPr>
                <w:rFonts w:hint="default" w:ascii="Times New Roman" w:hAnsi="Times New Roman" w:eastAsia="宋体" w:cs="Times New Roman"/>
                <w:b/>
                <w:bCs/>
                <w:color w:val="000000" w:themeColor="text1"/>
                <w:kern w:val="0"/>
                <w:sz w:val="21"/>
                <w:szCs w:val="21"/>
                <w:u w:val="none"/>
                <w:lang w:val="en-US" w:eastAsia="zh-CN" w:bidi="ar"/>
                <w14:textFill>
                  <w14:solidFill>
                    <w14:schemeClr w14:val="tx1"/>
                  </w14:solidFill>
                </w14:textFill>
              </w:rPr>
              <w:t>表2-7   现有工程环保手续履行情况一览表</w:t>
            </w:r>
          </w:p>
          <w:tbl>
            <w:tblPr>
              <w:tblStyle w:val="1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98"/>
              <w:gridCol w:w="2500"/>
              <w:gridCol w:w="2840"/>
              <w:gridCol w:w="2270"/>
            </w:tblGrid>
            <w:tr w14:paraId="7F8A2B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98" w:type="dxa"/>
                  <w:vAlign w:val="center"/>
                </w:tcPr>
                <w:p w14:paraId="6AB14EC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u w:val="none"/>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u w:val="none"/>
                      <w:lang w:val="en-US" w:eastAsia="zh-CN" w:bidi="ar"/>
                      <w14:textFill>
                        <w14:solidFill>
                          <w14:schemeClr w14:val="tx1"/>
                        </w14:solidFill>
                      </w14:textFill>
                    </w:rPr>
                    <w:t>现有工程名称</w:t>
                  </w:r>
                </w:p>
              </w:tc>
              <w:tc>
                <w:tcPr>
                  <w:tcW w:w="2500" w:type="dxa"/>
                  <w:vAlign w:val="center"/>
                </w:tcPr>
                <w:p w14:paraId="6FC9E91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u w:val="none"/>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u w:val="none"/>
                      <w:vertAlign w:val="baseline"/>
                      <w:lang w:val="en-US" w:eastAsia="zh-CN" w:bidi="ar"/>
                      <w14:textFill>
                        <w14:solidFill>
                          <w14:schemeClr w14:val="tx1"/>
                        </w14:solidFill>
                      </w14:textFill>
                    </w:rPr>
                    <w:t>环境影响评价情况</w:t>
                  </w:r>
                </w:p>
              </w:tc>
              <w:tc>
                <w:tcPr>
                  <w:tcW w:w="2840" w:type="dxa"/>
                  <w:vAlign w:val="center"/>
                </w:tcPr>
                <w:p w14:paraId="0374891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u w:val="none"/>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u w:val="none"/>
                      <w:vertAlign w:val="baseline"/>
                      <w:lang w:val="en-US" w:eastAsia="zh-CN" w:bidi="ar"/>
                      <w14:textFill>
                        <w14:solidFill>
                          <w14:schemeClr w14:val="tx1"/>
                        </w14:solidFill>
                      </w14:textFill>
                    </w:rPr>
                    <w:t>竣工环境保护验收情况</w:t>
                  </w:r>
                </w:p>
              </w:tc>
              <w:tc>
                <w:tcPr>
                  <w:tcW w:w="2270" w:type="dxa"/>
                  <w:vAlign w:val="center"/>
                </w:tcPr>
                <w:p w14:paraId="1A999FD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u w:val="none"/>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u w:val="none"/>
                      <w:vertAlign w:val="baseline"/>
                      <w:lang w:val="en-US" w:eastAsia="zh-CN" w:bidi="ar"/>
                      <w14:textFill>
                        <w14:solidFill>
                          <w14:schemeClr w14:val="tx1"/>
                        </w14:solidFill>
                      </w14:textFill>
                    </w:rPr>
                    <w:t>排污许可情况</w:t>
                  </w:r>
                </w:p>
              </w:tc>
            </w:tr>
            <w:tr w14:paraId="5EC448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98" w:type="dxa"/>
                  <w:vAlign w:val="center"/>
                </w:tcPr>
                <w:p w14:paraId="09B363A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u w:val="none"/>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u w:val="none"/>
                      <w:vertAlign w:val="baseline"/>
                      <w:lang w:val="en-US" w:eastAsia="zh-CN" w:bidi="ar"/>
                      <w14:textFill>
                        <w14:solidFill>
                          <w14:schemeClr w14:val="tx1"/>
                        </w14:solidFill>
                      </w14:textFill>
                    </w:rPr>
                    <w:t>陕西九龙山旅游开发有限公司九龙山景区开发建设项目</w:t>
                  </w:r>
                </w:p>
              </w:tc>
              <w:tc>
                <w:tcPr>
                  <w:tcW w:w="2500" w:type="dxa"/>
                  <w:vAlign w:val="center"/>
                </w:tcPr>
                <w:p w14:paraId="6CB97AD4">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u w:val="none"/>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u w:val="none"/>
                      <w:vertAlign w:val="baseline"/>
                      <w:lang w:val="en-US" w:eastAsia="zh-CN" w:bidi="ar"/>
                      <w14:textFill>
                        <w14:solidFill>
                          <w14:schemeClr w14:val="tx1"/>
                        </w14:solidFill>
                      </w14:textFill>
                    </w:rPr>
                    <w:t>2016年10月24日取得原宝鸡市环境保护局《关于九龙山景区开发建设项目环境影响报告书的批复》（宝市环函〔2016〕456号）</w:t>
                  </w:r>
                </w:p>
              </w:tc>
              <w:tc>
                <w:tcPr>
                  <w:tcW w:w="2840" w:type="dxa"/>
                  <w:vAlign w:val="center"/>
                </w:tcPr>
                <w:p w14:paraId="7088986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u w:val="none"/>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u w:val="none"/>
                      <w:vertAlign w:val="baseline"/>
                      <w:lang w:val="en-US" w:eastAsia="zh-CN" w:bidi="ar"/>
                      <w14:textFill>
                        <w14:solidFill>
                          <w14:schemeClr w14:val="tx1"/>
                        </w14:solidFill>
                      </w14:textFill>
                    </w:rPr>
                    <w:t>2019年4月通过九龙山景区开发建设项目（水、气、声、生态）自主验收；2019年7月15日取得宝鸡市生态环境局《关于九龙山景区开发建设项目固体废物污染防治设施验收的批复》（宝市环函</w:t>
                  </w:r>
                  <w:r>
                    <w:rPr>
                      <w:rFonts w:hint="default" w:ascii="Times New Roman" w:hAnsi="Times New Roman" w:eastAsia="宋体" w:cs="Times New Roman"/>
                      <w:b w:val="0"/>
                      <w:bCs w:val="0"/>
                      <w:color w:val="000000" w:themeColor="text1"/>
                      <w:kern w:val="0"/>
                      <w:sz w:val="21"/>
                      <w:szCs w:val="21"/>
                      <w:u w:val="none"/>
                      <w:lang w:val="en-US" w:eastAsia="zh-CN" w:bidi="ar"/>
                      <w14:textFill>
                        <w14:solidFill>
                          <w14:schemeClr w14:val="tx1"/>
                        </w14:solidFill>
                      </w14:textFill>
                    </w:rPr>
                    <w:t>〔2019〕293号）</w:t>
                  </w:r>
                </w:p>
              </w:tc>
              <w:tc>
                <w:tcPr>
                  <w:tcW w:w="2270" w:type="dxa"/>
                  <w:vMerge w:val="restart"/>
                  <w:vAlign w:val="center"/>
                </w:tcPr>
                <w:p w14:paraId="7A4814E4">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u w:val="none"/>
                      <w:vertAlign w:val="baseline"/>
                      <w:lang w:val="en-US" w:eastAsia="zh-CN" w:bidi="ar"/>
                      <w14:textFill>
                        <w14:solidFill>
                          <w14:schemeClr w14:val="tx1"/>
                        </w14:solidFill>
                      </w14:textFill>
                    </w:rPr>
                  </w:pPr>
                  <w:r>
                    <w:rPr>
                      <w:rFonts w:hint="default" w:ascii="Times New Roman" w:hAnsi="Times New Roman" w:eastAsia="宋体" w:cs="Times New Roman"/>
                      <w:i w:val="0"/>
                      <w:iCs w:val="0"/>
                      <w:caps w:val="0"/>
                      <w:color w:val="000000" w:themeColor="text1"/>
                      <w:spacing w:val="0"/>
                      <w:sz w:val="21"/>
                      <w:szCs w:val="21"/>
                      <w:shd w:val="clear" w:fill="FFFFFF"/>
                      <w14:textFill>
                        <w14:solidFill>
                          <w14:schemeClr w14:val="tx1"/>
                        </w14:solidFill>
                      </w14:textFill>
                    </w:rPr>
                    <w:t>2020</w:t>
                  </w:r>
                  <w:r>
                    <w:rPr>
                      <w:rFonts w:hint="default" w:ascii="Times New Roman" w:hAnsi="Times New Roman" w:eastAsia="宋体" w:cs="Times New Roman"/>
                      <w:i w:val="0"/>
                      <w:iCs w:val="0"/>
                      <w:caps w:val="0"/>
                      <w:color w:val="000000" w:themeColor="text1"/>
                      <w:spacing w:val="0"/>
                      <w:sz w:val="21"/>
                      <w:szCs w:val="21"/>
                      <w:shd w:val="clear" w:fill="FFFFFF"/>
                      <w:lang w:val="en-US" w:eastAsia="zh-CN"/>
                      <w14:textFill>
                        <w14:solidFill>
                          <w14:schemeClr w14:val="tx1"/>
                        </w14:solidFill>
                      </w14:textFill>
                    </w:rPr>
                    <w:t>年1月</w:t>
                  </w:r>
                  <w:r>
                    <w:rPr>
                      <w:rFonts w:hint="default" w:ascii="Times New Roman" w:hAnsi="Times New Roman" w:eastAsia="宋体" w:cs="Times New Roman"/>
                      <w:i w:val="0"/>
                      <w:iCs w:val="0"/>
                      <w:caps w:val="0"/>
                      <w:color w:val="000000" w:themeColor="text1"/>
                      <w:spacing w:val="0"/>
                      <w:sz w:val="21"/>
                      <w:szCs w:val="21"/>
                      <w:shd w:val="clear" w:fill="FFFFFF"/>
                      <w14:textFill>
                        <w14:solidFill>
                          <w14:schemeClr w14:val="tx1"/>
                        </w14:solidFill>
                      </w14:textFill>
                    </w:rPr>
                    <w:t>17</w:t>
                  </w:r>
                  <w:r>
                    <w:rPr>
                      <w:rFonts w:hint="default" w:ascii="Times New Roman" w:hAnsi="Times New Roman" w:eastAsia="宋体" w:cs="Times New Roman"/>
                      <w:i w:val="0"/>
                      <w:iCs w:val="0"/>
                      <w:caps w:val="0"/>
                      <w:color w:val="000000" w:themeColor="text1"/>
                      <w:spacing w:val="0"/>
                      <w:sz w:val="21"/>
                      <w:szCs w:val="21"/>
                      <w:shd w:val="clear" w:fill="FFFFFF"/>
                      <w:lang w:val="en-US" w:eastAsia="zh-CN"/>
                      <w14:textFill>
                        <w14:solidFill>
                          <w14:schemeClr w14:val="tx1"/>
                        </w14:solidFill>
                      </w14:textFill>
                    </w:rPr>
                    <w:t>日首次取得排污许可证，</w:t>
                  </w:r>
                  <w:r>
                    <w:rPr>
                      <w:rFonts w:hint="default" w:ascii="Times New Roman" w:hAnsi="Times New Roman" w:eastAsia="宋体" w:cs="Times New Roman"/>
                      <w:b w:val="0"/>
                      <w:bCs w:val="0"/>
                      <w:color w:val="000000" w:themeColor="text1"/>
                      <w:kern w:val="0"/>
                      <w:sz w:val="21"/>
                      <w:szCs w:val="21"/>
                      <w:u w:val="none"/>
                      <w:vertAlign w:val="baseline"/>
                      <w:lang w:val="en-US" w:eastAsia="zh-CN" w:bidi="ar"/>
                      <w14:textFill>
                        <w14:solidFill>
                          <w14:schemeClr w14:val="tx1"/>
                        </w14:solidFill>
                      </w14:textFill>
                    </w:rPr>
                    <w:t>2023</w:t>
                  </w:r>
                  <w:r>
                    <w:rPr>
                      <w:rFonts w:hint="default" w:ascii="Times New Roman" w:hAnsi="Times New Roman" w:eastAsia="宋体" w:cs="Times New Roman"/>
                      <w:i w:val="0"/>
                      <w:iCs w:val="0"/>
                      <w:caps w:val="0"/>
                      <w:color w:val="000000" w:themeColor="text1"/>
                      <w:spacing w:val="0"/>
                      <w:sz w:val="21"/>
                      <w:szCs w:val="21"/>
                      <w:shd w:val="clear" w:fill="FFFFFF"/>
                      <w:lang w:val="en-US" w:eastAsia="zh-CN"/>
                      <w14:textFill>
                        <w14:solidFill>
                          <w14:schemeClr w14:val="tx1"/>
                        </w14:solidFill>
                      </w14:textFill>
                    </w:rPr>
                    <w:t>年1月</w:t>
                  </w:r>
                  <w:r>
                    <w:rPr>
                      <w:rFonts w:hint="default" w:ascii="Times New Roman" w:hAnsi="Times New Roman" w:eastAsia="宋体" w:cs="Times New Roman"/>
                      <w:i w:val="0"/>
                      <w:iCs w:val="0"/>
                      <w:caps w:val="0"/>
                      <w:color w:val="000000" w:themeColor="text1"/>
                      <w:spacing w:val="0"/>
                      <w:sz w:val="21"/>
                      <w:szCs w:val="21"/>
                      <w:shd w:val="clear" w:fill="FFFFFF"/>
                      <w14:textFill>
                        <w14:solidFill>
                          <w14:schemeClr w14:val="tx1"/>
                        </w14:solidFill>
                      </w14:textFill>
                    </w:rPr>
                    <w:t>1</w:t>
                  </w:r>
                  <w:r>
                    <w:rPr>
                      <w:rFonts w:hint="default" w:ascii="Times New Roman" w:hAnsi="Times New Roman" w:eastAsia="宋体" w:cs="Times New Roman"/>
                      <w:i w:val="0"/>
                      <w:iCs w:val="0"/>
                      <w:caps w:val="0"/>
                      <w:color w:val="000000" w:themeColor="text1"/>
                      <w:spacing w:val="0"/>
                      <w:sz w:val="21"/>
                      <w:szCs w:val="21"/>
                      <w:shd w:val="clear" w:fill="FFFFFF"/>
                      <w:lang w:val="en-US" w:eastAsia="zh-CN"/>
                      <w14:textFill>
                        <w14:solidFill>
                          <w14:schemeClr w14:val="tx1"/>
                        </w14:solidFill>
                      </w14:textFill>
                    </w:rPr>
                    <w:t>8日进行了延续，企业运营期间严格按照排污许可证要求，开展了自行监测、台账记录以及执行报告填报等工作</w:t>
                  </w:r>
                </w:p>
              </w:tc>
            </w:tr>
            <w:tr w14:paraId="18B47A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98" w:type="dxa"/>
                  <w:shd w:val="clear" w:color="auto" w:fill="auto"/>
                  <w:vAlign w:val="center"/>
                </w:tcPr>
                <w:p w14:paraId="5B12C50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u w:val="none"/>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u w:val="none"/>
                      <w:vertAlign w:val="baseline"/>
                      <w:lang w:val="en-US" w:eastAsia="zh-CN" w:bidi="ar"/>
                      <w14:textFill>
                        <w14:solidFill>
                          <w14:schemeClr w14:val="tx1"/>
                        </w14:solidFill>
                      </w14:textFill>
                    </w:rPr>
                    <w:t>陕西九龙山旅游开发有限公司九龙山景区集中供热项目</w:t>
                  </w:r>
                </w:p>
              </w:tc>
              <w:tc>
                <w:tcPr>
                  <w:tcW w:w="2500" w:type="dxa"/>
                  <w:shd w:val="clear" w:color="auto" w:fill="auto"/>
                  <w:vAlign w:val="center"/>
                </w:tcPr>
                <w:p w14:paraId="1D99265B">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u w:val="none"/>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u w:val="none"/>
                      <w:vertAlign w:val="baseline"/>
                      <w:lang w:val="en-US" w:eastAsia="zh-CN" w:bidi="ar"/>
                      <w14:textFill>
                        <w14:solidFill>
                          <w14:schemeClr w14:val="tx1"/>
                        </w14:solidFill>
                      </w14:textFill>
                    </w:rPr>
                    <w:t>2019年11月6日取得宝鸡市生态环境局陈仓分局《关于陕西九龙山旅游开发有限公司九龙山景区集中供热项目环境影响报告表的批复》（宝环陈函</w:t>
                  </w:r>
                  <w:r>
                    <w:rPr>
                      <w:rFonts w:hint="default" w:ascii="Times New Roman" w:hAnsi="Times New Roman" w:eastAsia="宋体" w:cs="Times New Roman"/>
                      <w:b w:val="0"/>
                      <w:bCs w:val="0"/>
                      <w:color w:val="000000" w:themeColor="text1"/>
                      <w:kern w:val="0"/>
                      <w:sz w:val="21"/>
                      <w:szCs w:val="21"/>
                      <w:u w:val="none"/>
                      <w:lang w:val="en-US" w:eastAsia="zh-CN" w:bidi="ar"/>
                      <w14:textFill>
                        <w14:solidFill>
                          <w14:schemeClr w14:val="tx1"/>
                        </w14:solidFill>
                      </w14:textFill>
                    </w:rPr>
                    <w:t>〔2019〕220号）</w:t>
                  </w:r>
                </w:p>
              </w:tc>
              <w:tc>
                <w:tcPr>
                  <w:tcW w:w="2840" w:type="dxa"/>
                  <w:shd w:val="clear" w:color="auto" w:fill="auto"/>
                  <w:vAlign w:val="center"/>
                </w:tcPr>
                <w:p w14:paraId="4F34BF2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u w:val="none"/>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u w:val="none"/>
                      <w:vertAlign w:val="baseline"/>
                      <w:lang w:val="en-US" w:eastAsia="zh-CN" w:bidi="ar"/>
                      <w14:textFill>
                        <w14:solidFill>
                          <w14:schemeClr w14:val="tx1"/>
                        </w14:solidFill>
                      </w14:textFill>
                    </w:rPr>
                    <w:t>2019年12月18日通过自主验收</w:t>
                  </w:r>
                </w:p>
              </w:tc>
              <w:tc>
                <w:tcPr>
                  <w:tcW w:w="2270" w:type="dxa"/>
                  <w:vMerge w:val="continue"/>
                  <w:shd w:val="clear" w:color="auto" w:fill="auto"/>
                  <w:vAlign w:val="center"/>
                </w:tcPr>
                <w:p w14:paraId="1A6D671B">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u w:val="none"/>
                      <w:vertAlign w:val="baseline"/>
                      <w:lang w:val="en-US" w:eastAsia="zh-CN" w:bidi="ar"/>
                      <w14:textFill>
                        <w14:solidFill>
                          <w14:schemeClr w14:val="tx1"/>
                        </w14:solidFill>
                      </w14:textFill>
                    </w:rPr>
                  </w:pPr>
                </w:p>
              </w:tc>
            </w:tr>
            <w:tr w14:paraId="0E75D3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98" w:type="dxa"/>
                  <w:shd w:val="clear" w:color="auto" w:fill="auto"/>
                  <w:vAlign w:val="center"/>
                </w:tcPr>
                <w:p w14:paraId="2676850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u w:val="none"/>
                      <w:vertAlign w:val="baseli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九龙山景区集中供热锅炉提升改造项目</w:t>
                  </w:r>
                </w:p>
              </w:tc>
              <w:tc>
                <w:tcPr>
                  <w:tcW w:w="2500" w:type="dxa"/>
                  <w:shd w:val="clear" w:color="auto" w:fill="auto"/>
                  <w:vAlign w:val="center"/>
                </w:tcPr>
                <w:p w14:paraId="207B549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u w:val="none"/>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u w:val="none"/>
                      <w:vertAlign w:val="baseline"/>
                      <w:lang w:val="en-US" w:eastAsia="zh-CN" w:bidi="ar"/>
                      <w14:textFill>
                        <w14:solidFill>
                          <w14:schemeClr w14:val="tx1"/>
                        </w14:solidFill>
                      </w14:textFill>
                    </w:rPr>
                    <w:t>2024年10月21日取得宝鸡市行政审批服务局《关于陕西九龙山旅游开发有限公司</w:t>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九龙山景区集中供热锅炉提升改造项目环境影响报告表的批复》</w:t>
                  </w:r>
                  <w:r>
                    <w:rPr>
                      <w:rFonts w:hint="default" w:ascii="Times New Roman" w:hAnsi="Times New Roman" w:eastAsia="宋体" w:cs="Times New Roman"/>
                      <w:b w:val="0"/>
                      <w:bCs w:val="0"/>
                      <w:color w:val="000000" w:themeColor="text1"/>
                      <w:kern w:val="0"/>
                      <w:sz w:val="21"/>
                      <w:szCs w:val="21"/>
                      <w:u w:val="none"/>
                      <w:vertAlign w:val="baseline"/>
                      <w:lang w:val="en-US" w:eastAsia="zh-CN" w:bidi="ar"/>
                      <w14:textFill>
                        <w14:solidFill>
                          <w14:schemeClr w14:val="tx1"/>
                        </w14:solidFill>
                      </w14:textFill>
                    </w:rPr>
                    <w:t>（宝审服环字</w:t>
                  </w:r>
                  <w:r>
                    <w:rPr>
                      <w:rFonts w:hint="default" w:ascii="Times New Roman" w:hAnsi="Times New Roman" w:eastAsia="宋体" w:cs="Times New Roman"/>
                      <w:b w:val="0"/>
                      <w:bCs w:val="0"/>
                      <w:color w:val="000000" w:themeColor="text1"/>
                      <w:kern w:val="0"/>
                      <w:sz w:val="21"/>
                      <w:szCs w:val="21"/>
                      <w:u w:val="none"/>
                      <w:lang w:val="en-US" w:eastAsia="zh-CN" w:bidi="ar"/>
                      <w14:textFill>
                        <w14:solidFill>
                          <w14:schemeClr w14:val="tx1"/>
                        </w14:solidFill>
                      </w14:textFill>
                    </w:rPr>
                    <w:t>〔2024〕75号）</w:t>
                  </w:r>
                </w:p>
              </w:tc>
              <w:tc>
                <w:tcPr>
                  <w:tcW w:w="2840" w:type="dxa"/>
                  <w:shd w:val="clear" w:color="auto" w:fill="auto"/>
                  <w:vAlign w:val="center"/>
                </w:tcPr>
                <w:p w14:paraId="2F298371">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u w:val="none"/>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u w:val="none"/>
                      <w:vertAlign w:val="baseline"/>
                      <w:lang w:val="en-US" w:eastAsia="zh-CN" w:bidi="ar"/>
                      <w14:textFill>
                        <w14:solidFill>
                          <w14:schemeClr w14:val="tx1"/>
                        </w14:solidFill>
                      </w14:textFill>
                    </w:rPr>
                    <w:t>目前正在建设，还没开展竣工环境保护验收</w:t>
                  </w:r>
                </w:p>
              </w:tc>
              <w:tc>
                <w:tcPr>
                  <w:tcW w:w="2270" w:type="dxa"/>
                  <w:shd w:val="clear" w:color="auto" w:fill="auto"/>
                  <w:vAlign w:val="center"/>
                </w:tcPr>
                <w:p w14:paraId="68901BFC">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u w:val="none"/>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u w:val="none"/>
                      <w:vertAlign w:val="baseline"/>
                      <w:lang w:val="en-US" w:eastAsia="zh-CN" w:bidi="ar"/>
                      <w14:textFill>
                        <w14:solidFill>
                          <w14:schemeClr w14:val="tx1"/>
                        </w14:solidFill>
                      </w14:textFill>
                    </w:rPr>
                    <w:t>/</w:t>
                  </w:r>
                </w:p>
              </w:tc>
            </w:tr>
          </w:tbl>
          <w:p w14:paraId="2FAE8B4B">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000000" w:themeColor="text1"/>
                <w:kern w:val="0"/>
                <w:sz w:val="24"/>
                <w:szCs w:val="24"/>
                <w:u w:val="none"/>
                <w:lang w:val="en-US" w:eastAsia="zh-CN" w:bidi="ar"/>
                <w14:textFill>
                  <w14:solidFill>
                    <w14:schemeClr w14:val="tx1"/>
                  </w14:solidFill>
                </w14:textFill>
              </w:rPr>
            </w:pPr>
            <w:r>
              <w:rPr>
                <w:rFonts w:hint="default" w:ascii="Times New Roman" w:hAnsi="Times New Roman" w:eastAsia="宋体" w:cs="Times New Roman"/>
                <w:b/>
                <w:bCs/>
                <w:color w:val="000000" w:themeColor="text1"/>
                <w:kern w:val="0"/>
                <w:sz w:val="24"/>
                <w:szCs w:val="24"/>
                <w:u w:val="none"/>
                <w:lang w:val="en-US" w:eastAsia="zh-CN" w:bidi="ar"/>
                <w14:textFill>
                  <w14:solidFill>
                    <w14:schemeClr w14:val="tx1"/>
                  </w14:solidFill>
                </w14:textFill>
              </w:rPr>
              <w:t>2.现有工程污染物实际排放总量</w:t>
            </w:r>
          </w:p>
          <w:p w14:paraId="67B64E2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bCs/>
                <w:color w:val="000000" w:themeColor="text1"/>
                <w:kern w:val="0"/>
                <w:sz w:val="21"/>
                <w:szCs w:val="21"/>
                <w:u w:val="none"/>
                <w:vertAlign w:val="baseline"/>
                <w:lang w:val="en-US" w:eastAsia="zh-CN" w:bidi="ar"/>
                <w14:textFill>
                  <w14:solidFill>
                    <w14:schemeClr w14:val="tx1"/>
                  </w14:solidFill>
                </w14:textFill>
              </w:rPr>
            </w:pPr>
            <w:r>
              <w:rPr>
                <w:rFonts w:hint="default" w:ascii="Times New Roman" w:hAnsi="Times New Roman" w:eastAsia="宋体" w:cs="Times New Roman"/>
                <w:b/>
                <w:bCs/>
                <w:color w:val="000000" w:themeColor="text1"/>
                <w:kern w:val="0"/>
                <w:sz w:val="21"/>
                <w:szCs w:val="21"/>
                <w:u w:val="none"/>
                <w:lang w:val="en-US" w:eastAsia="zh-CN" w:bidi="ar"/>
                <w14:textFill>
                  <w14:solidFill>
                    <w14:schemeClr w14:val="tx1"/>
                  </w14:solidFill>
                </w14:textFill>
              </w:rPr>
              <w:t>表2-8   现有工程污染物实际排放总量一览表</w:t>
            </w:r>
          </w:p>
          <w:tbl>
            <w:tblPr>
              <w:tblStyle w:val="17"/>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41"/>
              <w:gridCol w:w="965"/>
              <w:gridCol w:w="1438"/>
              <w:gridCol w:w="1796"/>
              <w:gridCol w:w="2846"/>
              <w:gridCol w:w="1289"/>
            </w:tblGrid>
            <w:tr w14:paraId="1AEE1B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8" w:type="pct"/>
                  <w:vAlign w:val="center"/>
                </w:tcPr>
                <w:p w14:paraId="3A9FED01">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u w:val="none"/>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u w:val="none"/>
                      <w:vertAlign w:val="baseline"/>
                      <w:lang w:val="en-US" w:eastAsia="zh-CN" w:bidi="ar"/>
                      <w14:textFill>
                        <w14:solidFill>
                          <w14:schemeClr w14:val="tx1"/>
                        </w14:solidFill>
                      </w14:textFill>
                    </w:rPr>
                    <w:t>工程</w:t>
                  </w:r>
                </w:p>
                <w:p w14:paraId="4408CB71">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u w:val="none"/>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u w:val="none"/>
                      <w:vertAlign w:val="baseline"/>
                      <w:lang w:val="en-US" w:eastAsia="zh-CN" w:bidi="ar"/>
                      <w14:textFill>
                        <w14:solidFill>
                          <w14:schemeClr w14:val="tx1"/>
                        </w14:solidFill>
                      </w14:textFill>
                    </w:rPr>
                    <w:t>类别</w:t>
                  </w:r>
                </w:p>
              </w:tc>
              <w:tc>
                <w:tcPr>
                  <w:tcW w:w="520" w:type="pct"/>
                  <w:shd w:val="clear" w:color="auto" w:fill="auto"/>
                  <w:vAlign w:val="center"/>
                </w:tcPr>
                <w:p w14:paraId="1A9295AD">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u w:val="none"/>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u w:val="none"/>
                      <w:vertAlign w:val="baseline"/>
                      <w:lang w:val="en-US" w:eastAsia="zh-CN" w:bidi="ar"/>
                      <w14:textFill>
                        <w14:solidFill>
                          <w14:schemeClr w14:val="tx1"/>
                        </w14:solidFill>
                      </w14:textFill>
                    </w:rPr>
                    <w:t>类型</w:t>
                  </w:r>
                </w:p>
              </w:tc>
              <w:tc>
                <w:tcPr>
                  <w:tcW w:w="775" w:type="pct"/>
                  <w:vAlign w:val="center"/>
                </w:tcPr>
                <w:p w14:paraId="0462F12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u w:val="none"/>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u w:val="none"/>
                      <w:vertAlign w:val="baseline"/>
                      <w:lang w:val="en-US" w:eastAsia="zh-CN" w:bidi="ar"/>
                      <w14:textFill>
                        <w14:solidFill>
                          <w14:schemeClr w14:val="tx1"/>
                        </w14:solidFill>
                      </w14:textFill>
                    </w:rPr>
                    <w:t>污染源</w:t>
                  </w:r>
                </w:p>
              </w:tc>
              <w:tc>
                <w:tcPr>
                  <w:tcW w:w="968" w:type="pct"/>
                  <w:vAlign w:val="center"/>
                </w:tcPr>
                <w:p w14:paraId="0866E64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u w:val="none"/>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u w:val="none"/>
                      <w:vertAlign w:val="baseline"/>
                      <w:lang w:val="en-US" w:eastAsia="zh-CN" w:bidi="ar"/>
                      <w14:textFill>
                        <w14:solidFill>
                          <w14:schemeClr w14:val="tx1"/>
                        </w14:solidFill>
                      </w14:textFill>
                    </w:rPr>
                    <w:t>污染物</w:t>
                  </w:r>
                </w:p>
              </w:tc>
              <w:tc>
                <w:tcPr>
                  <w:tcW w:w="1534" w:type="pct"/>
                  <w:vAlign w:val="center"/>
                </w:tcPr>
                <w:p w14:paraId="296C8B0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u w:val="none"/>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u w:val="none"/>
                      <w:vertAlign w:val="baseline"/>
                      <w:lang w:val="en-US" w:eastAsia="zh-CN" w:bidi="ar"/>
                      <w14:textFill>
                        <w14:solidFill>
                          <w14:schemeClr w14:val="tx1"/>
                        </w14:solidFill>
                      </w14:textFill>
                    </w:rPr>
                    <w:t>治理设施</w:t>
                  </w:r>
                </w:p>
              </w:tc>
              <w:tc>
                <w:tcPr>
                  <w:tcW w:w="693" w:type="pct"/>
                  <w:vAlign w:val="center"/>
                </w:tcPr>
                <w:p w14:paraId="482B00F1">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u w:val="none"/>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u w:val="none"/>
                      <w:vertAlign w:val="baseline"/>
                      <w:lang w:val="en-US" w:eastAsia="zh-CN" w:bidi="ar"/>
                      <w14:textFill>
                        <w14:solidFill>
                          <w14:schemeClr w14:val="tx1"/>
                        </w14:solidFill>
                      </w14:textFill>
                    </w:rPr>
                    <w:t>排放量（固废产生量）</w:t>
                  </w:r>
                </w:p>
              </w:tc>
            </w:tr>
            <w:tr w14:paraId="47DA31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08" w:type="pct"/>
                  <w:vMerge w:val="restart"/>
                  <w:vAlign w:val="center"/>
                </w:tcPr>
                <w:p w14:paraId="007946E1">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u w:val="none"/>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u w:val="none"/>
                      <w:vertAlign w:val="baseline"/>
                      <w:lang w:val="en-US" w:eastAsia="zh-CN" w:bidi="ar"/>
                      <w14:textFill>
                        <w14:solidFill>
                          <w14:schemeClr w14:val="tx1"/>
                        </w14:solidFill>
                      </w14:textFill>
                    </w:rPr>
                    <w:t>现有</w:t>
                  </w:r>
                </w:p>
                <w:p w14:paraId="47AB9B3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u w:val="none"/>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u w:val="none"/>
                      <w:vertAlign w:val="baseline"/>
                      <w:lang w:val="en-US" w:eastAsia="zh-CN" w:bidi="ar"/>
                      <w14:textFill>
                        <w14:solidFill>
                          <w14:schemeClr w14:val="tx1"/>
                        </w14:solidFill>
                      </w14:textFill>
                    </w:rPr>
                    <w:t>工程</w:t>
                  </w:r>
                </w:p>
              </w:tc>
              <w:tc>
                <w:tcPr>
                  <w:tcW w:w="520" w:type="pct"/>
                  <w:vMerge w:val="restart"/>
                  <w:shd w:val="clear" w:color="auto" w:fill="auto"/>
                  <w:vAlign w:val="center"/>
                </w:tcPr>
                <w:p w14:paraId="787B818C">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u w:val="none"/>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u w:val="none"/>
                      <w:vertAlign w:val="baseline"/>
                      <w:lang w:val="en-US" w:eastAsia="zh-CN" w:bidi="ar"/>
                      <w14:textFill>
                        <w14:solidFill>
                          <w14:schemeClr w14:val="tx1"/>
                        </w14:solidFill>
                      </w14:textFill>
                    </w:rPr>
                    <w:t>废气</w:t>
                  </w:r>
                </w:p>
              </w:tc>
              <w:tc>
                <w:tcPr>
                  <w:tcW w:w="775" w:type="pct"/>
                  <w:vMerge w:val="restart"/>
                  <w:vAlign w:val="center"/>
                </w:tcPr>
                <w:p w14:paraId="28C963B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u w:val="none"/>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u w:val="none"/>
                      <w:vertAlign w:val="baseline"/>
                      <w:lang w:val="en-US" w:eastAsia="zh-CN" w:bidi="ar"/>
                      <w14:textFill>
                        <w14:solidFill>
                          <w14:schemeClr w14:val="tx1"/>
                        </w14:solidFill>
                      </w14:textFill>
                    </w:rPr>
                    <w:t>燃煤锅炉烟气</w:t>
                  </w:r>
                </w:p>
              </w:tc>
              <w:tc>
                <w:tcPr>
                  <w:tcW w:w="968" w:type="pct"/>
                  <w:vAlign w:val="center"/>
                </w:tcPr>
                <w:p w14:paraId="2A484B9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u w:val="none"/>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u w:val="none"/>
                      <w:vertAlign w:val="baseline"/>
                      <w:lang w:val="en-US" w:eastAsia="zh-CN" w:bidi="ar"/>
                      <w14:textFill>
                        <w14:solidFill>
                          <w14:schemeClr w14:val="tx1"/>
                        </w14:solidFill>
                      </w14:textFill>
                    </w:rPr>
                    <w:t>颗粒物</w:t>
                  </w:r>
                </w:p>
              </w:tc>
              <w:tc>
                <w:tcPr>
                  <w:tcW w:w="1534" w:type="pct"/>
                  <w:vMerge w:val="restart"/>
                  <w:vAlign w:val="center"/>
                </w:tcPr>
                <w:p w14:paraId="31FB008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u w:val="none"/>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u w:val="none"/>
                      <w:vertAlign w:val="baseline"/>
                      <w:lang w:val="en-US" w:eastAsia="zh-CN" w:bidi="ar"/>
                      <w14:textFill>
                        <w14:solidFill>
                          <w14:schemeClr w14:val="tx1"/>
                        </w14:solidFill>
                      </w14:textFill>
                    </w:rPr>
                    <w:t>低压脉冲布袋除尘器+双碱法脱硫系统+SNCR炉内脱硝+SCR炉外脱硝+45m排气筒</w:t>
                  </w:r>
                </w:p>
              </w:tc>
              <w:tc>
                <w:tcPr>
                  <w:tcW w:w="693" w:type="pct"/>
                  <w:vAlign w:val="center"/>
                </w:tcPr>
                <w:p w14:paraId="1D93C1F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u w:val="none"/>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u w:val="none"/>
                      <w:vertAlign w:val="baseline"/>
                      <w:lang w:val="en-US" w:eastAsia="zh-CN" w:bidi="ar"/>
                      <w14:textFill>
                        <w14:solidFill>
                          <w14:schemeClr w14:val="tx1"/>
                        </w14:solidFill>
                      </w14:textFill>
                    </w:rPr>
                    <w:t>0.13t/a</w:t>
                  </w:r>
                </w:p>
              </w:tc>
            </w:tr>
            <w:tr w14:paraId="23DE7C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08" w:type="pct"/>
                  <w:vMerge w:val="continue"/>
                  <w:vAlign w:val="center"/>
                </w:tcPr>
                <w:p w14:paraId="3EEF351B">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14:textFill>
                        <w14:solidFill>
                          <w14:schemeClr w14:val="tx1"/>
                        </w14:solidFill>
                      </w14:textFill>
                    </w:rPr>
                  </w:pPr>
                </w:p>
              </w:tc>
              <w:tc>
                <w:tcPr>
                  <w:tcW w:w="520" w:type="pct"/>
                  <w:vMerge w:val="continue"/>
                  <w:shd w:val="clear" w:color="auto" w:fill="auto"/>
                  <w:vAlign w:val="center"/>
                </w:tcPr>
                <w:p w14:paraId="6A40A49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p>
              </w:tc>
              <w:tc>
                <w:tcPr>
                  <w:tcW w:w="775" w:type="pct"/>
                  <w:vMerge w:val="continue"/>
                  <w:vAlign w:val="center"/>
                </w:tcPr>
                <w:p w14:paraId="32C6C52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14:textFill>
                        <w14:solidFill>
                          <w14:schemeClr w14:val="tx1"/>
                        </w14:solidFill>
                      </w14:textFill>
                    </w:rPr>
                  </w:pPr>
                </w:p>
              </w:tc>
              <w:tc>
                <w:tcPr>
                  <w:tcW w:w="968" w:type="pct"/>
                  <w:vAlign w:val="center"/>
                </w:tcPr>
                <w:p w14:paraId="2EB871E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u w:val="none"/>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u w:val="none"/>
                      <w:vertAlign w:val="baseline"/>
                      <w:lang w:val="en-US" w:eastAsia="zh-CN" w:bidi="ar"/>
                      <w14:textFill>
                        <w14:solidFill>
                          <w14:schemeClr w14:val="tx1"/>
                        </w14:solidFill>
                      </w14:textFill>
                    </w:rPr>
                    <w:t>SO</w:t>
                  </w:r>
                  <w:r>
                    <w:rPr>
                      <w:rFonts w:hint="default" w:ascii="Times New Roman" w:hAnsi="Times New Roman" w:eastAsia="宋体" w:cs="Times New Roman"/>
                      <w:b w:val="0"/>
                      <w:bCs w:val="0"/>
                      <w:color w:val="000000" w:themeColor="text1"/>
                      <w:kern w:val="0"/>
                      <w:sz w:val="21"/>
                      <w:szCs w:val="21"/>
                      <w:u w:val="none"/>
                      <w:vertAlign w:val="subscript"/>
                      <w:lang w:val="en-US" w:eastAsia="zh-CN" w:bidi="ar"/>
                      <w14:textFill>
                        <w14:solidFill>
                          <w14:schemeClr w14:val="tx1"/>
                        </w14:solidFill>
                      </w14:textFill>
                    </w:rPr>
                    <w:t>2</w:t>
                  </w:r>
                </w:p>
              </w:tc>
              <w:tc>
                <w:tcPr>
                  <w:tcW w:w="1534" w:type="pct"/>
                  <w:vMerge w:val="continue"/>
                  <w:vAlign w:val="center"/>
                </w:tcPr>
                <w:p w14:paraId="1B20FF6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u w:val="none"/>
                      <w:vertAlign w:val="baseline"/>
                      <w:lang w:val="en-US" w:eastAsia="zh-CN" w:bidi="ar"/>
                      <w14:textFill>
                        <w14:solidFill>
                          <w14:schemeClr w14:val="tx1"/>
                        </w14:solidFill>
                      </w14:textFill>
                    </w:rPr>
                  </w:pPr>
                </w:p>
              </w:tc>
              <w:tc>
                <w:tcPr>
                  <w:tcW w:w="693" w:type="pct"/>
                  <w:vAlign w:val="center"/>
                </w:tcPr>
                <w:p w14:paraId="1A1B870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u w:val="none"/>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u w:val="none"/>
                      <w:vertAlign w:val="baseline"/>
                      <w:lang w:val="en-US" w:eastAsia="zh-CN" w:bidi="ar"/>
                      <w14:textFill>
                        <w14:solidFill>
                          <w14:schemeClr w14:val="tx1"/>
                        </w14:solidFill>
                      </w14:textFill>
                    </w:rPr>
                    <w:t>0.2544/a</w:t>
                  </w:r>
                </w:p>
              </w:tc>
            </w:tr>
            <w:tr w14:paraId="1AF772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trPr>
              <w:tc>
                <w:tcPr>
                  <w:tcW w:w="508" w:type="pct"/>
                  <w:vMerge w:val="continue"/>
                  <w:vAlign w:val="center"/>
                </w:tcPr>
                <w:p w14:paraId="4EDE2C8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u w:val="none"/>
                      <w:vertAlign w:val="baseline"/>
                      <w:lang w:val="en-US" w:eastAsia="zh-CN" w:bidi="ar"/>
                      <w14:textFill>
                        <w14:solidFill>
                          <w14:schemeClr w14:val="tx1"/>
                        </w14:solidFill>
                      </w14:textFill>
                    </w:rPr>
                  </w:pPr>
                </w:p>
              </w:tc>
              <w:tc>
                <w:tcPr>
                  <w:tcW w:w="520" w:type="pct"/>
                  <w:vMerge w:val="continue"/>
                  <w:shd w:val="clear" w:color="auto" w:fill="auto"/>
                  <w:vAlign w:val="center"/>
                </w:tcPr>
                <w:p w14:paraId="18CCF57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u w:val="none"/>
                      <w:vertAlign w:val="baseline"/>
                      <w:lang w:val="en-US" w:eastAsia="zh-CN" w:bidi="ar"/>
                      <w14:textFill>
                        <w14:solidFill>
                          <w14:schemeClr w14:val="tx1"/>
                        </w14:solidFill>
                      </w14:textFill>
                    </w:rPr>
                  </w:pPr>
                </w:p>
              </w:tc>
              <w:tc>
                <w:tcPr>
                  <w:tcW w:w="775" w:type="pct"/>
                  <w:vMerge w:val="continue"/>
                  <w:vAlign w:val="center"/>
                </w:tcPr>
                <w:p w14:paraId="58E9C8D1">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u w:val="none"/>
                      <w:vertAlign w:val="baseline"/>
                      <w:lang w:val="en-US" w:eastAsia="zh-CN" w:bidi="ar"/>
                      <w14:textFill>
                        <w14:solidFill>
                          <w14:schemeClr w14:val="tx1"/>
                        </w14:solidFill>
                      </w14:textFill>
                    </w:rPr>
                  </w:pPr>
                </w:p>
              </w:tc>
              <w:tc>
                <w:tcPr>
                  <w:tcW w:w="968" w:type="pct"/>
                  <w:vAlign w:val="center"/>
                </w:tcPr>
                <w:p w14:paraId="35AA5A7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u w:val="none"/>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u w:val="none"/>
                      <w:vertAlign w:val="baseline"/>
                      <w:lang w:val="en-US" w:eastAsia="zh-CN" w:bidi="ar"/>
                      <w14:textFill>
                        <w14:solidFill>
                          <w14:schemeClr w14:val="tx1"/>
                        </w14:solidFill>
                      </w14:textFill>
                    </w:rPr>
                    <w:t>NO</w:t>
                  </w:r>
                  <w:r>
                    <w:rPr>
                      <w:rFonts w:hint="default" w:ascii="Times New Roman" w:hAnsi="Times New Roman" w:eastAsia="宋体" w:cs="Times New Roman"/>
                      <w:b w:val="0"/>
                      <w:bCs w:val="0"/>
                      <w:color w:val="000000" w:themeColor="text1"/>
                      <w:kern w:val="0"/>
                      <w:sz w:val="21"/>
                      <w:szCs w:val="21"/>
                      <w:u w:val="none"/>
                      <w:vertAlign w:val="subscript"/>
                      <w:lang w:val="en-US" w:eastAsia="zh-CN" w:bidi="ar"/>
                      <w14:textFill>
                        <w14:solidFill>
                          <w14:schemeClr w14:val="tx1"/>
                        </w14:solidFill>
                      </w14:textFill>
                    </w:rPr>
                    <w:t>x</w:t>
                  </w:r>
                </w:p>
              </w:tc>
              <w:tc>
                <w:tcPr>
                  <w:tcW w:w="1534" w:type="pct"/>
                  <w:vMerge w:val="continue"/>
                  <w:vAlign w:val="center"/>
                </w:tcPr>
                <w:p w14:paraId="1F5BA28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u w:val="none"/>
                      <w:vertAlign w:val="baseline"/>
                      <w:lang w:val="en-US" w:eastAsia="zh-CN" w:bidi="ar"/>
                      <w14:textFill>
                        <w14:solidFill>
                          <w14:schemeClr w14:val="tx1"/>
                        </w14:solidFill>
                      </w14:textFill>
                    </w:rPr>
                  </w:pPr>
                </w:p>
              </w:tc>
              <w:tc>
                <w:tcPr>
                  <w:tcW w:w="693" w:type="pct"/>
                  <w:vAlign w:val="center"/>
                </w:tcPr>
                <w:p w14:paraId="0386089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u w:val="none"/>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u w:val="none"/>
                      <w:vertAlign w:val="baseline"/>
                      <w:lang w:val="en-US" w:eastAsia="zh-CN" w:bidi="ar"/>
                      <w14:textFill>
                        <w14:solidFill>
                          <w14:schemeClr w14:val="tx1"/>
                        </w14:solidFill>
                      </w14:textFill>
                    </w:rPr>
                    <w:t>1.029t/a</w:t>
                  </w:r>
                </w:p>
              </w:tc>
            </w:tr>
            <w:tr w14:paraId="10190C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 w:hRule="atLeast"/>
              </w:trPr>
              <w:tc>
                <w:tcPr>
                  <w:tcW w:w="508" w:type="pct"/>
                  <w:vMerge w:val="restart"/>
                  <w:vAlign w:val="center"/>
                </w:tcPr>
                <w:p w14:paraId="673A91E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u w:val="none"/>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u w:val="none"/>
                      <w:vertAlign w:val="baseline"/>
                      <w:lang w:val="en-US" w:eastAsia="zh-CN" w:bidi="ar"/>
                      <w14:textFill>
                        <w14:solidFill>
                          <w14:schemeClr w14:val="tx1"/>
                        </w14:solidFill>
                      </w14:textFill>
                    </w:rPr>
                    <w:t>在建</w:t>
                  </w:r>
                </w:p>
                <w:p w14:paraId="6FD152A4">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u w:val="none"/>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u w:val="none"/>
                      <w:vertAlign w:val="baseline"/>
                      <w:lang w:val="en-US" w:eastAsia="zh-CN" w:bidi="ar"/>
                      <w14:textFill>
                        <w14:solidFill>
                          <w14:schemeClr w14:val="tx1"/>
                        </w14:solidFill>
                      </w14:textFill>
                    </w:rPr>
                    <w:t>工程</w:t>
                  </w:r>
                </w:p>
              </w:tc>
              <w:tc>
                <w:tcPr>
                  <w:tcW w:w="520" w:type="pct"/>
                  <w:vMerge w:val="continue"/>
                  <w:shd w:val="clear" w:color="auto" w:fill="auto"/>
                  <w:vAlign w:val="center"/>
                </w:tcPr>
                <w:p w14:paraId="731ABB4C">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u w:val="none"/>
                      <w:vertAlign w:val="baseline"/>
                      <w:lang w:val="en-US" w:eastAsia="zh-CN" w:bidi="ar"/>
                      <w14:textFill>
                        <w14:solidFill>
                          <w14:schemeClr w14:val="tx1"/>
                        </w14:solidFill>
                      </w14:textFill>
                    </w:rPr>
                  </w:pPr>
                </w:p>
              </w:tc>
              <w:tc>
                <w:tcPr>
                  <w:tcW w:w="775" w:type="pct"/>
                  <w:vMerge w:val="restart"/>
                  <w:vAlign w:val="center"/>
                </w:tcPr>
                <w:p w14:paraId="44F1CCDD">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u w:val="none"/>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u w:val="none"/>
                      <w:vertAlign w:val="baseline"/>
                      <w:lang w:val="en-US" w:eastAsia="zh-CN" w:bidi="ar"/>
                      <w14:textFill>
                        <w14:solidFill>
                          <w14:schemeClr w14:val="tx1"/>
                        </w14:solidFill>
                      </w14:textFill>
                    </w:rPr>
                    <w:t>燃气锅炉烟气</w:t>
                  </w:r>
                </w:p>
              </w:tc>
              <w:tc>
                <w:tcPr>
                  <w:tcW w:w="968" w:type="pct"/>
                  <w:shd w:val="clear" w:color="auto" w:fill="auto"/>
                  <w:vAlign w:val="center"/>
                </w:tcPr>
                <w:p w14:paraId="60E83F3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u w:val="none"/>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u w:val="none"/>
                      <w:vertAlign w:val="baseline"/>
                      <w:lang w:val="en-US" w:eastAsia="zh-CN" w:bidi="ar"/>
                      <w14:textFill>
                        <w14:solidFill>
                          <w14:schemeClr w14:val="tx1"/>
                        </w14:solidFill>
                      </w14:textFill>
                    </w:rPr>
                    <w:t>颗粒物</w:t>
                  </w:r>
                </w:p>
              </w:tc>
              <w:tc>
                <w:tcPr>
                  <w:tcW w:w="1534" w:type="pct"/>
                  <w:vMerge w:val="restart"/>
                  <w:vAlign w:val="center"/>
                </w:tcPr>
                <w:p w14:paraId="2E0C9B6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u w:val="none"/>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水冷预混式超低氮燃烧器+15m排气筒</w:t>
                  </w:r>
                </w:p>
              </w:tc>
              <w:tc>
                <w:tcPr>
                  <w:tcW w:w="693" w:type="pct"/>
                  <w:vAlign w:val="center"/>
                </w:tcPr>
                <w:p w14:paraId="51B9608F">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val="0"/>
                      <w:bCs w:val="0"/>
                      <w:color w:val="000000" w:themeColor="text1"/>
                      <w:kern w:val="0"/>
                      <w:sz w:val="21"/>
                      <w:szCs w:val="21"/>
                      <w:u w:val="none"/>
                      <w:vertAlign w:val="baseli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0.242t/a</w:t>
                  </w:r>
                </w:p>
              </w:tc>
            </w:tr>
            <w:tr w14:paraId="2396A3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 w:hRule="atLeast"/>
              </w:trPr>
              <w:tc>
                <w:tcPr>
                  <w:tcW w:w="508" w:type="pct"/>
                  <w:vMerge w:val="continue"/>
                  <w:vAlign w:val="center"/>
                </w:tcPr>
                <w:p w14:paraId="1DD6E79A">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520" w:type="pct"/>
                  <w:vMerge w:val="continue"/>
                  <w:shd w:val="clear" w:color="auto" w:fill="auto"/>
                  <w:vAlign w:val="center"/>
                </w:tcPr>
                <w:p w14:paraId="0D64DDD1">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775" w:type="pct"/>
                  <w:vMerge w:val="continue"/>
                  <w:vAlign w:val="center"/>
                </w:tcPr>
                <w:p w14:paraId="1D19175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968" w:type="pct"/>
                  <w:shd w:val="clear" w:color="auto" w:fill="auto"/>
                  <w:vAlign w:val="center"/>
                </w:tcPr>
                <w:p w14:paraId="539EB5B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u w:val="none"/>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u w:val="none"/>
                      <w:vertAlign w:val="baseline"/>
                      <w:lang w:val="en-US" w:eastAsia="zh-CN" w:bidi="ar"/>
                      <w14:textFill>
                        <w14:solidFill>
                          <w14:schemeClr w14:val="tx1"/>
                        </w14:solidFill>
                      </w14:textFill>
                    </w:rPr>
                    <w:t>SO</w:t>
                  </w:r>
                  <w:r>
                    <w:rPr>
                      <w:rFonts w:hint="default" w:ascii="Times New Roman" w:hAnsi="Times New Roman" w:eastAsia="宋体" w:cs="Times New Roman"/>
                      <w:b w:val="0"/>
                      <w:bCs w:val="0"/>
                      <w:color w:val="000000" w:themeColor="text1"/>
                      <w:kern w:val="0"/>
                      <w:sz w:val="21"/>
                      <w:szCs w:val="21"/>
                      <w:u w:val="none"/>
                      <w:vertAlign w:val="subscript"/>
                      <w:lang w:val="en-US" w:eastAsia="zh-CN" w:bidi="ar"/>
                      <w14:textFill>
                        <w14:solidFill>
                          <w14:schemeClr w14:val="tx1"/>
                        </w14:solidFill>
                      </w14:textFill>
                    </w:rPr>
                    <w:t>2</w:t>
                  </w:r>
                </w:p>
              </w:tc>
              <w:tc>
                <w:tcPr>
                  <w:tcW w:w="1534" w:type="pct"/>
                  <w:vMerge w:val="continue"/>
                  <w:vAlign w:val="center"/>
                </w:tcPr>
                <w:p w14:paraId="1E544D5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u w:val="none"/>
                      <w:vertAlign w:val="baseline"/>
                      <w:lang w:val="en-US" w:eastAsia="zh-CN" w:bidi="ar"/>
                      <w14:textFill>
                        <w14:solidFill>
                          <w14:schemeClr w14:val="tx1"/>
                        </w14:solidFill>
                      </w14:textFill>
                    </w:rPr>
                  </w:pPr>
                </w:p>
              </w:tc>
              <w:tc>
                <w:tcPr>
                  <w:tcW w:w="693" w:type="pct"/>
                  <w:vAlign w:val="center"/>
                </w:tcPr>
                <w:p w14:paraId="15FDC01F">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val="0"/>
                      <w:bCs w:val="0"/>
                      <w:color w:val="000000" w:themeColor="text1"/>
                      <w:kern w:val="0"/>
                      <w:sz w:val="21"/>
                      <w:szCs w:val="21"/>
                      <w:u w:val="none"/>
                      <w:vertAlign w:val="baseli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0.014t/a</w:t>
                  </w:r>
                </w:p>
              </w:tc>
            </w:tr>
            <w:tr w14:paraId="703911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 w:hRule="atLeast"/>
              </w:trPr>
              <w:tc>
                <w:tcPr>
                  <w:tcW w:w="508" w:type="pct"/>
                  <w:vMerge w:val="continue"/>
                  <w:vAlign w:val="center"/>
                </w:tcPr>
                <w:p w14:paraId="76706BF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u w:val="none"/>
                      <w:vertAlign w:val="baseline"/>
                      <w:lang w:val="en-US" w:eastAsia="zh-CN" w:bidi="ar"/>
                      <w14:textFill>
                        <w14:solidFill>
                          <w14:schemeClr w14:val="tx1"/>
                        </w14:solidFill>
                      </w14:textFill>
                    </w:rPr>
                  </w:pPr>
                </w:p>
              </w:tc>
              <w:tc>
                <w:tcPr>
                  <w:tcW w:w="520" w:type="pct"/>
                  <w:vMerge w:val="continue"/>
                  <w:shd w:val="clear" w:color="auto" w:fill="auto"/>
                  <w:vAlign w:val="center"/>
                </w:tcPr>
                <w:p w14:paraId="613CE72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u w:val="none"/>
                      <w:vertAlign w:val="baseline"/>
                      <w:lang w:val="en-US" w:eastAsia="zh-CN" w:bidi="ar"/>
                      <w14:textFill>
                        <w14:solidFill>
                          <w14:schemeClr w14:val="tx1"/>
                        </w14:solidFill>
                      </w14:textFill>
                    </w:rPr>
                  </w:pPr>
                </w:p>
              </w:tc>
              <w:tc>
                <w:tcPr>
                  <w:tcW w:w="775" w:type="pct"/>
                  <w:vMerge w:val="continue"/>
                  <w:vAlign w:val="center"/>
                </w:tcPr>
                <w:p w14:paraId="7AE0999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u w:val="none"/>
                      <w:vertAlign w:val="baseline"/>
                      <w:lang w:val="en-US" w:eastAsia="zh-CN" w:bidi="ar"/>
                      <w14:textFill>
                        <w14:solidFill>
                          <w14:schemeClr w14:val="tx1"/>
                        </w14:solidFill>
                      </w14:textFill>
                    </w:rPr>
                  </w:pPr>
                </w:p>
              </w:tc>
              <w:tc>
                <w:tcPr>
                  <w:tcW w:w="968" w:type="pct"/>
                  <w:shd w:val="clear" w:color="auto" w:fill="auto"/>
                  <w:vAlign w:val="center"/>
                </w:tcPr>
                <w:p w14:paraId="747F893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u w:val="none"/>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u w:val="none"/>
                      <w:vertAlign w:val="baseline"/>
                      <w:lang w:val="en-US" w:eastAsia="zh-CN" w:bidi="ar"/>
                      <w14:textFill>
                        <w14:solidFill>
                          <w14:schemeClr w14:val="tx1"/>
                        </w14:solidFill>
                      </w14:textFill>
                    </w:rPr>
                    <w:t>NO</w:t>
                  </w:r>
                  <w:r>
                    <w:rPr>
                      <w:rFonts w:hint="default" w:ascii="Times New Roman" w:hAnsi="Times New Roman" w:eastAsia="宋体" w:cs="Times New Roman"/>
                      <w:b w:val="0"/>
                      <w:bCs w:val="0"/>
                      <w:color w:val="000000" w:themeColor="text1"/>
                      <w:kern w:val="0"/>
                      <w:sz w:val="21"/>
                      <w:szCs w:val="21"/>
                      <w:u w:val="none"/>
                      <w:vertAlign w:val="subscript"/>
                      <w:lang w:val="en-US" w:eastAsia="zh-CN" w:bidi="ar"/>
                      <w14:textFill>
                        <w14:solidFill>
                          <w14:schemeClr w14:val="tx1"/>
                        </w14:solidFill>
                      </w14:textFill>
                    </w:rPr>
                    <w:t>x</w:t>
                  </w:r>
                </w:p>
              </w:tc>
              <w:tc>
                <w:tcPr>
                  <w:tcW w:w="1534" w:type="pct"/>
                  <w:vMerge w:val="continue"/>
                  <w:vAlign w:val="center"/>
                </w:tcPr>
                <w:p w14:paraId="7916CDA1">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u w:val="none"/>
                      <w:vertAlign w:val="baseline"/>
                      <w:lang w:val="en-US" w:eastAsia="zh-CN" w:bidi="ar"/>
                      <w14:textFill>
                        <w14:solidFill>
                          <w14:schemeClr w14:val="tx1"/>
                        </w14:solidFill>
                      </w14:textFill>
                    </w:rPr>
                  </w:pPr>
                </w:p>
              </w:tc>
              <w:tc>
                <w:tcPr>
                  <w:tcW w:w="693" w:type="pct"/>
                  <w:vAlign w:val="center"/>
                </w:tcPr>
                <w:p w14:paraId="152E4F2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val="0"/>
                      <w:bCs w:val="0"/>
                      <w:color w:val="000000" w:themeColor="text1"/>
                      <w:kern w:val="0"/>
                      <w:sz w:val="21"/>
                      <w:szCs w:val="21"/>
                      <w:u w:val="none"/>
                      <w:vertAlign w:val="baseli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0.681t/a</w:t>
                  </w:r>
                </w:p>
              </w:tc>
            </w:tr>
            <w:tr w14:paraId="496B88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8" w:type="pct"/>
                  <w:vMerge w:val="restart"/>
                  <w:vAlign w:val="center"/>
                </w:tcPr>
                <w:p w14:paraId="414BFC3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u w:val="none"/>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u w:val="none"/>
                      <w:vertAlign w:val="baseline"/>
                      <w:lang w:val="en-US" w:eastAsia="zh-CN" w:bidi="ar"/>
                      <w14:textFill>
                        <w14:solidFill>
                          <w14:schemeClr w14:val="tx1"/>
                        </w14:solidFill>
                      </w14:textFill>
                    </w:rPr>
                    <w:t>现有</w:t>
                  </w:r>
                </w:p>
                <w:p w14:paraId="2F1D6C6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u w:val="none"/>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u w:val="none"/>
                      <w:vertAlign w:val="baseline"/>
                      <w:lang w:val="en-US" w:eastAsia="zh-CN" w:bidi="ar"/>
                      <w14:textFill>
                        <w14:solidFill>
                          <w14:schemeClr w14:val="tx1"/>
                        </w14:solidFill>
                      </w14:textFill>
                    </w:rPr>
                    <w:t>工程</w:t>
                  </w:r>
                </w:p>
              </w:tc>
              <w:tc>
                <w:tcPr>
                  <w:tcW w:w="520" w:type="pct"/>
                  <w:vMerge w:val="restart"/>
                  <w:shd w:val="clear" w:color="auto" w:fill="auto"/>
                  <w:vAlign w:val="center"/>
                </w:tcPr>
                <w:p w14:paraId="4B4439B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u w:val="none"/>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u w:val="none"/>
                      <w:vertAlign w:val="baseline"/>
                      <w:lang w:val="en-US" w:eastAsia="zh-CN" w:bidi="ar"/>
                      <w14:textFill>
                        <w14:solidFill>
                          <w14:schemeClr w14:val="tx1"/>
                        </w14:solidFill>
                      </w14:textFill>
                    </w:rPr>
                    <w:t>废水</w:t>
                  </w:r>
                </w:p>
              </w:tc>
              <w:tc>
                <w:tcPr>
                  <w:tcW w:w="775" w:type="pct"/>
                  <w:vAlign w:val="center"/>
                </w:tcPr>
                <w:p w14:paraId="3CD9F5C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锅炉排污水</w:t>
                  </w:r>
                </w:p>
              </w:tc>
              <w:tc>
                <w:tcPr>
                  <w:tcW w:w="968" w:type="pct"/>
                  <w:vAlign w:val="center"/>
                </w:tcPr>
                <w:p w14:paraId="660570DB">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u w:val="none"/>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pH值、COD、溶解性总固体</w:t>
                  </w:r>
                </w:p>
              </w:tc>
              <w:tc>
                <w:tcPr>
                  <w:tcW w:w="2227" w:type="pct"/>
                  <w:gridSpan w:val="2"/>
                  <w:vMerge w:val="restart"/>
                  <w:vAlign w:val="center"/>
                </w:tcPr>
                <w:p w14:paraId="4EE0ACBA">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u w:val="none"/>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u w:val="none"/>
                      <w:vertAlign w:val="baseline"/>
                      <w:lang w:val="en-US" w:eastAsia="zh-CN" w:bidi="ar"/>
                      <w14:textFill>
                        <w14:solidFill>
                          <w14:schemeClr w14:val="tx1"/>
                        </w14:solidFill>
                      </w14:textFill>
                    </w:rPr>
                    <w:t>经沉淀后回用于脱硫系统，不外排</w:t>
                  </w:r>
                </w:p>
              </w:tc>
            </w:tr>
            <w:tr w14:paraId="7B3CFC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8" w:type="pct"/>
                  <w:vMerge w:val="continue"/>
                  <w:vAlign w:val="center"/>
                </w:tcPr>
                <w:p w14:paraId="6C46578A">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u w:val="none"/>
                      <w:vertAlign w:val="baseline"/>
                      <w:lang w:val="en-US" w:eastAsia="zh-CN" w:bidi="ar"/>
                      <w14:textFill>
                        <w14:solidFill>
                          <w14:schemeClr w14:val="tx1"/>
                        </w14:solidFill>
                      </w14:textFill>
                    </w:rPr>
                  </w:pPr>
                </w:p>
              </w:tc>
              <w:tc>
                <w:tcPr>
                  <w:tcW w:w="520" w:type="pct"/>
                  <w:vMerge w:val="continue"/>
                  <w:shd w:val="clear" w:color="auto" w:fill="auto"/>
                  <w:vAlign w:val="center"/>
                </w:tcPr>
                <w:p w14:paraId="7B78223A">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u w:val="none"/>
                      <w:vertAlign w:val="baseline"/>
                      <w:lang w:val="en-US" w:eastAsia="zh-CN" w:bidi="ar"/>
                      <w14:textFill>
                        <w14:solidFill>
                          <w14:schemeClr w14:val="tx1"/>
                        </w14:solidFill>
                      </w14:textFill>
                    </w:rPr>
                  </w:pPr>
                </w:p>
              </w:tc>
              <w:tc>
                <w:tcPr>
                  <w:tcW w:w="775" w:type="pct"/>
                  <w:vAlign w:val="center"/>
                </w:tcPr>
                <w:p w14:paraId="3D0142F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软水制备废水</w:t>
                  </w:r>
                </w:p>
              </w:tc>
              <w:tc>
                <w:tcPr>
                  <w:tcW w:w="968" w:type="pct"/>
                  <w:vAlign w:val="center"/>
                </w:tcPr>
                <w:p w14:paraId="38A0F074">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u w:val="none"/>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pH值、COD、溶解性总固体</w:t>
                  </w:r>
                </w:p>
              </w:tc>
              <w:tc>
                <w:tcPr>
                  <w:tcW w:w="2227" w:type="pct"/>
                  <w:gridSpan w:val="2"/>
                  <w:vMerge w:val="continue"/>
                  <w:vAlign w:val="center"/>
                </w:tcPr>
                <w:p w14:paraId="2D108DC1">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u w:val="none"/>
                      <w:vertAlign w:val="baseline"/>
                      <w:lang w:val="en-US" w:eastAsia="zh-CN" w:bidi="ar"/>
                      <w14:textFill>
                        <w14:solidFill>
                          <w14:schemeClr w14:val="tx1"/>
                        </w14:solidFill>
                      </w14:textFill>
                    </w:rPr>
                  </w:pPr>
                </w:p>
              </w:tc>
            </w:tr>
            <w:tr w14:paraId="024628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 w:hRule="atLeast"/>
              </w:trPr>
              <w:tc>
                <w:tcPr>
                  <w:tcW w:w="508" w:type="pct"/>
                  <w:vMerge w:val="continue"/>
                  <w:vAlign w:val="center"/>
                </w:tcPr>
                <w:p w14:paraId="33B7052D">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u w:val="none"/>
                      <w:vertAlign w:val="baseline"/>
                      <w:lang w:val="en-US" w:eastAsia="zh-CN" w:bidi="ar"/>
                      <w14:textFill>
                        <w14:solidFill>
                          <w14:schemeClr w14:val="tx1"/>
                        </w14:solidFill>
                      </w14:textFill>
                    </w:rPr>
                  </w:pPr>
                </w:p>
              </w:tc>
              <w:tc>
                <w:tcPr>
                  <w:tcW w:w="520" w:type="pct"/>
                  <w:vMerge w:val="continue"/>
                  <w:shd w:val="clear" w:color="auto" w:fill="auto"/>
                  <w:vAlign w:val="center"/>
                </w:tcPr>
                <w:p w14:paraId="6C9844B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u w:val="none"/>
                      <w:vertAlign w:val="baseline"/>
                      <w:lang w:val="en-US" w:eastAsia="zh-CN" w:bidi="ar"/>
                      <w14:textFill>
                        <w14:solidFill>
                          <w14:schemeClr w14:val="tx1"/>
                        </w14:solidFill>
                      </w14:textFill>
                    </w:rPr>
                  </w:pPr>
                </w:p>
              </w:tc>
              <w:tc>
                <w:tcPr>
                  <w:tcW w:w="775" w:type="pct"/>
                  <w:vAlign w:val="center"/>
                </w:tcPr>
                <w:p w14:paraId="596F1BBB">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现有燃煤供热中心生活污水</w:t>
                  </w:r>
                </w:p>
              </w:tc>
              <w:tc>
                <w:tcPr>
                  <w:tcW w:w="968" w:type="pct"/>
                  <w:vAlign w:val="center"/>
                </w:tcPr>
                <w:p w14:paraId="3397E5E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u w:val="none"/>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u w:val="none"/>
                      <w:vertAlign w:val="baseline"/>
                      <w:lang w:val="en-US" w:eastAsia="zh-CN" w:bidi="ar"/>
                      <w14:textFill>
                        <w14:solidFill>
                          <w14:schemeClr w14:val="tx1"/>
                        </w14:solidFill>
                      </w14:textFill>
                    </w:rPr>
                    <w:t>COD、氨氮、BOD</w:t>
                  </w:r>
                  <w:r>
                    <w:rPr>
                      <w:rFonts w:hint="default" w:ascii="Times New Roman" w:hAnsi="Times New Roman" w:eastAsia="宋体" w:cs="Times New Roman"/>
                      <w:b w:val="0"/>
                      <w:bCs w:val="0"/>
                      <w:color w:val="000000" w:themeColor="text1"/>
                      <w:kern w:val="0"/>
                      <w:sz w:val="21"/>
                      <w:szCs w:val="21"/>
                      <w:u w:val="none"/>
                      <w:vertAlign w:val="subscript"/>
                      <w:lang w:val="en-US" w:eastAsia="zh-CN" w:bidi="ar"/>
                      <w14:textFill>
                        <w14:solidFill>
                          <w14:schemeClr w14:val="tx1"/>
                        </w14:solidFill>
                      </w14:textFill>
                    </w:rPr>
                    <w:t>5</w:t>
                  </w:r>
                </w:p>
              </w:tc>
              <w:tc>
                <w:tcPr>
                  <w:tcW w:w="1534" w:type="pct"/>
                  <w:vAlign w:val="center"/>
                </w:tcPr>
                <w:p w14:paraId="645E191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vertAlign w:val="baseline"/>
                      <w:lang w:val="en-US" w:eastAsia="zh-CN" w:bidi="ar-SA"/>
                      <w14:textFill>
                        <w14:solidFill>
                          <w14:schemeClr w14:val="tx1"/>
                        </w14:solidFill>
                      </w14:textFill>
                    </w:rPr>
                    <w:t>经化粪池处理后定期清掏，</w:t>
                  </w:r>
                  <w:r>
                    <w:rPr>
                      <w:rFonts w:hint="default" w:ascii="Times New Roman" w:hAnsi="Times New Roman" w:eastAsia="宋体" w:cs="Times New Roman"/>
                      <w:b w:val="0"/>
                      <w:bCs w:val="0"/>
                      <w:color w:val="000000" w:themeColor="text1"/>
                      <w:kern w:val="0"/>
                      <w:sz w:val="21"/>
                      <w:szCs w:val="21"/>
                      <w:u w:val="none"/>
                      <w:vertAlign w:val="baseline"/>
                      <w:lang w:val="en-US" w:eastAsia="zh-CN" w:bidi="ar"/>
                      <w14:textFill>
                        <w14:solidFill>
                          <w14:schemeClr w14:val="tx1"/>
                        </w14:solidFill>
                      </w14:textFill>
                    </w:rPr>
                    <w:t>不外排</w:t>
                  </w:r>
                </w:p>
              </w:tc>
              <w:tc>
                <w:tcPr>
                  <w:tcW w:w="693" w:type="pct"/>
                  <w:vAlign w:val="center"/>
                </w:tcPr>
                <w:p w14:paraId="58C912F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vertAlign w:val="baseline"/>
                      <w:lang w:val="en-US" w:eastAsia="zh-CN" w:bidi="ar-SA"/>
                      <w14:textFill>
                        <w14:solidFill>
                          <w14:schemeClr w14:val="tx1"/>
                        </w14:solidFill>
                      </w14:textFill>
                    </w:rPr>
                    <w:t>/</w:t>
                  </w:r>
                </w:p>
              </w:tc>
            </w:tr>
            <w:tr w14:paraId="707AF1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508" w:type="pct"/>
                  <w:vMerge w:val="continue"/>
                  <w:vAlign w:val="center"/>
                </w:tcPr>
                <w:p w14:paraId="7DEA410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520" w:type="pct"/>
                  <w:vMerge w:val="continue"/>
                  <w:shd w:val="clear" w:color="auto" w:fill="auto"/>
                  <w:vAlign w:val="center"/>
                </w:tcPr>
                <w:p w14:paraId="70BA540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p>
              </w:tc>
              <w:tc>
                <w:tcPr>
                  <w:tcW w:w="775" w:type="pct"/>
                  <w:vMerge w:val="restart"/>
                  <w:vAlign w:val="center"/>
                </w:tcPr>
                <w:p w14:paraId="1EB0C3C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景区生活污水</w:t>
                  </w:r>
                </w:p>
              </w:tc>
              <w:tc>
                <w:tcPr>
                  <w:tcW w:w="968" w:type="pct"/>
                  <w:vAlign w:val="center"/>
                </w:tcPr>
                <w:p w14:paraId="3A60F11D">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u w:val="none"/>
                      <w:vertAlign w:val="baseline"/>
                      <w:lang w:val="en-US" w:eastAsia="zh-CN" w:bidi="ar"/>
                      <w14:textFill>
                        <w14:solidFill>
                          <w14:schemeClr w14:val="tx1"/>
                        </w14:solidFill>
                      </w14:textFill>
                    </w:rPr>
                    <w:t>COD</w:t>
                  </w:r>
                </w:p>
              </w:tc>
              <w:tc>
                <w:tcPr>
                  <w:tcW w:w="1534" w:type="pct"/>
                  <w:vMerge w:val="restart"/>
                  <w:vAlign w:val="center"/>
                </w:tcPr>
                <w:p w14:paraId="4B5EF93C">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景区山上卫生间各设化粪池1 座，由排水管道引至污水处理站；餐厅废水经景区设置的隔油池进行处理之后与景区生活污水一同排至景区东南侧的污水处理站进行处理，污水经处理后排入景区附近小水河</w:t>
                  </w:r>
                </w:p>
              </w:tc>
              <w:tc>
                <w:tcPr>
                  <w:tcW w:w="693" w:type="pct"/>
                  <w:vAlign w:val="center"/>
                </w:tcPr>
                <w:p w14:paraId="0788730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0.635t/a</w:t>
                  </w:r>
                </w:p>
              </w:tc>
            </w:tr>
            <w:tr w14:paraId="5F034C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trPr>
              <w:tc>
                <w:tcPr>
                  <w:tcW w:w="508" w:type="pct"/>
                  <w:vMerge w:val="continue"/>
                  <w:vAlign w:val="center"/>
                </w:tcPr>
                <w:p w14:paraId="774E50A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520" w:type="pct"/>
                  <w:vMerge w:val="continue"/>
                  <w:shd w:val="clear" w:color="auto" w:fill="auto"/>
                  <w:vAlign w:val="center"/>
                </w:tcPr>
                <w:p w14:paraId="27A597A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p>
              </w:tc>
              <w:tc>
                <w:tcPr>
                  <w:tcW w:w="775" w:type="pct"/>
                  <w:vMerge w:val="continue"/>
                  <w:vAlign w:val="center"/>
                </w:tcPr>
                <w:p w14:paraId="23D5E8A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968" w:type="pct"/>
                  <w:vAlign w:val="center"/>
                </w:tcPr>
                <w:p w14:paraId="4467482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u w:val="none"/>
                      <w:vertAlign w:val="baseline"/>
                      <w:lang w:val="en-US" w:eastAsia="zh-CN" w:bidi="ar"/>
                      <w14:textFill>
                        <w14:solidFill>
                          <w14:schemeClr w14:val="tx1"/>
                        </w14:solidFill>
                      </w14:textFill>
                    </w:rPr>
                    <w:t>氨氮</w:t>
                  </w:r>
                </w:p>
              </w:tc>
              <w:tc>
                <w:tcPr>
                  <w:tcW w:w="1534" w:type="pct"/>
                  <w:vMerge w:val="continue"/>
                  <w:vAlign w:val="center"/>
                </w:tcPr>
                <w:p w14:paraId="026F0C9D">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p>
              </w:tc>
              <w:tc>
                <w:tcPr>
                  <w:tcW w:w="693" w:type="pct"/>
                  <w:vAlign w:val="center"/>
                </w:tcPr>
                <w:p w14:paraId="6D6A84F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0.0071t/a</w:t>
                  </w:r>
                </w:p>
              </w:tc>
            </w:tr>
            <w:tr w14:paraId="5CCD19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trPr>
              <w:tc>
                <w:tcPr>
                  <w:tcW w:w="508" w:type="pct"/>
                  <w:vAlign w:val="center"/>
                </w:tcPr>
                <w:p w14:paraId="1F57624D">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u w:val="none"/>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u w:val="none"/>
                      <w:vertAlign w:val="baseline"/>
                      <w:lang w:val="en-US" w:eastAsia="zh-CN" w:bidi="ar"/>
                      <w14:textFill>
                        <w14:solidFill>
                          <w14:schemeClr w14:val="tx1"/>
                        </w14:solidFill>
                      </w14:textFill>
                    </w:rPr>
                    <w:t>在建</w:t>
                  </w:r>
                </w:p>
                <w:p w14:paraId="59B1CAC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u w:val="none"/>
                      <w:vertAlign w:val="baseline"/>
                      <w:lang w:val="en-US" w:eastAsia="zh-CN" w:bidi="ar"/>
                      <w14:textFill>
                        <w14:solidFill>
                          <w14:schemeClr w14:val="tx1"/>
                        </w14:solidFill>
                      </w14:textFill>
                    </w:rPr>
                    <w:t>工程</w:t>
                  </w:r>
                </w:p>
              </w:tc>
              <w:tc>
                <w:tcPr>
                  <w:tcW w:w="520" w:type="pct"/>
                  <w:vMerge w:val="continue"/>
                  <w:shd w:val="clear" w:color="auto" w:fill="auto"/>
                  <w:vAlign w:val="center"/>
                </w:tcPr>
                <w:p w14:paraId="257D349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775" w:type="pct"/>
                  <w:vAlign w:val="center"/>
                </w:tcPr>
                <w:p w14:paraId="5395CB0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软水制备废水</w:t>
                  </w:r>
                </w:p>
              </w:tc>
              <w:tc>
                <w:tcPr>
                  <w:tcW w:w="968" w:type="pct"/>
                  <w:vAlign w:val="center"/>
                </w:tcPr>
                <w:p w14:paraId="6B79945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盐类及SS</w:t>
                  </w:r>
                </w:p>
              </w:tc>
              <w:tc>
                <w:tcPr>
                  <w:tcW w:w="1534" w:type="pct"/>
                  <w:vAlign w:val="center"/>
                </w:tcPr>
                <w:p w14:paraId="5410892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lang w:val="en-US"/>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企业拟在锅炉房外新增一个絮凝沉淀池，容积为6m</w:t>
                  </w:r>
                  <w:r>
                    <w:rPr>
                      <w:rFonts w:hint="default" w:ascii="Times New Roman" w:hAnsi="Times New Roman" w:eastAsia="宋体" w:cs="Times New Roman"/>
                      <w:b w:val="0"/>
                      <w:bCs w:val="0"/>
                      <w:color w:val="000000" w:themeColor="text1"/>
                      <w:kern w:val="0"/>
                      <w:sz w:val="21"/>
                      <w:szCs w:val="21"/>
                      <w:vertAlign w:val="superscript"/>
                      <w:lang w:val="en-US" w:eastAsia="zh-CN" w:bidi="ar"/>
                      <w14:textFill>
                        <w14:solidFill>
                          <w14:schemeClr w14:val="tx1"/>
                        </w14:solidFill>
                      </w14:textFill>
                    </w:rPr>
                    <w:t>3</w:t>
                  </w: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w:t>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软水制备废水经处理后用于景区道路洒水降尘，不外排</w:t>
                  </w:r>
                </w:p>
              </w:tc>
              <w:tc>
                <w:tcPr>
                  <w:tcW w:w="693" w:type="pct"/>
                  <w:vAlign w:val="center"/>
                </w:tcPr>
                <w:p w14:paraId="5BD802C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vertAlign w:val="baseline"/>
                      <w:lang w:val="en-US" w:eastAsia="zh-CN" w:bidi="ar-SA"/>
                      <w14:textFill>
                        <w14:solidFill>
                          <w14:schemeClr w14:val="tx1"/>
                        </w14:solidFill>
                      </w14:textFill>
                    </w:rPr>
                    <w:t>/</w:t>
                  </w:r>
                </w:p>
              </w:tc>
            </w:tr>
            <w:tr w14:paraId="4E80D9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trPr>
              <w:tc>
                <w:tcPr>
                  <w:tcW w:w="508" w:type="pct"/>
                  <w:vMerge w:val="restart"/>
                  <w:vAlign w:val="center"/>
                </w:tcPr>
                <w:p w14:paraId="78CF714C">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u w:val="none"/>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u w:val="none"/>
                      <w:vertAlign w:val="baseline"/>
                      <w:lang w:val="en-US" w:eastAsia="zh-CN" w:bidi="ar"/>
                      <w14:textFill>
                        <w14:solidFill>
                          <w14:schemeClr w14:val="tx1"/>
                        </w14:solidFill>
                      </w14:textFill>
                    </w:rPr>
                    <w:t>现有</w:t>
                  </w:r>
                </w:p>
                <w:p w14:paraId="1F4EDA9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u w:val="none"/>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u w:val="none"/>
                      <w:vertAlign w:val="baseline"/>
                      <w:lang w:val="en-US" w:eastAsia="zh-CN" w:bidi="ar"/>
                      <w14:textFill>
                        <w14:solidFill>
                          <w14:schemeClr w14:val="tx1"/>
                        </w14:solidFill>
                      </w14:textFill>
                    </w:rPr>
                    <w:t>工程</w:t>
                  </w:r>
                </w:p>
              </w:tc>
              <w:tc>
                <w:tcPr>
                  <w:tcW w:w="520" w:type="pct"/>
                  <w:vMerge w:val="restart"/>
                  <w:shd w:val="clear" w:color="auto" w:fill="auto"/>
                  <w:vAlign w:val="center"/>
                </w:tcPr>
                <w:p w14:paraId="537D6FC4">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u w:val="none"/>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u w:val="none"/>
                      <w:vertAlign w:val="baseline"/>
                      <w:lang w:val="en-US" w:eastAsia="zh-CN" w:bidi="ar"/>
                      <w14:textFill>
                        <w14:solidFill>
                          <w14:schemeClr w14:val="tx1"/>
                        </w14:solidFill>
                      </w14:textFill>
                    </w:rPr>
                    <w:t>固废</w:t>
                  </w:r>
                </w:p>
              </w:tc>
              <w:tc>
                <w:tcPr>
                  <w:tcW w:w="775" w:type="pct"/>
                  <w:vAlign w:val="center"/>
                </w:tcPr>
                <w:p w14:paraId="00B1719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vertAlign w:val="baseline"/>
                      <w:lang w:val="en-US" w:eastAsia="zh-CN" w:bidi="ar-SA"/>
                      <w14:textFill>
                        <w14:solidFill>
                          <w14:schemeClr w14:val="tx1"/>
                        </w14:solidFill>
                      </w14:textFill>
                    </w:rPr>
                    <w:t>燃煤锅炉</w:t>
                  </w:r>
                </w:p>
              </w:tc>
              <w:tc>
                <w:tcPr>
                  <w:tcW w:w="968" w:type="pct"/>
                  <w:vAlign w:val="center"/>
                </w:tcPr>
                <w:p w14:paraId="59968E3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vertAlign w:val="baseline"/>
                      <w:lang w:val="en-US" w:eastAsia="zh-CN" w:bidi="ar-SA"/>
                      <w14:textFill>
                        <w14:solidFill>
                          <w14:schemeClr w14:val="tx1"/>
                        </w14:solidFill>
                      </w14:textFill>
                    </w:rPr>
                    <w:t>炉渣</w:t>
                  </w:r>
                </w:p>
              </w:tc>
              <w:tc>
                <w:tcPr>
                  <w:tcW w:w="1534" w:type="pct"/>
                  <w:vAlign w:val="center"/>
                </w:tcPr>
                <w:p w14:paraId="14DCA53A">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u w:val="none"/>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u w:val="none"/>
                      <w:vertAlign w:val="baseline"/>
                      <w:lang w:val="en-US" w:eastAsia="zh-CN" w:bidi="ar"/>
                      <w14:textFill>
                        <w14:solidFill>
                          <w14:schemeClr w14:val="tx1"/>
                        </w14:solidFill>
                      </w14:textFill>
                    </w:rPr>
                    <w:t>外售综合利用</w:t>
                  </w:r>
                </w:p>
              </w:tc>
              <w:tc>
                <w:tcPr>
                  <w:tcW w:w="693" w:type="pct"/>
                  <w:vAlign w:val="center"/>
                </w:tcPr>
                <w:p w14:paraId="22DB3DB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u w:val="none"/>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u w:val="none"/>
                      <w:vertAlign w:val="baseline"/>
                      <w:lang w:val="en-US" w:eastAsia="zh-CN" w:bidi="ar"/>
                      <w14:textFill>
                        <w14:solidFill>
                          <w14:schemeClr w14:val="tx1"/>
                        </w14:solidFill>
                      </w14:textFill>
                    </w:rPr>
                    <w:t>772t/a</w:t>
                  </w:r>
                </w:p>
              </w:tc>
            </w:tr>
            <w:tr w14:paraId="3BCE1A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trPr>
              <w:tc>
                <w:tcPr>
                  <w:tcW w:w="508" w:type="pct"/>
                  <w:vMerge w:val="continue"/>
                  <w:vAlign w:val="center"/>
                </w:tcPr>
                <w:p w14:paraId="40AB72D4">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520" w:type="pct"/>
                  <w:vMerge w:val="continue"/>
                  <w:vAlign w:val="center"/>
                </w:tcPr>
                <w:p w14:paraId="6A688A9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775" w:type="pct"/>
                  <w:vAlign w:val="center"/>
                </w:tcPr>
                <w:p w14:paraId="2B8737F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vertAlign w:val="baseline"/>
                      <w:lang w:val="en-US" w:eastAsia="zh-CN" w:bidi="ar-SA"/>
                      <w14:textFill>
                        <w14:solidFill>
                          <w14:schemeClr w14:val="tx1"/>
                        </w14:solidFill>
                      </w14:textFill>
                    </w:rPr>
                    <w:t>布袋除尘器</w:t>
                  </w:r>
                </w:p>
              </w:tc>
              <w:tc>
                <w:tcPr>
                  <w:tcW w:w="968" w:type="pct"/>
                  <w:vAlign w:val="center"/>
                </w:tcPr>
                <w:p w14:paraId="46C453B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vertAlign w:val="baseline"/>
                      <w:lang w:val="en-US" w:eastAsia="zh-CN" w:bidi="ar-SA"/>
                      <w14:textFill>
                        <w14:solidFill>
                          <w14:schemeClr w14:val="tx1"/>
                        </w14:solidFill>
                      </w14:textFill>
                    </w:rPr>
                    <w:t>除尘灰</w:t>
                  </w:r>
                </w:p>
              </w:tc>
              <w:tc>
                <w:tcPr>
                  <w:tcW w:w="1534" w:type="pct"/>
                  <w:vAlign w:val="center"/>
                </w:tcPr>
                <w:p w14:paraId="28113B6A">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u w:val="none"/>
                      <w:vertAlign w:val="baseline"/>
                      <w:lang w:val="en-US" w:eastAsia="zh-CN" w:bidi="ar"/>
                      <w14:textFill>
                        <w14:solidFill>
                          <w14:schemeClr w14:val="tx1"/>
                        </w14:solidFill>
                      </w14:textFill>
                    </w:rPr>
                    <w:t>外售综合利用</w:t>
                  </w:r>
                </w:p>
              </w:tc>
              <w:tc>
                <w:tcPr>
                  <w:tcW w:w="693" w:type="pct"/>
                  <w:vAlign w:val="center"/>
                </w:tcPr>
                <w:p w14:paraId="1DAC84A1">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64t/a</w:t>
                  </w:r>
                </w:p>
              </w:tc>
            </w:tr>
            <w:tr w14:paraId="32DE54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trPr>
              <w:tc>
                <w:tcPr>
                  <w:tcW w:w="508" w:type="pct"/>
                  <w:vMerge w:val="continue"/>
                  <w:vAlign w:val="center"/>
                </w:tcPr>
                <w:p w14:paraId="05AED1DC">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p>
              </w:tc>
              <w:tc>
                <w:tcPr>
                  <w:tcW w:w="520" w:type="pct"/>
                  <w:vMerge w:val="continue"/>
                  <w:vAlign w:val="center"/>
                </w:tcPr>
                <w:p w14:paraId="168DA53D">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p>
              </w:tc>
              <w:tc>
                <w:tcPr>
                  <w:tcW w:w="775" w:type="pct"/>
                  <w:vAlign w:val="center"/>
                </w:tcPr>
                <w:p w14:paraId="75F24CF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vertAlign w:val="baseline"/>
                      <w:lang w:val="en-US" w:eastAsia="zh-CN" w:bidi="ar-SA"/>
                      <w14:textFill>
                        <w14:solidFill>
                          <w14:schemeClr w14:val="tx1"/>
                        </w14:solidFill>
                      </w14:textFill>
                    </w:rPr>
                    <w:t>脱硫设施</w:t>
                  </w:r>
                </w:p>
              </w:tc>
              <w:tc>
                <w:tcPr>
                  <w:tcW w:w="968" w:type="pct"/>
                  <w:vAlign w:val="center"/>
                </w:tcPr>
                <w:p w14:paraId="7DA09B24">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t>脱硫石膏</w:t>
                  </w:r>
                </w:p>
              </w:tc>
              <w:tc>
                <w:tcPr>
                  <w:tcW w:w="1534" w:type="pct"/>
                  <w:vAlign w:val="center"/>
                </w:tcPr>
                <w:p w14:paraId="29D3A80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u w:val="none"/>
                      <w:vertAlign w:val="baseline"/>
                      <w:lang w:val="en-US" w:eastAsia="zh-CN" w:bidi="ar"/>
                      <w14:textFill>
                        <w14:solidFill>
                          <w14:schemeClr w14:val="tx1"/>
                        </w14:solidFill>
                      </w14:textFill>
                    </w:rPr>
                    <w:t>外售综合利用</w:t>
                  </w:r>
                </w:p>
              </w:tc>
              <w:tc>
                <w:tcPr>
                  <w:tcW w:w="693" w:type="pct"/>
                  <w:vAlign w:val="center"/>
                </w:tcPr>
                <w:p w14:paraId="569F056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7.56t/a</w:t>
                  </w:r>
                </w:p>
              </w:tc>
            </w:tr>
            <w:tr w14:paraId="16A8B1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 w:hRule="atLeast"/>
              </w:trPr>
              <w:tc>
                <w:tcPr>
                  <w:tcW w:w="508" w:type="pct"/>
                  <w:vMerge w:val="continue"/>
                  <w:vAlign w:val="center"/>
                </w:tcPr>
                <w:p w14:paraId="3C569D34">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p>
              </w:tc>
              <w:tc>
                <w:tcPr>
                  <w:tcW w:w="520" w:type="pct"/>
                  <w:vMerge w:val="continue"/>
                  <w:vAlign w:val="center"/>
                </w:tcPr>
                <w:p w14:paraId="2BEB4F8A">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p>
              </w:tc>
              <w:tc>
                <w:tcPr>
                  <w:tcW w:w="775" w:type="pct"/>
                  <w:vAlign w:val="center"/>
                </w:tcPr>
                <w:p w14:paraId="4A3A277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vertAlign w:val="baseline"/>
                      <w:lang w:val="en-US" w:eastAsia="zh-CN" w:bidi="ar-SA"/>
                      <w14:textFill>
                        <w14:solidFill>
                          <w14:schemeClr w14:val="tx1"/>
                        </w14:solidFill>
                      </w14:textFill>
                    </w:rPr>
                    <w:t>软水设备</w:t>
                  </w:r>
                </w:p>
              </w:tc>
              <w:tc>
                <w:tcPr>
                  <w:tcW w:w="968" w:type="pct"/>
                  <w:vAlign w:val="center"/>
                </w:tcPr>
                <w:p w14:paraId="47A1C60D">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vertAlign w:val="baseline"/>
                      <w:lang w:val="en-US" w:eastAsia="zh-CN" w:bidi="ar-SA"/>
                      <w14:textFill>
                        <w14:solidFill>
                          <w14:schemeClr w14:val="tx1"/>
                        </w14:solidFill>
                      </w14:textFill>
                    </w:rPr>
                    <w:t>废离子交换树脂</w:t>
                  </w:r>
                </w:p>
              </w:tc>
              <w:tc>
                <w:tcPr>
                  <w:tcW w:w="1534" w:type="pct"/>
                  <w:vAlign w:val="center"/>
                </w:tcPr>
                <w:p w14:paraId="5033BC0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由厂家定期更换并回收处理</w:t>
                  </w:r>
                </w:p>
              </w:tc>
              <w:tc>
                <w:tcPr>
                  <w:tcW w:w="693" w:type="pct"/>
                  <w:vAlign w:val="center"/>
                </w:tcPr>
                <w:p w14:paraId="01E6A46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0.4t/a</w:t>
                  </w:r>
                </w:p>
              </w:tc>
            </w:tr>
            <w:tr w14:paraId="17F62E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 w:hRule="atLeast"/>
              </w:trPr>
              <w:tc>
                <w:tcPr>
                  <w:tcW w:w="508" w:type="pct"/>
                  <w:vAlign w:val="center"/>
                </w:tcPr>
                <w:p w14:paraId="53947C3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u w:val="none"/>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u w:val="none"/>
                      <w:vertAlign w:val="baseline"/>
                      <w:lang w:val="en-US" w:eastAsia="zh-CN" w:bidi="ar"/>
                      <w14:textFill>
                        <w14:solidFill>
                          <w14:schemeClr w14:val="tx1"/>
                        </w14:solidFill>
                      </w14:textFill>
                    </w:rPr>
                    <w:t>在建</w:t>
                  </w:r>
                </w:p>
                <w:p w14:paraId="006E0AA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u w:val="none"/>
                      <w:vertAlign w:val="baseline"/>
                      <w:lang w:val="en-US" w:eastAsia="zh-CN" w:bidi="ar"/>
                      <w14:textFill>
                        <w14:solidFill>
                          <w14:schemeClr w14:val="tx1"/>
                        </w14:solidFill>
                      </w14:textFill>
                    </w:rPr>
                    <w:t>工程</w:t>
                  </w:r>
                </w:p>
              </w:tc>
              <w:tc>
                <w:tcPr>
                  <w:tcW w:w="520" w:type="pct"/>
                  <w:vAlign w:val="center"/>
                </w:tcPr>
                <w:p w14:paraId="618AE16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775" w:type="pct"/>
                  <w:vAlign w:val="center"/>
                </w:tcPr>
                <w:p w14:paraId="6DE9993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软水制备系统</w:t>
                  </w:r>
                </w:p>
              </w:tc>
              <w:tc>
                <w:tcPr>
                  <w:tcW w:w="968" w:type="pct"/>
                  <w:vAlign w:val="center"/>
                </w:tcPr>
                <w:p w14:paraId="28E0742C">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废离子交换树脂</w:t>
                  </w:r>
                </w:p>
              </w:tc>
              <w:tc>
                <w:tcPr>
                  <w:tcW w:w="1534" w:type="pct"/>
                  <w:vAlign w:val="center"/>
                </w:tcPr>
                <w:p w14:paraId="66DF252C">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由厂家定期更换并回收处理，厂内不暂存</w:t>
                  </w:r>
                </w:p>
              </w:tc>
              <w:tc>
                <w:tcPr>
                  <w:tcW w:w="693" w:type="pct"/>
                  <w:vAlign w:val="center"/>
                </w:tcPr>
                <w:p w14:paraId="67D95451">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kern w:val="2"/>
                      <w:sz w:val="21"/>
                      <w:szCs w:val="21"/>
                      <w:shd w:val="clear" w:color="auto" w:fill="FFFFFF"/>
                      <w:vertAlign w:val="baseline"/>
                      <w:lang w:val="en-US" w:eastAsia="zh-CN" w:bidi="ar-SA"/>
                      <w14:textFill>
                        <w14:solidFill>
                          <w14:schemeClr w14:val="tx1"/>
                        </w14:solidFill>
                      </w14:textFill>
                    </w:rPr>
                    <w:t>0.27t</w:t>
                  </w:r>
                </w:p>
              </w:tc>
            </w:tr>
            <w:tr w14:paraId="1EF376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trPr>
              <w:tc>
                <w:tcPr>
                  <w:tcW w:w="5000" w:type="pct"/>
                  <w:gridSpan w:val="6"/>
                  <w:vAlign w:val="center"/>
                </w:tcPr>
                <w:p w14:paraId="66EAC633">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备注：现有工程污染物实际排放量按照企业排污许可证执行报告和项目验收报告进行填写，在建工程由于未投入生产，无法实测，因此采用环评文件中的污染物排放数据。</w:t>
                  </w:r>
                </w:p>
              </w:tc>
            </w:tr>
          </w:tbl>
          <w:p w14:paraId="2499B909">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000000" w:themeColor="text1"/>
                <w:kern w:val="0"/>
                <w:sz w:val="24"/>
                <w:szCs w:val="24"/>
                <w:u w:val="none"/>
                <w:lang w:val="en-US" w:eastAsia="zh-CN" w:bidi="ar"/>
                <w14:textFill>
                  <w14:solidFill>
                    <w14:schemeClr w14:val="tx1"/>
                  </w14:solidFill>
                </w14:textFill>
              </w:rPr>
            </w:pPr>
            <w:r>
              <w:rPr>
                <w:rFonts w:hint="default" w:ascii="Times New Roman" w:hAnsi="Times New Roman" w:eastAsia="宋体" w:cs="Times New Roman"/>
                <w:b/>
                <w:bCs/>
                <w:color w:val="000000" w:themeColor="text1"/>
                <w:kern w:val="0"/>
                <w:sz w:val="24"/>
                <w:szCs w:val="24"/>
                <w:u w:val="none"/>
                <w:lang w:val="en-US" w:eastAsia="zh-CN" w:bidi="ar"/>
                <w14:textFill>
                  <w14:solidFill>
                    <w14:schemeClr w14:val="tx1"/>
                  </w14:solidFill>
                </w14:textFill>
              </w:rPr>
              <w:t>3.与本项目有关的主要环境问题及整改措施</w:t>
            </w:r>
          </w:p>
          <w:p w14:paraId="2355358A">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themeColor="text1"/>
                <w:kern w:val="0"/>
                <w:sz w:val="24"/>
                <w:szCs w:val="24"/>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4"/>
                <w:szCs w:val="24"/>
                <w:vertAlign w:val="baseline"/>
                <w:lang w:val="en-US" w:eastAsia="zh-CN" w:bidi="ar"/>
                <w14:textFill>
                  <w14:solidFill>
                    <w14:schemeClr w14:val="tx1"/>
                  </w14:solidFill>
                </w14:textFill>
              </w:rPr>
              <w:t>依据企业排污许可证、执行报告和自行监测报告，现有项目各项污染物均达标排放，固体废物实现合法处置。依据</w:t>
            </w:r>
            <w:r>
              <w:rPr>
                <w:rFonts w:hint="default" w:ascii="Times New Roman" w:hAnsi="Times New Roman" w:eastAsia="宋体" w:cs="Times New Roman"/>
                <w:b w:val="0"/>
                <w:bCs w:val="0"/>
                <w:color w:val="000000" w:themeColor="text1"/>
                <w:kern w:val="0"/>
                <w:sz w:val="24"/>
                <w:szCs w:val="24"/>
                <w:lang w:val="en-US" w:eastAsia="zh-CN" w:bidi="ar"/>
                <w14:textFill>
                  <w14:solidFill>
                    <w14:schemeClr w14:val="tx1"/>
                  </w14:solidFill>
                </w14:textFill>
              </w:rPr>
              <w:t>九龙山景区集中供热锅炉提升改造项目环境影响报告表，现有项目存在的</w:t>
            </w:r>
            <w:r>
              <w:rPr>
                <w:rFonts w:hint="default" w:ascii="Times New Roman" w:hAnsi="Times New Roman" w:eastAsia="宋体" w:cs="Times New Roman"/>
                <w:b w:val="0"/>
                <w:bCs w:val="0"/>
                <w:color w:val="000000" w:themeColor="text1"/>
                <w:kern w:val="0"/>
                <w:sz w:val="24"/>
                <w:szCs w:val="24"/>
                <w:u w:val="none"/>
                <w:lang w:val="en-US" w:eastAsia="zh-CN" w:bidi="ar"/>
                <w14:textFill>
                  <w14:solidFill>
                    <w14:schemeClr w14:val="tx1"/>
                  </w14:solidFill>
                </w14:textFill>
              </w:rPr>
              <w:t>主要环境问题：</w:t>
            </w:r>
            <w:r>
              <w:rPr>
                <w:rFonts w:hint="default" w:ascii="Times New Roman" w:hAnsi="Times New Roman" w:eastAsia="宋体" w:cs="Times New Roman"/>
                <w:b w:val="0"/>
                <w:bCs w:val="0"/>
                <w:color w:val="000000" w:themeColor="text1"/>
                <w:kern w:val="0"/>
                <w:sz w:val="24"/>
                <w:szCs w:val="24"/>
                <w:u w:val="none"/>
                <w:vertAlign w:val="baseline"/>
                <w:lang w:val="en-US" w:eastAsia="zh-CN" w:bidi="ar"/>
                <w14:textFill>
                  <w14:solidFill>
                    <w14:schemeClr w14:val="tx1"/>
                  </w14:solidFill>
                </w14:textFill>
              </w:rPr>
              <w:t>现有两台14MW（20t）粉煤高温热水锅炉（一用一备）不符合</w:t>
            </w:r>
            <w:r>
              <w:rPr>
                <w:rFonts w:hint="default" w:ascii="Times New Roman" w:hAnsi="Times New Roman" w:eastAsia="宋体" w:cs="Times New Roman"/>
                <w:b w:val="0"/>
                <w:bCs w:val="0"/>
                <w:color w:val="000000" w:themeColor="text1"/>
                <w:sz w:val="24"/>
                <w:szCs w:val="24"/>
                <w:u w:val="none"/>
                <w:lang w:val="en-US" w:eastAsia="zh-CN"/>
                <w14:textFill>
                  <w14:solidFill>
                    <w14:schemeClr w14:val="tx1"/>
                  </w14:solidFill>
                </w14:textFill>
              </w:rPr>
              <w:t>宝鸡市大气办</w:t>
            </w:r>
            <w:r>
              <w:rPr>
                <w:rFonts w:hint="default" w:ascii="Times New Roman" w:hAnsi="Times New Roman" w:eastAsia="宋体" w:cs="Times New Roman"/>
                <w:b w:val="0"/>
                <w:bCs w:val="0"/>
                <w:color w:val="000000" w:themeColor="text1"/>
                <w:kern w:val="0"/>
                <w:sz w:val="24"/>
                <w:szCs w:val="24"/>
                <w:u w:val="none"/>
                <w:vertAlign w:val="baseline"/>
                <w:lang w:val="en-US" w:eastAsia="zh-CN" w:bidi="ar"/>
                <w14:textFill>
                  <w14:solidFill>
                    <w14:schemeClr w14:val="tx1"/>
                  </w14:solidFill>
                </w14:textFill>
              </w:rPr>
              <w:t>《</w:t>
            </w:r>
            <w:r>
              <w:rPr>
                <w:rFonts w:hint="default" w:ascii="Times New Roman" w:hAnsi="Times New Roman" w:eastAsia="宋体" w:cs="Times New Roman"/>
                <w:b w:val="0"/>
                <w:bCs w:val="0"/>
                <w:color w:val="000000" w:themeColor="text1"/>
                <w:sz w:val="24"/>
                <w:szCs w:val="24"/>
                <w:u w:val="none"/>
                <w:lang w:val="en-US" w:eastAsia="zh-CN"/>
                <w14:textFill>
                  <w14:solidFill>
                    <w14:schemeClr w14:val="tx1"/>
                  </w14:solidFill>
                </w14:textFill>
              </w:rPr>
              <w:t>关于印发</w:t>
            </w:r>
            <w:r>
              <w:rPr>
                <w:rFonts w:hint="default" w:ascii="Times New Roman" w:hAnsi="Times New Roman" w:eastAsia="宋体" w:cs="Times New Roman"/>
                <w:b w:val="0"/>
                <w:bCs w:val="0"/>
                <w:color w:val="000000" w:themeColor="text1"/>
                <w:kern w:val="0"/>
                <w:sz w:val="24"/>
                <w:szCs w:val="24"/>
                <w:u w:val="none"/>
                <w:vertAlign w:val="baseline"/>
                <w:lang w:val="en-US" w:eastAsia="zh-CN" w:bidi="ar"/>
                <w14:textFill>
                  <w14:solidFill>
                    <w14:schemeClr w14:val="tx1"/>
                  </w14:solidFill>
                </w14:textFill>
              </w:rPr>
              <w:t>2023年秋冬季期间重点大气污染物协同管控工作方案》中“2023年年底前，完成35蒸吨/小时以下燃煤锅炉淘汰任务（不含2018年10月底前完成超低排放改造的20蒸吨/小时及以上锅炉）”要求。目前</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燃煤供热中心</w:t>
            </w:r>
            <w:r>
              <w:rPr>
                <w:rFonts w:hint="default" w:ascii="Times New Roman" w:hAnsi="Times New Roman" w:eastAsia="宋体" w:cs="Times New Roman"/>
                <w:b w:val="0"/>
                <w:bCs w:val="0"/>
                <w:color w:val="000000" w:themeColor="text1"/>
                <w:kern w:val="0"/>
                <w:sz w:val="24"/>
                <w:szCs w:val="24"/>
                <w:u w:val="none"/>
                <w:vertAlign w:val="baseline"/>
                <w:lang w:val="en-US" w:eastAsia="zh-CN" w:bidi="ar"/>
                <w14:textFill>
                  <w14:solidFill>
                    <w14:schemeClr w14:val="tx1"/>
                  </w14:solidFill>
                </w14:textFill>
              </w:rPr>
              <w:t>2台14MW（20t）粉煤高温热水锅炉已拆除一台，待</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两台8.4</w:t>
            </w:r>
            <w:r>
              <w:rPr>
                <w:rFonts w:hint="default" w:ascii="Times New Roman" w:hAnsi="Times New Roman" w:eastAsia="宋体" w:cs="Times New Roman"/>
                <w:b w:val="0"/>
                <w:bCs w:val="0"/>
                <w:color w:val="000000" w:themeColor="text1"/>
                <w:kern w:val="0"/>
                <w:sz w:val="24"/>
                <w:szCs w:val="24"/>
                <w:u w:val="none"/>
                <w:vertAlign w:val="baseline"/>
                <w:lang w:val="en-US" w:eastAsia="zh-CN" w:bidi="ar"/>
                <w14:textFill>
                  <w14:solidFill>
                    <w14:schemeClr w14:val="tx1"/>
                  </w14:solidFill>
                </w14:textFill>
              </w:rPr>
              <w:t>MW（12t）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天然气热水锅炉（一用一备）及本项目建设完成后，</w:t>
            </w:r>
            <w:r>
              <w:rPr>
                <w:rFonts w:hint="default" w:ascii="Times New Roman" w:hAnsi="Times New Roman" w:eastAsia="宋体" w:cs="Times New Roman"/>
                <w:b w:val="0"/>
                <w:bCs w:val="0"/>
                <w:color w:val="000000" w:themeColor="text1"/>
                <w:kern w:val="0"/>
                <w:sz w:val="24"/>
                <w:szCs w:val="24"/>
                <w:lang w:val="en-US" w:eastAsia="zh-CN" w:bidi="ar"/>
                <w14:textFill>
                  <w14:solidFill>
                    <w14:schemeClr w14:val="tx1"/>
                  </w14:solidFill>
                </w14:textFill>
              </w:rPr>
              <w:t>现有燃煤供热中心将停运拆除，使用新建燃气锅炉为景区供热。</w:t>
            </w:r>
          </w:p>
        </w:tc>
      </w:tr>
    </w:tbl>
    <w:p w14:paraId="73674933">
      <w:pPr>
        <w:keepNext w:val="0"/>
        <w:keepLines w:val="0"/>
        <w:widowControl/>
        <w:suppressLineNumbers w:val="0"/>
        <w:jc w:val="left"/>
        <w:rPr>
          <w:rFonts w:hint="default" w:ascii="Times New Roman" w:hAnsi="Times New Roman" w:eastAsia="宋体" w:cs="Times New Roman"/>
          <w:color w:val="000000" w:themeColor="text1"/>
          <w:kern w:val="0"/>
          <w:sz w:val="30"/>
          <w:szCs w:val="30"/>
          <w:lang w:val="en-US" w:eastAsia="zh-CN" w:bidi="ar"/>
          <w14:textFill>
            <w14:solidFill>
              <w14:schemeClr w14:val="tx1"/>
            </w14:solidFill>
          </w14:textFill>
        </w:rPr>
        <w:sectPr>
          <w:pgSz w:w="11906" w:h="16838"/>
          <w:pgMar w:top="1440" w:right="1080" w:bottom="1440" w:left="1080" w:header="851" w:footer="992" w:gutter="0"/>
          <w:pgBorders w:offsetFrom="page">
            <w:top w:val="none" w:sz="0" w:space="0"/>
            <w:left w:val="none" w:sz="0" w:space="0"/>
            <w:bottom w:val="none" w:sz="0" w:space="0"/>
            <w:right w:val="none" w:sz="0" w:space="0"/>
          </w:pgBorders>
          <w:pgNumType w:fmt="decimal"/>
          <w:cols w:space="425" w:num="1"/>
          <w:docGrid w:type="lines" w:linePitch="312" w:charSpace="0"/>
        </w:sectPr>
      </w:pPr>
    </w:p>
    <w:p w14:paraId="4EB4208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bCs/>
          <w:color w:val="000000" w:themeColor="text1"/>
          <w:sz w:val="28"/>
          <w:szCs w:val="28"/>
          <w14:textFill>
            <w14:solidFill>
              <w14:schemeClr w14:val="tx1"/>
            </w14:solidFill>
          </w14:textFill>
        </w:rPr>
      </w:pPr>
      <w:r>
        <w:rPr>
          <w:rFonts w:hint="default" w:ascii="Times New Roman" w:hAnsi="Times New Roman" w:eastAsia="宋体" w:cs="Times New Roman"/>
          <w:b/>
          <w:bCs/>
          <w:color w:val="000000" w:themeColor="text1"/>
          <w:kern w:val="0"/>
          <w:sz w:val="28"/>
          <w:szCs w:val="28"/>
          <w:lang w:val="en-US" w:eastAsia="zh-CN" w:bidi="ar"/>
          <w14:textFill>
            <w14:solidFill>
              <w14:schemeClr w14:val="tx1"/>
            </w14:solidFill>
          </w14:textFill>
        </w:rPr>
        <w:t>三、区域环境质量现状、环境保护目标及评价标准</w:t>
      </w:r>
    </w:p>
    <w:tbl>
      <w:tblPr>
        <w:tblStyle w:val="17"/>
        <w:tblW w:w="4999"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841"/>
        <w:gridCol w:w="9119"/>
      </w:tblGrid>
      <w:tr w14:paraId="02E2540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22" w:type="pct"/>
            <w:tcBorders>
              <w:tl2br w:val="nil"/>
              <w:tr2bl w:val="nil"/>
            </w:tcBorders>
            <w:vAlign w:val="center"/>
          </w:tcPr>
          <w:p w14:paraId="5340F88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000000" w:themeColor="text1"/>
                <w:sz w:val="24"/>
                <w:szCs w:val="24"/>
                <w14:textFill>
                  <w14:solidFill>
                    <w14:schemeClr w14:val="tx1"/>
                  </w14:solidFill>
                </w14:textFill>
              </w:rPr>
            </w:pPr>
            <w:r>
              <w:rPr>
                <w:rFonts w:hint="default" w:ascii="Times New Roman" w:hAnsi="Times New Roman" w:eastAsia="宋体" w:cs="Times New Roman"/>
                <w:b/>
                <w:bCs/>
                <w:color w:val="000000" w:themeColor="text1"/>
                <w:kern w:val="0"/>
                <w:sz w:val="24"/>
                <w:szCs w:val="24"/>
                <w:lang w:val="en-US" w:eastAsia="zh-CN" w:bidi="ar"/>
                <w14:textFill>
                  <w14:solidFill>
                    <w14:schemeClr w14:val="tx1"/>
                  </w14:solidFill>
                </w14:textFill>
              </w:rPr>
              <w:t>区域</w:t>
            </w:r>
          </w:p>
          <w:p w14:paraId="794C5BC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000000" w:themeColor="text1"/>
                <w:sz w:val="24"/>
                <w:szCs w:val="24"/>
                <w14:textFill>
                  <w14:solidFill>
                    <w14:schemeClr w14:val="tx1"/>
                  </w14:solidFill>
                </w14:textFill>
              </w:rPr>
            </w:pPr>
            <w:r>
              <w:rPr>
                <w:rFonts w:hint="default" w:ascii="Times New Roman" w:hAnsi="Times New Roman" w:eastAsia="宋体" w:cs="Times New Roman"/>
                <w:b/>
                <w:bCs/>
                <w:color w:val="000000" w:themeColor="text1"/>
                <w:kern w:val="0"/>
                <w:sz w:val="24"/>
                <w:szCs w:val="24"/>
                <w:lang w:val="en-US" w:eastAsia="zh-CN" w:bidi="ar"/>
                <w14:textFill>
                  <w14:solidFill>
                    <w14:schemeClr w14:val="tx1"/>
                  </w14:solidFill>
                </w14:textFill>
              </w:rPr>
              <w:t>环境</w:t>
            </w:r>
          </w:p>
          <w:p w14:paraId="7A92342A">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000000" w:themeColor="text1"/>
                <w:sz w:val="24"/>
                <w:szCs w:val="24"/>
                <w14:textFill>
                  <w14:solidFill>
                    <w14:schemeClr w14:val="tx1"/>
                  </w14:solidFill>
                </w14:textFill>
              </w:rPr>
            </w:pPr>
            <w:r>
              <w:rPr>
                <w:rFonts w:hint="default" w:ascii="Times New Roman" w:hAnsi="Times New Roman" w:eastAsia="宋体" w:cs="Times New Roman"/>
                <w:b/>
                <w:bCs/>
                <w:color w:val="000000" w:themeColor="text1"/>
                <w:kern w:val="0"/>
                <w:sz w:val="24"/>
                <w:szCs w:val="24"/>
                <w:lang w:val="en-US" w:eastAsia="zh-CN" w:bidi="ar"/>
                <w14:textFill>
                  <w14:solidFill>
                    <w14:schemeClr w14:val="tx1"/>
                  </w14:solidFill>
                </w14:textFill>
              </w:rPr>
              <w:t>质量</w:t>
            </w:r>
          </w:p>
          <w:p w14:paraId="6E130AF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000000" w:themeColor="text1"/>
                <w:kern w:val="0"/>
                <w:sz w:val="24"/>
                <w:szCs w:val="24"/>
                <w:vertAlign w:val="baseline"/>
                <w:lang w:val="en-US" w:eastAsia="zh-CN" w:bidi="ar"/>
                <w14:textFill>
                  <w14:solidFill>
                    <w14:schemeClr w14:val="tx1"/>
                  </w14:solidFill>
                </w14:textFill>
              </w:rPr>
            </w:pPr>
            <w:r>
              <w:rPr>
                <w:rFonts w:hint="default" w:ascii="Times New Roman" w:hAnsi="Times New Roman" w:eastAsia="宋体" w:cs="Times New Roman"/>
                <w:b/>
                <w:bCs/>
                <w:color w:val="000000" w:themeColor="text1"/>
                <w:kern w:val="0"/>
                <w:sz w:val="24"/>
                <w:szCs w:val="24"/>
                <w:lang w:val="en-US" w:eastAsia="zh-CN" w:bidi="ar"/>
                <w14:textFill>
                  <w14:solidFill>
                    <w14:schemeClr w14:val="tx1"/>
                  </w14:solidFill>
                </w14:textFill>
              </w:rPr>
              <w:t>现状</w:t>
            </w:r>
          </w:p>
        </w:tc>
        <w:tc>
          <w:tcPr>
            <w:tcW w:w="4577" w:type="pct"/>
            <w:tcBorders>
              <w:tl2br w:val="nil"/>
              <w:tr2bl w:val="nil"/>
            </w:tcBorders>
            <w:vAlign w:val="center"/>
          </w:tcPr>
          <w:p w14:paraId="59536951">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000000" w:themeColor="text1"/>
                <w:kern w:val="0"/>
                <w:sz w:val="24"/>
                <w:szCs w:val="24"/>
                <w:vertAlign w:val="baseline"/>
                <w:lang w:val="en-US" w:eastAsia="zh-CN" w:bidi="ar"/>
                <w14:textFill>
                  <w14:solidFill>
                    <w14:schemeClr w14:val="tx1"/>
                  </w14:solidFill>
                </w14:textFill>
              </w:rPr>
            </w:pPr>
            <w:r>
              <w:rPr>
                <w:rFonts w:hint="default" w:ascii="Times New Roman" w:hAnsi="Times New Roman" w:eastAsia="宋体" w:cs="Times New Roman"/>
                <w:b/>
                <w:bCs/>
                <w:color w:val="000000" w:themeColor="text1"/>
                <w:kern w:val="0"/>
                <w:sz w:val="24"/>
                <w:szCs w:val="24"/>
                <w:vertAlign w:val="baseline"/>
                <w:lang w:val="en-US" w:eastAsia="zh-CN" w:bidi="ar"/>
                <w14:textFill>
                  <w14:solidFill>
                    <w14:schemeClr w14:val="tx1"/>
                  </w14:solidFill>
                </w14:textFill>
              </w:rPr>
              <w:t>1.大气环境</w:t>
            </w:r>
          </w:p>
          <w:p w14:paraId="21ED1AB3">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themeColor="text1"/>
                <w:kern w:val="0"/>
                <w:sz w:val="24"/>
                <w:szCs w:val="24"/>
                <w:vertAlign w:val="baseli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4"/>
                <w:szCs w:val="24"/>
                <w:vertAlign w:val="baseline"/>
                <w:lang w:val="en-US" w:eastAsia="zh-CN" w:bidi="ar"/>
                <w14:textFill>
                  <w14:solidFill>
                    <w14:schemeClr w14:val="tx1"/>
                  </w14:solidFill>
                </w14:textFill>
              </w:rPr>
              <w:t>本项目位于陕西省宝鸡市陈仓区坪头镇庵里村</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，属于二类环境空气功能区。</w:t>
            </w:r>
            <w:r>
              <w:rPr>
                <w:rFonts w:hint="default" w:ascii="Times New Roman" w:hAnsi="Times New Roman" w:eastAsia="宋体" w:cs="Times New Roman"/>
                <w:color w:val="000000" w:themeColor="text1"/>
                <w:kern w:val="0"/>
                <w:sz w:val="24"/>
                <w:szCs w:val="24"/>
                <w:vertAlign w:val="baseline"/>
                <w:lang w:val="en-US" w:eastAsia="zh-CN" w:bidi="ar"/>
                <w14:textFill>
                  <w14:solidFill>
                    <w14:schemeClr w14:val="tx1"/>
                  </w14:solidFill>
                </w14:textFill>
              </w:rPr>
              <w:t>常规污染物</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引用宝鸡市生态环境局网站公布的“宝鸡市2023年环境质量公报”中的陈仓区质量数据。常规污染物数据见表3-1</w:t>
            </w:r>
            <w:r>
              <w:rPr>
                <w:rFonts w:hint="default" w:ascii="Times New Roman" w:hAnsi="Times New Roman" w:eastAsia="宋体" w:cs="Times New Roman"/>
                <w:color w:val="000000" w:themeColor="text1"/>
                <w:kern w:val="0"/>
                <w:sz w:val="24"/>
                <w:szCs w:val="24"/>
                <w:vertAlign w:val="baseline"/>
                <w:lang w:val="en-US" w:eastAsia="zh-CN" w:bidi="ar"/>
                <w14:textFill>
                  <w14:solidFill>
                    <w14:schemeClr w14:val="tx1"/>
                  </w14:solidFill>
                </w14:textFill>
              </w:rPr>
              <w:t>。</w:t>
            </w:r>
          </w:p>
          <w:p w14:paraId="6609565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bCs/>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bCs/>
                <w:color w:val="000000" w:themeColor="text1"/>
                <w:kern w:val="0"/>
                <w:sz w:val="21"/>
                <w:szCs w:val="21"/>
                <w:vertAlign w:val="baseline"/>
                <w:lang w:val="en-US" w:eastAsia="zh-CN" w:bidi="ar"/>
                <w14:textFill>
                  <w14:solidFill>
                    <w14:schemeClr w14:val="tx1"/>
                  </w14:solidFill>
                </w14:textFill>
              </w:rPr>
              <w:t xml:space="preserve">表3-1   </w:t>
            </w:r>
            <w:r>
              <w:rPr>
                <w:rFonts w:hint="default" w:ascii="Times New Roman" w:hAnsi="Times New Roman" w:eastAsia="宋体" w:cs="Times New Roman"/>
                <w:b/>
                <w:bCs/>
                <w:color w:val="000000" w:themeColor="text1"/>
                <w:kern w:val="0"/>
                <w:sz w:val="21"/>
                <w:szCs w:val="21"/>
                <w:lang w:val="en-US" w:eastAsia="zh-CN" w:bidi="ar"/>
                <w14:textFill>
                  <w14:solidFill>
                    <w14:schemeClr w14:val="tx1"/>
                  </w14:solidFill>
                </w14:textFill>
              </w:rPr>
              <w:t>常规污染物现状达标情况</w:t>
            </w:r>
          </w:p>
          <w:tbl>
            <w:tblPr>
              <w:tblStyle w:val="16"/>
              <w:tblW w:w="4997"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994"/>
              <w:gridCol w:w="2216"/>
              <w:gridCol w:w="1110"/>
              <w:gridCol w:w="1185"/>
              <w:gridCol w:w="1019"/>
              <w:gridCol w:w="1257"/>
              <w:gridCol w:w="1107"/>
            </w:tblGrid>
            <w:tr w14:paraId="06DB6B5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559" w:type="pct"/>
                  <w:tcBorders>
                    <w:tl2br w:val="nil"/>
                    <w:tr2bl w:val="nil"/>
                  </w:tcBorders>
                  <w:noWrap w:val="0"/>
                  <w:vAlign w:val="center"/>
                </w:tcPr>
                <w:p w14:paraId="03F8D880">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b w:val="0"/>
                      <w:bCs/>
                      <w:color w:val="000000" w:themeColor="text1"/>
                      <w:kern w:val="0"/>
                      <w:sz w:val="21"/>
                      <w:szCs w:val="21"/>
                      <w:lang w:bidi="ar"/>
                      <w14:textFill>
                        <w14:solidFill>
                          <w14:schemeClr w14:val="tx1"/>
                        </w14:solidFill>
                      </w14:textFill>
                    </w:rPr>
                  </w:pPr>
                  <w:r>
                    <w:rPr>
                      <w:rFonts w:hint="default" w:ascii="Times New Roman" w:hAnsi="Times New Roman" w:eastAsia="宋体" w:cs="Times New Roman"/>
                      <w:b w:val="0"/>
                      <w:bCs/>
                      <w:color w:val="000000" w:themeColor="text1"/>
                      <w:kern w:val="0"/>
                      <w:sz w:val="21"/>
                      <w:szCs w:val="21"/>
                      <w:lang w:bidi="ar"/>
                      <w14:textFill>
                        <w14:solidFill>
                          <w14:schemeClr w14:val="tx1"/>
                        </w14:solidFill>
                      </w14:textFill>
                    </w:rPr>
                    <w:t>污染物</w:t>
                  </w:r>
                </w:p>
              </w:tc>
              <w:tc>
                <w:tcPr>
                  <w:tcW w:w="1246" w:type="pct"/>
                  <w:tcBorders>
                    <w:tl2br w:val="nil"/>
                    <w:tr2bl w:val="nil"/>
                  </w:tcBorders>
                  <w:noWrap w:val="0"/>
                  <w:vAlign w:val="center"/>
                </w:tcPr>
                <w:p w14:paraId="5A373AFB">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b w:val="0"/>
                      <w:bCs/>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b w:val="0"/>
                      <w:bCs/>
                      <w:color w:val="000000" w:themeColor="text1"/>
                      <w:kern w:val="0"/>
                      <w:sz w:val="21"/>
                      <w:szCs w:val="21"/>
                      <w:lang w:val="en-US" w:eastAsia="zh-CN" w:bidi="ar"/>
                      <w14:textFill>
                        <w14:solidFill>
                          <w14:schemeClr w14:val="tx1"/>
                        </w14:solidFill>
                      </w14:textFill>
                    </w:rPr>
                    <w:t>评价指标</w:t>
                  </w:r>
                </w:p>
              </w:tc>
              <w:tc>
                <w:tcPr>
                  <w:tcW w:w="624" w:type="pct"/>
                  <w:tcBorders>
                    <w:tl2br w:val="nil"/>
                    <w:tr2bl w:val="nil"/>
                  </w:tcBorders>
                  <w:noWrap w:val="0"/>
                  <w:vAlign w:val="center"/>
                </w:tcPr>
                <w:p w14:paraId="619A5892">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b w:val="0"/>
                      <w:bCs/>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b w:val="0"/>
                      <w:bCs/>
                      <w:color w:val="000000" w:themeColor="text1"/>
                      <w:kern w:val="0"/>
                      <w:sz w:val="21"/>
                      <w:szCs w:val="21"/>
                      <w:lang w:val="en-US" w:eastAsia="zh-CN" w:bidi="ar"/>
                      <w14:textFill>
                        <w14:solidFill>
                          <w14:schemeClr w14:val="tx1"/>
                        </w14:solidFill>
                      </w14:textFill>
                    </w:rPr>
                    <w:t>单位</w:t>
                  </w:r>
                </w:p>
              </w:tc>
              <w:tc>
                <w:tcPr>
                  <w:tcW w:w="666" w:type="pct"/>
                  <w:tcBorders>
                    <w:tl2br w:val="nil"/>
                    <w:tr2bl w:val="nil"/>
                  </w:tcBorders>
                  <w:noWrap w:val="0"/>
                  <w:vAlign w:val="center"/>
                </w:tcPr>
                <w:p w14:paraId="2D558919">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b w:val="0"/>
                      <w:bCs/>
                      <w:color w:val="000000" w:themeColor="text1"/>
                      <w:kern w:val="0"/>
                      <w:sz w:val="21"/>
                      <w:szCs w:val="21"/>
                      <w:lang w:bidi="ar"/>
                      <w14:textFill>
                        <w14:solidFill>
                          <w14:schemeClr w14:val="tx1"/>
                        </w14:solidFill>
                      </w14:textFill>
                    </w:rPr>
                  </w:pPr>
                  <w:r>
                    <w:rPr>
                      <w:rFonts w:hint="default" w:ascii="Times New Roman" w:hAnsi="Times New Roman" w:eastAsia="宋体" w:cs="Times New Roman"/>
                      <w:b w:val="0"/>
                      <w:bCs/>
                      <w:color w:val="000000" w:themeColor="text1"/>
                      <w:kern w:val="0"/>
                      <w:sz w:val="21"/>
                      <w:szCs w:val="21"/>
                      <w:lang w:bidi="ar"/>
                      <w14:textFill>
                        <w14:solidFill>
                          <w14:schemeClr w14:val="tx1"/>
                        </w14:solidFill>
                      </w14:textFill>
                    </w:rPr>
                    <w:t>现状浓度</w:t>
                  </w:r>
                </w:p>
              </w:tc>
              <w:tc>
                <w:tcPr>
                  <w:tcW w:w="573" w:type="pct"/>
                  <w:tcBorders>
                    <w:tl2br w:val="nil"/>
                    <w:tr2bl w:val="nil"/>
                  </w:tcBorders>
                  <w:noWrap w:val="0"/>
                  <w:vAlign w:val="center"/>
                </w:tcPr>
                <w:p w14:paraId="20B07A8E">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b w:val="0"/>
                      <w:bCs/>
                      <w:color w:val="000000" w:themeColor="text1"/>
                      <w:kern w:val="0"/>
                      <w:sz w:val="21"/>
                      <w:szCs w:val="21"/>
                      <w:lang w:bidi="ar"/>
                      <w14:textFill>
                        <w14:solidFill>
                          <w14:schemeClr w14:val="tx1"/>
                        </w14:solidFill>
                      </w14:textFill>
                    </w:rPr>
                  </w:pPr>
                  <w:r>
                    <w:rPr>
                      <w:rFonts w:hint="default" w:ascii="Times New Roman" w:hAnsi="Times New Roman" w:eastAsia="宋体" w:cs="Times New Roman"/>
                      <w:b w:val="0"/>
                      <w:bCs/>
                      <w:color w:val="000000" w:themeColor="text1"/>
                      <w:kern w:val="0"/>
                      <w:sz w:val="21"/>
                      <w:szCs w:val="21"/>
                      <w:lang w:bidi="ar"/>
                      <w14:textFill>
                        <w14:solidFill>
                          <w14:schemeClr w14:val="tx1"/>
                        </w14:solidFill>
                      </w14:textFill>
                    </w:rPr>
                    <w:t>标准值</w:t>
                  </w:r>
                </w:p>
              </w:tc>
              <w:tc>
                <w:tcPr>
                  <w:tcW w:w="707" w:type="pct"/>
                  <w:tcBorders>
                    <w:tl2br w:val="nil"/>
                    <w:tr2bl w:val="nil"/>
                  </w:tcBorders>
                  <w:noWrap w:val="0"/>
                  <w:vAlign w:val="center"/>
                </w:tcPr>
                <w:p w14:paraId="3583835F">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b w:val="0"/>
                      <w:bCs/>
                      <w:color w:val="000000" w:themeColor="text1"/>
                      <w:kern w:val="0"/>
                      <w:sz w:val="21"/>
                      <w:szCs w:val="21"/>
                      <w:lang w:bidi="ar"/>
                      <w14:textFill>
                        <w14:solidFill>
                          <w14:schemeClr w14:val="tx1"/>
                        </w14:solidFill>
                      </w14:textFill>
                    </w:rPr>
                  </w:pPr>
                  <w:r>
                    <w:rPr>
                      <w:rFonts w:hint="default" w:ascii="Times New Roman" w:hAnsi="Times New Roman" w:eastAsia="宋体" w:cs="Times New Roman"/>
                      <w:b w:val="0"/>
                      <w:bCs/>
                      <w:color w:val="000000" w:themeColor="text1"/>
                      <w:kern w:val="0"/>
                      <w:sz w:val="21"/>
                      <w:szCs w:val="21"/>
                      <w:lang w:bidi="ar"/>
                      <w14:textFill>
                        <w14:solidFill>
                          <w14:schemeClr w14:val="tx1"/>
                        </w14:solidFill>
                      </w14:textFill>
                    </w:rPr>
                    <w:t>占标率%</w:t>
                  </w:r>
                </w:p>
              </w:tc>
              <w:tc>
                <w:tcPr>
                  <w:tcW w:w="622" w:type="pct"/>
                  <w:tcBorders>
                    <w:tl2br w:val="nil"/>
                    <w:tr2bl w:val="nil"/>
                  </w:tcBorders>
                  <w:noWrap w:val="0"/>
                  <w:vAlign w:val="center"/>
                </w:tcPr>
                <w:p w14:paraId="64DA3A09">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b w:val="0"/>
                      <w:bCs/>
                      <w:color w:val="000000" w:themeColor="text1"/>
                      <w:kern w:val="0"/>
                      <w:sz w:val="21"/>
                      <w:szCs w:val="21"/>
                      <w:lang w:bidi="ar"/>
                      <w14:textFill>
                        <w14:solidFill>
                          <w14:schemeClr w14:val="tx1"/>
                        </w14:solidFill>
                      </w14:textFill>
                    </w:rPr>
                  </w:pPr>
                  <w:r>
                    <w:rPr>
                      <w:rFonts w:hint="default" w:ascii="Times New Roman" w:hAnsi="Times New Roman" w:eastAsia="宋体" w:cs="Times New Roman"/>
                      <w:b w:val="0"/>
                      <w:bCs/>
                      <w:color w:val="000000" w:themeColor="text1"/>
                      <w:kern w:val="0"/>
                      <w:sz w:val="21"/>
                      <w:szCs w:val="21"/>
                      <w:lang w:bidi="ar"/>
                      <w14:textFill>
                        <w14:solidFill>
                          <w14:schemeClr w14:val="tx1"/>
                        </w14:solidFill>
                      </w14:textFill>
                    </w:rPr>
                    <w:t>达标情况</w:t>
                  </w:r>
                </w:p>
              </w:tc>
            </w:tr>
            <w:tr w14:paraId="75317AB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59" w:type="pct"/>
                  <w:tcBorders>
                    <w:tl2br w:val="nil"/>
                    <w:tr2bl w:val="nil"/>
                  </w:tcBorders>
                  <w:noWrap w:val="0"/>
                  <w:vAlign w:val="center"/>
                </w:tcPr>
                <w:p w14:paraId="57BF8B4C">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 w:val="0"/>
                      <w:bCs/>
                      <w:color w:val="000000" w:themeColor="text1"/>
                      <w:kern w:val="0"/>
                      <w:sz w:val="21"/>
                      <w:szCs w:val="21"/>
                      <w:lang w:bidi="ar"/>
                      <w14:textFill>
                        <w14:solidFill>
                          <w14:schemeClr w14:val="tx1"/>
                        </w14:solidFill>
                      </w14:textFill>
                    </w:rPr>
                    <w:t>SO</w:t>
                  </w:r>
                  <w:r>
                    <w:rPr>
                      <w:rFonts w:hint="default" w:ascii="Times New Roman" w:hAnsi="Times New Roman" w:eastAsia="宋体" w:cs="Times New Roman"/>
                      <w:b w:val="0"/>
                      <w:bCs/>
                      <w:color w:val="000000" w:themeColor="text1"/>
                      <w:kern w:val="0"/>
                      <w:sz w:val="21"/>
                      <w:szCs w:val="21"/>
                      <w:vertAlign w:val="subscript"/>
                      <w:lang w:bidi="ar"/>
                      <w14:textFill>
                        <w14:solidFill>
                          <w14:schemeClr w14:val="tx1"/>
                        </w14:solidFill>
                      </w14:textFill>
                    </w:rPr>
                    <w:t>2</w:t>
                  </w:r>
                </w:p>
              </w:tc>
              <w:tc>
                <w:tcPr>
                  <w:tcW w:w="1246" w:type="pct"/>
                  <w:tcBorders>
                    <w:tl2br w:val="nil"/>
                    <w:tr2bl w:val="nil"/>
                  </w:tcBorders>
                  <w:noWrap w:val="0"/>
                  <w:vAlign w:val="center"/>
                </w:tcPr>
                <w:p w14:paraId="5233BCB1">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b w:val="0"/>
                      <w:bCs/>
                      <w:color w:val="000000" w:themeColor="text1"/>
                      <w:kern w:val="0"/>
                      <w:sz w:val="21"/>
                      <w:szCs w:val="21"/>
                      <w:lang w:bidi="ar"/>
                      <w14:textFill>
                        <w14:solidFill>
                          <w14:schemeClr w14:val="tx1"/>
                        </w14:solidFill>
                      </w14:textFill>
                    </w:rPr>
                  </w:pPr>
                  <w:r>
                    <w:rPr>
                      <w:rFonts w:hint="default" w:ascii="Times New Roman" w:hAnsi="Times New Roman" w:eastAsia="宋体" w:cs="Times New Roman"/>
                      <w:b w:val="0"/>
                      <w:bCs/>
                      <w:color w:val="000000" w:themeColor="text1"/>
                      <w:kern w:val="0"/>
                      <w:sz w:val="21"/>
                      <w:szCs w:val="21"/>
                      <w:lang w:bidi="ar"/>
                      <w14:textFill>
                        <w14:solidFill>
                          <w14:schemeClr w14:val="tx1"/>
                        </w14:solidFill>
                      </w14:textFill>
                    </w:rPr>
                    <w:t>年平均质量浓度</w:t>
                  </w:r>
                </w:p>
              </w:tc>
              <w:tc>
                <w:tcPr>
                  <w:tcW w:w="624" w:type="pct"/>
                  <w:tcBorders>
                    <w:tl2br w:val="nil"/>
                    <w:tr2bl w:val="nil"/>
                  </w:tcBorders>
                  <w:shd w:val="clear" w:color="auto" w:fill="auto"/>
                  <w:noWrap w:val="0"/>
                  <w:vAlign w:val="center"/>
                </w:tcPr>
                <w:p w14:paraId="687385EA">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b w:val="0"/>
                      <w:bCs/>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b w:val="0"/>
                      <w:bCs/>
                      <w:color w:val="000000" w:themeColor="text1"/>
                      <w:kern w:val="0"/>
                      <w:sz w:val="21"/>
                      <w:szCs w:val="21"/>
                      <w:lang w:bidi="ar"/>
                      <w14:textFill>
                        <w14:solidFill>
                          <w14:schemeClr w14:val="tx1"/>
                        </w14:solidFill>
                      </w14:textFill>
                    </w:rPr>
                    <w:t>µg/m</w:t>
                  </w:r>
                  <w:r>
                    <w:rPr>
                      <w:rFonts w:hint="default" w:ascii="Times New Roman" w:hAnsi="Times New Roman" w:eastAsia="宋体" w:cs="Times New Roman"/>
                      <w:b w:val="0"/>
                      <w:bCs/>
                      <w:color w:val="000000" w:themeColor="text1"/>
                      <w:kern w:val="0"/>
                      <w:sz w:val="21"/>
                      <w:szCs w:val="21"/>
                      <w:vertAlign w:val="superscript"/>
                      <w:lang w:bidi="ar"/>
                      <w14:textFill>
                        <w14:solidFill>
                          <w14:schemeClr w14:val="tx1"/>
                        </w14:solidFill>
                      </w14:textFill>
                    </w:rPr>
                    <w:t>3</w:t>
                  </w:r>
                </w:p>
              </w:tc>
              <w:tc>
                <w:tcPr>
                  <w:tcW w:w="666" w:type="pct"/>
                  <w:tcBorders>
                    <w:tl2br w:val="nil"/>
                    <w:tr2bl w:val="nil"/>
                  </w:tcBorders>
                  <w:shd w:val="clear" w:color="auto" w:fill="auto"/>
                  <w:noWrap w:val="0"/>
                  <w:vAlign w:val="center"/>
                </w:tcPr>
                <w:p w14:paraId="0717B43E">
                  <w:pPr>
                    <w:keepNext w:val="0"/>
                    <w:keepLines w:val="0"/>
                    <w:widowControl/>
                    <w:suppressLineNumbers w:val="0"/>
                    <w:jc w:val="center"/>
                    <w:textAlignment w:val="center"/>
                    <w:rPr>
                      <w:rFonts w:hint="default" w:ascii="Times New Roman" w:hAnsi="Times New Roman" w:eastAsia="宋体" w:cs="Times New Roman"/>
                      <w:b w:val="0"/>
                      <w:bCs/>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14</w:t>
                  </w:r>
                </w:p>
              </w:tc>
              <w:tc>
                <w:tcPr>
                  <w:tcW w:w="573" w:type="pct"/>
                  <w:tcBorders>
                    <w:tl2br w:val="nil"/>
                    <w:tr2bl w:val="nil"/>
                  </w:tcBorders>
                  <w:shd w:val="clear" w:color="auto" w:fill="auto"/>
                  <w:noWrap w:val="0"/>
                  <w:vAlign w:val="center"/>
                </w:tcPr>
                <w:p w14:paraId="0D630CFD">
                  <w:pPr>
                    <w:keepNext w:val="0"/>
                    <w:keepLines w:val="0"/>
                    <w:widowControl/>
                    <w:suppressLineNumbers w:val="0"/>
                    <w:jc w:val="center"/>
                    <w:textAlignment w:val="center"/>
                    <w:rPr>
                      <w:rFonts w:hint="default"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60</w:t>
                  </w:r>
                </w:p>
              </w:tc>
              <w:tc>
                <w:tcPr>
                  <w:tcW w:w="707" w:type="pct"/>
                  <w:tcBorders>
                    <w:tl2br w:val="nil"/>
                    <w:tr2bl w:val="nil"/>
                  </w:tcBorders>
                  <w:shd w:val="clear" w:color="auto" w:fill="auto"/>
                  <w:noWrap w:val="0"/>
                  <w:vAlign w:val="center"/>
                </w:tcPr>
                <w:p w14:paraId="15030CE5">
                  <w:pPr>
                    <w:keepNext w:val="0"/>
                    <w:keepLines w:val="0"/>
                    <w:widowControl/>
                    <w:suppressLineNumbers w:val="0"/>
                    <w:jc w:val="center"/>
                    <w:textAlignment w:val="center"/>
                    <w:rPr>
                      <w:rFonts w:hint="default"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23</w:t>
                  </w:r>
                </w:p>
              </w:tc>
              <w:tc>
                <w:tcPr>
                  <w:tcW w:w="622" w:type="pct"/>
                  <w:tcBorders>
                    <w:tl2br w:val="nil"/>
                    <w:tr2bl w:val="nil"/>
                  </w:tcBorders>
                  <w:shd w:val="clear" w:color="auto" w:fill="auto"/>
                  <w:noWrap w:val="0"/>
                  <w:vAlign w:val="center"/>
                </w:tcPr>
                <w:p w14:paraId="05C5312F">
                  <w:pPr>
                    <w:keepNext w:val="0"/>
                    <w:keepLines w:val="0"/>
                    <w:widowControl/>
                    <w:suppressLineNumbers w:val="0"/>
                    <w:jc w:val="center"/>
                    <w:textAlignment w:val="center"/>
                    <w:rPr>
                      <w:rFonts w:hint="default"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达标</w:t>
                  </w:r>
                </w:p>
              </w:tc>
            </w:tr>
            <w:tr w14:paraId="5FF254A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59" w:type="pct"/>
                  <w:tcBorders>
                    <w:tl2br w:val="nil"/>
                    <w:tr2bl w:val="nil"/>
                  </w:tcBorders>
                  <w:noWrap w:val="0"/>
                  <w:vAlign w:val="center"/>
                </w:tcPr>
                <w:p w14:paraId="46956867">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 w:val="0"/>
                      <w:bCs/>
                      <w:color w:val="000000" w:themeColor="text1"/>
                      <w:kern w:val="0"/>
                      <w:sz w:val="21"/>
                      <w:szCs w:val="21"/>
                      <w:lang w:bidi="ar"/>
                      <w14:textFill>
                        <w14:solidFill>
                          <w14:schemeClr w14:val="tx1"/>
                        </w14:solidFill>
                      </w14:textFill>
                    </w:rPr>
                    <w:t>NO</w:t>
                  </w:r>
                  <w:r>
                    <w:rPr>
                      <w:rFonts w:hint="default" w:ascii="Times New Roman" w:hAnsi="Times New Roman" w:eastAsia="宋体" w:cs="Times New Roman"/>
                      <w:b w:val="0"/>
                      <w:bCs/>
                      <w:color w:val="000000" w:themeColor="text1"/>
                      <w:kern w:val="0"/>
                      <w:sz w:val="21"/>
                      <w:szCs w:val="21"/>
                      <w:vertAlign w:val="subscript"/>
                      <w:lang w:bidi="ar"/>
                      <w14:textFill>
                        <w14:solidFill>
                          <w14:schemeClr w14:val="tx1"/>
                        </w14:solidFill>
                      </w14:textFill>
                    </w:rPr>
                    <w:t>2</w:t>
                  </w:r>
                </w:p>
              </w:tc>
              <w:tc>
                <w:tcPr>
                  <w:tcW w:w="1246" w:type="pct"/>
                  <w:tcBorders>
                    <w:tl2br w:val="nil"/>
                    <w:tr2bl w:val="nil"/>
                  </w:tcBorders>
                  <w:noWrap w:val="0"/>
                  <w:vAlign w:val="center"/>
                </w:tcPr>
                <w:p w14:paraId="1A9EDDF8">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b w:val="0"/>
                      <w:bCs/>
                      <w:color w:val="000000" w:themeColor="text1"/>
                      <w:kern w:val="0"/>
                      <w:sz w:val="21"/>
                      <w:szCs w:val="21"/>
                      <w:lang w:bidi="ar"/>
                      <w14:textFill>
                        <w14:solidFill>
                          <w14:schemeClr w14:val="tx1"/>
                        </w14:solidFill>
                      </w14:textFill>
                    </w:rPr>
                  </w:pPr>
                  <w:r>
                    <w:rPr>
                      <w:rFonts w:hint="default" w:ascii="Times New Roman" w:hAnsi="Times New Roman" w:eastAsia="宋体" w:cs="Times New Roman"/>
                      <w:b w:val="0"/>
                      <w:bCs/>
                      <w:color w:val="000000" w:themeColor="text1"/>
                      <w:kern w:val="0"/>
                      <w:sz w:val="21"/>
                      <w:szCs w:val="21"/>
                      <w:lang w:bidi="ar"/>
                      <w14:textFill>
                        <w14:solidFill>
                          <w14:schemeClr w14:val="tx1"/>
                        </w14:solidFill>
                      </w14:textFill>
                    </w:rPr>
                    <w:t>年平均质量浓度</w:t>
                  </w:r>
                </w:p>
              </w:tc>
              <w:tc>
                <w:tcPr>
                  <w:tcW w:w="624" w:type="pct"/>
                  <w:tcBorders>
                    <w:tl2br w:val="nil"/>
                    <w:tr2bl w:val="nil"/>
                  </w:tcBorders>
                  <w:shd w:val="clear" w:color="auto" w:fill="auto"/>
                  <w:noWrap w:val="0"/>
                  <w:vAlign w:val="center"/>
                </w:tcPr>
                <w:p w14:paraId="259D45AD">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b w:val="0"/>
                      <w:bCs/>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b w:val="0"/>
                      <w:bCs/>
                      <w:color w:val="000000" w:themeColor="text1"/>
                      <w:kern w:val="0"/>
                      <w:sz w:val="21"/>
                      <w:szCs w:val="21"/>
                      <w:lang w:bidi="ar"/>
                      <w14:textFill>
                        <w14:solidFill>
                          <w14:schemeClr w14:val="tx1"/>
                        </w14:solidFill>
                      </w14:textFill>
                    </w:rPr>
                    <w:t>µg/m</w:t>
                  </w:r>
                  <w:r>
                    <w:rPr>
                      <w:rFonts w:hint="default" w:ascii="Times New Roman" w:hAnsi="Times New Roman" w:eastAsia="宋体" w:cs="Times New Roman"/>
                      <w:b w:val="0"/>
                      <w:bCs/>
                      <w:color w:val="000000" w:themeColor="text1"/>
                      <w:kern w:val="0"/>
                      <w:sz w:val="21"/>
                      <w:szCs w:val="21"/>
                      <w:vertAlign w:val="superscript"/>
                      <w:lang w:bidi="ar"/>
                      <w14:textFill>
                        <w14:solidFill>
                          <w14:schemeClr w14:val="tx1"/>
                        </w14:solidFill>
                      </w14:textFill>
                    </w:rPr>
                    <w:t>3</w:t>
                  </w:r>
                </w:p>
              </w:tc>
              <w:tc>
                <w:tcPr>
                  <w:tcW w:w="666" w:type="pct"/>
                  <w:tcBorders>
                    <w:tl2br w:val="nil"/>
                    <w:tr2bl w:val="nil"/>
                  </w:tcBorders>
                  <w:shd w:val="clear" w:color="auto" w:fill="auto"/>
                  <w:noWrap w:val="0"/>
                  <w:vAlign w:val="center"/>
                </w:tcPr>
                <w:p w14:paraId="3302731B">
                  <w:pPr>
                    <w:keepNext w:val="0"/>
                    <w:keepLines w:val="0"/>
                    <w:widowControl/>
                    <w:suppressLineNumbers w:val="0"/>
                    <w:jc w:val="center"/>
                    <w:textAlignment w:val="center"/>
                    <w:rPr>
                      <w:rFonts w:hint="default" w:ascii="Times New Roman" w:hAnsi="Times New Roman" w:eastAsia="宋体" w:cs="Times New Roman"/>
                      <w:b w:val="0"/>
                      <w:bCs/>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34</w:t>
                  </w:r>
                </w:p>
              </w:tc>
              <w:tc>
                <w:tcPr>
                  <w:tcW w:w="573" w:type="pct"/>
                  <w:tcBorders>
                    <w:tl2br w:val="nil"/>
                    <w:tr2bl w:val="nil"/>
                  </w:tcBorders>
                  <w:shd w:val="clear" w:color="auto" w:fill="auto"/>
                  <w:noWrap w:val="0"/>
                  <w:vAlign w:val="center"/>
                </w:tcPr>
                <w:p w14:paraId="77FF6477">
                  <w:pPr>
                    <w:keepNext w:val="0"/>
                    <w:keepLines w:val="0"/>
                    <w:widowControl/>
                    <w:suppressLineNumbers w:val="0"/>
                    <w:jc w:val="center"/>
                    <w:textAlignment w:val="center"/>
                    <w:rPr>
                      <w:rFonts w:hint="default"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40</w:t>
                  </w:r>
                </w:p>
              </w:tc>
              <w:tc>
                <w:tcPr>
                  <w:tcW w:w="707" w:type="pct"/>
                  <w:tcBorders>
                    <w:tl2br w:val="nil"/>
                    <w:tr2bl w:val="nil"/>
                  </w:tcBorders>
                  <w:shd w:val="clear" w:color="auto" w:fill="auto"/>
                  <w:noWrap w:val="0"/>
                  <w:vAlign w:val="center"/>
                </w:tcPr>
                <w:p w14:paraId="6D7EE6C1">
                  <w:pPr>
                    <w:keepNext w:val="0"/>
                    <w:keepLines w:val="0"/>
                    <w:widowControl/>
                    <w:suppressLineNumbers w:val="0"/>
                    <w:jc w:val="center"/>
                    <w:textAlignment w:val="center"/>
                    <w:rPr>
                      <w:rFonts w:hint="default"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85</w:t>
                  </w:r>
                </w:p>
              </w:tc>
              <w:tc>
                <w:tcPr>
                  <w:tcW w:w="622" w:type="pct"/>
                  <w:tcBorders>
                    <w:tl2br w:val="nil"/>
                    <w:tr2bl w:val="nil"/>
                  </w:tcBorders>
                  <w:shd w:val="clear" w:color="auto" w:fill="auto"/>
                  <w:noWrap w:val="0"/>
                  <w:vAlign w:val="center"/>
                </w:tcPr>
                <w:p w14:paraId="164DC93F">
                  <w:pPr>
                    <w:keepNext w:val="0"/>
                    <w:keepLines w:val="0"/>
                    <w:widowControl/>
                    <w:suppressLineNumbers w:val="0"/>
                    <w:jc w:val="center"/>
                    <w:textAlignment w:val="center"/>
                    <w:rPr>
                      <w:rFonts w:hint="default"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达标</w:t>
                  </w:r>
                </w:p>
              </w:tc>
            </w:tr>
            <w:tr w14:paraId="3B61553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559" w:type="pct"/>
                  <w:tcBorders>
                    <w:tl2br w:val="nil"/>
                    <w:tr2bl w:val="nil"/>
                  </w:tcBorders>
                  <w:noWrap w:val="0"/>
                  <w:vAlign w:val="center"/>
                </w:tcPr>
                <w:p w14:paraId="4C6DEA13">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 w:val="0"/>
                      <w:bCs/>
                      <w:color w:val="000000" w:themeColor="text1"/>
                      <w:kern w:val="0"/>
                      <w:sz w:val="21"/>
                      <w:szCs w:val="21"/>
                      <w:lang w:bidi="ar"/>
                      <w14:textFill>
                        <w14:solidFill>
                          <w14:schemeClr w14:val="tx1"/>
                        </w14:solidFill>
                      </w14:textFill>
                    </w:rPr>
                    <w:t>CO</w:t>
                  </w:r>
                </w:p>
              </w:tc>
              <w:tc>
                <w:tcPr>
                  <w:tcW w:w="1246" w:type="pct"/>
                  <w:tcBorders>
                    <w:tl2br w:val="nil"/>
                    <w:tr2bl w:val="nil"/>
                  </w:tcBorders>
                  <w:noWrap w:val="0"/>
                  <w:vAlign w:val="center"/>
                </w:tcPr>
                <w:p w14:paraId="5C305625">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b w:val="0"/>
                      <w:bCs/>
                      <w:color w:val="000000" w:themeColor="text1"/>
                      <w:kern w:val="0"/>
                      <w:sz w:val="21"/>
                      <w:szCs w:val="21"/>
                      <w:lang w:bidi="ar"/>
                      <w14:textFill>
                        <w14:solidFill>
                          <w14:schemeClr w14:val="tx1"/>
                        </w14:solidFill>
                      </w14:textFill>
                    </w:rPr>
                  </w:pPr>
                  <w:r>
                    <w:rPr>
                      <w:rFonts w:hint="default" w:ascii="Times New Roman" w:hAnsi="Times New Roman" w:eastAsia="宋体" w:cs="Times New Roman"/>
                      <w:b w:val="0"/>
                      <w:bCs/>
                      <w:color w:val="000000" w:themeColor="text1"/>
                      <w:kern w:val="0"/>
                      <w:sz w:val="21"/>
                      <w:szCs w:val="21"/>
                      <w:lang w:bidi="ar"/>
                      <w14:textFill>
                        <w14:solidFill>
                          <w14:schemeClr w14:val="tx1"/>
                        </w14:solidFill>
                      </w14:textFill>
                    </w:rPr>
                    <w:t>24h平均质量第95百分位浓度</w:t>
                  </w:r>
                </w:p>
              </w:tc>
              <w:tc>
                <w:tcPr>
                  <w:tcW w:w="624" w:type="pct"/>
                  <w:tcBorders>
                    <w:tl2br w:val="nil"/>
                    <w:tr2bl w:val="nil"/>
                  </w:tcBorders>
                  <w:shd w:val="clear" w:color="auto" w:fill="auto"/>
                  <w:noWrap w:val="0"/>
                  <w:vAlign w:val="center"/>
                </w:tcPr>
                <w:p w14:paraId="27A2CFE0">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b w:val="0"/>
                      <w:bCs/>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b w:val="0"/>
                      <w:bCs/>
                      <w:color w:val="000000" w:themeColor="text1"/>
                      <w:kern w:val="0"/>
                      <w:sz w:val="21"/>
                      <w:szCs w:val="21"/>
                      <w:lang w:bidi="ar"/>
                      <w14:textFill>
                        <w14:solidFill>
                          <w14:schemeClr w14:val="tx1"/>
                        </w14:solidFill>
                      </w14:textFill>
                    </w:rPr>
                    <w:t>mg/m</w:t>
                  </w:r>
                  <w:r>
                    <w:rPr>
                      <w:rFonts w:hint="default" w:ascii="Times New Roman" w:hAnsi="Times New Roman" w:eastAsia="宋体" w:cs="Times New Roman"/>
                      <w:b w:val="0"/>
                      <w:bCs/>
                      <w:color w:val="000000" w:themeColor="text1"/>
                      <w:kern w:val="0"/>
                      <w:sz w:val="21"/>
                      <w:szCs w:val="21"/>
                      <w:vertAlign w:val="superscript"/>
                      <w:lang w:bidi="ar"/>
                      <w14:textFill>
                        <w14:solidFill>
                          <w14:schemeClr w14:val="tx1"/>
                        </w14:solidFill>
                      </w14:textFill>
                    </w:rPr>
                    <w:t>3</w:t>
                  </w:r>
                </w:p>
              </w:tc>
              <w:tc>
                <w:tcPr>
                  <w:tcW w:w="666" w:type="pct"/>
                  <w:tcBorders>
                    <w:tl2br w:val="nil"/>
                    <w:tr2bl w:val="nil"/>
                  </w:tcBorders>
                  <w:shd w:val="clear" w:color="auto" w:fill="auto"/>
                  <w:noWrap w:val="0"/>
                  <w:vAlign w:val="center"/>
                </w:tcPr>
                <w:p w14:paraId="4ACB2874">
                  <w:pPr>
                    <w:keepNext w:val="0"/>
                    <w:keepLines w:val="0"/>
                    <w:widowControl/>
                    <w:suppressLineNumbers w:val="0"/>
                    <w:jc w:val="center"/>
                    <w:textAlignment w:val="center"/>
                    <w:rPr>
                      <w:rFonts w:hint="default" w:ascii="Times New Roman" w:hAnsi="Times New Roman" w:eastAsia="宋体" w:cs="Times New Roman"/>
                      <w:b w:val="0"/>
                      <w:bCs/>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1.6</w:t>
                  </w:r>
                </w:p>
              </w:tc>
              <w:tc>
                <w:tcPr>
                  <w:tcW w:w="573" w:type="pct"/>
                  <w:tcBorders>
                    <w:tl2br w:val="nil"/>
                    <w:tr2bl w:val="nil"/>
                  </w:tcBorders>
                  <w:shd w:val="clear" w:color="auto" w:fill="auto"/>
                  <w:noWrap w:val="0"/>
                  <w:vAlign w:val="center"/>
                </w:tcPr>
                <w:p w14:paraId="3760DB21">
                  <w:pPr>
                    <w:keepNext w:val="0"/>
                    <w:keepLines w:val="0"/>
                    <w:widowControl/>
                    <w:suppressLineNumbers w:val="0"/>
                    <w:jc w:val="center"/>
                    <w:textAlignment w:val="center"/>
                    <w:rPr>
                      <w:rFonts w:hint="default"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4</w:t>
                  </w:r>
                </w:p>
              </w:tc>
              <w:tc>
                <w:tcPr>
                  <w:tcW w:w="707" w:type="pct"/>
                  <w:tcBorders>
                    <w:tl2br w:val="nil"/>
                    <w:tr2bl w:val="nil"/>
                  </w:tcBorders>
                  <w:shd w:val="clear" w:color="auto" w:fill="auto"/>
                  <w:noWrap w:val="0"/>
                  <w:vAlign w:val="center"/>
                </w:tcPr>
                <w:p w14:paraId="05005D41">
                  <w:pPr>
                    <w:keepNext w:val="0"/>
                    <w:keepLines w:val="0"/>
                    <w:widowControl/>
                    <w:suppressLineNumbers w:val="0"/>
                    <w:jc w:val="center"/>
                    <w:textAlignment w:val="center"/>
                    <w:rPr>
                      <w:rFonts w:hint="default"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40</w:t>
                  </w:r>
                </w:p>
              </w:tc>
              <w:tc>
                <w:tcPr>
                  <w:tcW w:w="622" w:type="pct"/>
                  <w:tcBorders>
                    <w:tl2br w:val="nil"/>
                    <w:tr2bl w:val="nil"/>
                  </w:tcBorders>
                  <w:shd w:val="clear" w:color="auto" w:fill="auto"/>
                  <w:noWrap w:val="0"/>
                  <w:vAlign w:val="center"/>
                </w:tcPr>
                <w:p w14:paraId="59DC16DE">
                  <w:pPr>
                    <w:keepNext w:val="0"/>
                    <w:keepLines w:val="0"/>
                    <w:widowControl/>
                    <w:suppressLineNumbers w:val="0"/>
                    <w:jc w:val="center"/>
                    <w:textAlignment w:val="center"/>
                    <w:rPr>
                      <w:rFonts w:hint="default"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达标</w:t>
                  </w:r>
                </w:p>
              </w:tc>
            </w:tr>
            <w:tr w14:paraId="76B5F94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59" w:type="pct"/>
                  <w:tcBorders>
                    <w:tl2br w:val="nil"/>
                    <w:tr2bl w:val="nil"/>
                  </w:tcBorders>
                  <w:noWrap w:val="0"/>
                  <w:vAlign w:val="center"/>
                </w:tcPr>
                <w:p w14:paraId="0DC1B13B">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 w:val="0"/>
                      <w:bCs/>
                      <w:color w:val="000000" w:themeColor="text1"/>
                      <w:kern w:val="0"/>
                      <w:sz w:val="21"/>
                      <w:szCs w:val="21"/>
                      <w:lang w:bidi="ar"/>
                      <w14:textFill>
                        <w14:solidFill>
                          <w14:schemeClr w14:val="tx1"/>
                        </w14:solidFill>
                      </w14:textFill>
                    </w:rPr>
                    <w:t>O</w:t>
                  </w:r>
                  <w:r>
                    <w:rPr>
                      <w:rFonts w:hint="default" w:ascii="Times New Roman" w:hAnsi="Times New Roman" w:eastAsia="宋体" w:cs="Times New Roman"/>
                      <w:b w:val="0"/>
                      <w:bCs/>
                      <w:color w:val="000000" w:themeColor="text1"/>
                      <w:kern w:val="0"/>
                      <w:sz w:val="21"/>
                      <w:szCs w:val="21"/>
                      <w:vertAlign w:val="subscript"/>
                      <w:lang w:bidi="ar"/>
                      <w14:textFill>
                        <w14:solidFill>
                          <w14:schemeClr w14:val="tx1"/>
                        </w14:solidFill>
                      </w14:textFill>
                    </w:rPr>
                    <w:t>3</w:t>
                  </w:r>
                </w:p>
              </w:tc>
              <w:tc>
                <w:tcPr>
                  <w:tcW w:w="1246" w:type="pct"/>
                  <w:tcBorders>
                    <w:tl2br w:val="nil"/>
                    <w:tr2bl w:val="nil"/>
                  </w:tcBorders>
                  <w:noWrap w:val="0"/>
                  <w:vAlign w:val="center"/>
                </w:tcPr>
                <w:p w14:paraId="5A11BD7E">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b w:val="0"/>
                      <w:bCs/>
                      <w:color w:val="000000" w:themeColor="text1"/>
                      <w:kern w:val="0"/>
                      <w:sz w:val="21"/>
                      <w:szCs w:val="21"/>
                      <w:lang w:bidi="ar"/>
                      <w14:textFill>
                        <w14:solidFill>
                          <w14:schemeClr w14:val="tx1"/>
                        </w14:solidFill>
                      </w14:textFill>
                    </w:rPr>
                  </w:pPr>
                  <w:r>
                    <w:rPr>
                      <w:rFonts w:hint="default" w:ascii="Times New Roman" w:hAnsi="Times New Roman" w:eastAsia="宋体" w:cs="Times New Roman"/>
                      <w:b w:val="0"/>
                      <w:bCs/>
                      <w:snapToGrid w:val="0"/>
                      <w:color w:val="000000" w:themeColor="text1"/>
                      <w:sz w:val="21"/>
                      <w:szCs w:val="21"/>
                      <w14:textFill>
                        <w14:solidFill>
                          <w14:schemeClr w14:val="tx1"/>
                        </w14:solidFill>
                      </w14:textFill>
                    </w:rPr>
                    <w:t>日最大</w:t>
                  </w:r>
                  <w:r>
                    <w:rPr>
                      <w:rFonts w:hint="default" w:ascii="Times New Roman" w:hAnsi="Times New Roman" w:eastAsia="宋体" w:cs="Times New Roman"/>
                      <w:b w:val="0"/>
                      <w:bCs/>
                      <w:color w:val="000000" w:themeColor="text1"/>
                      <w:kern w:val="0"/>
                      <w:sz w:val="21"/>
                      <w:szCs w:val="21"/>
                      <w:lang w:bidi="ar"/>
                      <w14:textFill>
                        <w14:solidFill>
                          <w14:schemeClr w14:val="tx1"/>
                        </w14:solidFill>
                      </w14:textFill>
                    </w:rPr>
                    <w:t>8h平均质量第90百分位浓度</w:t>
                  </w:r>
                </w:p>
              </w:tc>
              <w:tc>
                <w:tcPr>
                  <w:tcW w:w="624" w:type="pct"/>
                  <w:tcBorders>
                    <w:tl2br w:val="nil"/>
                    <w:tr2bl w:val="nil"/>
                  </w:tcBorders>
                  <w:shd w:val="clear" w:color="auto" w:fill="auto"/>
                  <w:noWrap w:val="0"/>
                  <w:vAlign w:val="center"/>
                </w:tcPr>
                <w:p w14:paraId="7BCF352D">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b w:val="0"/>
                      <w:bCs/>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b w:val="0"/>
                      <w:bCs/>
                      <w:color w:val="000000" w:themeColor="text1"/>
                      <w:kern w:val="0"/>
                      <w:sz w:val="21"/>
                      <w:szCs w:val="21"/>
                      <w:lang w:bidi="ar"/>
                      <w14:textFill>
                        <w14:solidFill>
                          <w14:schemeClr w14:val="tx1"/>
                        </w14:solidFill>
                      </w14:textFill>
                    </w:rPr>
                    <w:t>µg/m</w:t>
                  </w:r>
                  <w:r>
                    <w:rPr>
                      <w:rFonts w:hint="default" w:ascii="Times New Roman" w:hAnsi="Times New Roman" w:eastAsia="宋体" w:cs="Times New Roman"/>
                      <w:b w:val="0"/>
                      <w:bCs/>
                      <w:color w:val="000000" w:themeColor="text1"/>
                      <w:kern w:val="0"/>
                      <w:sz w:val="21"/>
                      <w:szCs w:val="21"/>
                      <w:vertAlign w:val="superscript"/>
                      <w:lang w:bidi="ar"/>
                      <w14:textFill>
                        <w14:solidFill>
                          <w14:schemeClr w14:val="tx1"/>
                        </w14:solidFill>
                      </w14:textFill>
                    </w:rPr>
                    <w:t>3</w:t>
                  </w:r>
                </w:p>
              </w:tc>
              <w:tc>
                <w:tcPr>
                  <w:tcW w:w="666" w:type="pct"/>
                  <w:tcBorders>
                    <w:tl2br w:val="nil"/>
                    <w:tr2bl w:val="nil"/>
                  </w:tcBorders>
                  <w:shd w:val="clear" w:color="auto" w:fill="auto"/>
                  <w:noWrap w:val="0"/>
                  <w:vAlign w:val="center"/>
                </w:tcPr>
                <w:p w14:paraId="60216C1A">
                  <w:pPr>
                    <w:keepNext w:val="0"/>
                    <w:keepLines w:val="0"/>
                    <w:widowControl/>
                    <w:suppressLineNumbers w:val="0"/>
                    <w:jc w:val="center"/>
                    <w:textAlignment w:val="center"/>
                    <w:rPr>
                      <w:rFonts w:hint="default" w:ascii="Times New Roman" w:hAnsi="Times New Roman" w:eastAsia="宋体" w:cs="Times New Roman"/>
                      <w:b w:val="0"/>
                      <w:bCs/>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160</w:t>
                  </w:r>
                </w:p>
              </w:tc>
              <w:tc>
                <w:tcPr>
                  <w:tcW w:w="573" w:type="pct"/>
                  <w:tcBorders>
                    <w:tl2br w:val="nil"/>
                    <w:tr2bl w:val="nil"/>
                  </w:tcBorders>
                  <w:shd w:val="clear" w:color="auto" w:fill="auto"/>
                  <w:noWrap w:val="0"/>
                  <w:vAlign w:val="center"/>
                </w:tcPr>
                <w:p w14:paraId="6D991917">
                  <w:pPr>
                    <w:keepNext w:val="0"/>
                    <w:keepLines w:val="0"/>
                    <w:widowControl/>
                    <w:suppressLineNumbers w:val="0"/>
                    <w:jc w:val="center"/>
                    <w:textAlignment w:val="center"/>
                    <w:rPr>
                      <w:rFonts w:hint="default"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160</w:t>
                  </w:r>
                </w:p>
              </w:tc>
              <w:tc>
                <w:tcPr>
                  <w:tcW w:w="707" w:type="pct"/>
                  <w:tcBorders>
                    <w:tl2br w:val="nil"/>
                    <w:tr2bl w:val="nil"/>
                  </w:tcBorders>
                  <w:shd w:val="clear" w:color="auto" w:fill="auto"/>
                  <w:noWrap w:val="0"/>
                  <w:vAlign w:val="center"/>
                </w:tcPr>
                <w:p w14:paraId="7EC77340">
                  <w:pPr>
                    <w:keepNext w:val="0"/>
                    <w:keepLines w:val="0"/>
                    <w:widowControl/>
                    <w:suppressLineNumbers w:val="0"/>
                    <w:jc w:val="center"/>
                    <w:textAlignment w:val="center"/>
                    <w:rPr>
                      <w:rFonts w:hint="default"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100</w:t>
                  </w:r>
                </w:p>
              </w:tc>
              <w:tc>
                <w:tcPr>
                  <w:tcW w:w="622" w:type="pct"/>
                  <w:tcBorders>
                    <w:tl2br w:val="nil"/>
                    <w:tr2bl w:val="nil"/>
                  </w:tcBorders>
                  <w:shd w:val="clear" w:color="auto" w:fill="auto"/>
                  <w:noWrap w:val="0"/>
                  <w:vAlign w:val="center"/>
                </w:tcPr>
                <w:p w14:paraId="65EC9507">
                  <w:pPr>
                    <w:keepNext w:val="0"/>
                    <w:keepLines w:val="0"/>
                    <w:widowControl/>
                    <w:suppressLineNumbers w:val="0"/>
                    <w:jc w:val="center"/>
                    <w:textAlignment w:val="center"/>
                    <w:rPr>
                      <w:rFonts w:hint="default"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达标</w:t>
                  </w:r>
                </w:p>
              </w:tc>
            </w:tr>
            <w:tr w14:paraId="4F8A5ED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59" w:type="pct"/>
                  <w:tcBorders>
                    <w:tl2br w:val="nil"/>
                    <w:tr2bl w:val="nil"/>
                  </w:tcBorders>
                  <w:noWrap w:val="0"/>
                  <w:vAlign w:val="center"/>
                </w:tcPr>
                <w:p w14:paraId="237FD691">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 w:val="0"/>
                      <w:bCs/>
                      <w:color w:val="000000" w:themeColor="text1"/>
                      <w:kern w:val="0"/>
                      <w:sz w:val="21"/>
                      <w:szCs w:val="21"/>
                      <w:lang w:bidi="ar"/>
                      <w14:textFill>
                        <w14:solidFill>
                          <w14:schemeClr w14:val="tx1"/>
                        </w14:solidFill>
                      </w14:textFill>
                    </w:rPr>
                    <w:t>PM</w:t>
                  </w:r>
                  <w:r>
                    <w:rPr>
                      <w:rFonts w:hint="default" w:ascii="Times New Roman" w:hAnsi="Times New Roman" w:eastAsia="宋体" w:cs="Times New Roman"/>
                      <w:b w:val="0"/>
                      <w:bCs/>
                      <w:color w:val="000000" w:themeColor="text1"/>
                      <w:kern w:val="0"/>
                      <w:sz w:val="21"/>
                      <w:szCs w:val="21"/>
                      <w:vertAlign w:val="subscript"/>
                      <w:lang w:bidi="ar"/>
                      <w14:textFill>
                        <w14:solidFill>
                          <w14:schemeClr w14:val="tx1"/>
                        </w14:solidFill>
                      </w14:textFill>
                    </w:rPr>
                    <w:t>10</w:t>
                  </w:r>
                </w:p>
              </w:tc>
              <w:tc>
                <w:tcPr>
                  <w:tcW w:w="1246" w:type="pct"/>
                  <w:tcBorders>
                    <w:tl2br w:val="nil"/>
                    <w:tr2bl w:val="nil"/>
                  </w:tcBorders>
                  <w:noWrap w:val="0"/>
                  <w:vAlign w:val="center"/>
                </w:tcPr>
                <w:p w14:paraId="1F882F5A">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b w:val="0"/>
                      <w:bCs/>
                      <w:color w:val="000000" w:themeColor="text1"/>
                      <w:kern w:val="0"/>
                      <w:sz w:val="21"/>
                      <w:szCs w:val="21"/>
                      <w:lang w:bidi="ar"/>
                      <w14:textFill>
                        <w14:solidFill>
                          <w14:schemeClr w14:val="tx1"/>
                        </w14:solidFill>
                      </w14:textFill>
                    </w:rPr>
                  </w:pPr>
                  <w:r>
                    <w:rPr>
                      <w:rFonts w:hint="default" w:ascii="Times New Roman" w:hAnsi="Times New Roman" w:eastAsia="宋体" w:cs="Times New Roman"/>
                      <w:b w:val="0"/>
                      <w:bCs/>
                      <w:color w:val="000000" w:themeColor="text1"/>
                      <w:kern w:val="0"/>
                      <w:sz w:val="21"/>
                      <w:szCs w:val="21"/>
                      <w:lang w:bidi="ar"/>
                      <w14:textFill>
                        <w14:solidFill>
                          <w14:schemeClr w14:val="tx1"/>
                        </w14:solidFill>
                      </w14:textFill>
                    </w:rPr>
                    <w:t>年平均质量浓度</w:t>
                  </w:r>
                </w:p>
              </w:tc>
              <w:tc>
                <w:tcPr>
                  <w:tcW w:w="624" w:type="pct"/>
                  <w:tcBorders>
                    <w:tl2br w:val="nil"/>
                    <w:tr2bl w:val="nil"/>
                  </w:tcBorders>
                  <w:shd w:val="clear" w:color="auto" w:fill="auto"/>
                  <w:noWrap w:val="0"/>
                  <w:vAlign w:val="center"/>
                </w:tcPr>
                <w:p w14:paraId="2411B20F">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b w:val="0"/>
                      <w:bCs/>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b w:val="0"/>
                      <w:bCs/>
                      <w:color w:val="000000" w:themeColor="text1"/>
                      <w:kern w:val="0"/>
                      <w:sz w:val="21"/>
                      <w:szCs w:val="21"/>
                      <w:lang w:bidi="ar"/>
                      <w14:textFill>
                        <w14:solidFill>
                          <w14:schemeClr w14:val="tx1"/>
                        </w14:solidFill>
                      </w14:textFill>
                    </w:rPr>
                    <w:t>µg/m</w:t>
                  </w:r>
                  <w:r>
                    <w:rPr>
                      <w:rFonts w:hint="default" w:ascii="Times New Roman" w:hAnsi="Times New Roman" w:eastAsia="宋体" w:cs="Times New Roman"/>
                      <w:b w:val="0"/>
                      <w:bCs/>
                      <w:color w:val="000000" w:themeColor="text1"/>
                      <w:kern w:val="0"/>
                      <w:sz w:val="21"/>
                      <w:szCs w:val="21"/>
                      <w:vertAlign w:val="superscript"/>
                      <w:lang w:bidi="ar"/>
                      <w14:textFill>
                        <w14:solidFill>
                          <w14:schemeClr w14:val="tx1"/>
                        </w14:solidFill>
                      </w14:textFill>
                    </w:rPr>
                    <w:t>3</w:t>
                  </w:r>
                </w:p>
              </w:tc>
              <w:tc>
                <w:tcPr>
                  <w:tcW w:w="666" w:type="pct"/>
                  <w:tcBorders>
                    <w:tl2br w:val="nil"/>
                    <w:tr2bl w:val="nil"/>
                  </w:tcBorders>
                  <w:shd w:val="clear" w:color="auto" w:fill="auto"/>
                  <w:noWrap w:val="0"/>
                  <w:vAlign w:val="center"/>
                </w:tcPr>
                <w:p w14:paraId="6656A3B3">
                  <w:pPr>
                    <w:keepNext w:val="0"/>
                    <w:keepLines w:val="0"/>
                    <w:widowControl/>
                    <w:suppressLineNumbers w:val="0"/>
                    <w:jc w:val="center"/>
                    <w:textAlignment w:val="center"/>
                    <w:rPr>
                      <w:rFonts w:hint="default" w:ascii="Times New Roman" w:hAnsi="Times New Roman" w:eastAsia="宋体" w:cs="Times New Roman"/>
                      <w:b w:val="0"/>
                      <w:bCs/>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82</w:t>
                  </w:r>
                </w:p>
              </w:tc>
              <w:tc>
                <w:tcPr>
                  <w:tcW w:w="573" w:type="pct"/>
                  <w:tcBorders>
                    <w:tl2br w:val="nil"/>
                    <w:tr2bl w:val="nil"/>
                  </w:tcBorders>
                  <w:shd w:val="clear" w:color="auto" w:fill="auto"/>
                  <w:noWrap w:val="0"/>
                  <w:vAlign w:val="center"/>
                </w:tcPr>
                <w:p w14:paraId="2E5C084A">
                  <w:pPr>
                    <w:keepNext w:val="0"/>
                    <w:keepLines w:val="0"/>
                    <w:widowControl/>
                    <w:suppressLineNumbers w:val="0"/>
                    <w:jc w:val="center"/>
                    <w:textAlignment w:val="center"/>
                    <w:rPr>
                      <w:rFonts w:hint="default"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70</w:t>
                  </w:r>
                </w:p>
              </w:tc>
              <w:tc>
                <w:tcPr>
                  <w:tcW w:w="707" w:type="pct"/>
                  <w:tcBorders>
                    <w:tl2br w:val="nil"/>
                    <w:tr2bl w:val="nil"/>
                  </w:tcBorders>
                  <w:shd w:val="clear" w:color="auto" w:fill="auto"/>
                  <w:noWrap w:val="0"/>
                  <w:vAlign w:val="center"/>
                </w:tcPr>
                <w:p w14:paraId="4956259C">
                  <w:pPr>
                    <w:keepNext w:val="0"/>
                    <w:keepLines w:val="0"/>
                    <w:widowControl/>
                    <w:suppressLineNumbers w:val="0"/>
                    <w:jc w:val="center"/>
                    <w:textAlignment w:val="center"/>
                    <w:rPr>
                      <w:rFonts w:hint="default"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117</w:t>
                  </w:r>
                </w:p>
              </w:tc>
              <w:tc>
                <w:tcPr>
                  <w:tcW w:w="622" w:type="pct"/>
                  <w:tcBorders>
                    <w:tl2br w:val="nil"/>
                    <w:tr2bl w:val="nil"/>
                  </w:tcBorders>
                  <w:shd w:val="clear" w:color="auto" w:fill="auto"/>
                  <w:noWrap w:val="0"/>
                  <w:vAlign w:val="center"/>
                </w:tcPr>
                <w:p w14:paraId="09745B03">
                  <w:pPr>
                    <w:keepNext w:val="0"/>
                    <w:keepLines w:val="0"/>
                    <w:widowControl/>
                    <w:suppressLineNumbers w:val="0"/>
                    <w:jc w:val="center"/>
                    <w:textAlignment w:val="center"/>
                    <w:rPr>
                      <w:rFonts w:hint="default"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超标</w:t>
                  </w:r>
                </w:p>
              </w:tc>
            </w:tr>
            <w:tr w14:paraId="7D80CEC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59" w:type="pct"/>
                  <w:tcBorders>
                    <w:tl2br w:val="nil"/>
                    <w:tr2bl w:val="nil"/>
                  </w:tcBorders>
                  <w:noWrap w:val="0"/>
                  <w:vAlign w:val="center"/>
                </w:tcPr>
                <w:p w14:paraId="6E0C7C8B">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 w:val="0"/>
                      <w:bCs/>
                      <w:color w:val="000000" w:themeColor="text1"/>
                      <w:kern w:val="0"/>
                      <w:sz w:val="21"/>
                      <w:szCs w:val="21"/>
                      <w:lang w:bidi="ar"/>
                      <w14:textFill>
                        <w14:solidFill>
                          <w14:schemeClr w14:val="tx1"/>
                        </w14:solidFill>
                      </w14:textFill>
                    </w:rPr>
                    <w:t>PM</w:t>
                  </w:r>
                  <w:r>
                    <w:rPr>
                      <w:rFonts w:hint="default" w:ascii="Times New Roman" w:hAnsi="Times New Roman" w:eastAsia="宋体" w:cs="Times New Roman"/>
                      <w:b w:val="0"/>
                      <w:bCs/>
                      <w:color w:val="000000" w:themeColor="text1"/>
                      <w:kern w:val="0"/>
                      <w:sz w:val="21"/>
                      <w:szCs w:val="21"/>
                      <w:vertAlign w:val="subscript"/>
                      <w:lang w:bidi="ar"/>
                      <w14:textFill>
                        <w14:solidFill>
                          <w14:schemeClr w14:val="tx1"/>
                        </w14:solidFill>
                      </w14:textFill>
                    </w:rPr>
                    <w:t>2.5</w:t>
                  </w:r>
                </w:p>
              </w:tc>
              <w:tc>
                <w:tcPr>
                  <w:tcW w:w="1246" w:type="pct"/>
                  <w:tcBorders>
                    <w:tl2br w:val="nil"/>
                    <w:tr2bl w:val="nil"/>
                  </w:tcBorders>
                  <w:noWrap w:val="0"/>
                  <w:vAlign w:val="center"/>
                </w:tcPr>
                <w:p w14:paraId="5C4A74C4">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b w:val="0"/>
                      <w:bCs/>
                      <w:color w:val="000000" w:themeColor="text1"/>
                      <w:kern w:val="0"/>
                      <w:sz w:val="21"/>
                      <w:szCs w:val="21"/>
                      <w:lang w:bidi="ar"/>
                      <w14:textFill>
                        <w14:solidFill>
                          <w14:schemeClr w14:val="tx1"/>
                        </w14:solidFill>
                      </w14:textFill>
                    </w:rPr>
                  </w:pPr>
                  <w:r>
                    <w:rPr>
                      <w:rFonts w:hint="default" w:ascii="Times New Roman" w:hAnsi="Times New Roman" w:eastAsia="宋体" w:cs="Times New Roman"/>
                      <w:b w:val="0"/>
                      <w:bCs/>
                      <w:color w:val="000000" w:themeColor="text1"/>
                      <w:kern w:val="0"/>
                      <w:sz w:val="21"/>
                      <w:szCs w:val="21"/>
                      <w:lang w:bidi="ar"/>
                      <w14:textFill>
                        <w14:solidFill>
                          <w14:schemeClr w14:val="tx1"/>
                        </w14:solidFill>
                      </w14:textFill>
                    </w:rPr>
                    <w:t>年平均质量浓度</w:t>
                  </w:r>
                </w:p>
              </w:tc>
              <w:tc>
                <w:tcPr>
                  <w:tcW w:w="624" w:type="pct"/>
                  <w:tcBorders>
                    <w:tl2br w:val="nil"/>
                    <w:tr2bl w:val="nil"/>
                  </w:tcBorders>
                  <w:shd w:val="clear" w:color="auto" w:fill="auto"/>
                  <w:noWrap w:val="0"/>
                  <w:vAlign w:val="center"/>
                </w:tcPr>
                <w:p w14:paraId="6CA84424">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b w:val="0"/>
                      <w:bCs/>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b w:val="0"/>
                      <w:bCs/>
                      <w:color w:val="000000" w:themeColor="text1"/>
                      <w:kern w:val="0"/>
                      <w:sz w:val="21"/>
                      <w:szCs w:val="21"/>
                      <w:lang w:bidi="ar"/>
                      <w14:textFill>
                        <w14:solidFill>
                          <w14:schemeClr w14:val="tx1"/>
                        </w14:solidFill>
                      </w14:textFill>
                    </w:rPr>
                    <w:t>µg/m</w:t>
                  </w:r>
                  <w:r>
                    <w:rPr>
                      <w:rFonts w:hint="default" w:ascii="Times New Roman" w:hAnsi="Times New Roman" w:eastAsia="宋体" w:cs="Times New Roman"/>
                      <w:b w:val="0"/>
                      <w:bCs/>
                      <w:color w:val="000000" w:themeColor="text1"/>
                      <w:kern w:val="0"/>
                      <w:sz w:val="21"/>
                      <w:szCs w:val="21"/>
                      <w:vertAlign w:val="superscript"/>
                      <w:lang w:bidi="ar"/>
                      <w14:textFill>
                        <w14:solidFill>
                          <w14:schemeClr w14:val="tx1"/>
                        </w14:solidFill>
                      </w14:textFill>
                    </w:rPr>
                    <w:t>3</w:t>
                  </w:r>
                </w:p>
              </w:tc>
              <w:tc>
                <w:tcPr>
                  <w:tcW w:w="666" w:type="pct"/>
                  <w:tcBorders>
                    <w:tl2br w:val="nil"/>
                    <w:tr2bl w:val="nil"/>
                  </w:tcBorders>
                  <w:shd w:val="clear" w:color="auto" w:fill="auto"/>
                  <w:noWrap w:val="0"/>
                  <w:vAlign w:val="center"/>
                </w:tcPr>
                <w:p w14:paraId="060B93CE">
                  <w:pPr>
                    <w:keepNext w:val="0"/>
                    <w:keepLines w:val="0"/>
                    <w:widowControl/>
                    <w:suppressLineNumbers w:val="0"/>
                    <w:jc w:val="center"/>
                    <w:textAlignment w:val="center"/>
                    <w:rPr>
                      <w:rFonts w:hint="default" w:ascii="Times New Roman" w:hAnsi="Times New Roman" w:eastAsia="宋体" w:cs="Times New Roman"/>
                      <w:b w:val="0"/>
                      <w:bCs/>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49</w:t>
                  </w:r>
                </w:p>
              </w:tc>
              <w:tc>
                <w:tcPr>
                  <w:tcW w:w="573" w:type="pct"/>
                  <w:tcBorders>
                    <w:tl2br w:val="nil"/>
                    <w:tr2bl w:val="nil"/>
                  </w:tcBorders>
                  <w:shd w:val="clear" w:color="auto" w:fill="auto"/>
                  <w:noWrap w:val="0"/>
                  <w:vAlign w:val="center"/>
                </w:tcPr>
                <w:p w14:paraId="35DED951">
                  <w:pPr>
                    <w:keepNext w:val="0"/>
                    <w:keepLines w:val="0"/>
                    <w:widowControl/>
                    <w:suppressLineNumbers w:val="0"/>
                    <w:jc w:val="center"/>
                    <w:textAlignment w:val="center"/>
                    <w:rPr>
                      <w:rFonts w:hint="default"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35</w:t>
                  </w:r>
                </w:p>
              </w:tc>
              <w:tc>
                <w:tcPr>
                  <w:tcW w:w="707" w:type="pct"/>
                  <w:tcBorders>
                    <w:tl2br w:val="nil"/>
                    <w:tr2bl w:val="nil"/>
                  </w:tcBorders>
                  <w:shd w:val="clear" w:color="auto" w:fill="auto"/>
                  <w:noWrap w:val="0"/>
                  <w:vAlign w:val="center"/>
                </w:tcPr>
                <w:p w14:paraId="4444D67B">
                  <w:pPr>
                    <w:keepNext w:val="0"/>
                    <w:keepLines w:val="0"/>
                    <w:widowControl/>
                    <w:suppressLineNumbers w:val="0"/>
                    <w:jc w:val="center"/>
                    <w:textAlignment w:val="center"/>
                    <w:rPr>
                      <w:rFonts w:hint="default"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140</w:t>
                  </w:r>
                </w:p>
              </w:tc>
              <w:tc>
                <w:tcPr>
                  <w:tcW w:w="622" w:type="pct"/>
                  <w:tcBorders>
                    <w:tl2br w:val="nil"/>
                    <w:tr2bl w:val="nil"/>
                  </w:tcBorders>
                  <w:shd w:val="clear" w:color="auto" w:fill="auto"/>
                  <w:noWrap w:val="0"/>
                  <w:vAlign w:val="center"/>
                </w:tcPr>
                <w:p w14:paraId="7DB38192">
                  <w:pPr>
                    <w:keepNext w:val="0"/>
                    <w:keepLines w:val="0"/>
                    <w:widowControl/>
                    <w:suppressLineNumbers w:val="0"/>
                    <w:jc w:val="center"/>
                    <w:textAlignment w:val="center"/>
                    <w:rPr>
                      <w:rFonts w:hint="default"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超标</w:t>
                  </w:r>
                </w:p>
              </w:tc>
            </w:tr>
          </w:tbl>
          <w:p w14:paraId="4F86D45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val="0"/>
                <w:color w:val="000000" w:themeColor="text1"/>
                <w:sz w:val="24"/>
                <w:szCs w:val="24"/>
                <w14:textFill>
                  <w14:solidFill>
                    <w14:schemeClr w14:val="tx1"/>
                  </w14:solidFill>
                </w14:textFill>
              </w:rPr>
            </w:pPr>
            <w:r>
              <w:rPr>
                <w:rFonts w:hint="default" w:ascii="Times New Roman" w:hAnsi="Times New Roman" w:eastAsia="宋体" w:cs="Times New Roman"/>
                <w:b w:val="0"/>
                <w:bCs w:val="0"/>
                <w:color w:val="000000" w:themeColor="text1"/>
                <w:kern w:val="0"/>
                <w:sz w:val="24"/>
                <w:szCs w:val="24"/>
                <w:vertAlign w:val="baseline"/>
                <w:lang w:val="en-US" w:eastAsia="zh-CN" w:bidi="ar"/>
                <w14:textFill>
                  <w14:solidFill>
                    <w14:schemeClr w14:val="tx1"/>
                  </w14:solidFill>
                </w14:textFill>
              </w:rPr>
              <w:t>由表3-1可知，项目所在区</w:t>
            </w:r>
            <w:r>
              <w:rPr>
                <w:rFonts w:hint="default" w:ascii="Times New Roman" w:hAnsi="Times New Roman" w:eastAsia="宋体" w:cs="Times New Roman"/>
                <w:b w:val="0"/>
                <w:bCs w:val="0"/>
                <w:color w:val="000000" w:themeColor="text1"/>
                <w:kern w:val="0"/>
                <w:sz w:val="24"/>
                <w:szCs w:val="24"/>
                <w:lang w:bidi="ar"/>
                <w14:textFill>
                  <w14:solidFill>
                    <w14:schemeClr w14:val="tx1"/>
                  </w14:solidFill>
                </w14:textFill>
              </w:rPr>
              <w:t>SO</w:t>
            </w:r>
            <w:r>
              <w:rPr>
                <w:rFonts w:hint="default" w:ascii="Times New Roman" w:hAnsi="Times New Roman" w:eastAsia="宋体" w:cs="Times New Roman"/>
                <w:b w:val="0"/>
                <w:bCs w:val="0"/>
                <w:color w:val="000000" w:themeColor="text1"/>
                <w:kern w:val="0"/>
                <w:sz w:val="24"/>
                <w:szCs w:val="24"/>
                <w:vertAlign w:val="subscript"/>
                <w:lang w:bidi="ar"/>
                <w14:textFill>
                  <w14:solidFill>
                    <w14:schemeClr w14:val="tx1"/>
                  </w14:solidFill>
                </w14:textFill>
              </w:rPr>
              <w:t>2</w:t>
            </w:r>
            <w:r>
              <w:rPr>
                <w:rFonts w:hint="default" w:ascii="Times New Roman" w:hAnsi="Times New Roman" w:eastAsia="宋体" w:cs="Times New Roman"/>
                <w:b w:val="0"/>
                <w:bCs w:val="0"/>
                <w:color w:val="000000" w:themeColor="text1"/>
                <w:kern w:val="0"/>
                <w:sz w:val="24"/>
                <w:szCs w:val="24"/>
                <w:vertAlign w:val="subscript"/>
                <w:lang w:eastAsia="zh-CN" w:bidi="ar"/>
                <w14:textFill>
                  <w14:solidFill>
                    <w14:schemeClr w14:val="tx1"/>
                  </w14:solidFill>
                </w14:textFill>
              </w:rPr>
              <w:t>、</w:t>
            </w:r>
            <w:r>
              <w:rPr>
                <w:rFonts w:hint="default" w:ascii="Times New Roman" w:hAnsi="Times New Roman" w:eastAsia="宋体" w:cs="Times New Roman"/>
                <w:b w:val="0"/>
                <w:bCs w:val="0"/>
                <w:color w:val="000000" w:themeColor="text1"/>
                <w:kern w:val="0"/>
                <w:sz w:val="24"/>
                <w:szCs w:val="24"/>
                <w:lang w:bidi="ar"/>
                <w14:textFill>
                  <w14:solidFill>
                    <w14:schemeClr w14:val="tx1"/>
                  </w14:solidFill>
                </w14:textFill>
              </w:rPr>
              <w:t>NO</w:t>
            </w:r>
            <w:r>
              <w:rPr>
                <w:rFonts w:hint="default" w:ascii="Times New Roman" w:hAnsi="Times New Roman" w:eastAsia="宋体" w:cs="Times New Roman"/>
                <w:b w:val="0"/>
                <w:bCs w:val="0"/>
                <w:color w:val="000000" w:themeColor="text1"/>
                <w:kern w:val="0"/>
                <w:sz w:val="24"/>
                <w:szCs w:val="24"/>
                <w:vertAlign w:val="subscript"/>
                <w:lang w:bidi="ar"/>
                <w14:textFill>
                  <w14:solidFill>
                    <w14:schemeClr w14:val="tx1"/>
                  </w14:solidFill>
                </w14:textFill>
              </w:rPr>
              <w:t>2</w:t>
            </w:r>
            <w:r>
              <w:rPr>
                <w:rFonts w:hint="default" w:ascii="Times New Roman" w:hAnsi="Times New Roman" w:eastAsia="宋体" w:cs="Times New Roman"/>
                <w:b w:val="0"/>
                <w:bCs/>
                <w:color w:val="000000" w:themeColor="text1"/>
                <w:kern w:val="0"/>
                <w:sz w:val="24"/>
                <w:szCs w:val="24"/>
                <w:lang w:bidi="ar"/>
                <w14:textFill>
                  <w14:solidFill>
                    <w14:schemeClr w14:val="tx1"/>
                  </w14:solidFill>
                </w14:textFill>
              </w:rPr>
              <w:t>年平均质量浓度</w:t>
            </w:r>
            <w:r>
              <w:rPr>
                <w:rFonts w:hint="default" w:ascii="Times New Roman" w:hAnsi="Times New Roman" w:eastAsia="宋体" w:cs="Times New Roman"/>
                <w:b w:val="0"/>
                <w:bCs w:val="0"/>
                <w:color w:val="000000" w:themeColor="text1"/>
                <w:kern w:val="0"/>
                <w:sz w:val="24"/>
                <w:szCs w:val="24"/>
                <w:vertAlign w:val="baseline"/>
                <w:lang w:val="en-US" w:eastAsia="zh-CN" w:bidi="ar"/>
                <w14:textFill>
                  <w14:solidFill>
                    <w14:schemeClr w14:val="tx1"/>
                  </w14:solidFill>
                </w14:textFill>
              </w:rPr>
              <w:t>、</w:t>
            </w:r>
            <w:r>
              <w:rPr>
                <w:rFonts w:hint="default" w:ascii="Times New Roman" w:hAnsi="Times New Roman" w:eastAsia="宋体" w:cs="Times New Roman"/>
                <w:b w:val="0"/>
                <w:bCs w:val="0"/>
                <w:color w:val="000000" w:themeColor="text1"/>
                <w:kern w:val="0"/>
                <w:sz w:val="24"/>
                <w:szCs w:val="24"/>
                <w:lang w:bidi="ar"/>
                <w14:textFill>
                  <w14:solidFill>
                    <w14:schemeClr w14:val="tx1"/>
                  </w14:solidFill>
                </w14:textFill>
              </w:rPr>
              <w:t>CO24h平均质量第95百分位浓度</w:t>
            </w:r>
            <w:r>
              <w:rPr>
                <w:rFonts w:hint="default" w:ascii="Times New Roman" w:hAnsi="Times New Roman" w:eastAsia="宋体" w:cs="Times New Roman"/>
                <w:b w:val="0"/>
                <w:bCs w:val="0"/>
                <w:color w:val="000000" w:themeColor="text1"/>
                <w:kern w:val="0"/>
                <w:sz w:val="24"/>
                <w:szCs w:val="24"/>
                <w:lang w:eastAsia="zh-CN" w:bidi="ar"/>
                <w14:textFill>
                  <w14:solidFill>
                    <w14:schemeClr w14:val="tx1"/>
                  </w14:solidFill>
                </w14:textFill>
              </w:rPr>
              <w:t>、</w:t>
            </w:r>
            <w:r>
              <w:rPr>
                <w:rFonts w:hint="default" w:ascii="Times New Roman" w:hAnsi="Times New Roman" w:eastAsia="宋体" w:cs="Times New Roman"/>
                <w:b w:val="0"/>
                <w:bCs w:val="0"/>
                <w:color w:val="000000" w:themeColor="text1"/>
                <w:kern w:val="0"/>
                <w:sz w:val="24"/>
                <w:szCs w:val="24"/>
                <w:lang w:bidi="ar"/>
                <w14:textFill>
                  <w14:solidFill>
                    <w14:schemeClr w14:val="tx1"/>
                  </w14:solidFill>
                </w14:textFill>
              </w:rPr>
              <w:t>O</w:t>
            </w:r>
            <w:r>
              <w:rPr>
                <w:rFonts w:hint="default" w:ascii="Times New Roman" w:hAnsi="Times New Roman" w:eastAsia="宋体" w:cs="Times New Roman"/>
                <w:b w:val="0"/>
                <w:bCs w:val="0"/>
                <w:color w:val="000000" w:themeColor="text1"/>
                <w:kern w:val="0"/>
                <w:sz w:val="24"/>
                <w:szCs w:val="24"/>
                <w:vertAlign w:val="subscript"/>
                <w:lang w:bidi="ar"/>
                <w14:textFill>
                  <w14:solidFill>
                    <w14:schemeClr w14:val="tx1"/>
                  </w14:solidFill>
                </w14:textFill>
              </w:rPr>
              <w:t>3</w:t>
            </w:r>
            <w:r>
              <w:rPr>
                <w:rFonts w:hint="default" w:ascii="Times New Roman" w:hAnsi="Times New Roman" w:eastAsia="宋体" w:cs="Times New Roman"/>
                <w:b w:val="0"/>
                <w:bCs w:val="0"/>
                <w:snapToGrid w:val="0"/>
                <w:color w:val="000000" w:themeColor="text1"/>
                <w:sz w:val="24"/>
                <w:szCs w:val="24"/>
                <w14:textFill>
                  <w14:solidFill>
                    <w14:schemeClr w14:val="tx1"/>
                  </w14:solidFill>
                </w14:textFill>
              </w:rPr>
              <w:t>日最大</w:t>
            </w:r>
            <w:r>
              <w:rPr>
                <w:rFonts w:hint="default" w:ascii="Times New Roman" w:hAnsi="Times New Roman" w:eastAsia="宋体" w:cs="Times New Roman"/>
                <w:b w:val="0"/>
                <w:bCs w:val="0"/>
                <w:color w:val="000000" w:themeColor="text1"/>
                <w:kern w:val="0"/>
                <w:sz w:val="24"/>
                <w:szCs w:val="24"/>
                <w:lang w:bidi="ar"/>
                <w14:textFill>
                  <w14:solidFill>
                    <w14:schemeClr w14:val="tx1"/>
                  </w14:solidFill>
                </w14:textFill>
              </w:rPr>
              <w:t>8h平均质量第90百分位浓度</w:t>
            </w:r>
            <w:r>
              <w:rPr>
                <w:rFonts w:hint="default" w:ascii="Times New Roman" w:hAnsi="Times New Roman" w:eastAsia="宋体" w:cs="Times New Roman"/>
                <w:b w:val="0"/>
                <w:bCs w:val="0"/>
                <w:color w:val="000000" w:themeColor="text1"/>
                <w:kern w:val="0"/>
                <w:sz w:val="24"/>
                <w:szCs w:val="24"/>
                <w:lang w:val="en-US" w:eastAsia="zh-CN" w:bidi="ar"/>
                <w14:textFill>
                  <w14:solidFill>
                    <w14:schemeClr w14:val="tx1"/>
                  </w14:solidFill>
                </w14:textFill>
              </w:rPr>
              <w:t>均满足</w:t>
            </w:r>
            <w:r>
              <w:rPr>
                <w:rFonts w:hint="default" w:ascii="Times New Roman" w:hAnsi="Times New Roman" w:eastAsia="宋体" w:cs="Times New Roman"/>
                <w:b w:val="0"/>
                <w:bCs w:val="0"/>
                <w:color w:val="000000" w:themeColor="text1"/>
                <w:sz w:val="24"/>
                <w:szCs w:val="24"/>
                <w14:textFill>
                  <w14:solidFill>
                    <w14:schemeClr w14:val="tx1"/>
                  </w14:solidFill>
                </w14:textFill>
              </w:rPr>
              <w:t>《环境空气质量标准》（GB3095-2012）二级标准</w:t>
            </w:r>
            <w:r>
              <w:rPr>
                <w:rFonts w:hint="default" w:ascii="Times New Roman" w:hAnsi="Times New Roman" w:eastAsia="宋体" w:cs="Times New Roman"/>
                <w:b w:val="0"/>
                <w:bCs w:val="0"/>
                <w:color w:val="000000" w:themeColor="text1"/>
                <w:sz w:val="24"/>
                <w:szCs w:val="24"/>
                <w:lang w:eastAsia="zh-CN"/>
                <w14:textFill>
                  <w14:solidFill>
                    <w14:schemeClr w14:val="tx1"/>
                  </w14:solidFill>
                </w14:textFill>
              </w:rPr>
              <w:t>，</w:t>
            </w:r>
            <w:r>
              <w:rPr>
                <w:rFonts w:hint="default" w:ascii="Times New Roman" w:hAnsi="Times New Roman" w:eastAsia="宋体" w:cs="Times New Roman"/>
                <w:b w:val="0"/>
                <w:bCs w:val="0"/>
                <w:color w:val="000000" w:themeColor="text1"/>
                <w:kern w:val="0"/>
                <w:sz w:val="24"/>
                <w:szCs w:val="24"/>
                <w:lang w:bidi="ar"/>
                <w14:textFill>
                  <w14:solidFill>
                    <w14:schemeClr w14:val="tx1"/>
                  </w14:solidFill>
                </w14:textFill>
              </w:rPr>
              <w:t>PM</w:t>
            </w:r>
            <w:r>
              <w:rPr>
                <w:rFonts w:hint="default" w:ascii="Times New Roman" w:hAnsi="Times New Roman" w:eastAsia="宋体" w:cs="Times New Roman"/>
                <w:b w:val="0"/>
                <w:bCs w:val="0"/>
                <w:color w:val="000000" w:themeColor="text1"/>
                <w:kern w:val="0"/>
                <w:sz w:val="24"/>
                <w:szCs w:val="24"/>
                <w:vertAlign w:val="subscript"/>
                <w:lang w:bidi="ar"/>
                <w14:textFill>
                  <w14:solidFill>
                    <w14:schemeClr w14:val="tx1"/>
                  </w14:solidFill>
                </w14:textFill>
              </w:rPr>
              <w:t>2.5</w:t>
            </w:r>
            <w:r>
              <w:rPr>
                <w:rFonts w:hint="default" w:ascii="Times New Roman" w:hAnsi="Times New Roman" w:eastAsia="宋体" w:cs="Times New Roman"/>
                <w:b w:val="0"/>
                <w:bCs w:val="0"/>
                <w:color w:val="000000" w:themeColor="text1"/>
                <w:kern w:val="0"/>
                <w:sz w:val="24"/>
                <w:szCs w:val="24"/>
                <w:vertAlign w:val="baseline"/>
                <w:lang w:eastAsia="zh-CN" w:bidi="ar"/>
                <w14:textFill>
                  <w14:solidFill>
                    <w14:schemeClr w14:val="tx1"/>
                  </w14:solidFill>
                </w14:textFill>
              </w:rPr>
              <w:t>、</w:t>
            </w:r>
            <w:r>
              <w:rPr>
                <w:rFonts w:hint="default" w:ascii="Times New Roman" w:hAnsi="Times New Roman" w:eastAsia="宋体" w:cs="Times New Roman"/>
                <w:b w:val="0"/>
                <w:bCs w:val="0"/>
                <w:color w:val="000000" w:themeColor="text1"/>
                <w:kern w:val="0"/>
                <w:sz w:val="24"/>
                <w:szCs w:val="24"/>
                <w:lang w:bidi="ar"/>
                <w14:textFill>
                  <w14:solidFill>
                    <w14:schemeClr w14:val="tx1"/>
                  </w14:solidFill>
                </w14:textFill>
              </w:rPr>
              <w:t>PM</w:t>
            </w:r>
            <w:r>
              <w:rPr>
                <w:rFonts w:hint="default" w:ascii="Times New Roman" w:hAnsi="Times New Roman" w:eastAsia="宋体" w:cs="Times New Roman"/>
                <w:b w:val="0"/>
                <w:bCs w:val="0"/>
                <w:color w:val="000000" w:themeColor="text1"/>
                <w:kern w:val="0"/>
                <w:sz w:val="24"/>
                <w:szCs w:val="24"/>
                <w:vertAlign w:val="subscript"/>
                <w:lang w:bidi="ar"/>
                <w14:textFill>
                  <w14:solidFill>
                    <w14:schemeClr w14:val="tx1"/>
                  </w14:solidFill>
                </w14:textFill>
              </w:rPr>
              <w:t>10</w:t>
            </w:r>
            <w:r>
              <w:rPr>
                <w:rFonts w:hint="default" w:ascii="Times New Roman" w:hAnsi="Times New Roman" w:eastAsia="宋体" w:cs="Times New Roman"/>
                <w:b w:val="0"/>
                <w:bCs w:val="0"/>
                <w:color w:val="000000" w:themeColor="text1"/>
                <w:kern w:val="0"/>
                <w:sz w:val="24"/>
                <w:szCs w:val="24"/>
                <w:lang w:bidi="ar"/>
                <w14:textFill>
                  <w14:solidFill>
                    <w14:schemeClr w14:val="tx1"/>
                  </w14:solidFill>
                </w14:textFill>
              </w:rPr>
              <w:t>年平均质量浓度</w:t>
            </w:r>
            <w:r>
              <w:rPr>
                <w:rFonts w:hint="default" w:ascii="Times New Roman" w:hAnsi="Times New Roman" w:eastAsia="宋体" w:cs="Times New Roman"/>
                <w:b w:val="0"/>
                <w:bCs w:val="0"/>
                <w:color w:val="000000" w:themeColor="text1"/>
                <w:kern w:val="0"/>
                <w:sz w:val="24"/>
                <w:szCs w:val="24"/>
                <w:lang w:val="en-US" w:eastAsia="zh-CN" w:bidi="ar"/>
                <w14:textFill>
                  <w14:solidFill>
                    <w14:schemeClr w14:val="tx1"/>
                  </w14:solidFill>
                </w14:textFill>
              </w:rPr>
              <w:t>超标</w:t>
            </w:r>
            <w:r>
              <w:rPr>
                <w:rFonts w:hint="default" w:ascii="Times New Roman" w:hAnsi="Times New Roman" w:eastAsia="宋体" w:cs="Times New Roman"/>
                <w:b w:val="0"/>
                <w:bCs w:val="0"/>
                <w:color w:val="000000" w:themeColor="text1"/>
                <w:sz w:val="24"/>
                <w:szCs w:val="24"/>
                <w14:textFill>
                  <w14:solidFill>
                    <w14:schemeClr w14:val="tx1"/>
                  </w14:solidFill>
                </w14:textFill>
              </w:rPr>
              <w:t>，因此，项目所在区为</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环境空气质量不</w:t>
            </w:r>
            <w:r>
              <w:rPr>
                <w:rFonts w:hint="default" w:ascii="Times New Roman" w:hAnsi="Times New Roman" w:eastAsia="宋体" w:cs="Times New Roman"/>
                <w:b w:val="0"/>
                <w:bCs w:val="0"/>
                <w:color w:val="000000" w:themeColor="text1"/>
                <w:sz w:val="24"/>
                <w:szCs w:val="24"/>
                <w14:textFill>
                  <w14:solidFill>
                    <w14:schemeClr w14:val="tx1"/>
                  </w14:solidFill>
                </w14:textFill>
              </w:rPr>
              <w:t>达标区。</w:t>
            </w:r>
          </w:p>
          <w:p w14:paraId="27984399">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000000" w:themeColor="text1"/>
                <w:kern w:val="0"/>
                <w:sz w:val="24"/>
                <w:szCs w:val="24"/>
                <w:vertAlign w:val="baseline"/>
                <w:lang w:val="en-US" w:eastAsia="zh-CN" w:bidi="ar"/>
                <w14:textFill>
                  <w14:solidFill>
                    <w14:schemeClr w14:val="tx1"/>
                  </w14:solidFill>
                </w14:textFill>
              </w:rPr>
            </w:pPr>
            <w:r>
              <w:rPr>
                <w:rFonts w:hint="default" w:ascii="Times New Roman" w:hAnsi="Times New Roman" w:eastAsia="宋体" w:cs="Times New Roman"/>
                <w:b/>
                <w:bCs/>
                <w:color w:val="000000" w:themeColor="text1"/>
                <w:kern w:val="0"/>
                <w:sz w:val="24"/>
                <w:szCs w:val="24"/>
                <w:vertAlign w:val="baseline"/>
                <w:lang w:val="en-US" w:eastAsia="zh-CN" w:bidi="ar"/>
                <w14:textFill>
                  <w14:solidFill>
                    <w14:schemeClr w14:val="tx1"/>
                  </w14:solidFill>
                </w14:textFill>
              </w:rPr>
              <w:t>2.地表水环境</w:t>
            </w:r>
          </w:p>
          <w:p w14:paraId="477C4656">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000000" w:themeColor="text1"/>
                <w:kern w:val="0"/>
                <w:sz w:val="24"/>
                <w:szCs w:val="24"/>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4"/>
                <w:szCs w:val="24"/>
                <w:vertAlign w:val="baseline"/>
                <w:lang w:val="en-US" w:eastAsia="zh-CN" w:bidi="ar"/>
                <w14:textFill>
                  <w14:solidFill>
                    <w14:schemeClr w14:val="tx1"/>
                  </w14:solidFill>
                </w14:textFill>
              </w:rPr>
              <w:t>本项目地表水环境现状评价引用宝鸡市生态环境局网站公布的“宝鸡市2023年环境质量公报”中林家村断面质量数据。</w:t>
            </w:r>
          </w:p>
          <w:p w14:paraId="0BF8D8B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bCs/>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bCs/>
                <w:color w:val="000000" w:themeColor="text1"/>
                <w:kern w:val="0"/>
                <w:sz w:val="21"/>
                <w:szCs w:val="21"/>
                <w:vertAlign w:val="baseline"/>
                <w:lang w:val="en-US" w:eastAsia="zh-CN" w:bidi="ar"/>
                <w14:textFill>
                  <w14:solidFill>
                    <w14:schemeClr w14:val="tx1"/>
                  </w14:solidFill>
                </w14:textFill>
              </w:rPr>
              <w:t>表3-2   地表水环境质量现状</w:t>
            </w:r>
          </w:p>
          <w:tbl>
            <w:tblPr>
              <w:tblStyle w:val="17"/>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8"/>
              <w:gridCol w:w="1012"/>
              <w:gridCol w:w="820"/>
              <w:gridCol w:w="693"/>
              <w:gridCol w:w="829"/>
              <w:gridCol w:w="987"/>
              <w:gridCol w:w="677"/>
              <w:gridCol w:w="743"/>
              <w:gridCol w:w="857"/>
              <w:gridCol w:w="852"/>
            </w:tblGrid>
            <w:tr w14:paraId="63FBE7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trPr>
              <w:tc>
                <w:tcPr>
                  <w:tcW w:w="797" w:type="pct"/>
                  <w:vMerge w:val="restart"/>
                  <w:vAlign w:val="center"/>
                </w:tcPr>
                <w:p w14:paraId="5B8023F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断面名称</w:t>
                  </w:r>
                </w:p>
              </w:tc>
              <w:tc>
                <w:tcPr>
                  <w:tcW w:w="569" w:type="pct"/>
                  <w:vMerge w:val="restart"/>
                  <w:vAlign w:val="center"/>
                </w:tcPr>
                <w:p w14:paraId="6906B41C">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水质功能标准</w:t>
                  </w:r>
                </w:p>
              </w:tc>
              <w:tc>
                <w:tcPr>
                  <w:tcW w:w="3632" w:type="pct"/>
                  <w:gridSpan w:val="8"/>
                  <w:vAlign w:val="center"/>
                </w:tcPr>
                <w:p w14:paraId="22DF07C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年均值（mg/L）</w:t>
                  </w:r>
                </w:p>
              </w:tc>
            </w:tr>
            <w:tr w14:paraId="0EE758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trPr>
              <w:tc>
                <w:tcPr>
                  <w:tcW w:w="797" w:type="pct"/>
                  <w:vMerge w:val="continue"/>
                  <w:vAlign w:val="center"/>
                </w:tcPr>
                <w:p w14:paraId="0B625E0B">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14:textFill>
                        <w14:solidFill>
                          <w14:schemeClr w14:val="tx1"/>
                        </w14:solidFill>
                      </w14:textFill>
                    </w:rPr>
                  </w:pPr>
                </w:p>
              </w:tc>
              <w:tc>
                <w:tcPr>
                  <w:tcW w:w="569" w:type="pct"/>
                  <w:vMerge w:val="continue"/>
                  <w:vAlign w:val="center"/>
                </w:tcPr>
                <w:p w14:paraId="2D4E02CB">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14:textFill>
                        <w14:solidFill>
                          <w14:schemeClr w14:val="tx1"/>
                        </w14:solidFill>
                      </w14:textFill>
                    </w:rPr>
                  </w:pPr>
                </w:p>
              </w:tc>
              <w:tc>
                <w:tcPr>
                  <w:tcW w:w="461" w:type="pct"/>
                  <w:vAlign w:val="center"/>
                </w:tcPr>
                <w:p w14:paraId="3BE0639D">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pH（无量纲）</w:t>
                  </w:r>
                </w:p>
              </w:tc>
              <w:tc>
                <w:tcPr>
                  <w:tcW w:w="390" w:type="pct"/>
                  <w:vAlign w:val="center"/>
                </w:tcPr>
                <w:p w14:paraId="4324126C">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溶解氧</w:t>
                  </w:r>
                </w:p>
              </w:tc>
              <w:tc>
                <w:tcPr>
                  <w:tcW w:w="466" w:type="pct"/>
                  <w:vAlign w:val="center"/>
                </w:tcPr>
                <w:p w14:paraId="6CFFB1FC">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高锰酸盐指数</w:t>
                  </w:r>
                </w:p>
              </w:tc>
              <w:tc>
                <w:tcPr>
                  <w:tcW w:w="555" w:type="pct"/>
                  <w:vAlign w:val="center"/>
                </w:tcPr>
                <w:p w14:paraId="0B37434B">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五日生化需氧量</w:t>
                  </w:r>
                </w:p>
              </w:tc>
              <w:tc>
                <w:tcPr>
                  <w:tcW w:w="381" w:type="pct"/>
                  <w:vAlign w:val="center"/>
                </w:tcPr>
                <w:p w14:paraId="5D37420D">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氨氮</w:t>
                  </w:r>
                </w:p>
              </w:tc>
              <w:tc>
                <w:tcPr>
                  <w:tcW w:w="418" w:type="pct"/>
                  <w:vAlign w:val="center"/>
                </w:tcPr>
                <w:p w14:paraId="3C6886F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化学需氧量</w:t>
                  </w:r>
                </w:p>
              </w:tc>
              <w:tc>
                <w:tcPr>
                  <w:tcW w:w="482" w:type="pct"/>
                  <w:vAlign w:val="center"/>
                </w:tcPr>
                <w:p w14:paraId="7F2E911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总磷</w:t>
                  </w:r>
                </w:p>
              </w:tc>
              <w:tc>
                <w:tcPr>
                  <w:tcW w:w="475" w:type="pct"/>
                  <w:vAlign w:val="center"/>
                </w:tcPr>
                <w:p w14:paraId="20207D7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氟化物</w:t>
                  </w:r>
                </w:p>
              </w:tc>
            </w:tr>
            <w:tr w14:paraId="1BF76F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 w:hRule="atLeast"/>
              </w:trPr>
              <w:tc>
                <w:tcPr>
                  <w:tcW w:w="797" w:type="pct"/>
                  <w:vAlign w:val="bottom"/>
                </w:tcPr>
                <w:p w14:paraId="3EFCC8AD">
                  <w:pPr>
                    <w:widowControl/>
                    <w:ind w:left="-107" w:leftChars="-51" w:right="-107" w:rightChars="-51"/>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林家村</w:t>
                  </w:r>
                </w:p>
              </w:tc>
              <w:tc>
                <w:tcPr>
                  <w:tcW w:w="569" w:type="pct"/>
                  <w:vAlign w:val="center"/>
                </w:tcPr>
                <w:p w14:paraId="037FD06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lang w:eastAsia="zh-CN"/>
                      <w14:textFill>
                        <w14:solidFill>
                          <w14:schemeClr w14:val="tx1"/>
                        </w14:solidFill>
                      </w14:textFill>
                    </w:rPr>
                    <w:t>Ⅱ类</w:t>
                  </w:r>
                </w:p>
              </w:tc>
              <w:tc>
                <w:tcPr>
                  <w:tcW w:w="461" w:type="pct"/>
                  <w:vAlign w:val="center"/>
                </w:tcPr>
                <w:p w14:paraId="68399E1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8.5</w:t>
                  </w:r>
                </w:p>
              </w:tc>
              <w:tc>
                <w:tcPr>
                  <w:tcW w:w="390" w:type="pct"/>
                  <w:vAlign w:val="center"/>
                </w:tcPr>
                <w:p w14:paraId="7DFEA96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9.6</w:t>
                  </w:r>
                </w:p>
              </w:tc>
              <w:tc>
                <w:tcPr>
                  <w:tcW w:w="466" w:type="pct"/>
                  <w:vAlign w:val="center"/>
                </w:tcPr>
                <w:p w14:paraId="0A545451">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2.1</w:t>
                  </w:r>
                </w:p>
              </w:tc>
              <w:tc>
                <w:tcPr>
                  <w:tcW w:w="555" w:type="pct"/>
                  <w:vAlign w:val="center"/>
                </w:tcPr>
                <w:p w14:paraId="2026AF4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1.6</w:t>
                  </w:r>
                </w:p>
              </w:tc>
              <w:tc>
                <w:tcPr>
                  <w:tcW w:w="381" w:type="pct"/>
                  <w:vAlign w:val="center"/>
                </w:tcPr>
                <w:p w14:paraId="4AC846D1">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0.36</w:t>
                  </w:r>
                </w:p>
              </w:tc>
              <w:tc>
                <w:tcPr>
                  <w:tcW w:w="418" w:type="pct"/>
                  <w:vAlign w:val="center"/>
                </w:tcPr>
                <w:p w14:paraId="74C7D83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11.7</w:t>
                  </w:r>
                </w:p>
              </w:tc>
              <w:tc>
                <w:tcPr>
                  <w:tcW w:w="482" w:type="pct"/>
                  <w:vAlign w:val="center"/>
                </w:tcPr>
                <w:p w14:paraId="470EFA0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0.08</w:t>
                  </w:r>
                </w:p>
              </w:tc>
              <w:tc>
                <w:tcPr>
                  <w:tcW w:w="475" w:type="pct"/>
                  <w:vAlign w:val="center"/>
                </w:tcPr>
                <w:p w14:paraId="051C198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0.34</w:t>
                  </w:r>
                </w:p>
              </w:tc>
            </w:tr>
            <w:tr w14:paraId="40699D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 w:hRule="atLeast"/>
              </w:trPr>
              <w:tc>
                <w:tcPr>
                  <w:tcW w:w="797" w:type="pct"/>
                  <w:vAlign w:val="center"/>
                </w:tcPr>
                <w:p w14:paraId="4635835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GB3838-2002标准限值</w:t>
                  </w:r>
                </w:p>
              </w:tc>
              <w:tc>
                <w:tcPr>
                  <w:tcW w:w="569" w:type="pct"/>
                  <w:vAlign w:val="center"/>
                </w:tcPr>
                <w:p w14:paraId="57178ED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lang w:eastAsia="zh-CN"/>
                      <w14:textFill>
                        <w14:solidFill>
                          <w14:schemeClr w14:val="tx1"/>
                        </w14:solidFill>
                      </w14:textFill>
                    </w:rPr>
                    <w:t>Ⅱ类</w:t>
                  </w:r>
                </w:p>
              </w:tc>
              <w:tc>
                <w:tcPr>
                  <w:tcW w:w="461" w:type="pct"/>
                  <w:vAlign w:val="center"/>
                </w:tcPr>
                <w:p w14:paraId="1BB13631">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6～9</w:t>
                  </w:r>
                </w:p>
              </w:tc>
              <w:tc>
                <w:tcPr>
                  <w:tcW w:w="390" w:type="pct"/>
                  <w:vAlign w:val="center"/>
                </w:tcPr>
                <w:p w14:paraId="4B7F92B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≥6</w:t>
                  </w:r>
                </w:p>
              </w:tc>
              <w:tc>
                <w:tcPr>
                  <w:tcW w:w="466" w:type="pct"/>
                  <w:vAlign w:val="center"/>
                </w:tcPr>
                <w:p w14:paraId="42B4A281">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≤4</w:t>
                  </w:r>
                </w:p>
              </w:tc>
              <w:tc>
                <w:tcPr>
                  <w:tcW w:w="555" w:type="pct"/>
                  <w:vAlign w:val="center"/>
                </w:tcPr>
                <w:p w14:paraId="66470AC1">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≤3</w:t>
                  </w:r>
                </w:p>
              </w:tc>
              <w:tc>
                <w:tcPr>
                  <w:tcW w:w="381" w:type="pct"/>
                  <w:vAlign w:val="center"/>
                </w:tcPr>
                <w:p w14:paraId="5823F9FC">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≤0.5</w:t>
                  </w:r>
                </w:p>
              </w:tc>
              <w:tc>
                <w:tcPr>
                  <w:tcW w:w="418" w:type="pct"/>
                  <w:vAlign w:val="center"/>
                </w:tcPr>
                <w:p w14:paraId="19B48BF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≤15</w:t>
                  </w:r>
                </w:p>
              </w:tc>
              <w:tc>
                <w:tcPr>
                  <w:tcW w:w="482" w:type="pct"/>
                  <w:vAlign w:val="center"/>
                </w:tcPr>
                <w:p w14:paraId="42C8987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≤0.1</w:t>
                  </w:r>
                </w:p>
              </w:tc>
              <w:tc>
                <w:tcPr>
                  <w:tcW w:w="475" w:type="pct"/>
                  <w:vAlign w:val="center"/>
                </w:tcPr>
                <w:p w14:paraId="4475D8B4">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≤1.0</w:t>
                  </w:r>
                </w:p>
              </w:tc>
            </w:tr>
            <w:tr w14:paraId="631F3A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trPr>
              <w:tc>
                <w:tcPr>
                  <w:tcW w:w="1367" w:type="pct"/>
                  <w:gridSpan w:val="2"/>
                  <w:vAlign w:val="center"/>
                </w:tcPr>
                <w:p w14:paraId="60F286E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达标情况</w:t>
                  </w:r>
                </w:p>
              </w:tc>
              <w:tc>
                <w:tcPr>
                  <w:tcW w:w="461" w:type="pct"/>
                  <w:vAlign w:val="center"/>
                </w:tcPr>
                <w:p w14:paraId="60F6801D">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达标</w:t>
                  </w:r>
                </w:p>
              </w:tc>
              <w:tc>
                <w:tcPr>
                  <w:tcW w:w="390" w:type="pct"/>
                  <w:vAlign w:val="center"/>
                </w:tcPr>
                <w:p w14:paraId="464D525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达标</w:t>
                  </w:r>
                </w:p>
              </w:tc>
              <w:tc>
                <w:tcPr>
                  <w:tcW w:w="466" w:type="pct"/>
                  <w:vAlign w:val="center"/>
                </w:tcPr>
                <w:p w14:paraId="40D0ABBC">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达标</w:t>
                  </w:r>
                </w:p>
              </w:tc>
              <w:tc>
                <w:tcPr>
                  <w:tcW w:w="555" w:type="pct"/>
                  <w:vAlign w:val="center"/>
                </w:tcPr>
                <w:p w14:paraId="6A5412F1">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达标</w:t>
                  </w:r>
                </w:p>
              </w:tc>
              <w:tc>
                <w:tcPr>
                  <w:tcW w:w="381" w:type="pct"/>
                  <w:vAlign w:val="center"/>
                </w:tcPr>
                <w:p w14:paraId="0CA4C601">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达标</w:t>
                  </w:r>
                </w:p>
              </w:tc>
              <w:tc>
                <w:tcPr>
                  <w:tcW w:w="418" w:type="pct"/>
                  <w:vAlign w:val="center"/>
                </w:tcPr>
                <w:p w14:paraId="6D116C9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达标</w:t>
                  </w:r>
                </w:p>
              </w:tc>
              <w:tc>
                <w:tcPr>
                  <w:tcW w:w="482" w:type="pct"/>
                  <w:vAlign w:val="center"/>
                </w:tcPr>
                <w:p w14:paraId="4B71D19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达标</w:t>
                  </w:r>
                </w:p>
              </w:tc>
              <w:tc>
                <w:tcPr>
                  <w:tcW w:w="475" w:type="pct"/>
                  <w:vAlign w:val="center"/>
                </w:tcPr>
                <w:p w14:paraId="61749FA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达标</w:t>
                  </w:r>
                </w:p>
              </w:tc>
            </w:tr>
          </w:tbl>
          <w:p w14:paraId="4DAF5CD5">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bCs/>
                <w:color w:val="000000" w:themeColor="text1"/>
                <w:kern w:val="0"/>
                <w:sz w:val="24"/>
                <w:szCs w:val="24"/>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4"/>
                <w:szCs w:val="24"/>
                <w:vertAlign w:val="baseline"/>
                <w:lang w:val="en-US" w:eastAsia="zh-CN" w:bidi="ar"/>
                <w14:textFill>
                  <w14:solidFill>
                    <w14:schemeClr w14:val="tx1"/>
                  </w14:solidFill>
                </w14:textFill>
              </w:rPr>
              <w:t>由表3-2可知，林家村断面</w:t>
            </w:r>
            <w:r>
              <w:rPr>
                <w:rFonts w:hint="default" w:ascii="Times New Roman" w:hAnsi="Times New Roman" w:eastAsia="宋体" w:cs="Times New Roman"/>
                <w:color w:val="000000" w:themeColor="text1"/>
                <w:kern w:val="0"/>
                <w:sz w:val="24"/>
                <w:szCs w:val="24"/>
                <w:lang w:val="en-US" w:eastAsia="zh-CN"/>
                <w14:textFill>
                  <w14:solidFill>
                    <w14:schemeClr w14:val="tx1"/>
                  </w14:solidFill>
                </w14:textFill>
              </w:rPr>
              <w:t>水质均满足《地表水环境质量标准》（GB3838-2002）Ⅱ类</w:t>
            </w:r>
            <w:r>
              <w:rPr>
                <w:rFonts w:hint="default" w:ascii="Times New Roman" w:hAnsi="Times New Roman" w:eastAsia="宋体" w:cs="Times New Roman"/>
                <w:b w:val="0"/>
                <w:bCs w:val="0"/>
                <w:color w:val="000000" w:themeColor="text1"/>
                <w:kern w:val="0"/>
                <w:sz w:val="24"/>
                <w:szCs w:val="24"/>
                <w:vertAlign w:val="baseline"/>
                <w:lang w:val="en-US" w:eastAsia="zh-CN" w:bidi="ar"/>
                <w14:textFill>
                  <w14:solidFill>
                    <w14:schemeClr w14:val="tx1"/>
                  </w14:solidFill>
                </w14:textFill>
              </w:rPr>
              <w:t>标准要求。</w:t>
            </w:r>
          </w:p>
          <w:p w14:paraId="4CB41810">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000000" w:themeColor="text1"/>
                <w:kern w:val="0"/>
                <w:sz w:val="24"/>
                <w:szCs w:val="24"/>
                <w:vertAlign w:val="baseline"/>
                <w:lang w:val="en-US" w:eastAsia="zh-CN" w:bidi="ar"/>
                <w14:textFill>
                  <w14:solidFill>
                    <w14:schemeClr w14:val="tx1"/>
                  </w14:solidFill>
                </w14:textFill>
              </w:rPr>
            </w:pPr>
            <w:r>
              <w:rPr>
                <w:rFonts w:hint="default" w:ascii="Times New Roman" w:hAnsi="Times New Roman" w:eastAsia="宋体" w:cs="Times New Roman"/>
                <w:b/>
                <w:bCs/>
                <w:color w:val="000000" w:themeColor="text1"/>
                <w:kern w:val="0"/>
                <w:sz w:val="24"/>
                <w:szCs w:val="24"/>
                <w:vertAlign w:val="baseline"/>
                <w:lang w:val="en-US" w:eastAsia="zh-CN" w:bidi="ar"/>
                <w14:textFill>
                  <w14:solidFill>
                    <w14:schemeClr w14:val="tx1"/>
                  </w14:solidFill>
                </w14:textFill>
              </w:rPr>
              <w:t>3.声环境</w:t>
            </w:r>
          </w:p>
          <w:p w14:paraId="4AE1E2C4">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000000" w:themeColor="text1"/>
                <w:kern w:val="0"/>
                <w:sz w:val="24"/>
                <w:szCs w:val="24"/>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4"/>
                <w:szCs w:val="24"/>
                <w:vertAlign w:val="baseline"/>
                <w:lang w:val="en-US" w:eastAsia="zh-CN" w:bidi="ar"/>
                <w14:textFill>
                  <w14:solidFill>
                    <w14:schemeClr w14:val="tx1"/>
                  </w14:solidFill>
                </w14:textFill>
              </w:rPr>
              <w:t>本项目气化站厂界外50m范围内无声环境保护目标，天然气管线运营期无固定噪声源，因此无需开展声环境质量现状监测。</w:t>
            </w:r>
          </w:p>
          <w:p w14:paraId="7DAFB454">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000000" w:themeColor="text1"/>
                <w:kern w:val="0"/>
                <w:sz w:val="24"/>
                <w:szCs w:val="24"/>
                <w:vertAlign w:val="baseline"/>
                <w:lang w:val="en-US" w:eastAsia="zh-CN" w:bidi="ar"/>
                <w14:textFill>
                  <w14:solidFill>
                    <w14:schemeClr w14:val="tx1"/>
                  </w14:solidFill>
                </w14:textFill>
              </w:rPr>
            </w:pPr>
            <w:r>
              <w:rPr>
                <w:rFonts w:hint="default" w:ascii="Times New Roman" w:hAnsi="Times New Roman" w:eastAsia="宋体" w:cs="Times New Roman"/>
                <w:b/>
                <w:bCs/>
                <w:color w:val="000000" w:themeColor="text1"/>
                <w:kern w:val="0"/>
                <w:sz w:val="24"/>
                <w:szCs w:val="24"/>
                <w:vertAlign w:val="baseline"/>
                <w:lang w:val="en-US" w:eastAsia="zh-CN" w:bidi="ar"/>
                <w14:textFill>
                  <w14:solidFill>
                    <w14:schemeClr w14:val="tx1"/>
                  </w14:solidFill>
                </w14:textFill>
              </w:rPr>
              <w:t>4.生态环境</w:t>
            </w:r>
          </w:p>
          <w:p w14:paraId="743EB4D5">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000000" w:themeColor="text1"/>
                <w:kern w:val="0"/>
                <w:sz w:val="24"/>
                <w:szCs w:val="24"/>
                <w:vertAlign w:val="baseli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本项目气化站拟</w:t>
            </w:r>
            <w:r>
              <w:rPr>
                <w:rFonts w:hint="default" w:ascii="Times New Roman" w:hAnsi="Times New Roman" w:eastAsia="宋体" w:cs="Times New Roman"/>
                <w:color w:val="000000" w:themeColor="text1"/>
                <w:kern w:val="0"/>
                <w:sz w:val="24"/>
                <w:szCs w:val="24"/>
                <w:vertAlign w:val="baseline"/>
                <w:lang w:val="en-US" w:eastAsia="zh-CN" w:bidi="ar"/>
                <w14:textFill>
                  <w14:solidFill>
                    <w14:schemeClr w14:val="tx1"/>
                  </w14:solidFill>
                </w14:textFill>
              </w:rPr>
              <w:t>利用</w:t>
            </w:r>
            <w:r>
              <w:rPr>
                <w:rFonts w:hint="default" w:ascii="Times New Roman" w:hAnsi="Times New Roman" w:eastAsia="宋体" w:cs="Times New Roman"/>
                <w:b w:val="0"/>
                <w:bCs w:val="0"/>
                <w:color w:val="000000" w:themeColor="text1"/>
                <w:kern w:val="0"/>
                <w:sz w:val="24"/>
                <w:szCs w:val="24"/>
                <w:vertAlign w:val="baseline"/>
                <w:lang w:val="en-US" w:eastAsia="zh-CN" w:bidi="ar"/>
                <w14:textFill>
                  <w14:solidFill>
                    <w14:schemeClr w14:val="tx1"/>
                  </w14:solidFill>
                </w14:textFill>
              </w:rPr>
              <w:t>九龙山景区</w:t>
            </w:r>
            <w:r>
              <w:rPr>
                <w:rFonts w:hint="default" w:ascii="Times New Roman" w:hAnsi="Times New Roman" w:eastAsia="宋体" w:cs="Times New Roman"/>
                <w:b w:val="0"/>
                <w:bCs w:val="0"/>
                <w:color w:val="000000" w:themeColor="text1"/>
                <w:kern w:val="0"/>
                <w:sz w:val="24"/>
                <w:szCs w:val="24"/>
                <w:u w:val="none"/>
                <w:vertAlign w:val="baseline"/>
                <w:lang w:val="en-US" w:eastAsia="zh-CN" w:bidi="ar"/>
                <w14:textFill>
                  <w14:solidFill>
                    <w14:schemeClr w14:val="tx1"/>
                  </w14:solidFill>
                </w14:textFill>
              </w:rPr>
              <w:t>庵里村综合服务区现有停车场用地进行建设，</w:t>
            </w:r>
            <w:r>
              <w:rPr>
                <w:rFonts w:hint="default" w:ascii="Times New Roman" w:hAnsi="Times New Roman" w:eastAsia="宋体" w:cs="Times New Roman"/>
                <w:b w:val="0"/>
                <w:bCs w:val="0"/>
                <w:color w:val="000000" w:themeColor="text1"/>
                <w:kern w:val="0"/>
                <w:sz w:val="24"/>
                <w:szCs w:val="24"/>
                <w:vertAlign w:val="baseline"/>
                <w:lang w:val="en-US" w:eastAsia="zh-CN" w:bidi="ar"/>
                <w14:textFill>
                  <w14:solidFill>
                    <w14:schemeClr w14:val="tx1"/>
                  </w14:solidFill>
                </w14:textFill>
              </w:rPr>
              <w:t>天然气管线沿景区人行道边缘敷设</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kern w:val="0"/>
                <w:sz w:val="24"/>
                <w:szCs w:val="24"/>
                <w:vertAlign w:val="baseline"/>
                <w:lang w:val="en-US" w:eastAsia="zh-CN" w:bidi="ar"/>
                <w14:textFill>
                  <w14:solidFill>
                    <w14:schemeClr w14:val="tx1"/>
                  </w14:solidFill>
                </w14:textFill>
              </w:rPr>
              <w:t>用地范围内无生态环境保护目标，因此无需进行生态现状调查。</w:t>
            </w:r>
          </w:p>
          <w:p w14:paraId="13E359A4">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000000" w:themeColor="text1"/>
                <w:kern w:val="0"/>
                <w:sz w:val="24"/>
                <w:szCs w:val="24"/>
                <w:vertAlign w:val="baseline"/>
                <w:lang w:val="en-US" w:eastAsia="zh-CN" w:bidi="ar"/>
                <w14:textFill>
                  <w14:solidFill>
                    <w14:schemeClr w14:val="tx1"/>
                  </w14:solidFill>
                </w14:textFill>
              </w:rPr>
            </w:pPr>
            <w:r>
              <w:rPr>
                <w:rFonts w:hint="default" w:ascii="Times New Roman" w:hAnsi="Times New Roman" w:eastAsia="宋体" w:cs="Times New Roman"/>
                <w:b/>
                <w:bCs/>
                <w:color w:val="000000" w:themeColor="text1"/>
                <w:kern w:val="0"/>
                <w:sz w:val="24"/>
                <w:szCs w:val="24"/>
                <w:vertAlign w:val="baseline"/>
                <w:lang w:val="en-US" w:eastAsia="zh-CN" w:bidi="ar"/>
                <w14:textFill>
                  <w14:solidFill>
                    <w14:schemeClr w14:val="tx1"/>
                  </w14:solidFill>
                </w14:textFill>
              </w:rPr>
              <w:t>5.电磁辐射</w:t>
            </w:r>
          </w:p>
          <w:p w14:paraId="41625070">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000000" w:themeColor="text1"/>
                <w:kern w:val="0"/>
                <w:sz w:val="24"/>
                <w:szCs w:val="24"/>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4"/>
                <w:szCs w:val="24"/>
                <w:vertAlign w:val="baseline"/>
                <w:lang w:val="en-US" w:eastAsia="zh-CN" w:bidi="ar"/>
                <w14:textFill>
                  <w14:solidFill>
                    <w14:schemeClr w14:val="tx1"/>
                  </w14:solidFill>
                </w14:textFill>
              </w:rPr>
              <w:t>本项目不属于电磁辐射类项目，因此无需开展电磁辐射现状监测与评价。</w:t>
            </w:r>
          </w:p>
          <w:p w14:paraId="1E1F034F">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000000" w:themeColor="text1"/>
                <w:kern w:val="0"/>
                <w:sz w:val="24"/>
                <w:szCs w:val="24"/>
                <w:vertAlign w:val="baseline"/>
                <w:lang w:val="en-US" w:eastAsia="zh-CN" w:bidi="ar"/>
                <w14:textFill>
                  <w14:solidFill>
                    <w14:schemeClr w14:val="tx1"/>
                  </w14:solidFill>
                </w14:textFill>
              </w:rPr>
            </w:pPr>
            <w:r>
              <w:rPr>
                <w:rFonts w:hint="default" w:ascii="Times New Roman" w:hAnsi="Times New Roman" w:eastAsia="宋体" w:cs="Times New Roman"/>
                <w:b/>
                <w:bCs/>
                <w:color w:val="000000" w:themeColor="text1"/>
                <w:kern w:val="0"/>
                <w:sz w:val="24"/>
                <w:szCs w:val="24"/>
                <w:vertAlign w:val="baseline"/>
                <w:lang w:val="en-US" w:eastAsia="zh-CN" w:bidi="ar"/>
                <w14:textFill>
                  <w14:solidFill>
                    <w14:schemeClr w14:val="tx1"/>
                  </w14:solidFill>
                </w14:textFill>
              </w:rPr>
              <w:t>6.地下水、土壤环境</w:t>
            </w:r>
          </w:p>
          <w:p w14:paraId="17FEDD9B">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themeColor="text1"/>
                <w:kern w:val="0"/>
                <w:sz w:val="24"/>
                <w:szCs w:val="24"/>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4"/>
                <w:szCs w:val="24"/>
                <w:vertAlign w:val="baseline"/>
                <w:lang w:val="en-US" w:eastAsia="zh-CN" w:bidi="ar"/>
                <w14:textFill>
                  <w14:solidFill>
                    <w14:schemeClr w14:val="tx1"/>
                  </w14:solidFill>
                </w14:textFill>
              </w:rPr>
              <w:t>本项目工程内容为</w:t>
            </w:r>
            <w:r>
              <w:rPr>
                <w:rFonts w:hint="default" w:ascii="Times New Roman" w:hAnsi="Times New Roman" w:eastAsia="宋体" w:cs="Times New Roman"/>
                <w:b w:val="0"/>
                <w:bCs w:val="0"/>
                <w:color w:val="000000" w:themeColor="text1"/>
                <w:kern w:val="0"/>
                <w:sz w:val="24"/>
                <w:szCs w:val="24"/>
                <w:lang w:val="en-US" w:eastAsia="zh-CN" w:bidi="ar"/>
                <w14:textFill>
                  <w14:solidFill>
                    <w14:schemeClr w14:val="tx1"/>
                  </w14:solidFill>
                </w14:textFill>
              </w:rPr>
              <w:t>LNG气化站和天然气管线，采用双层储罐、密闭管道储存和输送天然气，运营期正常工况下不会发生泄漏。</w:t>
            </w:r>
            <w:r>
              <w:rPr>
                <w:rFonts w:hint="default" w:ascii="Times New Roman" w:hAnsi="Times New Roman" w:eastAsia="宋体" w:cs="Times New Roman"/>
                <w:b w:val="0"/>
                <w:bCs w:val="0"/>
                <w:color w:val="000000" w:themeColor="text1"/>
                <w:kern w:val="0"/>
                <w:sz w:val="24"/>
                <w:szCs w:val="24"/>
                <w:vertAlign w:val="baseline"/>
                <w:lang w:val="en-US" w:eastAsia="zh-CN" w:bidi="ar"/>
                <w14:textFill>
                  <w14:solidFill>
                    <w14:schemeClr w14:val="tx1"/>
                  </w14:solidFill>
                </w14:textFill>
              </w:rPr>
              <w:t>发电机房内配套1个储油间，油箱容积≤1m</w:t>
            </w:r>
            <w:r>
              <w:rPr>
                <w:rFonts w:hint="default" w:ascii="Times New Roman" w:hAnsi="Times New Roman" w:eastAsia="宋体" w:cs="Times New Roman"/>
                <w:b w:val="0"/>
                <w:bCs w:val="0"/>
                <w:color w:val="000000" w:themeColor="text1"/>
                <w:kern w:val="0"/>
                <w:sz w:val="24"/>
                <w:szCs w:val="24"/>
                <w:vertAlign w:val="superscript"/>
                <w:lang w:val="en-US" w:eastAsia="zh-CN" w:bidi="ar"/>
                <w14:textFill>
                  <w14:solidFill>
                    <w14:schemeClr w14:val="tx1"/>
                  </w14:solidFill>
                </w14:textFill>
              </w:rPr>
              <w:t>3</w:t>
            </w:r>
            <w:r>
              <w:rPr>
                <w:rFonts w:hint="default" w:ascii="Times New Roman" w:hAnsi="Times New Roman" w:eastAsia="宋体" w:cs="Times New Roman"/>
                <w:b w:val="0"/>
                <w:bCs w:val="0"/>
                <w:color w:val="000000" w:themeColor="text1"/>
                <w:kern w:val="0"/>
                <w:sz w:val="24"/>
                <w:szCs w:val="24"/>
                <w:vertAlign w:val="baseline"/>
                <w:lang w:val="en-US" w:eastAsia="zh-CN" w:bidi="ar"/>
                <w14:textFill>
                  <w14:solidFill>
                    <w14:schemeClr w14:val="tx1"/>
                  </w14:solidFill>
                </w14:textFill>
              </w:rPr>
              <w:t>，油箱底部设置有集油坑。本项目运用期无地下水、土壤污染途径，因此无需开展地下水、土壤环境现状监测。</w:t>
            </w:r>
          </w:p>
        </w:tc>
      </w:tr>
      <w:tr w14:paraId="11EBD88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22" w:type="pct"/>
            <w:tcBorders>
              <w:tl2br w:val="nil"/>
              <w:tr2bl w:val="nil"/>
            </w:tcBorders>
            <w:vAlign w:val="center"/>
          </w:tcPr>
          <w:p w14:paraId="6FA12A8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000000" w:themeColor="text1"/>
                <w:sz w:val="24"/>
                <w:szCs w:val="24"/>
                <w14:textFill>
                  <w14:solidFill>
                    <w14:schemeClr w14:val="tx1"/>
                  </w14:solidFill>
                </w14:textFill>
              </w:rPr>
            </w:pPr>
            <w:r>
              <w:rPr>
                <w:rFonts w:hint="default" w:ascii="Times New Roman" w:hAnsi="Times New Roman" w:eastAsia="宋体" w:cs="Times New Roman"/>
                <w:b/>
                <w:bCs/>
                <w:color w:val="000000" w:themeColor="text1"/>
                <w:kern w:val="0"/>
                <w:sz w:val="24"/>
                <w:szCs w:val="24"/>
                <w:lang w:val="en-US" w:eastAsia="zh-CN" w:bidi="ar"/>
                <w14:textFill>
                  <w14:solidFill>
                    <w14:schemeClr w14:val="tx1"/>
                  </w14:solidFill>
                </w14:textFill>
              </w:rPr>
              <w:t>环境</w:t>
            </w:r>
          </w:p>
          <w:p w14:paraId="5A0F93E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000000" w:themeColor="text1"/>
                <w:sz w:val="24"/>
                <w:szCs w:val="24"/>
                <w14:textFill>
                  <w14:solidFill>
                    <w14:schemeClr w14:val="tx1"/>
                  </w14:solidFill>
                </w14:textFill>
              </w:rPr>
            </w:pPr>
            <w:r>
              <w:rPr>
                <w:rFonts w:hint="default" w:ascii="Times New Roman" w:hAnsi="Times New Roman" w:eastAsia="宋体" w:cs="Times New Roman"/>
                <w:b/>
                <w:bCs/>
                <w:color w:val="000000" w:themeColor="text1"/>
                <w:kern w:val="0"/>
                <w:sz w:val="24"/>
                <w:szCs w:val="24"/>
                <w:lang w:val="en-US" w:eastAsia="zh-CN" w:bidi="ar"/>
                <w14:textFill>
                  <w14:solidFill>
                    <w14:schemeClr w14:val="tx1"/>
                  </w14:solidFill>
                </w14:textFill>
              </w:rPr>
              <w:t>保护</w:t>
            </w:r>
          </w:p>
          <w:p w14:paraId="6642B6A4">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000000" w:themeColor="text1"/>
                <w:kern w:val="0"/>
                <w:sz w:val="24"/>
                <w:szCs w:val="24"/>
                <w:vertAlign w:val="baseline"/>
                <w:lang w:val="en-US" w:eastAsia="zh-CN" w:bidi="ar"/>
                <w14:textFill>
                  <w14:solidFill>
                    <w14:schemeClr w14:val="tx1"/>
                  </w14:solidFill>
                </w14:textFill>
              </w:rPr>
            </w:pPr>
            <w:r>
              <w:rPr>
                <w:rFonts w:hint="default" w:ascii="Times New Roman" w:hAnsi="Times New Roman" w:eastAsia="宋体" w:cs="Times New Roman"/>
                <w:b/>
                <w:bCs/>
                <w:color w:val="000000" w:themeColor="text1"/>
                <w:kern w:val="0"/>
                <w:sz w:val="24"/>
                <w:szCs w:val="24"/>
                <w:lang w:val="en-US" w:eastAsia="zh-CN" w:bidi="ar"/>
                <w14:textFill>
                  <w14:solidFill>
                    <w14:schemeClr w14:val="tx1"/>
                  </w14:solidFill>
                </w14:textFill>
              </w:rPr>
              <w:t>目标</w:t>
            </w:r>
          </w:p>
        </w:tc>
        <w:tc>
          <w:tcPr>
            <w:tcW w:w="4577" w:type="pct"/>
            <w:tcBorders>
              <w:tl2br w:val="nil"/>
              <w:tr2bl w:val="nil"/>
            </w:tcBorders>
            <w:vAlign w:val="center"/>
          </w:tcPr>
          <w:p w14:paraId="76BCD61A">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000000" w:themeColor="text1"/>
                <w:kern w:val="0"/>
                <w:sz w:val="24"/>
                <w:szCs w:val="24"/>
                <w:vertAlign w:val="baseline"/>
                <w:lang w:val="en-US" w:eastAsia="zh-CN" w:bidi="ar"/>
                <w14:textFill>
                  <w14:solidFill>
                    <w14:schemeClr w14:val="tx1"/>
                  </w14:solidFill>
                </w14:textFill>
              </w:rPr>
            </w:pPr>
            <w:r>
              <w:rPr>
                <w:rFonts w:hint="default" w:ascii="Times New Roman" w:hAnsi="Times New Roman" w:eastAsia="宋体" w:cs="Times New Roman"/>
                <w:b/>
                <w:bCs/>
                <w:color w:val="000000" w:themeColor="text1"/>
                <w:kern w:val="0"/>
                <w:sz w:val="24"/>
                <w:szCs w:val="24"/>
                <w:vertAlign w:val="baseline"/>
                <w:lang w:val="en-US" w:eastAsia="zh-CN" w:bidi="ar"/>
                <w14:textFill>
                  <w14:solidFill>
                    <w14:schemeClr w14:val="tx1"/>
                  </w14:solidFill>
                </w14:textFill>
              </w:rPr>
              <w:t>1.大气环境</w:t>
            </w:r>
          </w:p>
          <w:p w14:paraId="34D2F70A">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bCs/>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4"/>
                <w:szCs w:val="24"/>
                <w:vertAlign w:val="baseline"/>
                <w:lang w:val="en-US" w:eastAsia="zh-CN" w:bidi="ar"/>
                <w14:textFill>
                  <w14:solidFill>
                    <w14:schemeClr w14:val="tx1"/>
                  </w14:solidFill>
                </w14:textFill>
              </w:rPr>
              <w:t>本项目气化站厂界和天然气管线外500米范围内无自然保护区、风景名胜区等保护目标，涉及的大气环境保护目标主要为村庄和景区酒店。大气环境保护目标见表3-3，环境保护目标分布图见附图5和附图6。</w:t>
            </w:r>
          </w:p>
          <w:p w14:paraId="6A99BA4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bCs/>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bCs/>
                <w:color w:val="000000" w:themeColor="text1"/>
                <w:kern w:val="0"/>
                <w:sz w:val="21"/>
                <w:szCs w:val="21"/>
                <w:vertAlign w:val="baseline"/>
                <w:lang w:val="en-US" w:eastAsia="zh-CN" w:bidi="ar"/>
                <w14:textFill>
                  <w14:solidFill>
                    <w14:schemeClr w14:val="tx1"/>
                  </w14:solidFill>
                </w14:textFill>
              </w:rPr>
              <w:t xml:space="preserve">表3-3   </w:t>
            </w:r>
            <w:r>
              <w:rPr>
                <w:rFonts w:hint="default" w:ascii="Times New Roman" w:hAnsi="Times New Roman" w:eastAsia="宋体" w:cs="Times New Roman"/>
                <w:b/>
                <w:bCs/>
                <w:color w:val="000000" w:themeColor="text1"/>
                <w:kern w:val="0"/>
                <w:sz w:val="21"/>
                <w:szCs w:val="21"/>
                <w:highlight w:val="none"/>
                <w:vertAlign w:val="baseline"/>
                <w:lang w:val="en-US" w:eastAsia="zh-CN" w:bidi="ar"/>
                <w14:textFill>
                  <w14:solidFill>
                    <w14:schemeClr w14:val="tx1"/>
                  </w14:solidFill>
                </w14:textFill>
              </w:rPr>
              <w:t>大气环境保护目标</w:t>
            </w:r>
          </w:p>
          <w:tbl>
            <w:tblPr>
              <w:tblStyle w:val="17"/>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9"/>
              <w:gridCol w:w="1544"/>
              <w:gridCol w:w="1876"/>
              <w:gridCol w:w="1800"/>
              <w:gridCol w:w="2849"/>
            </w:tblGrid>
            <w:tr w14:paraId="6C3DCD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 w:hRule="atLeast"/>
              </w:trPr>
              <w:tc>
                <w:tcPr>
                  <w:tcW w:w="461" w:type="pct"/>
                  <w:vMerge w:val="restart"/>
                  <w:tcBorders>
                    <w:tl2br w:val="nil"/>
                    <w:tr2bl w:val="nil"/>
                  </w:tcBorders>
                  <w:vAlign w:val="center"/>
                </w:tcPr>
                <w:p w14:paraId="46EDF48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序号</w:t>
                  </w:r>
                </w:p>
              </w:tc>
              <w:tc>
                <w:tcPr>
                  <w:tcW w:w="868" w:type="pct"/>
                  <w:vMerge w:val="restart"/>
                  <w:tcBorders>
                    <w:tl2br w:val="nil"/>
                    <w:tr2bl w:val="nil"/>
                  </w:tcBorders>
                  <w:vAlign w:val="center"/>
                </w:tcPr>
                <w:p w14:paraId="64D6BA4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工程内容</w:t>
                  </w:r>
                </w:p>
              </w:tc>
              <w:tc>
                <w:tcPr>
                  <w:tcW w:w="1055" w:type="pct"/>
                  <w:vMerge w:val="restart"/>
                  <w:tcBorders>
                    <w:tl2br w:val="nil"/>
                    <w:tr2bl w:val="nil"/>
                  </w:tcBorders>
                  <w:shd w:val="clear" w:color="auto" w:fill="auto"/>
                  <w:vAlign w:val="center"/>
                </w:tcPr>
                <w:p w14:paraId="7EE7FC5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保护目标名称</w:t>
                  </w:r>
                </w:p>
              </w:tc>
              <w:tc>
                <w:tcPr>
                  <w:tcW w:w="2614" w:type="pct"/>
                  <w:gridSpan w:val="2"/>
                  <w:tcBorders>
                    <w:tl2br w:val="nil"/>
                    <w:tr2bl w:val="nil"/>
                  </w:tcBorders>
                  <w:vAlign w:val="center"/>
                </w:tcPr>
                <w:p w14:paraId="1B660D0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与本项目厂界位置关系</w:t>
                  </w:r>
                </w:p>
              </w:tc>
            </w:tr>
            <w:tr w14:paraId="684F93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 w:hRule="atLeast"/>
              </w:trPr>
              <w:tc>
                <w:tcPr>
                  <w:tcW w:w="461" w:type="pct"/>
                  <w:vMerge w:val="continue"/>
                  <w:tcBorders>
                    <w:tl2br w:val="nil"/>
                    <w:tr2bl w:val="nil"/>
                  </w:tcBorders>
                  <w:vAlign w:val="center"/>
                </w:tcPr>
                <w:p w14:paraId="7767A5F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868" w:type="pct"/>
                  <w:vMerge w:val="continue"/>
                  <w:tcBorders>
                    <w:tl2br w:val="nil"/>
                    <w:tr2bl w:val="nil"/>
                  </w:tcBorders>
                  <w:vAlign w:val="center"/>
                </w:tcPr>
                <w:p w14:paraId="0ABEE2A4">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1055" w:type="pct"/>
                  <w:vMerge w:val="continue"/>
                  <w:tcBorders>
                    <w:tl2br w:val="nil"/>
                    <w:tr2bl w:val="nil"/>
                  </w:tcBorders>
                  <w:shd w:val="clear" w:color="auto" w:fill="auto"/>
                  <w:vAlign w:val="center"/>
                </w:tcPr>
                <w:p w14:paraId="3DF676B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p>
              </w:tc>
              <w:tc>
                <w:tcPr>
                  <w:tcW w:w="1012" w:type="pct"/>
                  <w:tcBorders>
                    <w:tl2br w:val="nil"/>
                    <w:tr2bl w:val="nil"/>
                  </w:tcBorders>
                  <w:vAlign w:val="center"/>
                </w:tcPr>
                <w:p w14:paraId="0634AFE1">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相对方位</w:t>
                  </w:r>
                </w:p>
              </w:tc>
              <w:tc>
                <w:tcPr>
                  <w:tcW w:w="1601" w:type="pct"/>
                  <w:tcBorders>
                    <w:tl2br w:val="nil"/>
                    <w:tr2bl w:val="nil"/>
                  </w:tcBorders>
                  <w:vAlign w:val="center"/>
                </w:tcPr>
                <w:p w14:paraId="2F872AE1">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相对距离/m</w:t>
                  </w:r>
                </w:p>
              </w:tc>
            </w:tr>
            <w:tr w14:paraId="158C40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 w:hRule="atLeast"/>
              </w:trPr>
              <w:tc>
                <w:tcPr>
                  <w:tcW w:w="461" w:type="pct"/>
                  <w:tcBorders>
                    <w:tl2br w:val="nil"/>
                    <w:tr2bl w:val="nil"/>
                  </w:tcBorders>
                  <w:vAlign w:val="center"/>
                </w:tcPr>
                <w:p w14:paraId="15144C9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1</w:t>
                  </w:r>
                </w:p>
              </w:tc>
              <w:tc>
                <w:tcPr>
                  <w:tcW w:w="868" w:type="pct"/>
                  <w:vMerge w:val="restart"/>
                  <w:tcBorders>
                    <w:tl2br w:val="nil"/>
                    <w:tr2bl w:val="nil"/>
                  </w:tcBorders>
                  <w:vAlign w:val="center"/>
                </w:tcPr>
                <w:p w14:paraId="5FFE296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气化站</w:t>
                  </w:r>
                </w:p>
              </w:tc>
              <w:tc>
                <w:tcPr>
                  <w:tcW w:w="1055" w:type="pct"/>
                  <w:tcBorders>
                    <w:tl2br w:val="nil"/>
                    <w:tr2bl w:val="nil"/>
                  </w:tcBorders>
                  <w:shd w:val="clear" w:color="auto" w:fill="auto"/>
                  <w:vAlign w:val="center"/>
                </w:tcPr>
                <w:p w14:paraId="61144F9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九龙山温泉酒店</w:t>
                  </w:r>
                </w:p>
              </w:tc>
              <w:tc>
                <w:tcPr>
                  <w:tcW w:w="1012" w:type="pct"/>
                  <w:tcBorders>
                    <w:tl2br w:val="nil"/>
                    <w:tr2bl w:val="nil"/>
                  </w:tcBorders>
                  <w:vAlign w:val="center"/>
                </w:tcPr>
                <w:p w14:paraId="64AF87D4">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NW</w:t>
                  </w:r>
                </w:p>
              </w:tc>
              <w:tc>
                <w:tcPr>
                  <w:tcW w:w="1601" w:type="pct"/>
                  <w:tcBorders>
                    <w:tl2br w:val="nil"/>
                    <w:tr2bl w:val="nil"/>
                  </w:tcBorders>
                  <w:vAlign w:val="center"/>
                </w:tcPr>
                <w:p w14:paraId="658AE124">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163</w:t>
                  </w:r>
                </w:p>
              </w:tc>
            </w:tr>
            <w:tr w14:paraId="3054C7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 w:hRule="atLeast"/>
              </w:trPr>
              <w:tc>
                <w:tcPr>
                  <w:tcW w:w="461" w:type="pct"/>
                  <w:tcBorders>
                    <w:tl2br w:val="nil"/>
                    <w:tr2bl w:val="nil"/>
                  </w:tcBorders>
                  <w:vAlign w:val="center"/>
                </w:tcPr>
                <w:p w14:paraId="3232F0C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2</w:t>
                  </w:r>
                </w:p>
              </w:tc>
              <w:tc>
                <w:tcPr>
                  <w:tcW w:w="868" w:type="pct"/>
                  <w:vMerge w:val="continue"/>
                  <w:tcBorders>
                    <w:tl2br w:val="nil"/>
                    <w:tr2bl w:val="nil"/>
                  </w:tcBorders>
                  <w:vAlign w:val="center"/>
                </w:tcPr>
                <w:p w14:paraId="2D0E834E">
                  <w:pPr>
                    <w:keepNext w:val="0"/>
                    <w:keepLines w:val="0"/>
                    <w:widowControl/>
                    <w:suppressLineNumbers w:val="0"/>
                    <w:jc w:val="cente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p>
              </w:tc>
              <w:tc>
                <w:tcPr>
                  <w:tcW w:w="1055" w:type="pct"/>
                  <w:tcBorders>
                    <w:tl2br w:val="nil"/>
                    <w:tr2bl w:val="nil"/>
                  </w:tcBorders>
                  <w:shd w:val="clear" w:color="auto" w:fill="auto"/>
                  <w:vAlign w:val="center"/>
                </w:tcPr>
                <w:p w14:paraId="13E4C63F">
                  <w:pPr>
                    <w:keepNext w:val="0"/>
                    <w:keepLines w:val="0"/>
                    <w:widowControl/>
                    <w:suppressLineNumbers w:val="0"/>
                    <w:jc w:val="cente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庵里村</w:t>
                  </w:r>
                </w:p>
              </w:tc>
              <w:tc>
                <w:tcPr>
                  <w:tcW w:w="1012" w:type="pct"/>
                  <w:tcBorders>
                    <w:tl2br w:val="nil"/>
                    <w:tr2bl w:val="nil"/>
                  </w:tcBorders>
                  <w:vAlign w:val="center"/>
                </w:tcPr>
                <w:p w14:paraId="515075D5">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N</w:t>
                  </w:r>
                </w:p>
              </w:tc>
              <w:tc>
                <w:tcPr>
                  <w:tcW w:w="1601" w:type="pct"/>
                  <w:tcBorders>
                    <w:tl2br w:val="nil"/>
                    <w:tr2bl w:val="nil"/>
                  </w:tcBorders>
                  <w:vAlign w:val="center"/>
                </w:tcPr>
                <w:p w14:paraId="17E9BAD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53</w:t>
                  </w:r>
                </w:p>
              </w:tc>
            </w:tr>
            <w:tr w14:paraId="5D00CD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 w:hRule="atLeast"/>
              </w:trPr>
              <w:tc>
                <w:tcPr>
                  <w:tcW w:w="461" w:type="pct"/>
                  <w:tcBorders>
                    <w:tl2br w:val="nil"/>
                    <w:tr2bl w:val="nil"/>
                  </w:tcBorders>
                  <w:vAlign w:val="center"/>
                </w:tcPr>
                <w:p w14:paraId="6F0C76DB">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3</w:t>
                  </w:r>
                </w:p>
              </w:tc>
              <w:tc>
                <w:tcPr>
                  <w:tcW w:w="868" w:type="pct"/>
                  <w:vMerge w:val="continue"/>
                  <w:tcBorders>
                    <w:tl2br w:val="nil"/>
                    <w:tr2bl w:val="nil"/>
                  </w:tcBorders>
                  <w:vAlign w:val="center"/>
                </w:tcPr>
                <w:p w14:paraId="56518E2F">
                  <w:pPr>
                    <w:keepNext w:val="0"/>
                    <w:keepLines w:val="0"/>
                    <w:widowControl/>
                    <w:suppressLineNumbers w:val="0"/>
                    <w:jc w:val="cente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p>
              </w:tc>
              <w:tc>
                <w:tcPr>
                  <w:tcW w:w="1055" w:type="pct"/>
                  <w:tcBorders>
                    <w:tl2br w:val="nil"/>
                    <w:tr2bl w:val="nil"/>
                  </w:tcBorders>
                  <w:vAlign w:val="center"/>
                </w:tcPr>
                <w:p w14:paraId="37CD63D6">
                  <w:pPr>
                    <w:keepNext w:val="0"/>
                    <w:keepLines w:val="0"/>
                    <w:widowControl/>
                    <w:suppressLineNumbers w:val="0"/>
                    <w:jc w:val="cente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南坡</w:t>
                  </w:r>
                </w:p>
              </w:tc>
              <w:tc>
                <w:tcPr>
                  <w:tcW w:w="1012" w:type="pct"/>
                  <w:tcBorders>
                    <w:tl2br w:val="nil"/>
                    <w:tr2bl w:val="nil"/>
                  </w:tcBorders>
                  <w:vAlign w:val="center"/>
                </w:tcPr>
                <w:p w14:paraId="3AD218D0">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NW</w:t>
                  </w:r>
                </w:p>
              </w:tc>
              <w:tc>
                <w:tcPr>
                  <w:tcW w:w="1601" w:type="pct"/>
                  <w:tcBorders>
                    <w:tl2br w:val="nil"/>
                    <w:tr2bl w:val="nil"/>
                  </w:tcBorders>
                  <w:vAlign w:val="center"/>
                </w:tcPr>
                <w:p w14:paraId="3F2A136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395</w:t>
                  </w:r>
                </w:p>
              </w:tc>
            </w:tr>
            <w:tr w14:paraId="7FB80B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461" w:type="pct"/>
                  <w:tcBorders>
                    <w:tl2br w:val="nil"/>
                    <w:tr2bl w:val="nil"/>
                  </w:tcBorders>
                  <w:vAlign w:val="center"/>
                </w:tcPr>
                <w:p w14:paraId="6C557601">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4</w:t>
                  </w:r>
                </w:p>
              </w:tc>
              <w:tc>
                <w:tcPr>
                  <w:tcW w:w="868" w:type="pct"/>
                  <w:vMerge w:val="restart"/>
                  <w:tcBorders>
                    <w:tl2br w:val="nil"/>
                    <w:tr2bl w:val="nil"/>
                  </w:tcBorders>
                  <w:vAlign w:val="center"/>
                </w:tcPr>
                <w:p w14:paraId="1797ECB0">
                  <w:pPr>
                    <w:keepNext w:val="0"/>
                    <w:keepLines w:val="0"/>
                    <w:widowControl/>
                    <w:suppressLineNumbers w:val="0"/>
                    <w:jc w:val="cente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4"/>
                      <w:szCs w:val="24"/>
                      <w:vertAlign w:val="baseline"/>
                      <w:lang w:val="en-US" w:eastAsia="zh-CN" w:bidi="ar"/>
                      <w14:textFill>
                        <w14:solidFill>
                          <w14:schemeClr w14:val="tx1"/>
                        </w14:solidFill>
                      </w14:textFill>
                    </w:rPr>
                    <w:t>天然气管线</w:t>
                  </w:r>
                </w:p>
              </w:tc>
              <w:tc>
                <w:tcPr>
                  <w:tcW w:w="1055" w:type="pct"/>
                  <w:tcBorders>
                    <w:tl2br w:val="nil"/>
                    <w:tr2bl w:val="nil"/>
                  </w:tcBorders>
                  <w:shd w:val="clear" w:color="auto" w:fill="auto"/>
                  <w:vAlign w:val="center"/>
                </w:tcPr>
                <w:p w14:paraId="519B08B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九龙山温泉酒店</w:t>
                  </w:r>
                </w:p>
              </w:tc>
              <w:tc>
                <w:tcPr>
                  <w:tcW w:w="1012" w:type="pct"/>
                  <w:tcBorders>
                    <w:tl2br w:val="nil"/>
                    <w:tr2bl w:val="nil"/>
                  </w:tcBorders>
                  <w:shd w:val="clear" w:color="auto" w:fill="auto"/>
                  <w:vAlign w:val="center"/>
                </w:tcPr>
                <w:p w14:paraId="2C2573A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W</w:t>
                  </w:r>
                </w:p>
              </w:tc>
              <w:tc>
                <w:tcPr>
                  <w:tcW w:w="1601" w:type="pct"/>
                  <w:tcBorders>
                    <w:tl2br w:val="nil"/>
                    <w:tr2bl w:val="nil"/>
                  </w:tcBorders>
                  <w:shd w:val="clear" w:color="auto" w:fill="auto"/>
                  <w:vAlign w:val="center"/>
                </w:tcPr>
                <w:p w14:paraId="75E5D041">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大于1.5</w:t>
                  </w:r>
                </w:p>
              </w:tc>
            </w:tr>
            <w:tr w14:paraId="62F9C4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 w:hRule="atLeast"/>
              </w:trPr>
              <w:tc>
                <w:tcPr>
                  <w:tcW w:w="461" w:type="pct"/>
                  <w:tcBorders>
                    <w:tl2br w:val="nil"/>
                    <w:tr2bl w:val="nil"/>
                  </w:tcBorders>
                  <w:vAlign w:val="center"/>
                </w:tcPr>
                <w:p w14:paraId="19FD299C">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5</w:t>
                  </w:r>
                </w:p>
              </w:tc>
              <w:tc>
                <w:tcPr>
                  <w:tcW w:w="868" w:type="pct"/>
                  <w:vMerge w:val="continue"/>
                  <w:tcBorders>
                    <w:tl2br w:val="nil"/>
                    <w:tr2bl w:val="nil"/>
                  </w:tcBorders>
                  <w:vAlign w:val="center"/>
                </w:tcPr>
                <w:p w14:paraId="0E39BAF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14:textFill>
                        <w14:solidFill>
                          <w14:schemeClr w14:val="tx1"/>
                        </w14:solidFill>
                      </w14:textFill>
                    </w:rPr>
                  </w:pPr>
                </w:p>
              </w:tc>
              <w:tc>
                <w:tcPr>
                  <w:tcW w:w="1055" w:type="pct"/>
                  <w:tcBorders>
                    <w:tl2br w:val="nil"/>
                    <w:tr2bl w:val="nil"/>
                  </w:tcBorders>
                  <w:vAlign w:val="center"/>
                </w:tcPr>
                <w:p w14:paraId="560E254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庵里村</w:t>
                  </w:r>
                </w:p>
              </w:tc>
              <w:tc>
                <w:tcPr>
                  <w:tcW w:w="1012" w:type="pct"/>
                  <w:tcBorders>
                    <w:tl2br w:val="nil"/>
                    <w:tr2bl w:val="nil"/>
                  </w:tcBorders>
                  <w:vAlign w:val="center"/>
                </w:tcPr>
                <w:p w14:paraId="4A7E25F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E</w:t>
                  </w:r>
                </w:p>
              </w:tc>
              <w:tc>
                <w:tcPr>
                  <w:tcW w:w="1601" w:type="pct"/>
                  <w:tcBorders>
                    <w:tl2br w:val="nil"/>
                    <w:tr2bl w:val="nil"/>
                  </w:tcBorders>
                  <w:vAlign w:val="center"/>
                </w:tcPr>
                <w:p w14:paraId="7A7009F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大于1.5</w:t>
                  </w:r>
                </w:p>
              </w:tc>
            </w:tr>
            <w:tr w14:paraId="2CA5A3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 w:hRule="atLeast"/>
              </w:trPr>
              <w:tc>
                <w:tcPr>
                  <w:tcW w:w="461" w:type="pct"/>
                  <w:tcBorders>
                    <w:tl2br w:val="nil"/>
                    <w:tr2bl w:val="nil"/>
                  </w:tcBorders>
                  <w:vAlign w:val="center"/>
                </w:tcPr>
                <w:p w14:paraId="082FC35B">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6</w:t>
                  </w:r>
                </w:p>
              </w:tc>
              <w:tc>
                <w:tcPr>
                  <w:tcW w:w="868" w:type="pct"/>
                  <w:vMerge w:val="continue"/>
                  <w:tcBorders>
                    <w:tl2br w:val="nil"/>
                    <w:tr2bl w:val="nil"/>
                  </w:tcBorders>
                  <w:vAlign w:val="center"/>
                </w:tcPr>
                <w:p w14:paraId="1A88FF4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p>
              </w:tc>
              <w:tc>
                <w:tcPr>
                  <w:tcW w:w="1055" w:type="pct"/>
                  <w:tcBorders>
                    <w:tl2br w:val="nil"/>
                    <w:tr2bl w:val="nil"/>
                  </w:tcBorders>
                  <w:vAlign w:val="center"/>
                </w:tcPr>
                <w:p w14:paraId="11072B2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南坡</w:t>
                  </w:r>
                </w:p>
              </w:tc>
              <w:tc>
                <w:tcPr>
                  <w:tcW w:w="1012" w:type="pct"/>
                  <w:tcBorders>
                    <w:tl2br w:val="nil"/>
                    <w:tr2bl w:val="nil"/>
                  </w:tcBorders>
                  <w:vAlign w:val="center"/>
                </w:tcPr>
                <w:p w14:paraId="59FB7AB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E</w:t>
                  </w:r>
                </w:p>
              </w:tc>
              <w:tc>
                <w:tcPr>
                  <w:tcW w:w="1601" w:type="pct"/>
                  <w:tcBorders>
                    <w:tl2br w:val="nil"/>
                    <w:tr2bl w:val="nil"/>
                  </w:tcBorders>
                  <w:vAlign w:val="center"/>
                </w:tcPr>
                <w:p w14:paraId="3E74B17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380</w:t>
                  </w:r>
                </w:p>
              </w:tc>
            </w:tr>
            <w:tr w14:paraId="11A0E4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 w:hRule="atLeast"/>
              </w:trPr>
              <w:tc>
                <w:tcPr>
                  <w:tcW w:w="461" w:type="pct"/>
                  <w:tcBorders>
                    <w:tl2br w:val="nil"/>
                    <w:tr2bl w:val="nil"/>
                  </w:tcBorders>
                  <w:vAlign w:val="center"/>
                </w:tcPr>
                <w:p w14:paraId="34CEA15C">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7</w:t>
                  </w:r>
                </w:p>
              </w:tc>
              <w:tc>
                <w:tcPr>
                  <w:tcW w:w="868" w:type="pct"/>
                  <w:vMerge w:val="continue"/>
                  <w:tcBorders>
                    <w:tl2br w:val="nil"/>
                    <w:tr2bl w:val="nil"/>
                  </w:tcBorders>
                  <w:vAlign w:val="center"/>
                </w:tcPr>
                <w:p w14:paraId="472A6AA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p>
              </w:tc>
              <w:tc>
                <w:tcPr>
                  <w:tcW w:w="1055" w:type="pct"/>
                  <w:tcBorders>
                    <w:tl2br w:val="nil"/>
                    <w:tr2bl w:val="nil"/>
                  </w:tcBorders>
                  <w:vAlign w:val="center"/>
                </w:tcPr>
                <w:p w14:paraId="2E6A537C">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临街商铺</w:t>
                  </w:r>
                </w:p>
              </w:tc>
              <w:tc>
                <w:tcPr>
                  <w:tcW w:w="1012" w:type="pct"/>
                  <w:tcBorders>
                    <w:tl2br w:val="nil"/>
                    <w:tr2bl w:val="nil"/>
                  </w:tcBorders>
                  <w:vAlign w:val="center"/>
                </w:tcPr>
                <w:p w14:paraId="65EC4F8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E、W</w:t>
                  </w:r>
                </w:p>
              </w:tc>
              <w:tc>
                <w:tcPr>
                  <w:tcW w:w="1601" w:type="pct"/>
                  <w:tcBorders>
                    <w:tl2br w:val="nil"/>
                    <w:tr2bl w:val="nil"/>
                  </w:tcBorders>
                  <w:vAlign w:val="center"/>
                </w:tcPr>
                <w:p w14:paraId="7F9AFE8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大于1.5</w:t>
                  </w:r>
                </w:p>
              </w:tc>
            </w:tr>
          </w:tbl>
          <w:p w14:paraId="642B8C03">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000000" w:themeColor="text1"/>
                <w:kern w:val="0"/>
                <w:sz w:val="24"/>
                <w:szCs w:val="24"/>
                <w:vertAlign w:val="baseline"/>
                <w:lang w:val="en-US" w:eastAsia="zh-CN" w:bidi="ar"/>
                <w14:textFill>
                  <w14:solidFill>
                    <w14:schemeClr w14:val="tx1"/>
                  </w14:solidFill>
                </w14:textFill>
              </w:rPr>
            </w:pPr>
            <w:r>
              <w:rPr>
                <w:rFonts w:hint="default" w:ascii="Times New Roman" w:hAnsi="Times New Roman" w:eastAsia="宋体" w:cs="Times New Roman"/>
                <w:b/>
                <w:bCs/>
                <w:color w:val="000000" w:themeColor="text1"/>
                <w:kern w:val="0"/>
                <w:sz w:val="24"/>
                <w:szCs w:val="24"/>
                <w:vertAlign w:val="baseline"/>
                <w:lang w:val="en-US" w:eastAsia="zh-CN" w:bidi="ar"/>
                <w14:textFill>
                  <w14:solidFill>
                    <w14:schemeClr w14:val="tx1"/>
                  </w14:solidFill>
                </w14:textFill>
              </w:rPr>
              <w:t>2.声环境</w:t>
            </w:r>
          </w:p>
          <w:p w14:paraId="664BB909">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themeColor="text1"/>
                <w:kern w:val="0"/>
                <w:sz w:val="24"/>
                <w:szCs w:val="24"/>
                <w:vertAlign w:val="baseli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4"/>
                <w:szCs w:val="24"/>
                <w:vertAlign w:val="baseline"/>
                <w:lang w:val="en-US" w:eastAsia="zh-CN" w:bidi="ar"/>
                <w14:textFill>
                  <w14:solidFill>
                    <w14:schemeClr w14:val="tx1"/>
                  </w14:solidFill>
                </w14:textFill>
              </w:rPr>
              <w:t>本项目气化站厂界外50m范围内无声环境保护目标，天然气管线运营期无固定噪声源，因此无需开展声环境保护目标调查。</w:t>
            </w:r>
          </w:p>
          <w:p w14:paraId="07AD1707">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000000" w:themeColor="text1"/>
                <w:kern w:val="0"/>
                <w:sz w:val="24"/>
                <w:szCs w:val="24"/>
                <w:vertAlign w:val="baseline"/>
                <w:lang w:val="en-US" w:eastAsia="zh-CN" w:bidi="ar"/>
                <w14:textFill>
                  <w14:solidFill>
                    <w14:schemeClr w14:val="tx1"/>
                  </w14:solidFill>
                </w14:textFill>
              </w:rPr>
            </w:pPr>
            <w:r>
              <w:rPr>
                <w:rFonts w:hint="default" w:ascii="Times New Roman" w:hAnsi="Times New Roman" w:eastAsia="宋体" w:cs="Times New Roman"/>
                <w:b/>
                <w:bCs/>
                <w:color w:val="000000" w:themeColor="text1"/>
                <w:kern w:val="0"/>
                <w:sz w:val="24"/>
                <w:szCs w:val="24"/>
                <w:vertAlign w:val="baseline"/>
                <w:lang w:val="en-US" w:eastAsia="zh-CN" w:bidi="ar"/>
                <w14:textFill>
                  <w14:solidFill>
                    <w14:schemeClr w14:val="tx1"/>
                  </w14:solidFill>
                </w14:textFill>
              </w:rPr>
              <w:t>3.地下水环境</w:t>
            </w:r>
          </w:p>
          <w:p w14:paraId="2D3D11DA">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themeColor="text1"/>
                <w:kern w:val="0"/>
                <w:sz w:val="24"/>
                <w:szCs w:val="24"/>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4"/>
                <w:szCs w:val="24"/>
                <w:vertAlign w:val="baseline"/>
                <w:lang w:val="en-US" w:eastAsia="zh-CN" w:bidi="ar"/>
                <w14:textFill>
                  <w14:solidFill>
                    <w14:schemeClr w14:val="tx1"/>
                  </w14:solidFill>
                </w14:textFill>
              </w:rPr>
              <w:t>本项目厂界外</w:t>
            </w:r>
            <w:r>
              <w:rPr>
                <w:rFonts w:hint="default" w:ascii="Times New Roman" w:hAnsi="Times New Roman" w:eastAsia="宋体" w:cs="Times New Roman"/>
                <w:color w:val="000000" w:themeColor="text1"/>
                <w:kern w:val="0"/>
                <w:sz w:val="24"/>
                <w:szCs w:val="24"/>
                <w:vertAlign w:val="baseline"/>
                <w:lang w:val="en-US" w:eastAsia="zh-CN" w:bidi="ar"/>
                <w14:textFill>
                  <w14:solidFill>
                    <w14:schemeClr w14:val="tx1"/>
                  </w14:solidFill>
                </w14:textFill>
              </w:rPr>
              <w:t>500米范围内无地下水集中式饮用水水源和热水、矿泉水、温泉等特殊地下水资源。</w:t>
            </w:r>
          </w:p>
          <w:p w14:paraId="06F2E51F">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000000" w:themeColor="text1"/>
                <w:kern w:val="0"/>
                <w:sz w:val="24"/>
                <w:szCs w:val="24"/>
                <w:vertAlign w:val="baseline"/>
                <w:lang w:val="en-US" w:eastAsia="zh-CN" w:bidi="ar"/>
                <w14:textFill>
                  <w14:solidFill>
                    <w14:schemeClr w14:val="tx1"/>
                  </w14:solidFill>
                </w14:textFill>
              </w:rPr>
            </w:pPr>
            <w:r>
              <w:rPr>
                <w:rFonts w:hint="default" w:ascii="Times New Roman" w:hAnsi="Times New Roman" w:eastAsia="宋体" w:cs="Times New Roman"/>
                <w:b/>
                <w:bCs/>
                <w:color w:val="000000" w:themeColor="text1"/>
                <w:kern w:val="0"/>
                <w:sz w:val="24"/>
                <w:szCs w:val="24"/>
                <w:vertAlign w:val="baseline"/>
                <w:lang w:val="en-US" w:eastAsia="zh-CN" w:bidi="ar"/>
                <w14:textFill>
                  <w14:solidFill>
                    <w14:schemeClr w14:val="tx1"/>
                  </w14:solidFill>
                </w14:textFill>
              </w:rPr>
              <w:t>4.生态环境</w:t>
            </w:r>
          </w:p>
          <w:p w14:paraId="65E43598">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themeColor="text1"/>
                <w:kern w:val="0"/>
                <w:sz w:val="24"/>
                <w:szCs w:val="24"/>
                <w:vertAlign w:val="baseli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本项目气化站拟</w:t>
            </w:r>
            <w:r>
              <w:rPr>
                <w:rFonts w:hint="default" w:ascii="Times New Roman" w:hAnsi="Times New Roman" w:eastAsia="宋体" w:cs="Times New Roman"/>
                <w:color w:val="000000" w:themeColor="text1"/>
                <w:kern w:val="0"/>
                <w:sz w:val="24"/>
                <w:szCs w:val="24"/>
                <w:vertAlign w:val="baseline"/>
                <w:lang w:val="en-US" w:eastAsia="zh-CN" w:bidi="ar"/>
                <w14:textFill>
                  <w14:solidFill>
                    <w14:schemeClr w14:val="tx1"/>
                  </w14:solidFill>
                </w14:textFill>
              </w:rPr>
              <w:t>利用</w:t>
            </w:r>
            <w:r>
              <w:rPr>
                <w:rFonts w:hint="default" w:ascii="Times New Roman" w:hAnsi="Times New Roman" w:eastAsia="宋体" w:cs="Times New Roman"/>
                <w:b w:val="0"/>
                <w:bCs w:val="0"/>
                <w:color w:val="000000" w:themeColor="text1"/>
                <w:kern w:val="0"/>
                <w:sz w:val="24"/>
                <w:szCs w:val="24"/>
                <w:vertAlign w:val="baseline"/>
                <w:lang w:val="en-US" w:eastAsia="zh-CN" w:bidi="ar"/>
                <w14:textFill>
                  <w14:solidFill>
                    <w14:schemeClr w14:val="tx1"/>
                  </w14:solidFill>
                </w14:textFill>
              </w:rPr>
              <w:t>九龙山景区</w:t>
            </w:r>
            <w:r>
              <w:rPr>
                <w:rFonts w:hint="default" w:ascii="Times New Roman" w:hAnsi="Times New Roman" w:eastAsia="宋体" w:cs="Times New Roman"/>
                <w:b w:val="0"/>
                <w:bCs w:val="0"/>
                <w:color w:val="000000" w:themeColor="text1"/>
                <w:kern w:val="0"/>
                <w:sz w:val="24"/>
                <w:szCs w:val="24"/>
                <w:u w:val="none"/>
                <w:vertAlign w:val="baseline"/>
                <w:lang w:val="en-US" w:eastAsia="zh-CN" w:bidi="ar"/>
                <w14:textFill>
                  <w14:solidFill>
                    <w14:schemeClr w14:val="tx1"/>
                  </w14:solidFill>
                </w14:textFill>
              </w:rPr>
              <w:t>庵里村综合服务区现有停车场用地进行建设，</w:t>
            </w:r>
            <w:r>
              <w:rPr>
                <w:rFonts w:hint="default" w:ascii="Times New Roman" w:hAnsi="Times New Roman" w:eastAsia="宋体" w:cs="Times New Roman"/>
                <w:b w:val="0"/>
                <w:bCs w:val="0"/>
                <w:color w:val="000000" w:themeColor="text1"/>
                <w:kern w:val="0"/>
                <w:sz w:val="24"/>
                <w:szCs w:val="24"/>
                <w:vertAlign w:val="baseline"/>
                <w:lang w:val="en-US" w:eastAsia="zh-CN" w:bidi="ar"/>
                <w14:textFill>
                  <w14:solidFill>
                    <w14:schemeClr w14:val="tx1"/>
                  </w14:solidFill>
                </w14:textFill>
              </w:rPr>
              <w:t>天然气管线沿景区人行道边缘敷设</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kern w:val="0"/>
                <w:sz w:val="24"/>
                <w:szCs w:val="24"/>
                <w:vertAlign w:val="baseline"/>
                <w:lang w:val="en-US" w:eastAsia="zh-CN" w:bidi="ar"/>
                <w14:textFill>
                  <w14:solidFill>
                    <w14:schemeClr w14:val="tx1"/>
                  </w14:solidFill>
                </w14:textFill>
              </w:rPr>
              <w:t>用地范围内无生态环境保护目标。</w:t>
            </w:r>
          </w:p>
        </w:tc>
      </w:tr>
      <w:tr w14:paraId="166BB23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22" w:type="pct"/>
            <w:tcBorders>
              <w:tl2br w:val="nil"/>
              <w:tr2bl w:val="nil"/>
            </w:tcBorders>
            <w:vAlign w:val="center"/>
          </w:tcPr>
          <w:p w14:paraId="40198211">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000000" w:themeColor="text1"/>
                <w:sz w:val="24"/>
                <w:szCs w:val="24"/>
                <w14:textFill>
                  <w14:solidFill>
                    <w14:schemeClr w14:val="tx1"/>
                  </w14:solidFill>
                </w14:textFill>
              </w:rPr>
            </w:pPr>
            <w:r>
              <w:rPr>
                <w:rFonts w:hint="default" w:ascii="Times New Roman" w:hAnsi="Times New Roman" w:eastAsia="宋体" w:cs="Times New Roman"/>
                <w:b/>
                <w:bCs/>
                <w:color w:val="000000" w:themeColor="text1"/>
                <w:kern w:val="0"/>
                <w:sz w:val="24"/>
                <w:szCs w:val="24"/>
                <w:lang w:val="en-US" w:eastAsia="zh-CN" w:bidi="ar"/>
                <w14:textFill>
                  <w14:solidFill>
                    <w14:schemeClr w14:val="tx1"/>
                  </w14:solidFill>
                </w14:textFill>
              </w:rPr>
              <w:t>污染</w:t>
            </w:r>
          </w:p>
          <w:p w14:paraId="795A2FB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000000" w:themeColor="text1"/>
                <w:sz w:val="24"/>
                <w:szCs w:val="24"/>
                <w14:textFill>
                  <w14:solidFill>
                    <w14:schemeClr w14:val="tx1"/>
                  </w14:solidFill>
                </w14:textFill>
              </w:rPr>
            </w:pPr>
            <w:r>
              <w:rPr>
                <w:rFonts w:hint="default" w:ascii="Times New Roman" w:hAnsi="Times New Roman" w:eastAsia="宋体" w:cs="Times New Roman"/>
                <w:b/>
                <w:bCs/>
                <w:color w:val="000000" w:themeColor="text1"/>
                <w:kern w:val="0"/>
                <w:sz w:val="24"/>
                <w:szCs w:val="24"/>
                <w:lang w:val="en-US" w:eastAsia="zh-CN" w:bidi="ar"/>
                <w14:textFill>
                  <w14:solidFill>
                    <w14:schemeClr w14:val="tx1"/>
                  </w14:solidFill>
                </w14:textFill>
              </w:rPr>
              <w:t>物排</w:t>
            </w:r>
          </w:p>
          <w:p w14:paraId="21CE5B34">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000000" w:themeColor="text1"/>
                <w:sz w:val="24"/>
                <w:szCs w:val="24"/>
                <w14:textFill>
                  <w14:solidFill>
                    <w14:schemeClr w14:val="tx1"/>
                  </w14:solidFill>
                </w14:textFill>
              </w:rPr>
            </w:pPr>
            <w:r>
              <w:rPr>
                <w:rFonts w:hint="default" w:ascii="Times New Roman" w:hAnsi="Times New Roman" w:eastAsia="宋体" w:cs="Times New Roman"/>
                <w:b/>
                <w:bCs/>
                <w:color w:val="000000" w:themeColor="text1"/>
                <w:kern w:val="0"/>
                <w:sz w:val="24"/>
                <w:szCs w:val="24"/>
                <w:lang w:val="en-US" w:eastAsia="zh-CN" w:bidi="ar"/>
                <w14:textFill>
                  <w14:solidFill>
                    <w14:schemeClr w14:val="tx1"/>
                  </w14:solidFill>
                </w14:textFill>
              </w:rPr>
              <w:t>放控</w:t>
            </w:r>
          </w:p>
          <w:p w14:paraId="14B5065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000000" w:themeColor="text1"/>
                <w:sz w:val="24"/>
                <w:szCs w:val="24"/>
                <w14:textFill>
                  <w14:solidFill>
                    <w14:schemeClr w14:val="tx1"/>
                  </w14:solidFill>
                </w14:textFill>
              </w:rPr>
            </w:pPr>
            <w:r>
              <w:rPr>
                <w:rFonts w:hint="default" w:ascii="Times New Roman" w:hAnsi="Times New Roman" w:eastAsia="宋体" w:cs="Times New Roman"/>
                <w:b/>
                <w:bCs/>
                <w:color w:val="000000" w:themeColor="text1"/>
                <w:kern w:val="0"/>
                <w:sz w:val="24"/>
                <w:szCs w:val="24"/>
                <w:lang w:val="en-US" w:eastAsia="zh-CN" w:bidi="ar"/>
                <w14:textFill>
                  <w14:solidFill>
                    <w14:schemeClr w14:val="tx1"/>
                  </w14:solidFill>
                </w14:textFill>
              </w:rPr>
              <w:t>制标</w:t>
            </w:r>
          </w:p>
          <w:p w14:paraId="4C927BBD">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000000" w:themeColor="text1"/>
                <w:kern w:val="0"/>
                <w:sz w:val="24"/>
                <w:szCs w:val="24"/>
                <w:vertAlign w:val="baseline"/>
                <w:lang w:val="en-US" w:eastAsia="zh-CN" w:bidi="ar"/>
                <w14:textFill>
                  <w14:solidFill>
                    <w14:schemeClr w14:val="tx1"/>
                  </w14:solidFill>
                </w14:textFill>
              </w:rPr>
            </w:pPr>
            <w:r>
              <w:rPr>
                <w:rFonts w:hint="default" w:ascii="Times New Roman" w:hAnsi="Times New Roman" w:eastAsia="宋体" w:cs="Times New Roman"/>
                <w:b/>
                <w:bCs/>
                <w:color w:val="000000" w:themeColor="text1"/>
                <w:kern w:val="0"/>
                <w:sz w:val="24"/>
                <w:szCs w:val="24"/>
                <w:lang w:val="en-US" w:eastAsia="zh-CN" w:bidi="ar"/>
                <w14:textFill>
                  <w14:solidFill>
                    <w14:schemeClr w14:val="tx1"/>
                  </w14:solidFill>
                </w14:textFill>
              </w:rPr>
              <w:t>准</w:t>
            </w:r>
          </w:p>
        </w:tc>
        <w:tc>
          <w:tcPr>
            <w:tcW w:w="4577" w:type="pct"/>
            <w:tcBorders>
              <w:tl2br w:val="nil"/>
              <w:tr2bl w:val="nil"/>
            </w:tcBorders>
            <w:vAlign w:val="center"/>
          </w:tcPr>
          <w:p w14:paraId="4EC10735">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000000" w:themeColor="text1"/>
                <w:kern w:val="0"/>
                <w:sz w:val="24"/>
                <w:szCs w:val="24"/>
                <w:vertAlign w:val="baseline"/>
                <w:lang w:val="en-US" w:eastAsia="zh-CN" w:bidi="ar"/>
                <w14:textFill>
                  <w14:solidFill>
                    <w14:schemeClr w14:val="tx1"/>
                  </w14:solidFill>
                </w14:textFill>
              </w:rPr>
            </w:pPr>
            <w:r>
              <w:rPr>
                <w:rFonts w:hint="default" w:ascii="Times New Roman" w:hAnsi="Times New Roman" w:eastAsia="宋体" w:cs="Times New Roman"/>
                <w:b/>
                <w:bCs/>
                <w:color w:val="000000" w:themeColor="text1"/>
                <w:kern w:val="0"/>
                <w:sz w:val="24"/>
                <w:szCs w:val="24"/>
                <w:vertAlign w:val="baseline"/>
                <w:lang w:val="en-US" w:eastAsia="zh-CN" w:bidi="ar"/>
                <w14:textFill>
                  <w14:solidFill>
                    <w14:schemeClr w14:val="tx1"/>
                  </w14:solidFill>
                </w14:textFill>
              </w:rPr>
              <w:t>1.废气</w:t>
            </w:r>
          </w:p>
          <w:p w14:paraId="48A1A02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bCs/>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bCs/>
                <w:color w:val="000000" w:themeColor="text1"/>
                <w:kern w:val="0"/>
                <w:sz w:val="21"/>
                <w:szCs w:val="21"/>
                <w:vertAlign w:val="baseline"/>
                <w:lang w:val="en-US" w:eastAsia="zh-CN" w:bidi="ar"/>
                <w14:textFill>
                  <w14:solidFill>
                    <w14:schemeClr w14:val="tx1"/>
                  </w14:solidFill>
                </w14:textFill>
              </w:rPr>
              <w:t>表3-4   大气污染物排放标准</w:t>
            </w:r>
          </w:p>
          <w:tbl>
            <w:tblPr>
              <w:tblStyle w:val="17"/>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6"/>
              <w:gridCol w:w="1533"/>
              <w:gridCol w:w="2498"/>
              <w:gridCol w:w="1117"/>
              <w:gridCol w:w="3104"/>
            </w:tblGrid>
            <w:tr w14:paraId="3B6211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358" w:type="pct"/>
                  <w:vAlign w:val="center"/>
                </w:tcPr>
                <w:p w14:paraId="47EDBC4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序号</w:t>
                  </w:r>
                </w:p>
              </w:tc>
              <w:tc>
                <w:tcPr>
                  <w:tcW w:w="862" w:type="pct"/>
                  <w:vAlign w:val="center"/>
                </w:tcPr>
                <w:p w14:paraId="47AE01E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污染物名称</w:t>
                  </w:r>
                </w:p>
              </w:tc>
              <w:tc>
                <w:tcPr>
                  <w:tcW w:w="1405" w:type="pct"/>
                  <w:vAlign w:val="center"/>
                </w:tcPr>
                <w:p w14:paraId="4721140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排放浓度限值（mg/m</w:t>
                  </w:r>
                  <w:r>
                    <w:rPr>
                      <w:rFonts w:hint="default" w:ascii="Times New Roman" w:hAnsi="Times New Roman" w:eastAsia="宋体" w:cs="Times New Roman"/>
                      <w:b w:val="0"/>
                      <w:bCs w:val="0"/>
                      <w:color w:val="000000" w:themeColor="text1"/>
                      <w:kern w:val="0"/>
                      <w:sz w:val="21"/>
                      <w:szCs w:val="21"/>
                      <w:vertAlign w:val="superscript"/>
                      <w:lang w:val="en-US" w:eastAsia="zh-CN" w:bidi="ar"/>
                      <w14:textFill>
                        <w14:solidFill>
                          <w14:schemeClr w14:val="tx1"/>
                        </w14:solidFill>
                      </w14:textFill>
                    </w:rPr>
                    <w:t>3</w:t>
                  </w: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w:t>
                  </w:r>
                </w:p>
              </w:tc>
              <w:tc>
                <w:tcPr>
                  <w:tcW w:w="628" w:type="pct"/>
                  <w:vAlign w:val="center"/>
                </w:tcPr>
                <w:p w14:paraId="4426036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lang w:val="en-US" w:eastAsia="zh-CN" w:bidi="ar"/>
                      <w14:textFill>
                        <w14:solidFill>
                          <w14:schemeClr w14:val="tx1"/>
                        </w14:solidFill>
                      </w14:textFill>
                    </w:rPr>
                    <w:t>监控位置</w:t>
                  </w:r>
                </w:p>
              </w:tc>
              <w:tc>
                <w:tcPr>
                  <w:tcW w:w="1745" w:type="pct"/>
                  <w:vAlign w:val="center"/>
                </w:tcPr>
                <w:p w14:paraId="33C8D2D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lang w:val="en-US" w:eastAsia="zh-CN" w:bidi="ar"/>
                      <w14:textFill>
                        <w14:solidFill>
                          <w14:schemeClr w14:val="tx1"/>
                        </w14:solidFill>
                      </w14:textFill>
                    </w:rPr>
                    <w:t>标准名称</w:t>
                  </w:r>
                </w:p>
              </w:tc>
            </w:tr>
            <w:tr w14:paraId="26B1E9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 w:hRule="atLeast"/>
              </w:trPr>
              <w:tc>
                <w:tcPr>
                  <w:tcW w:w="358" w:type="pct"/>
                  <w:vMerge w:val="restart"/>
                  <w:vAlign w:val="center"/>
                </w:tcPr>
                <w:p w14:paraId="5BFDECD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1</w:t>
                  </w:r>
                </w:p>
              </w:tc>
              <w:tc>
                <w:tcPr>
                  <w:tcW w:w="862" w:type="pct"/>
                  <w:vMerge w:val="restart"/>
                  <w:vAlign w:val="center"/>
                </w:tcPr>
                <w:p w14:paraId="641B98D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非甲烷总烃</w:t>
                  </w:r>
                </w:p>
              </w:tc>
              <w:tc>
                <w:tcPr>
                  <w:tcW w:w="1405" w:type="pct"/>
                  <w:vAlign w:val="center"/>
                </w:tcPr>
                <w:p w14:paraId="61C1CB0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6（1 h 平均浓度值）</w:t>
                  </w:r>
                </w:p>
              </w:tc>
              <w:tc>
                <w:tcPr>
                  <w:tcW w:w="628" w:type="pct"/>
                  <w:vAlign w:val="center"/>
                </w:tcPr>
                <w:p w14:paraId="6328D01B">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厂区内</w:t>
                  </w:r>
                </w:p>
              </w:tc>
              <w:tc>
                <w:tcPr>
                  <w:tcW w:w="1745" w:type="pct"/>
                  <w:vMerge w:val="restart"/>
                  <w:vAlign w:val="center"/>
                </w:tcPr>
                <w:p w14:paraId="06C11F31">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《挥发性有机物无组织排放控制标准》（GB37822—2019）</w:t>
                  </w:r>
                </w:p>
              </w:tc>
            </w:tr>
            <w:tr w14:paraId="74D0F6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 w:hRule="atLeast"/>
              </w:trPr>
              <w:tc>
                <w:tcPr>
                  <w:tcW w:w="358" w:type="pct"/>
                  <w:vMerge w:val="continue"/>
                  <w:vAlign w:val="center"/>
                </w:tcPr>
                <w:p w14:paraId="7E75D86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862" w:type="pct"/>
                  <w:vMerge w:val="continue"/>
                  <w:vAlign w:val="center"/>
                </w:tcPr>
                <w:p w14:paraId="2145939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1405" w:type="pct"/>
                  <w:vAlign w:val="center"/>
                </w:tcPr>
                <w:p w14:paraId="12529E9C">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20（处任意一次浓度值）</w:t>
                  </w:r>
                </w:p>
              </w:tc>
              <w:tc>
                <w:tcPr>
                  <w:tcW w:w="628" w:type="pct"/>
                  <w:vAlign w:val="center"/>
                </w:tcPr>
                <w:p w14:paraId="2C8CA42B">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厂区内</w:t>
                  </w:r>
                </w:p>
              </w:tc>
              <w:tc>
                <w:tcPr>
                  <w:tcW w:w="1745" w:type="pct"/>
                  <w:vMerge w:val="continue"/>
                  <w:vAlign w:val="center"/>
                </w:tcPr>
                <w:p w14:paraId="1F1773C1">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p>
              </w:tc>
            </w:tr>
            <w:tr w14:paraId="355238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 w:hRule="atLeast"/>
              </w:trPr>
              <w:tc>
                <w:tcPr>
                  <w:tcW w:w="358" w:type="pct"/>
                  <w:vAlign w:val="center"/>
                </w:tcPr>
                <w:p w14:paraId="7F59F42B">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2</w:t>
                  </w:r>
                </w:p>
              </w:tc>
              <w:tc>
                <w:tcPr>
                  <w:tcW w:w="862" w:type="pct"/>
                  <w:vAlign w:val="center"/>
                </w:tcPr>
                <w:p w14:paraId="1D1BCE4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非甲烷总烃</w:t>
                  </w:r>
                </w:p>
              </w:tc>
              <w:tc>
                <w:tcPr>
                  <w:tcW w:w="1405" w:type="pct"/>
                  <w:vAlign w:val="center"/>
                </w:tcPr>
                <w:p w14:paraId="43EE244D">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4.0</w:t>
                  </w:r>
                </w:p>
              </w:tc>
              <w:tc>
                <w:tcPr>
                  <w:tcW w:w="628" w:type="pct"/>
                  <w:vAlign w:val="center"/>
                </w:tcPr>
                <w:p w14:paraId="16C54BD4">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周界外浓度最高点</w:t>
                  </w:r>
                </w:p>
              </w:tc>
              <w:tc>
                <w:tcPr>
                  <w:tcW w:w="1745" w:type="pct"/>
                  <w:vAlign w:val="center"/>
                </w:tcPr>
                <w:p w14:paraId="022191E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 大气污染物综合排放标准》（GB 16297-1996）</w:t>
                  </w:r>
                </w:p>
              </w:tc>
            </w:tr>
            <w:tr w14:paraId="7BD8A7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 w:hRule="atLeast"/>
              </w:trPr>
              <w:tc>
                <w:tcPr>
                  <w:tcW w:w="358" w:type="pct"/>
                  <w:vAlign w:val="center"/>
                </w:tcPr>
                <w:p w14:paraId="068A221C">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3</w:t>
                  </w:r>
                </w:p>
              </w:tc>
              <w:tc>
                <w:tcPr>
                  <w:tcW w:w="862" w:type="pct"/>
                  <w:vAlign w:val="center"/>
                </w:tcPr>
                <w:p w14:paraId="381856F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柴油发电机</w:t>
                  </w:r>
                </w:p>
              </w:tc>
              <w:tc>
                <w:tcPr>
                  <w:tcW w:w="3779" w:type="pct"/>
                  <w:gridSpan w:val="3"/>
                  <w:vAlign w:val="center"/>
                </w:tcPr>
                <w:p w14:paraId="241BAABA">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《非道路移动机械用柴油机排气污染物排放 限值及测量方法(中国第三、四阶段）》（GB 20891—2014）</w:t>
                  </w:r>
                </w:p>
              </w:tc>
            </w:tr>
          </w:tbl>
          <w:p w14:paraId="5E80B68D">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000000" w:themeColor="text1"/>
                <w:kern w:val="0"/>
                <w:sz w:val="24"/>
                <w:szCs w:val="24"/>
                <w:vertAlign w:val="baseline"/>
                <w:lang w:val="en-US" w:eastAsia="zh-CN" w:bidi="ar"/>
                <w14:textFill>
                  <w14:solidFill>
                    <w14:schemeClr w14:val="tx1"/>
                  </w14:solidFill>
                </w14:textFill>
              </w:rPr>
            </w:pPr>
            <w:r>
              <w:rPr>
                <w:rFonts w:hint="default" w:ascii="Times New Roman" w:hAnsi="Times New Roman" w:eastAsia="宋体" w:cs="Times New Roman"/>
                <w:b/>
                <w:bCs/>
                <w:color w:val="000000" w:themeColor="text1"/>
                <w:kern w:val="0"/>
                <w:sz w:val="24"/>
                <w:szCs w:val="24"/>
                <w:vertAlign w:val="baseline"/>
                <w:lang w:val="en-US" w:eastAsia="zh-CN" w:bidi="ar"/>
                <w14:textFill>
                  <w14:solidFill>
                    <w14:schemeClr w14:val="tx1"/>
                  </w14:solidFill>
                </w14:textFill>
              </w:rPr>
              <w:t>2.废水</w:t>
            </w:r>
          </w:p>
          <w:p w14:paraId="6F319D3E">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bCs/>
                <w:color w:val="000000" w:themeColor="text1"/>
                <w:kern w:val="0"/>
                <w:sz w:val="24"/>
                <w:szCs w:val="24"/>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4"/>
                <w:szCs w:val="24"/>
                <w:vertAlign w:val="baseline"/>
                <w:lang w:val="en-US" w:eastAsia="zh-CN" w:bidi="ar"/>
                <w14:textFill>
                  <w14:solidFill>
                    <w14:schemeClr w14:val="tx1"/>
                  </w14:solidFill>
                </w14:textFill>
              </w:rPr>
              <w:t>本项目无生产废水外排；无新增生活污水。</w:t>
            </w:r>
          </w:p>
          <w:p w14:paraId="1EBE9A27">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000000" w:themeColor="text1"/>
                <w:kern w:val="0"/>
                <w:sz w:val="24"/>
                <w:szCs w:val="24"/>
                <w:vertAlign w:val="baseline"/>
                <w:lang w:val="en-US" w:eastAsia="zh-CN" w:bidi="ar"/>
                <w14:textFill>
                  <w14:solidFill>
                    <w14:schemeClr w14:val="tx1"/>
                  </w14:solidFill>
                </w14:textFill>
              </w:rPr>
            </w:pPr>
            <w:r>
              <w:rPr>
                <w:rFonts w:hint="default" w:ascii="Times New Roman" w:hAnsi="Times New Roman" w:eastAsia="宋体" w:cs="Times New Roman"/>
                <w:b/>
                <w:bCs/>
                <w:color w:val="000000" w:themeColor="text1"/>
                <w:kern w:val="0"/>
                <w:sz w:val="24"/>
                <w:szCs w:val="24"/>
                <w:vertAlign w:val="baseline"/>
                <w:lang w:val="en-US" w:eastAsia="zh-CN" w:bidi="ar"/>
                <w14:textFill>
                  <w14:solidFill>
                    <w14:schemeClr w14:val="tx1"/>
                  </w14:solidFill>
                </w14:textFill>
              </w:rPr>
              <w:t>3.噪声</w:t>
            </w:r>
          </w:p>
          <w:p w14:paraId="6E94AFFD">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000000" w:themeColor="text1"/>
                <w:kern w:val="0"/>
                <w:sz w:val="24"/>
                <w:szCs w:val="24"/>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4"/>
                <w:szCs w:val="24"/>
                <w:vertAlign w:val="baseline"/>
                <w:lang w:val="en-US" w:eastAsia="zh-CN" w:bidi="ar"/>
                <w14:textFill>
                  <w14:solidFill>
                    <w14:schemeClr w14:val="tx1"/>
                  </w14:solidFill>
                </w14:textFill>
              </w:rPr>
              <w:t>依据</w:t>
            </w:r>
            <w:r>
              <w:rPr>
                <w:rFonts w:hint="default" w:ascii="Times New Roman" w:hAnsi="Times New Roman" w:eastAsia="宋体" w:cs="Times New Roman"/>
                <w:b w:val="0"/>
                <w:bCs w:val="0"/>
                <w:color w:val="000000" w:themeColor="text1"/>
                <w:kern w:val="0"/>
                <w:sz w:val="24"/>
                <w:szCs w:val="24"/>
                <w:u w:val="none"/>
                <w:vertAlign w:val="baseline"/>
                <w:lang w:val="en-US" w:eastAsia="zh-CN" w:bidi="ar"/>
                <w14:textFill>
                  <w14:solidFill>
                    <w14:schemeClr w14:val="tx1"/>
                  </w14:solidFill>
                </w14:textFill>
              </w:rPr>
              <w:t>《陕西九龙山旅游开发有限公司九龙山景区开发建设项目环境影响报告书》及其批复（宝市环函〔2016〕456号），九龙山景区庵里村综合服务区及附近庵里村声环境质量功能区为2类区，本项目气化站位于庵里村综合服务区现有停车场，因此本项目气化站及周边的声环境保护目标属于2类声环境功能区。同时通过现场踏勘，随着九龙山景区的不断发展，庵里村逐渐从单纯的居住环境变迁为旅游服务区，商业活动已成为主导功能。</w:t>
            </w:r>
          </w:p>
          <w:p w14:paraId="20CB835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bCs/>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bCs/>
                <w:color w:val="000000" w:themeColor="text1"/>
                <w:kern w:val="0"/>
                <w:sz w:val="21"/>
                <w:szCs w:val="21"/>
                <w:vertAlign w:val="baseline"/>
                <w:lang w:val="en-US" w:eastAsia="zh-CN" w:bidi="ar"/>
                <w14:textFill>
                  <w14:solidFill>
                    <w14:schemeClr w14:val="tx1"/>
                  </w14:solidFill>
                </w14:textFill>
              </w:rPr>
              <w:t>表3-5   噪声排放标准   单位：dB（A）</w:t>
            </w:r>
          </w:p>
          <w:tbl>
            <w:tblPr>
              <w:tblStyle w:val="17"/>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87"/>
              <w:gridCol w:w="1645"/>
              <w:gridCol w:w="1414"/>
              <w:gridCol w:w="3242"/>
            </w:tblGrid>
            <w:tr w14:paraId="16C215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1455" w:type="pct"/>
                  <w:vMerge w:val="restart"/>
                  <w:vAlign w:val="center"/>
                </w:tcPr>
                <w:p w14:paraId="2BEBDDC1">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bCs/>
                      <w:color w:val="000000" w:themeColor="text1"/>
                      <w:kern w:val="0"/>
                      <w:sz w:val="21"/>
                      <w:szCs w:val="21"/>
                      <w:lang w:val="en-US" w:eastAsia="zh-CN" w:bidi="ar"/>
                      <w14:textFill>
                        <w14:solidFill>
                          <w14:schemeClr w14:val="tx1"/>
                        </w14:solidFill>
                      </w14:textFill>
                    </w:rPr>
                    <w:t>厂界外声环境功能区类别</w:t>
                  </w:r>
                </w:p>
              </w:tc>
              <w:tc>
                <w:tcPr>
                  <w:tcW w:w="1720" w:type="pct"/>
                  <w:gridSpan w:val="2"/>
                  <w:vAlign w:val="center"/>
                </w:tcPr>
                <w:p w14:paraId="0EC7B5C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bCs/>
                      <w:color w:val="000000" w:themeColor="text1"/>
                      <w:kern w:val="0"/>
                      <w:sz w:val="21"/>
                      <w:szCs w:val="21"/>
                      <w:vertAlign w:val="baseline"/>
                      <w:lang w:val="en-US" w:eastAsia="zh-CN" w:bidi="ar"/>
                      <w14:textFill>
                        <w14:solidFill>
                          <w14:schemeClr w14:val="tx1"/>
                        </w14:solidFill>
                      </w14:textFill>
                    </w:rPr>
                    <w:t>限值</w:t>
                  </w:r>
                </w:p>
              </w:tc>
              <w:tc>
                <w:tcPr>
                  <w:tcW w:w="1823" w:type="pct"/>
                  <w:vMerge w:val="restart"/>
                  <w:vAlign w:val="center"/>
                </w:tcPr>
                <w:p w14:paraId="29177E4A">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bCs/>
                      <w:color w:val="000000" w:themeColor="text1"/>
                      <w:kern w:val="0"/>
                      <w:sz w:val="21"/>
                      <w:szCs w:val="21"/>
                      <w:vertAlign w:val="baseline"/>
                      <w:lang w:val="en-US" w:eastAsia="zh-CN" w:bidi="ar"/>
                      <w14:textFill>
                        <w14:solidFill>
                          <w14:schemeClr w14:val="tx1"/>
                        </w14:solidFill>
                      </w14:textFill>
                    </w:rPr>
                    <w:t>标准名称</w:t>
                  </w:r>
                </w:p>
              </w:tc>
            </w:tr>
            <w:tr w14:paraId="1C98CB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455" w:type="pct"/>
                  <w:vMerge w:val="continue"/>
                  <w:vAlign w:val="center"/>
                </w:tcPr>
                <w:p w14:paraId="7B588D4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p>
              </w:tc>
              <w:tc>
                <w:tcPr>
                  <w:tcW w:w="925" w:type="pct"/>
                  <w:vAlign w:val="center"/>
                </w:tcPr>
                <w:p w14:paraId="75CD905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bCs/>
                      <w:color w:val="000000" w:themeColor="text1"/>
                      <w:kern w:val="0"/>
                      <w:sz w:val="21"/>
                      <w:szCs w:val="21"/>
                      <w:vertAlign w:val="baseline"/>
                      <w:lang w:val="en-US" w:eastAsia="zh-CN" w:bidi="ar"/>
                      <w14:textFill>
                        <w14:solidFill>
                          <w14:schemeClr w14:val="tx1"/>
                        </w14:solidFill>
                      </w14:textFill>
                    </w:rPr>
                    <w:t>昼间</w:t>
                  </w:r>
                </w:p>
              </w:tc>
              <w:tc>
                <w:tcPr>
                  <w:tcW w:w="795" w:type="pct"/>
                  <w:vAlign w:val="center"/>
                </w:tcPr>
                <w:p w14:paraId="7B1F8801">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bCs/>
                      <w:color w:val="000000" w:themeColor="text1"/>
                      <w:kern w:val="0"/>
                      <w:sz w:val="21"/>
                      <w:szCs w:val="21"/>
                      <w:vertAlign w:val="baseline"/>
                      <w:lang w:val="en-US" w:eastAsia="zh-CN" w:bidi="ar"/>
                      <w14:textFill>
                        <w14:solidFill>
                          <w14:schemeClr w14:val="tx1"/>
                        </w14:solidFill>
                      </w14:textFill>
                    </w:rPr>
                    <w:t>夜间</w:t>
                  </w:r>
                </w:p>
              </w:tc>
              <w:tc>
                <w:tcPr>
                  <w:tcW w:w="1823" w:type="pct"/>
                  <w:vMerge w:val="continue"/>
                  <w:vAlign w:val="center"/>
                </w:tcPr>
                <w:p w14:paraId="2388020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000000" w:themeColor="text1"/>
                      <w:kern w:val="0"/>
                      <w:sz w:val="21"/>
                      <w:szCs w:val="21"/>
                      <w:vertAlign w:val="baseline"/>
                      <w:lang w:val="en-US" w:eastAsia="zh-CN" w:bidi="ar"/>
                      <w14:textFill>
                        <w14:solidFill>
                          <w14:schemeClr w14:val="tx1"/>
                        </w14:solidFill>
                      </w14:textFill>
                    </w:rPr>
                  </w:pPr>
                </w:p>
              </w:tc>
            </w:tr>
            <w:tr w14:paraId="1F1347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5" w:type="pct"/>
                  <w:vAlign w:val="center"/>
                </w:tcPr>
                <w:p w14:paraId="147C3311">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2类</w:t>
                  </w:r>
                </w:p>
              </w:tc>
              <w:tc>
                <w:tcPr>
                  <w:tcW w:w="925" w:type="pct"/>
                  <w:vAlign w:val="center"/>
                </w:tcPr>
                <w:p w14:paraId="751491B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60</w:t>
                  </w:r>
                </w:p>
              </w:tc>
              <w:tc>
                <w:tcPr>
                  <w:tcW w:w="795" w:type="pct"/>
                  <w:vAlign w:val="center"/>
                </w:tcPr>
                <w:p w14:paraId="3964001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50</w:t>
                  </w:r>
                </w:p>
              </w:tc>
              <w:tc>
                <w:tcPr>
                  <w:tcW w:w="1823" w:type="pct"/>
                  <w:vAlign w:val="center"/>
                </w:tcPr>
                <w:p w14:paraId="48C2400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《工业企业厂界环境噪声排放标准》（GB12348-2008）</w:t>
                  </w:r>
                </w:p>
              </w:tc>
            </w:tr>
          </w:tbl>
          <w:p w14:paraId="26F43142">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000000" w:themeColor="text1"/>
                <w:kern w:val="0"/>
                <w:sz w:val="24"/>
                <w:szCs w:val="24"/>
                <w:vertAlign w:val="baseline"/>
                <w:lang w:val="en-US" w:eastAsia="zh-CN" w:bidi="ar"/>
                <w14:textFill>
                  <w14:solidFill>
                    <w14:schemeClr w14:val="tx1"/>
                  </w14:solidFill>
                </w14:textFill>
              </w:rPr>
            </w:pPr>
            <w:r>
              <w:rPr>
                <w:rFonts w:hint="default" w:ascii="Times New Roman" w:hAnsi="Times New Roman" w:eastAsia="宋体" w:cs="Times New Roman"/>
                <w:b/>
                <w:bCs/>
                <w:color w:val="000000" w:themeColor="text1"/>
                <w:kern w:val="0"/>
                <w:sz w:val="24"/>
                <w:szCs w:val="24"/>
                <w:vertAlign w:val="baseline"/>
                <w:lang w:val="en-US" w:eastAsia="zh-CN" w:bidi="ar"/>
                <w14:textFill>
                  <w14:solidFill>
                    <w14:schemeClr w14:val="tx1"/>
                  </w14:solidFill>
                </w14:textFill>
              </w:rPr>
              <w:t>4.固废</w:t>
            </w:r>
          </w:p>
          <w:p w14:paraId="10F8025D">
            <w:pPr>
              <w:pStyle w:val="15"/>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textAlignment w:val="auto"/>
              <w:outlineLvl w:val="9"/>
              <w:rPr>
                <w:rFonts w:hint="default" w:ascii="Times New Roman" w:hAnsi="Times New Roman" w:eastAsia="宋体" w:cs="Times New Roman"/>
                <w:color w:val="000000" w:themeColor="text1"/>
                <w:kern w:val="0"/>
                <w:sz w:val="24"/>
                <w:szCs w:val="24"/>
                <w:vertAlign w:val="baseline"/>
                <w:lang w:val="en-US" w:eastAsia="zh-CN" w:bidi="ar"/>
                <w14:textFill>
                  <w14:solidFill>
                    <w14:schemeClr w14:val="tx1"/>
                  </w14:solidFill>
                </w14:textFill>
              </w:rPr>
            </w:pP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一般固废贮存过程应满足相应防渗漏、防雨淋、防扬尘等环境保护要求。</w:t>
            </w:r>
          </w:p>
        </w:tc>
      </w:tr>
      <w:tr w14:paraId="0CE4F83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22" w:type="pct"/>
            <w:tcBorders>
              <w:tl2br w:val="nil"/>
              <w:tr2bl w:val="nil"/>
            </w:tcBorders>
            <w:vAlign w:val="center"/>
          </w:tcPr>
          <w:p w14:paraId="721516D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000000" w:themeColor="text1"/>
                <w:sz w:val="24"/>
                <w:szCs w:val="24"/>
                <w14:textFill>
                  <w14:solidFill>
                    <w14:schemeClr w14:val="tx1"/>
                  </w14:solidFill>
                </w14:textFill>
              </w:rPr>
            </w:pPr>
            <w:r>
              <w:rPr>
                <w:rFonts w:hint="default" w:ascii="Times New Roman" w:hAnsi="Times New Roman" w:eastAsia="宋体" w:cs="Times New Roman"/>
                <w:b/>
                <w:bCs/>
                <w:color w:val="000000" w:themeColor="text1"/>
                <w:kern w:val="0"/>
                <w:sz w:val="24"/>
                <w:szCs w:val="24"/>
                <w:lang w:val="en-US" w:eastAsia="zh-CN" w:bidi="ar"/>
                <w14:textFill>
                  <w14:solidFill>
                    <w14:schemeClr w14:val="tx1"/>
                  </w14:solidFill>
                </w14:textFill>
              </w:rPr>
              <w:t>总量</w:t>
            </w:r>
          </w:p>
          <w:p w14:paraId="74EA13C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000000" w:themeColor="text1"/>
                <w:sz w:val="24"/>
                <w:szCs w:val="24"/>
                <w14:textFill>
                  <w14:solidFill>
                    <w14:schemeClr w14:val="tx1"/>
                  </w14:solidFill>
                </w14:textFill>
              </w:rPr>
            </w:pPr>
            <w:r>
              <w:rPr>
                <w:rFonts w:hint="default" w:ascii="Times New Roman" w:hAnsi="Times New Roman" w:eastAsia="宋体" w:cs="Times New Roman"/>
                <w:b/>
                <w:bCs/>
                <w:color w:val="000000" w:themeColor="text1"/>
                <w:kern w:val="0"/>
                <w:sz w:val="24"/>
                <w:szCs w:val="24"/>
                <w:lang w:val="en-US" w:eastAsia="zh-CN" w:bidi="ar"/>
                <w14:textFill>
                  <w14:solidFill>
                    <w14:schemeClr w14:val="tx1"/>
                  </w14:solidFill>
                </w14:textFill>
              </w:rPr>
              <w:t>控制</w:t>
            </w:r>
          </w:p>
          <w:p w14:paraId="3D69A47A">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000000" w:themeColor="text1"/>
                <w:kern w:val="0"/>
                <w:sz w:val="24"/>
                <w:szCs w:val="24"/>
                <w:vertAlign w:val="baseline"/>
                <w:lang w:val="en-US" w:eastAsia="zh-CN" w:bidi="ar"/>
                <w14:textFill>
                  <w14:solidFill>
                    <w14:schemeClr w14:val="tx1"/>
                  </w14:solidFill>
                </w14:textFill>
              </w:rPr>
            </w:pPr>
            <w:r>
              <w:rPr>
                <w:rFonts w:hint="default" w:ascii="Times New Roman" w:hAnsi="Times New Roman" w:eastAsia="宋体" w:cs="Times New Roman"/>
                <w:b/>
                <w:bCs/>
                <w:color w:val="000000" w:themeColor="text1"/>
                <w:kern w:val="0"/>
                <w:sz w:val="24"/>
                <w:szCs w:val="24"/>
                <w:lang w:val="en-US" w:eastAsia="zh-CN" w:bidi="ar"/>
                <w14:textFill>
                  <w14:solidFill>
                    <w14:schemeClr w14:val="tx1"/>
                  </w14:solidFill>
                </w14:textFill>
              </w:rPr>
              <w:t>指标</w:t>
            </w:r>
          </w:p>
        </w:tc>
        <w:tc>
          <w:tcPr>
            <w:tcW w:w="4577" w:type="pct"/>
            <w:tcBorders>
              <w:tl2br w:val="nil"/>
              <w:tr2bl w:val="nil"/>
            </w:tcBorders>
            <w:vAlign w:val="center"/>
          </w:tcPr>
          <w:p w14:paraId="0ADA5AC1">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themeColor="text1"/>
                <w:sz w:val="24"/>
                <w:szCs w:val="24"/>
                <w:lang w:val="en-US"/>
                <w14:textFill>
                  <w14:solidFill>
                    <w14:schemeClr w14:val="tx1"/>
                  </w14:solidFill>
                </w14:textFill>
              </w:rPr>
            </w:pPr>
            <w:r>
              <w:rPr>
                <w:rFonts w:hint="default" w:ascii="Times New Roman" w:hAnsi="Times New Roman" w:eastAsia="宋体" w:cs="Times New Roman"/>
                <w:color w:val="000000" w:themeColor="text1"/>
                <w:kern w:val="0"/>
                <w:sz w:val="24"/>
                <w:szCs w:val="24"/>
                <w:vertAlign w:val="baseline"/>
                <w:lang w:val="en-US" w:eastAsia="zh-CN" w:bidi="ar"/>
                <w14:textFill>
                  <w14:solidFill>
                    <w14:schemeClr w14:val="tx1"/>
                  </w14:solidFill>
                </w14:textFill>
              </w:rPr>
              <w:t>依据</w:t>
            </w:r>
            <w:r>
              <w:rPr>
                <w:rFonts w:hint="default" w:ascii="Times New Roman" w:hAnsi="Times New Roman" w:eastAsia="宋体" w:cs="Times New Roman"/>
                <w:b w:val="0"/>
                <w:bCs w:val="0"/>
                <w:color w:val="000000" w:themeColor="text1"/>
                <w:kern w:val="0"/>
                <w:sz w:val="24"/>
                <w:szCs w:val="24"/>
                <w:u w:val="none"/>
                <w:vertAlign w:val="baseline"/>
                <w:lang w:val="en-US" w:eastAsia="zh-CN" w:bidi="ar"/>
                <w14:textFill>
                  <w14:solidFill>
                    <w14:schemeClr w14:val="tx1"/>
                  </w14:solidFill>
                </w14:textFill>
              </w:rPr>
              <w:t>《陕西九龙山旅游开发有限公司九龙山景区集中供热项目环境影响报告表》及其批复（宝环陈函〔2019〕220号））、企业排污许可证，</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现有工程许可排放量为：氮氧化物</w:t>
            </w:r>
            <w:r>
              <w:rPr>
                <w:rFonts w:hint="default"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2.68t/a，二氧化硫1.29t/a。</w:t>
            </w:r>
          </w:p>
          <w:p w14:paraId="7619FBD7">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themeColor="text1"/>
                <w:kern w:val="0"/>
                <w:sz w:val="24"/>
                <w:szCs w:val="24"/>
                <w:vertAlign w:val="baseli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现有工程实际排放量为：氮氧化物</w:t>
            </w:r>
            <w:r>
              <w:rPr>
                <w:rFonts w:hint="default"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1.029t/a，二氧化硫0.2544t/a，</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在建项目排放量为：</w:t>
            </w:r>
            <w:r>
              <w:rPr>
                <w:rFonts w:hint="default"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二氧化硫0.014</w:t>
            </w:r>
            <w:r>
              <w:rPr>
                <w:rFonts w:hint="default" w:ascii="Times New Roman" w:hAnsi="Times New Roman" w:eastAsia="宋体" w:cs="Times New Roman"/>
                <w:color w:val="000000" w:themeColor="text1"/>
                <w:kern w:val="0"/>
                <w:sz w:val="24"/>
                <w:szCs w:val="24"/>
                <w:vertAlign w:val="baseline"/>
                <w:lang w:val="en-US" w:eastAsia="zh-CN" w:bidi="ar"/>
                <w14:textFill>
                  <w14:solidFill>
                    <w14:schemeClr w14:val="tx1"/>
                  </w14:solidFill>
                </w14:textFill>
              </w:rPr>
              <w:t>t/a、</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氮氧化物</w:t>
            </w:r>
            <w:r>
              <w:rPr>
                <w:rFonts w:hint="default"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0.681</w:t>
            </w:r>
            <w:r>
              <w:rPr>
                <w:rFonts w:hint="default" w:ascii="Times New Roman" w:hAnsi="Times New Roman" w:eastAsia="宋体" w:cs="Times New Roman"/>
                <w:color w:val="000000" w:themeColor="text1"/>
                <w:kern w:val="0"/>
                <w:sz w:val="24"/>
                <w:szCs w:val="24"/>
                <w:vertAlign w:val="baseline"/>
                <w:lang w:val="en-US" w:eastAsia="zh-CN" w:bidi="ar"/>
                <w14:textFill>
                  <w14:solidFill>
                    <w14:schemeClr w14:val="tx1"/>
                  </w14:solidFill>
                </w14:textFill>
              </w:rPr>
              <w:t>t/a，</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以新带老削减量为：</w:t>
            </w:r>
            <w:r>
              <w:rPr>
                <w:rFonts w:hint="default"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二氧化硫0.2544</w:t>
            </w:r>
            <w:r>
              <w:rPr>
                <w:rFonts w:hint="default" w:ascii="Times New Roman" w:hAnsi="Times New Roman" w:eastAsia="宋体" w:cs="Times New Roman"/>
                <w:color w:val="000000" w:themeColor="text1"/>
                <w:kern w:val="0"/>
                <w:sz w:val="24"/>
                <w:szCs w:val="24"/>
                <w:vertAlign w:val="baseline"/>
                <w:lang w:val="en-US" w:eastAsia="zh-CN" w:bidi="ar"/>
                <w14:textFill>
                  <w14:solidFill>
                    <w14:schemeClr w14:val="tx1"/>
                  </w14:solidFill>
                </w14:textFill>
              </w:rPr>
              <w:t>t/a、</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氮氧化物</w:t>
            </w:r>
            <w:r>
              <w:rPr>
                <w:rFonts w:hint="default"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1.029</w:t>
            </w:r>
            <w:r>
              <w:rPr>
                <w:rFonts w:hint="default" w:ascii="Times New Roman" w:hAnsi="Times New Roman" w:eastAsia="宋体" w:cs="Times New Roman"/>
                <w:color w:val="000000" w:themeColor="text1"/>
                <w:kern w:val="0"/>
                <w:sz w:val="24"/>
                <w:szCs w:val="24"/>
                <w:vertAlign w:val="baseline"/>
                <w:lang w:val="en-US" w:eastAsia="zh-CN" w:bidi="ar"/>
                <w14:textFill>
                  <w14:solidFill>
                    <w14:schemeClr w14:val="tx1"/>
                  </w14:solidFill>
                </w14:textFill>
              </w:rPr>
              <w:t>t/a。本项目</w:t>
            </w:r>
            <w:r>
              <w:rPr>
                <w:rFonts w:hint="default" w:ascii="Times New Roman" w:hAnsi="Times New Roman" w:eastAsia="宋体" w:cs="Times New Roman"/>
                <w:color w:val="000000" w:themeColor="text1"/>
                <w:sz w:val="24"/>
                <w:szCs w:val="24"/>
                <w:vertAlign w:val="baseline"/>
                <w:lang w:val="en-US" w:eastAsia="zh-CN"/>
                <w14:textFill>
                  <w14:solidFill>
                    <w14:schemeClr w14:val="tx1"/>
                  </w14:solidFill>
                </w14:textFill>
              </w:rPr>
              <w:t>正常运行工况下无废气排放，储罐系统超压（非正常工况）情况下放散排放少量非甲烷总烃（0.28kg/a），不纳入总量控制指标。</w:t>
            </w:r>
          </w:p>
          <w:p w14:paraId="4D7EE96B">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themeColor="text1"/>
                <w:kern w:val="0"/>
                <w:sz w:val="24"/>
                <w:szCs w:val="24"/>
                <w:vertAlign w:val="baseli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综上，本项目建成后全厂排放量为：</w:t>
            </w:r>
            <w:r>
              <w:rPr>
                <w:rFonts w:hint="default"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二氧化硫0.014</w:t>
            </w:r>
            <w:r>
              <w:rPr>
                <w:rFonts w:hint="default" w:ascii="Times New Roman" w:hAnsi="Times New Roman" w:eastAsia="宋体" w:cs="Times New Roman"/>
                <w:color w:val="000000" w:themeColor="text1"/>
                <w:kern w:val="0"/>
                <w:sz w:val="24"/>
                <w:szCs w:val="24"/>
                <w:vertAlign w:val="baseline"/>
                <w:lang w:val="en-US" w:eastAsia="zh-CN" w:bidi="ar"/>
                <w14:textFill>
                  <w14:solidFill>
                    <w14:schemeClr w14:val="tx1"/>
                  </w14:solidFill>
                </w14:textFill>
              </w:rPr>
              <w:t>t/a、</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氮氧化物</w:t>
            </w:r>
            <w:r>
              <w:rPr>
                <w:rFonts w:hint="default"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0.681</w:t>
            </w:r>
            <w:r>
              <w:rPr>
                <w:rFonts w:hint="default" w:ascii="Times New Roman" w:hAnsi="Times New Roman" w:eastAsia="宋体" w:cs="Times New Roman"/>
                <w:color w:val="000000" w:themeColor="text1"/>
                <w:kern w:val="0"/>
                <w:sz w:val="24"/>
                <w:szCs w:val="24"/>
                <w:vertAlign w:val="baseline"/>
                <w:lang w:val="en-US" w:eastAsia="zh-CN" w:bidi="ar"/>
                <w14:textFill>
                  <w14:solidFill>
                    <w14:schemeClr w14:val="tx1"/>
                  </w14:solidFill>
                </w14:textFill>
              </w:rPr>
              <w:t>t/a，全厂排放量小于现有工程许可排放量，无需申请总量指标。</w:t>
            </w:r>
          </w:p>
        </w:tc>
      </w:tr>
    </w:tbl>
    <w:p w14:paraId="08626FCC">
      <w:pPr>
        <w:rPr>
          <w:rFonts w:hint="default" w:ascii="Times New Roman" w:hAnsi="Times New Roman" w:eastAsia="宋体" w:cs="Times New Roman"/>
          <w:b/>
          <w:bCs/>
          <w:color w:val="000000" w:themeColor="text1"/>
          <w:kern w:val="0"/>
          <w:sz w:val="30"/>
          <w:szCs w:val="30"/>
          <w:lang w:val="en-US" w:eastAsia="zh-CN" w:bidi="ar"/>
          <w14:textFill>
            <w14:solidFill>
              <w14:schemeClr w14:val="tx1"/>
            </w14:solidFill>
          </w14:textFill>
        </w:rPr>
      </w:pPr>
      <w:r>
        <w:rPr>
          <w:rFonts w:hint="default" w:ascii="Times New Roman" w:hAnsi="Times New Roman" w:eastAsia="宋体" w:cs="Times New Roman"/>
          <w:b/>
          <w:bCs/>
          <w:color w:val="000000" w:themeColor="text1"/>
          <w:kern w:val="0"/>
          <w:sz w:val="30"/>
          <w:szCs w:val="30"/>
          <w:lang w:val="en-US" w:eastAsia="zh-CN" w:bidi="ar"/>
          <w14:textFill>
            <w14:solidFill>
              <w14:schemeClr w14:val="tx1"/>
            </w14:solidFill>
          </w14:textFill>
        </w:rPr>
        <w:br w:type="page"/>
      </w:r>
    </w:p>
    <w:p w14:paraId="647E9B06">
      <w:pPr>
        <w:keepNext w:val="0"/>
        <w:keepLines w:val="0"/>
        <w:widowControl/>
        <w:suppressLineNumbers w:val="0"/>
        <w:jc w:val="center"/>
        <w:rPr>
          <w:rFonts w:hint="default" w:ascii="Times New Roman" w:hAnsi="Times New Roman" w:eastAsia="宋体" w:cs="Times New Roman"/>
          <w:b/>
          <w:bCs/>
          <w:color w:val="000000" w:themeColor="text1"/>
          <w:vertAlign w:val="baseline"/>
          <w14:textFill>
            <w14:solidFill>
              <w14:schemeClr w14:val="tx1"/>
            </w14:solidFill>
          </w14:textFill>
        </w:rPr>
      </w:pPr>
      <w:r>
        <w:rPr>
          <w:rFonts w:hint="default" w:ascii="Times New Roman" w:hAnsi="Times New Roman" w:eastAsia="宋体" w:cs="Times New Roman"/>
          <w:b/>
          <w:bCs/>
          <w:color w:val="000000" w:themeColor="text1"/>
          <w:kern w:val="0"/>
          <w:sz w:val="30"/>
          <w:szCs w:val="30"/>
          <w:lang w:val="en-US" w:eastAsia="zh-CN" w:bidi="ar"/>
          <w14:textFill>
            <w14:solidFill>
              <w14:schemeClr w14:val="tx1"/>
            </w14:solidFill>
          </w14:textFill>
        </w:rPr>
        <w:t>四、主要环境影响和保护措施</w:t>
      </w:r>
    </w:p>
    <w:tbl>
      <w:tblPr>
        <w:tblStyle w:val="17"/>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829"/>
        <w:gridCol w:w="9133"/>
      </w:tblGrid>
      <w:tr w14:paraId="39485B4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16" w:type="pct"/>
            <w:tcBorders>
              <w:tl2br w:val="nil"/>
              <w:tr2bl w:val="nil"/>
            </w:tcBorders>
            <w:vAlign w:val="center"/>
          </w:tcPr>
          <w:p w14:paraId="130DE5E1">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000000" w:themeColor="text1"/>
                <w:sz w:val="24"/>
                <w:szCs w:val="24"/>
                <w14:textFill>
                  <w14:solidFill>
                    <w14:schemeClr w14:val="tx1"/>
                  </w14:solidFill>
                </w14:textFill>
              </w:rPr>
            </w:pPr>
            <w:r>
              <w:rPr>
                <w:rFonts w:hint="default" w:ascii="Times New Roman" w:hAnsi="Times New Roman" w:eastAsia="宋体" w:cs="Times New Roman"/>
                <w:b/>
                <w:bCs/>
                <w:color w:val="000000" w:themeColor="text1"/>
                <w:kern w:val="0"/>
                <w:sz w:val="24"/>
                <w:szCs w:val="24"/>
                <w:lang w:val="en-US" w:eastAsia="zh-CN" w:bidi="ar"/>
                <w14:textFill>
                  <w14:solidFill>
                    <w14:schemeClr w14:val="tx1"/>
                  </w14:solidFill>
                </w14:textFill>
              </w:rPr>
              <w:t>施工</w:t>
            </w:r>
          </w:p>
          <w:p w14:paraId="28FA7BC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000000" w:themeColor="text1"/>
                <w:sz w:val="24"/>
                <w:szCs w:val="24"/>
                <w14:textFill>
                  <w14:solidFill>
                    <w14:schemeClr w14:val="tx1"/>
                  </w14:solidFill>
                </w14:textFill>
              </w:rPr>
            </w:pPr>
            <w:r>
              <w:rPr>
                <w:rFonts w:hint="default" w:ascii="Times New Roman" w:hAnsi="Times New Roman" w:eastAsia="宋体" w:cs="Times New Roman"/>
                <w:b/>
                <w:bCs/>
                <w:color w:val="000000" w:themeColor="text1"/>
                <w:kern w:val="0"/>
                <w:sz w:val="24"/>
                <w:szCs w:val="24"/>
                <w:lang w:val="en-US" w:eastAsia="zh-CN" w:bidi="ar"/>
                <w14:textFill>
                  <w14:solidFill>
                    <w14:schemeClr w14:val="tx1"/>
                  </w14:solidFill>
                </w14:textFill>
              </w:rPr>
              <w:t>期环</w:t>
            </w:r>
          </w:p>
          <w:p w14:paraId="7FA3117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000000" w:themeColor="text1"/>
                <w:sz w:val="24"/>
                <w:szCs w:val="24"/>
                <w14:textFill>
                  <w14:solidFill>
                    <w14:schemeClr w14:val="tx1"/>
                  </w14:solidFill>
                </w14:textFill>
              </w:rPr>
            </w:pPr>
            <w:r>
              <w:rPr>
                <w:rFonts w:hint="default" w:ascii="Times New Roman" w:hAnsi="Times New Roman" w:eastAsia="宋体" w:cs="Times New Roman"/>
                <w:b/>
                <w:bCs/>
                <w:color w:val="000000" w:themeColor="text1"/>
                <w:kern w:val="0"/>
                <w:sz w:val="24"/>
                <w:szCs w:val="24"/>
                <w:lang w:val="en-US" w:eastAsia="zh-CN" w:bidi="ar"/>
                <w14:textFill>
                  <w14:solidFill>
                    <w14:schemeClr w14:val="tx1"/>
                  </w14:solidFill>
                </w14:textFill>
              </w:rPr>
              <w:t>境保</w:t>
            </w:r>
          </w:p>
          <w:p w14:paraId="2D09302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000000" w:themeColor="text1"/>
                <w:sz w:val="24"/>
                <w:szCs w:val="24"/>
                <w14:textFill>
                  <w14:solidFill>
                    <w14:schemeClr w14:val="tx1"/>
                  </w14:solidFill>
                </w14:textFill>
              </w:rPr>
            </w:pPr>
            <w:r>
              <w:rPr>
                <w:rFonts w:hint="default" w:ascii="Times New Roman" w:hAnsi="Times New Roman" w:eastAsia="宋体" w:cs="Times New Roman"/>
                <w:b/>
                <w:bCs/>
                <w:color w:val="000000" w:themeColor="text1"/>
                <w:kern w:val="0"/>
                <w:sz w:val="24"/>
                <w:szCs w:val="24"/>
                <w:lang w:val="en-US" w:eastAsia="zh-CN" w:bidi="ar"/>
                <w14:textFill>
                  <w14:solidFill>
                    <w14:schemeClr w14:val="tx1"/>
                  </w14:solidFill>
                </w14:textFill>
              </w:rPr>
              <w:t>护措</w:t>
            </w:r>
          </w:p>
          <w:p w14:paraId="4F6B06B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000000" w:themeColor="text1"/>
                <w:sz w:val="24"/>
                <w:szCs w:val="24"/>
                <w:vertAlign w:val="baseline"/>
                <w14:textFill>
                  <w14:solidFill>
                    <w14:schemeClr w14:val="tx1"/>
                  </w14:solidFill>
                </w14:textFill>
              </w:rPr>
            </w:pPr>
            <w:r>
              <w:rPr>
                <w:rFonts w:hint="default" w:ascii="Times New Roman" w:hAnsi="Times New Roman" w:eastAsia="宋体" w:cs="Times New Roman"/>
                <w:b/>
                <w:bCs/>
                <w:color w:val="000000" w:themeColor="text1"/>
                <w:kern w:val="0"/>
                <w:sz w:val="24"/>
                <w:szCs w:val="24"/>
                <w:lang w:val="en-US" w:eastAsia="zh-CN" w:bidi="ar"/>
                <w14:textFill>
                  <w14:solidFill>
                    <w14:schemeClr w14:val="tx1"/>
                  </w14:solidFill>
                </w14:textFill>
              </w:rPr>
              <w:t>施</w:t>
            </w:r>
          </w:p>
        </w:tc>
        <w:tc>
          <w:tcPr>
            <w:tcW w:w="4583" w:type="pct"/>
            <w:tcBorders>
              <w:tl2br w:val="nil"/>
              <w:tr2bl w:val="nil"/>
            </w:tcBorders>
            <w:vAlign w:val="center"/>
          </w:tcPr>
          <w:p w14:paraId="2FB04594">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000000" w:themeColor="text1"/>
                <w:kern w:val="0"/>
                <w:sz w:val="24"/>
                <w:szCs w:val="24"/>
                <w:u w:val="none"/>
                <w:lang w:val="en-US" w:eastAsia="zh-CN" w:bidi="ar"/>
                <w14:textFill>
                  <w14:solidFill>
                    <w14:schemeClr w14:val="tx1"/>
                  </w14:solidFill>
                </w14:textFill>
              </w:rPr>
            </w:pPr>
            <w:r>
              <w:rPr>
                <w:rFonts w:hint="default" w:ascii="Times New Roman" w:hAnsi="Times New Roman" w:eastAsia="宋体" w:cs="Times New Roman"/>
                <w:b/>
                <w:bCs/>
                <w:color w:val="000000" w:themeColor="text1"/>
                <w:kern w:val="0"/>
                <w:sz w:val="24"/>
                <w:szCs w:val="24"/>
                <w:u w:val="none"/>
                <w:lang w:val="en-US" w:eastAsia="zh-CN" w:bidi="ar"/>
                <w14:textFill>
                  <w14:solidFill>
                    <w14:schemeClr w14:val="tx1"/>
                  </w14:solidFill>
                </w14:textFill>
              </w:rPr>
              <w:t>1.施工扬尘</w:t>
            </w:r>
          </w:p>
          <w:p w14:paraId="3F005DA1">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000000" w:themeColor="text1"/>
                <w:kern w:val="0"/>
                <w:sz w:val="24"/>
                <w:szCs w:val="24"/>
                <w:u w:val="no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4"/>
                <w:szCs w:val="24"/>
                <w:u w:val="none"/>
                <w:lang w:val="en-US" w:eastAsia="zh-CN" w:bidi="ar"/>
                <w14:textFill>
                  <w14:solidFill>
                    <w14:schemeClr w14:val="tx1"/>
                  </w14:solidFill>
                </w14:textFill>
              </w:rPr>
              <w:t>（1）气化站施工场地做到工地周边围挡、物料裸土覆盖、土方开挖湿法作业、路面硬化、出入车辆清洗、渣土车辆密闭运输“六个百分百”。选择有利气象条件下进行易产生扬尘工序施工，对易产生扬尘的作业工序、地面等使用洒水车洒水降尘，设置工程概况公示牌，公示牌上必须公布扬尘投诉举报电话，举报电话应包括施工企业电话和主管部门电话。</w:t>
            </w:r>
          </w:p>
          <w:p w14:paraId="07D5978C">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000000" w:themeColor="text1"/>
                <w:kern w:val="0"/>
                <w:sz w:val="24"/>
                <w:szCs w:val="24"/>
                <w:u w:val="no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4"/>
                <w:szCs w:val="24"/>
                <w:u w:val="none"/>
                <w:lang w:val="en-US" w:eastAsia="zh-CN" w:bidi="ar"/>
                <w14:textFill>
                  <w14:solidFill>
                    <w14:schemeClr w14:val="tx1"/>
                  </w14:solidFill>
                </w14:textFill>
              </w:rPr>
              <w:t>（2）天然气管线开挖、临时堆土应采取洒水、苫盖等防尘措施，管道敷设完成后及时对土方进行回填。</w:t>
            </w:r>
          </w:p>
          <w:p w14:paraId="3BD7C328">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000000" w:themeColor="text1"/>
                <w:kern w:val="0"/>
                <w:sz w:val="24"/>
                <w:szCs w:val="24"/>
                <w:u w:val="no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4"/>
                <w:szCs w:val="24"/>
                <w:u w:val="none"/>
                <w:lang w:val="en-US" w:eastAsia="zh-CN" w:bidi="ar"/>
                <w14:textFill>
                  <w14:solidFill>
                    <w14:schemeClr w14:val="tx1"/>
                  </w14:solidFill>
                </w14:textFill>
              </w:rPr>
              <w:t>（3）严格按照宝鸡市有关控制扬尘污染等规定，强化施工期环境管理和监理，加强全员环保意识宣传和教育，制定合理的施工计划，坚决杜绝粗放式施工现象发生。</w:t>
            </w:r>
          </w:p>
          <w:p w14:paraId="0A111C27">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000000" w:themeColor="text1"/>
                <w:kern w:val="0"/>
                <w:sz w:val="24"/>
                <w:szCs w:val="24"/>
                <w:u w:val="none"/>
                <w:lang w:val="en-US" w:eastAsia="zh-CN" w:bidi="ar"/>
                <w14:textFill>
                  <w14:solidFill>
                    <w14:schemeClr w14:val="tx1"/>
                  </w14:solidFill>
                </w14:textFill>
              </w:rPr>
            </w:pPr>
            <w:r>
              <w:rPr>
                <w:rFonts w:hint="default" w:ascii="Times New Roman" w:hAnsi="Times New Roman" w:eastAsia="宋体" w:cs="Times New Roman"/>
                <w:b/>
                <w:bCs/>
                <w:color w:val="000000" w:themeColor="text1"/>
                <w:kern w:val="0"/>
                <w:sz w:val="24"/>
                <w:szCs w:val="24"/>
                <w:u w:val="none"/>
                <w:lang w:val="en-US" w:eastAsia="zh-CN" w:bidi="ar"/>
                <w14:textFill>
                  <w14:solidFill>
                    <w14:schemeClr w14:val="tx1"/>
                  </w14:solidFill>
                </w14:textFill>
              </w:rPr>
              <w:t>2.施工噪声</w:t>
            </w:r>
          </w:p>
          <w:p w14:paraId="007FA41B">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000000" w:themeColor="text1"/>
                <w:kern w:val="0"/>
                <w:sz w:val="24"/>
                <w:szCs w:val="24"/>
                <w:u w:val="no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4"/>
                <w:szCs w:val="24"/>
                <w:u w:val="none"/>
                <w:lang w:val="en-US" w:eastAsia="zh-CN" w:bidi="ar"/>
                <w14:textFill>
                  <w14:solidFill>
                    <w14:schemeClr w14:val="tx1"/>
                  </w14:solidFill>
                </w14:textFill>
              </w:rPr>
              <w:t>本项目气化站及天然气管线施工区域距离声环境保护目标较近，施工单位应采取以下噪声防治措施；</w:t>
            </w:r>
          </w:p>
          <w:p w14:paraId="74728F7B">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000000" w:themeColor="text1"/>
                <w:kern w:val="0"/>
                <w:sz w:val="24"/>
                <w:szCs w:val="24"/>
                <w:u w:val="no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4"/>
                <w:szCs w:val="24"/>
                <w:u w:val="none"/>
                <w:lang w:val="en-US" w:eastAsia="zh-CN" w:bidi="ar"/>
                <w14:textFill>
                  <w14:solidFill>
                    <w14:schemeClr w14:val="tx1"/>
                  </w14:solidFill>
                </w14:textFill>
              </w:rPr>
              <w:t>（1）合理安排施工时间，严禁夜间、午休时间进行高噪声设备施工作业。确因特殊需要连续作业的，必须有县级及以上人民政府或者其他有关主管部门的证明，且必须提前公告。</w:t>
            </w:r>
          </w:p>
          <w:p w14:paraId="3F793FE1">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000000" w:themeColor="text1"/>
                <w:kern w:val="0"/>
                <w:sz w:val="24"/>
                <w:szCs w:val="24"/>
                <w:u w:val="no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4"/>
                <w:szCs w:val="24"/>
                <w:u w:val="none"/>
                <w:lang w:val="en-US" w:eastAsia="zh-CN" w:bidi="ar"/>
                <w14:textFill>
                  <w14:solidFill>
                    <w14:schemeClr w14:val="tx1"/>
                  </w14:solidFill>
                </w14:textFill>
              </w:rPr>
              <w:t>（2）合理安排高噪声施工机械的工作频次，合理调配车辆来往行车密度。</w:t>
            </w:r>
          </w:p>
          <w:p w14:paraId="186A5412">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000000" w:themeColor="text1"/>
                <w:kern w:val="0"/>
                <w:sz w:val="24"/>
                <w:szCs w:val="24"/>
                <w:u w:val="no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4"/>
                <w:szCs w:val="24"/>
                <w:u w:val="none"/>
                <w:lang w:val="en-US" w:eastAsia="zh-CN" w:bidi="ar"/>
                <w14:textFill>
                  <w14:solidFill>
                    <w14:schemeClr w14:val="tx1"/>
                  </w14:solidFill>
                </w14:textFill>
              </w:rPr>
              <w:t>（3）施工前及时做好沟通工作，做到文明施工，规范物料车辆进出场地，减速行驶等。</w:t>
            </w:r>
          </w:p>
          <w:p w14:paraId="43BFE637">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000000" w:themeColor="text1"/>
                <w:kern w:val="0"/>
                <w:sz w:val="24"/>
                <w:szCs w:val="24"/>
                <w:u w:val="none"/>
                <w:lang w:val="en-US" w:eastAsia="zh-CN" w:bidi="ar"/>
                <w14:textFill>
                  <w14:solidFill>
                    <w14:schemeClr w14:val="tx1"/>
                  </w14:solidFill>
                </w14:textFill>
              </w:rPr>
            </w:pPr>
            <w:r>
              <w:rPr>
                <w:rFonts w:hint="default" w:ascii="Times New Roman" w:hAnsi="Times New Roman" w:eastAsia="宋体" w:cs="Times New Roman"/>
                <w:b/>
                <w:bCs/>
                <w:color w:val="000000" w:themeColor="text1"/>
                <w:kern w:val="0"/>
                <w:sz w:val="24"/>
                <w:szCs w:val="24"/>
                <w:u w:val="none"/>
                <w:lang w:val="en-US" w:eastAsia="zh-CN" w:bidi="ar"/>
                <w14:textFill>
                  <w14:solidFill>
                    <w14:schemeClr w14:val="tx1"/>
                  </w14:solidFill>
                </w14:textFill>
              </w:rPr>
              <w:t>3.固体废物</w:t>
            </w:r>
          </w:p>
          <w:p w14:paraId="70010D0B">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000000" w:themeColor="text1"/>
                <w:kern w:val="0"/>
                <w:sz w:val="24"/>
                <w:szCs w:val="24"/>
                <w:u w:val="none"/>
                <w:vertAlign w:val="baseli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（1）气化站拟</w:t>
            </w:r>
            <w:r>
              <w:rPr>
                <w:rFonts w:hint="default" w:ascii="Times New Roman" w:hAnsi="Times New Roman" w:eastAsia="宋体" w:cs="Times New Roman"/>
                <w:color w:val="000000" w:themeColor="text1"/>
                <w:kern w:val="0"/>
                <w:sz w:val="24"/>
                <w:szCs w:val="24"/>
                <w:vertAlign w:val="baseline"/>
                <w:lang w:val="en-US" w:eastAsia="zh-CN" w:bidi="ar"/>
                <w14:textFill>
                  <w14:solidFill>
                    <w14:schemeClr w14:val="tx1"/>
                  </w14:solidFill>
                </w14:textFill>
              </w:rPr>
              <w:t>利用</w:t>
            </w:r>
            <w:r>
              <w:rPr>
                <w:rFonts w:hint="default" w:ascii="Times New Roman" w:hAnsi="Times New Roman" w:eastAsia="宋体" w:cs="Times New Roman"/>
                <w:b w:val="0"/>
                <w:bCs w:val="0"/>
                <w:color w:val="000000" w:themeColor="text1"/>
                <w:kern w:val="0"/>
                <w:sz w:val="24"/>
                <w:szCs w:val="24"/>
                <w:vertAlign w:val="baseline"/>
                <w:lang w:val="en-US" w:eastAsia="zh-CN" w:bidi="ar"/>
                <w14:textFill>
                  <w14:solidFill>
                    <w14:schemeClr w14:val="tx1"/>
                  </w14:solidFill>
                </w14:textFill>
              </w:rPr>
              <w:t>九龙山景区</w:t>
            </w:r>
            <w:r>
              <w:rPr>
                <w:rFonts w:hint="default" w:ascii="Times New Roman" w:hAnsi="Times New Roman" w:eastAsia="宋体" w:cs="Times New Roman"/>
                <w:b w:val="0"/>
                <w:bCs w:val="0"/>
                <w:color w:val="000000" w:themeColor="text1"/>
                <w:kern w:val="0"/>
                <w:sz w:val="24"/>
                <w:szCs w:val="24"/>
                <w:u w:val="none"/>
                <w:vertAlign w:val="baseline"/>
                <w:lang w:val="en-US" w:eastAsia="zh-CN" w:bidi="ar"/>
                <w14:textFill>
                  <w14:solidFill>
                    <w14:schemeClr w14:val="tx1"/>
                  </w14:solidFill>
                </w14:textFill>
              </w:rPr>
              <w:t>庵里村综合服务区现有停车场用地进行建设，通过现场踏勘，项目用地地形平坦，现状为硬化地面，无需土地平整和土方开挖，设施基础施工产生的土方全部回填，无弃方产生。天然气管线路面段采取地埋敷设，管沟开挖产生的土方临时堆放于管沟两侧，管道敷设完成后分层回填，无弃方产生。</w:t>
            </w:r>
          </w:p>
          <w:p w14:paraId="53857913">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（2）施工产生的建筑垃圾收集后堆放于指定地点，其中可再生利用的部分综合利用，不可综合利用的部分运送至相关部门指定地点处置，严禁随意丢弃。</w:t>
            </w:r>
          </w:p>
          <w:p w14:paraId="008CC68E">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（3）施工区设垃圾桶，生活垃圾定期统一收集后纳入当地垃圾清运系统。</w:t>
            </w:r>
          </w:p>
          <w:p w14:paraId="52BCA7D4">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000000" w:themeColor="text1"/>
                <w:kern w:val="0"/>
                <w:sz w:val="24"/>
                <w:szCs w:val="24"/>
                <w:u w:val="none"/>
                <w:lang w:val="en-US" w:eastAsia="zh-CN" w:bidi="ar"/>
                <w14:textFill>
                  <w14:solidFill>
                    <w14:schemeClr w14:val="tx1"/>
                  </w14:solidFill>
                </w14:textFill>
              </w:rPr>
            </w:pPr>
            <w:r>
              <w:rPr>
                <w:rFonts w:hint="default" w:ascii="Times New Roman" w:hAnsi="Times New Roman" w:eastAsia="宋体" w:cs="Times New Roman"/>
                <w:b/>
                <w:bCs/>
                <w:color w:val="000000" w:themeColor="text1"/>
                <w:kern w:val="0"/>
                <w:sz w:val="24"/>
                <w:szCs w:val="24"/>
                <w:u w:val="none"/>
                <w:lang w:val="en-US" w:eastAsia="zh-CN" w:bidi="ar"/>
                <w14:textFill>
                  <w14:solidFill>
                    <w14:schemeClr w14:val="tx1"/>
                  </w14:solidFill>
                </w14:textFill>
              </w:rPr>
              <w:t>4.施工废水</w:t>
            </w:r>
          </w:p>
          <w:p w14:paraId="5E472BEC">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000000" w:themeColor="text1"/>
                <w:kern w:val="0"/>
                <w:sz w:val="24"/>
                <w:szCs w:val="24"/>
                <w:u w:val="no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4"/>
                <w:szCs w:val="24"/>
                <w:u w:val="none"/>
                <w:lang w:val="en-US" w:eastAsia="zh-CN" w:bidi="ar"/>
                <w14:textFill>
                  <w14:solidFill>
                    <w14:schemeClr w14:val="tx1"/>
                  </w14:solidFill>
                </w14:textFill>
              </w:rPr>
              <w:t>（1）气化站施工废水经简易沉淀池收集后，用于施工区域洒水降尘。</w:t>
            </w:r>
          </w:p>
          <w:p w14:paraId="16A94CFB">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000000" w:themeColor="text1"/>
                <w:kern w:val="0"/>
                <w:sz w:val="24"/>
                <w:szCs w:val="24"/>
                <w:u w:val="no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4"/>
                <w:szCs w:val="24"/>
                <w:u w:val="none"/>
                <w:lang w:val="en-US" w:eastAsia="zh-CN" w:bidi="ar"/>
                <w14:textFill>
                  <w14:solidFill>
                    <w14:schemeClr w14:val="tx1"/>
                  </w14:solidFill>
                </w14:textFill>
              </w:rPr>
              <w:t>（2）施工人员产生的生活污水依托景区公共化粪池处理。</w:t>
            </w:r>
          </w:p>
          <w:p w14:paraId="09D072B7">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000000" w:themeColor="text1"/>
                <w:kern w:val="0"/>
                <w:sz w:val="24"/>
                <w:szCs w:val="24"/>
                <w:u w:val="none"/>
                <w:lang w:val="en-US" w:eastAsia="zh-CN" w:bidi="ar"/>
                <w14:textFill>
                  <w14:solidFill>
                    <w14:schemeClr w14:val="tx1"/>
                  </w14:solidFill>
                </w14:textFill>
              </w:rPr>
            </w:pPr>
            <w:r>
              <w:rPr>
                <w:rFonts w:hint="default" w:ascii="Times New Roman" w:hAnsi="Times New Roman" w:eastAsia="宋体" w:cs="Times New Roman"/>
                <w:b/>
                <w:bCs/>
                <w:color w:val="000000" w:themeColor="text1"/>
                <w:kern w:val="0"/>
                <w:sz w:val="24"/>
                <w:szCs w:val="24"/>
                <w:u w:val="none"/>
                <w:lang w:val="en-US" w:eastAsia="zh-CN" w:bidi="ar"/>
                <w14:textFill>
                  <w14:solidFill>
                    <w14:schemeClr w14:val="tx1"/>
                  </w14:solidFill>
                </w14:textFill>
              </w:rPr>
              <w:t>5.生态环境</w:t>
            </w:r>
          </w:p>
          <w:p w14:paraId="661DE143">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000000" w:themeColor="text1"/>
                <w:kern w:val="0"/>
                <w:sz w:val="24"/>
                <w:szCs w:val="24"/>
                <w:u w:val="no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4"/>
                <w:szCs w:val="24"/>
                <w:u w:val="none"/>
                <w:lang w:val="en-US" w:eastAsia="zh-CN" w:bidi="ar"/>
                <w14:textFill>
                  <w14:solidFill>
                    <w14:schemeClr w14:val="tx1"/>
                  </w14:solidFill>
                </w14:textFill>
              </w:rPr>
              <w:t>本项目气化站利用景区现有停车场用地进行建设，天然气管线沿景区人行道边缘敷设，施工营地位于气化站施工场地内，施工生活区依托周边民房，施工道路依托周边现有道路，无施工临时占地。通过现场勘查，气化站用地现状为停车场，地面为水泥硬化地面，无植被覆盖；天然管线占地为人行道边缘，主要为绿化带。项目区周围为景区综合服务区，人类活动密集，无重点保护野生动植物。</w:t>
            </w:r>
          </w:p>
          <w:p w14:paraId="5CB40AE2">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000000" w:themeColor="text1"/>
                <w:kern w:val="0"/>
                <w:sz w:val="24"/>
                <w:szCs w:val="24"/>
                <w:u w:val="no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4"/>
                <w:szCs w:val="24"/>
                <w:u w:val="none"/>
                <w:lang w:val="en-US" w:eastAsia="zh-CN" w:bidi="ar"/>
                <w14:textFill>
                  <w14:solidFill>
                    <w14:schemeClr w14:val="tx1"/>
                  </w14:solidFill>
                </w14:textFill>
              </w:rPr>
              <w:t>主要生态保护措施如下：</w:t>
            </w:r>
          </w:p>
          <w:p w14:paraId="7131F2CB">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000000" w:themeColor="text1"/>
                <w:kern w:val="0"/>
                <w:sz w:val="24"/>
                <w:szCs w:val="24"/>
                <w:u w:val="no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4"/>
                <w:szCs w:val="24"/>
                <w:u w:val="none"/>
                <w:lang w:val="en-US" w:eastAsia="zh-CN" w:bidi="ar"/>
                <w14:textFill>
                  <w14:solidFill>
                    <w14:schemeClr w14:val="tx1"/>
                  </w14:solidFill>
                </w14:textFill>
              </w:rPr>
              <w:t>（1）气化站和天然气管线施工过程中严格落实水土保持措施。在施工临时堆料场周边设置临时拦挡措施；需要排水的地方，采取临时排水措施；</w:t>
            </w:r>
          </w:p>
          <w:p w14:paraId="03249126">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themeColor="text1"/>
                <w:sz w:val="24"/>
                <w:szCs w:val="24"/>
                <w:vertAlign w:val="baseline"/>
                <w:lang w:val="en-US"/>
                <w14:textFill>
                  <w14:solidFill>
                    <w14:schemeClr w14:val="tx1"/>
                  </w14:solidFill>
                </w14:textFill>
              </w:rPr>
            </w:pPr>
            <w:r>
              <w:rPr>
                <w:rFonts w:hint="default" w:ascii="Times New Roman" w:hAnsi="Times New Roman" w:eastAsia="宋体" w:cs="Times New Roman"/>
                <w:b w:val="0"/>
                <w:bCs w:val="0"/>
                <w:color w:val="000000" w:themeColor="text1"/>
                <w:kern w:val="0"/>
                <w:sz w:val="24"/>
                <w:szCs w:val="24"/>
                <w:u w:val="none"/>
                <w:lang w:val="en-US" w:eastAsia="zh-CN" w:bidi="ar"/>
                <w14:textFill>
                  <w14:solidFill>
                    <w14:schemeClr w14:val="tx1"/>
                  </w14:solidFill>
                </w14:textFill>
              </w:rPr>
              <w:t>（2）天然气管线敷设完成后，对管沟施工区域进行原状恢复，种植绿化植被。</w:t>
            </w:r>
          </w:p>
        </w:tc>
      </w:tr>
      <w:tr w14:paraId="78BA4F1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414" w:hRule="atLeast"/>
        </w:trPr>
        <w:tc>
          <w:tcPr>
            <w:tcW w:w="416" w:type="pct"/>
            <w:tcBorders>
              <w:tl2br w:val="nil"/>
              <w:tr2bl w:val="nil"/>
            </w:tcBorders>
            <w:vAlign w:val="center"/>
          </w:tcPr>
          <w:p w14:paraId="211786E1">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000000" w:themeColor="text1"/>
                <w:sz w:val="24"/>
                <w:szCs w:val="24"/>
                <w14:textFill>
                  <w14:solidFill>
                    <w14:schemeClr w14:val="tx1"/>
                  </w14:solidFill>
                </w14:textFill>
              </w:rPr>
            </w:pPr>
            <w:r>
              <w:rPr>
                <w:rFonts w:hint="default" w:ascii="Times New Roman" w:hAnsi="Times New Roman" w:eastAsia="宋体" w:cs="Times New Roman"/>
                <w:b/>
                <w:bCs/>
                <w:color w:val="000000" w:themeColor="text1"/>
                <w:kern w:val="0"/>
                <w:sz w:val="24"/>
                <w:szCs w:val="24"/>
                <w:lang w:val="en-US" w:eastAsia="zh-CN" w:bidi="ar"/>
                <w14:textFill>
                  <w14:solidFill>
                    <w14:schemeClr w14:val="tx1"/>
                  </w14:solidFill>
                </w14:textFill>
              </w:rPr>
              <w:t>运营</w:t>
            </w:r>
          </w:p>
          <w:p w14:paraId="46C0DCDA">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000000" w:themeColor="text1"/>
                <w:sz w:val="24"/>
                <w:szCs w:val="24"/>
                <w14:textFill>
                  <w14:solidFill>
                    <w14:schemeClr w14:val="tx1"/>
                  </w14:solidFill>
                </w14:textFill>
              </w:rPr>
            </w:pPr>
            <w:r>
              <w:rPr>
                <w:rFonts w:hint="default" w:ascii="Times New Roman" w:hAnsi="Times New Roman" w:eastAsia="宋体" w:cs="Times New Roman"/>
                <w:b/>
                <w:bCs/>
                <w:color w:val="000000" w:themeColor="text1"/>
                <w:kern w:val="0"/>
                <w:sz w:val="24"/>
                <w:szCs w:val="24"/>
                <w:lang w:val="en-US" w:eastAsia="zh-CN" w:bidi="ar"/>
                <w14:textFill>
                  <w14:solidFill>
                    <w14:schemeClr w14:val="tx1"/>
                  </w14:solidFill>
                </w14:textFill>
              </w:rPr>
              <w:t>期环</w:t>
            </w:r>
          </w:p>
          <w:p w14:paraId="1C8968A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000000" w:themeColor="text1"/>
                <w:sz w:val="24"/>
                <w:szCs w:val="24"/>
                <w14:textFill>
                  <w14:solidFill>
                    <w14:schemeClr w14:val="tx1"/>
                  </w14:solidFill>
                </w14:textFill>
              </w:rPr>
            </w:pPr>
            <w:r>
              <w:rPr>
                <w:rFonts w:hint="default" w:ascii="Times New Roman" w:hAnsi="Times New Roman" w:eastAsia="宋体" w:cs="Times New Roman"/>
                <w:b/>
                <w:bCs/>
                <w:color w:val="000000" w:themeColor="text1"/>
                <w:kern w:val="0"/>
                <w:sz w:val="24"/>
                <w:szCs w:val="24"/>
                <w:lang w:val="en-US" w:eastAsia="zh-CN" w:bidi="ar"/>
                <w14:textFill>
                  <w14:solidFill>
                    <w14:schemeClr w14:val="tx1"/>
                  </w14:solidFill>
                </w14:textFill>
              </w:rPr>
              <w:t>境影</w:t>
            </w:r>
          </w:p>
          <w:p w14:paraId="20BB71E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000000" w:themeColor="text1"/>
                <w:sz w:val="24"/>
                <w:szCs w:val="24"/>
                <w14:textFill>
                  <w14:solidFill>
                    <w14:schemeClr w14:val="tx1"/>
                  </w14:solidFill>
                </w14:textFill>
              </w:rPr>
            </w:pPr>
            <w:r>
              <w:rPr>
                <w:rFonts w:hint="default" w:ascii="Times New Roman" w:hAnsi="Times New Roman" w:eastAsia="宋体" w:cs="Times New Roman"/>
                <w:b/>
                <w:bCs/>
                <w:color w:val="000000" w:themeColor="text1"/>
                <w:kern w:val="0"/>
                <w:sz w:val="24"/>
                <w:szCs w:val="24"/>
                <w:lang w:val="en-US" w:eastAsia="zh-CN" w:bidi="ar"/>
                <w14:textFill>
                  <w14:solidFill>
                    <w14:schemeClr w14:val="tx1"/>
                  </w14:solidFill>
                </w14:textFill>
              </w:rPr>
              <w:t>响和</w:t>
            </w:r>
          </w:p>
          <w:p w14:paraId="3463308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000000" w:themeColor="text1"/>
                <w:sz w:val="24"/>
                <w:szCs w:val="24"/>
                <w14:textFill>
                  <w14:solidFill>
                    <w14:schemeClr w14:val="tx1"/>
                  </w14:solidFill>
                </w14:textFill>
              </w:rPr>
            </w:pPr>
            <w:r>
              <w:rPr>
                <w:rFonts w:hint="default" w:ascii="Times New Roman" w:hAnsi="Times New Roman" w:eastAsia="宋体" w:cs="Times New Roman"/>
                <w:b/>
                <w:bCs/>
                <w:color w:val="000000" w:themeColor="text1"/>
                <w:kern w:val="0"/>
                <w:sz w:val="24"/>
                <w:szCs w:val="24"/>
                <w:lang w:val="en-US" w:eastAsia="zh-CN" w:bidi="ar"/>
                <w14:textFill>
                  <w14:solidFill>
                    <w14:schemeClr w14:val="tx1"/>
                  </w14:solidFill>
                </w14:textFill>
              </w:rPr>
              <w:t>保护</w:t>
            </w:r>
          </w:p>
          <w:p w14:paraId="3BCF13B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000000" w:themeColor="text1"/>
                <w:sz w:val="24"/>
                <w:szCs w:val="24"/>
                <w:vertAlign w:val="baseline"/>
                <w14:textFill>
                  <w14:solidFill>
                    <w14:schemeClr w14:val="tx1"/>
                  </w14:solidFill>
                </w14:textFill>
              </w:rPr>
            </w:pPr>
            <w:r>
              <w:rPr>
                <w:rFonts w:hint="default" w:ascii="Times New Roman" w:hAnsi="Times New Roman" w:eastAsia="宋体" w:cs="Times New Roman"/>
                <w:b/>
                <w:bCs/>
                <w:color w:val="000000" w:themeColor="text1"/>
                <w:kern w:val="0"/>
                <w:sz w:val="24"/>
                <w:szCs w:val="24"/>
                <w:lang w:val="en-US" w:eastAsia="zh-CN" w:bidi="ar"/>
                <w14:textFill>
                  <w14:solidFill>
                    <w14:schemeClr w14:val="tx1"/>
                  </w14:solidFill>
                </w14:textFill>
              </w:rPr>
              <w:t>措施</w:t>
            </w:r>
          </w:p>
        </w:tc>
        <w:tc>
          <w:tcPr>
            <w:tcW w:w="4583" w:type="pct"/>
            <w:tcBorders>
              <w:tl2br w:val="nil"/>
              <w:tr2bl w:val="nil"/>
            </w:tcBorders>
            <w:vAlign w:val="center"/>
          </w:tcPr>
          <w:p w14:paraId="1F9C6A2B">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000000" w:themeColor="text1"/>
                <w:kern w:val="0"/>
                <w:sz w:val="24"/>
                <w:szCs w:val="24"/>
                <w:lang w:val="en-US" w:eastAsia="zh-CN" w:bidi="ar"/>
                <w14:textFill>
                  <w14:solidFill>
                    <w14:schemeClr w14:val="tx1"/>
                  </w14:solidFill>
                </w14:textFill>
              </w:rPr>
            </w:pPr>
            <w:r>
              <w:rPr>
                <w:rFonts w:hint="default" w:ascii="Times New Roman" w:hAnsi="Times New Roman" w:eastAsia="宋体" w:cs="Times New Roman"/>
                <w:b/>
                <w:bCs/>
                <w:color w:val="000000" w:themeColor="text1"/>
                <w:sz w:val="24"/>
                <w:szCs w:val="24"/>
                <w:vertAlign w:val="baseline"/>
                <w:lang w:val="en-US" w:eastAsia="zh-CN"/>
                <w14:textFill>
                  <w14:solidFill>
                    <w14:schemeClr w14:val="tx1"/>
                  </w14:solidFill>
                </w14:textFill>
              </w:rPr>
              <w:t>1.废气</w:t>
            </w:r>
          </w:p>
          <w:p w14:paraId="26113A1C">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000000" w:themeColor="text1"/>
                <w:kern w:val="0"/>
                <w:sz w:val="24"/>
                <w:szCs w:val="24"/>
                <w:lang w:val="en-US" w:eastAsia="zh-CN" w:bidi="ar"/>
                <w14:textFill>
                  <w14:solidFill>
                    <w14:schemeClr w14:val="tx1"/>
                  </w14:solidFill>
                </w14:textFill>
              </w:rPr>
            </w:pPr>
            <w:r>
              <w:rPr>
                <w:rFonts w:hint="default" w:ascii="Times New Roman" w:hAnsi="Times New Roman" w:eastAsia="宋体" w:cs="Times New Roman"/>
                <w:b/>
                <w:bCs/>
                <w:color w:val="000000" w:themeColor="text1"/>
                <w:kern w:val="0"/>
                <w:sz w:val="24"/>
                <w:szCs w:val="24"/>
                <w:lang w:val="en-US" w:eastAsia="zh-CN" w:bidi="ar"/>
                <w14:textFill>
                  <w14:solidFill>
                    <w14:schemeClr w14:val="tx1"/>
                  </w14:solidFill>
                </w14:textFill>
              </w:rPr>
              <w:t>（1）污染物产生情况</w:t>
            </w:r>
          </w:p>
          <w:p w14:paraId="64BDCACA">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vertAlign w:val="baseline"/>
                <w:lang w:val="en-US" w:eastAsia="zh-CN"/>
                <w14:textFill>
                  <w14:solidFill>
                    <w14:schemeClr w14:val="tx1"/>
                  </w14:solidFill>
                </w14:textFill>
              </w:rPr>
              <w:t>本项目工程内容为LNG气化站和天然气管线，外购LNG在站内</w:t>
            </w:r>
            <w:r>
              <w:rPr>
                <w:rFonts w:hint="default" w:ascii="Times New Roman" w:hAnsi="Times New Roman" w:eastAsia="宋体" w:cs="Times New Roman"/>
                <w:b w:val="0"/>
                <w:bCs w:val="0"/>
                <w:color w:val="000000" w:themeColor="text1"/>
                <w:kern w:val="0"/>
                <w:sz w:val="24"/>
                <w:szCs w:val="24"/>
                <w:vertAlign w:val="baseline"/>
                <w:lang w:val="en-US" w:eastAsia="zh-CN" w:bidi="ar"/>
                <w14:textFill>
                  <w14:solidFill>
                    <w14:schemeClr w14:val="tx1"/>
                  </w14:solidFill>
                </w14:textFill>
              </w:rPr>
              <w:t>进行卸气、储存、气化、调压、计量和加臭，最终通过天然气管网输送至在建锅炉房外调压柜，为锅炉提供气源。气化站无LNG净化工艺，LNG采用低压密闭储罐储存和低压密闭管道输送，储罐和站内管道系统由于外界的热量引入以及在容器进出料过程中压力变化时的闪蒸等原因，引起液化天然气气化产生蒸发气（BOG），产生的BOG经</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自动控制的超压排放系统排放至BOG加热器气化，气体升温后进入调压配气区，最终输送至天然气管道；</w:t>
            </w:r>
            <w:r>
              <w:rPr>
                <w:rFonts w:hint="default" w:ascii="Times New Roman" w:hAnsi="Times New Roman" w:eastAsia="宋体" w:cs="Times New Roman"/>
                <w:b w:val="0"/>
                <w:bCs w:val="0"/>
                <w:color w:val="000000" w:themeColor="text1"/>
                <w:kern w:val="0"/>
                <w:sz w:val="24"/>
                <w:szCs w:val="24"/>
                <w:vertAlign w:val="baseline"/>
                <w:lang w:val="en-US" w:eastAsia="zh-CN" w:bidi="ar"/>
                <w14:textFill>
                  <w14:solidFill>
                    <w14:schemeClr w14:val="tx1"/>
                  </w14:solidFill>
                </w14:textFill>
              </w:rPr>
              <w:t>四氢噻吩</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整个添加过程均在密闭的环境下进行。</w:t>
            </w:r>
          </w:p>
          <w:p w14:paraId="4FD0CE03">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themeColor="text1"/>
                <w:sz w:val="24"/>
                <w:szCs w:val="24"/>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vertAlign w:val="baseline"/>
                <w:lang w:val="en-US" w:eastAsia="zh-CN"/>
                <w14:textFill>
                  <w14:solidFill>
                    <w14:schemeClr w14:val="tx1"/>
                  </w14:solidFill>
                </w14:textFill>
              </w:rPr>
              <w:t>由气化站运行工艺可知，正常运行工况下，天然气不会发生泄漏和放散，只有在储罐系统超压（非正常工况）情况下，BOG经EAG加热后经1根10m高集中放散管排放。</w:t>
            </w:r>
          </w:p>
          <w:p w14:paraId="6A2A9C68">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themeColor="text1"/>
                <w:sz w:val="24"/>
                <w:szCs w:val="24"/>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vertAlign w:val="baseline"/>
                <w:lang w:val="en-US" w:eastAsia="zh-CN"/>
                <w14:textFill>
                  <w14:solidFill>
                    <w14:schemeClr w14:val="tx1"/>
                  </w14:solidFill>
                </w14:textFill>
              </w:rPr>
              <w:t>LNG主要成分为甲烷，含量约</w:t>
            </w:r>
            <w:r>
              <w:rPr>
                <w:rFonts w:hint="default" w:ascii="Times New Roman" w:hAnsi="Times New Roman" w:eastAsia="宋体" w:cs="Times New Roman"/>
                <w:b w:val="0"/>
                <w:bCs w:val="0"/>
                <w:color w:val="000000" w:themeColor="text1"/>
                <w:kern w:val="0"/>
                <w:sz w:val="24"/>
                <w:szCs w:val="24"/>
                <w:vertAlign w:val="baseline"/>
                <w:lang w:val="en-US" w:eastAsia="zh-CN" w:bidi="ar"/>
                <w14:textFill>
                  <w14:solidFill>
                    <w14:schemeClr w14:val="tx1"/>
                  </w14:solidFill>
                </w14:textFill>
              </w:rPr>
              <w:t>98.1307%，</w:t>
            </w:r>
            <w:r>
              <w:rPr>
                <w:rFonts w:hint="default" w:ascii="Times New Roman" w:hAnsi="Times New Roman" w:eastAsia="宋体" w:cs="Times New Roman"/>
                <w:color w:val="000000" w:themeColor="text1"/>
                <w:sz w:val="24"/>
                <w:szCs w:val="24"/>
                <w:vertAlign w:val="baseline"/>
                <w:lang w:val="en-US" w:eastAsia="zh-CN"/>
                <w14:textFill>
                  <w14:solidFill>
                    <w14:schemeClr w14:val="tx1"/>
                  </w14:solidFill>
                </w14:textFill>
              </w:rPr>
              <w:t>含有少量的其他烷烃（</w:t>
            </w:r>
            <w:r>
              <w:rPr>
                <w:rFonts w:hint="default" w:ascii="Times New Roman" w:hAnsi="Times New Roman" w:eastAsia="宋体" w:cs="Times New Roman"/>
                <w:b w:val="0"/>
                <w:bCs w:val="0"/>
                <w:color w:val="000000" w:themeColor="text1"/>
                <w:kern w:val="0"/>
                <w:sz w:val="24"/>
                <w:szCs w:val="24"/>
                <w:vertAlign w:val="baseline"/>
                <w:lang w:val="en-US" w:eastAsia="zh-CN" w:bidi="ar"/>
                <w14:textFill>
                  <w14:solidFill>
                    <w14:schemeClr w14:val="tx1"/>
                  </w14:solidFill>
                </w14:textFill>
              </w:rPr>
              <w:t>乙烷、丙烷、异丁烷、正丁烷、异戊烷、正戊烷以及C6以上组分），含量约1.6013%</w:t>
            </w:r>
            <w:r>
              <w:rPr>
                <w:rFonts w:hint="default" w:ascii="Times New Roman" w:hAnsi="Times New Roman" w:eastAsia="宋体" w:cs="Times New Roman"/>
                <w:color w:val="000000" w:themeColor="text1"/>
                <w:sz w:val="24"/>
                <w:szCs w:val="24"/>
                <w:vertAlign w:val="baseline"/>
                <w:lang w:val="en-US" w:eastAsia="zh-CN"/>
                <w14:textFill>
                  <w14:solidFill>
                    <w14:schemeClr w14:val="tx1"/>
                  </w14:solidFill>
                </w14:textFill>
              </w:rPr>
              <w:t>，甲烷的毒性和大气光化学反应活性低，一般要从总烃中扣除甲烷，因此采用非甲烷总烃表征安全放散气体。</w:t>
            </w:r>
          </w:p>
          <w:p w14:paraId="2D8D2A94">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themeColor="text1"/>
                <w:sz w:val="24"/>
                <w:szCs w:val="24"/>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vertAlign w:val="baseline"/>
                <w:lang w:val="en-US" w:eastAsia="zh-CN"/>
                <w14:textFill>
                  <w14:solidFill>
                    <w14:schemeClr w14:val="tx1"/>
                  </w14:solidFill>
                </w14:textFill>
              </w:rPr>
              <w:t>依据《挥发性有机物无组织排放控制标准》（GB37822-2019），VOCs物料是指 VOCs 质量占比大于等于 10%的物料，以及有机聚合物材料。本项目VOCs 物料占比为1.6013%，因此不属于VOCs物料。</w:t>
            </w:r>
          </w:p>
          <w:p w14:paraId="05B9FA73">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000000" w:themeColor="text1"/>
                <w:kern w:val="0"/>
                <w:sz w:val="24"/>
                <w:szCs w:val="24"/>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4"/>
                <w:szCs w:val="24"/>
                <w:vertAlign w:val="baseline"/>
                <w:lang w:val="en-US" w:eastAsia="zh-CN" w:bidi="ar"/>
                <w14:textFill>
                  <w14:solidFill>
                    <w14:schemeClr w14:val="tx1"/>
                  </w14:solidFill>
                </w14:textFill>
              </w:rPr>
              <w:t>依据《</w:t>
            </w:r>
            <w:r>
              <w:rPr>
                <w:rFonts w:hint="default" w:ascii="Times New Roman" w:hAnsi="Times New Roman" w:eastAsia="宋体" w:cs="Times New Roman"/>
                <w:color w:val="000000" w:themeColor="text1"/>
                <w:sz w:val="24"/>
                <w:szCs w:val="24"/>
                <w:vertAlign w:val="baseline"/>
                <w:lang w:val="en-US" w:eastAsia="zh-CN"/>
                <w14:textFill>
                  <w14:solidFill>
                    <w14:schemeClr w14:val="tx1"/>
                  </w14:solidFill>
                </w14:textFill>
              </w:rPr>
              <w:t>挥发性有机物无组织排放控制标准》（GB37822-2019），挥发性有机液体 是指：混合物中，真实蒸气压大于等于 0.3 kPa 的组分总质量占比大于等于 20%的有机液体。本项目LNG储罐饱和蒸汽压为95kPa，但是本项目储罐VOCs物料占比为1.6013%，因此，也不属于挥发性有机液体。</w:t>
            </w:r>
          </w:p>
          <w:p w14:paraId="4AB346DC">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bCs/>
                <w:color w:val="000000" w:themeColor="text1"/>
                <w:sz w:val="24"/>
                <w:szCs w:val="24"/>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4"/>
                <w:szCs w:val="24"/>
                <w:vertAlign w:val="baseline"/>
                <w:lang w:val="en-US" w:eastAsia="zh-CN" w:bidi="ar"/>
                <w14:textFill>
                  <w14:solidFill>
                    <w14:schemeClr w14:val="tx1"/>
                  </w14:solidFill>
                </w14:textFill>
              </w:rPr>
              <w:t>依据原料、工艺、产污环节分析可知，本项目LNG不属于</w:t>
            </w:r>
            <w:r>
              <w:rPr>
                <w:rFonts w:hint="default" w:ascii="Times New Roman" w:hAnsi="Times New Roman" w:eastAsia="宋体" w:cs="Times New Roman"/>
                <w:color w:val="000000" w:themeColor="text1"/>
                <w:sz w:val="24"/>
                <w:szCs w:val="24"/>
                <w:vertAlign w:val="baseline"/>
                <w:lang w:val="en-US" w:eastAsia="zh-CN"/>
                <w14:textFill>
                  <w14:solidFill>
                    <w14:schemeClr w14:val="tx1"/>
                  </w14:solidFill>
                </w14:textFill>
              </w:rPr>
              <w:t>VOCs物料和挥发性有机液体，</w:t>
            </w:r>
            <w:r>
              <w:rPr>
                <w:rFonts w:hint="default" w:ascii="Times New Roman" w:hAnsi="Times New Roman" w:eastAsia="宋体" w:cs="Times New Roman"/>
                <w:b w:val="0"/>
                <w:bCs w:val="0"/>
                <w:color w:val="000000" w:themeColor="text1"/>
                <w:kern w:val="0"/>
                <w:sz w:val="24"/>
                <w:szCs w:val="24"/>
                <w:vertAlign w:val="baseline"/>
                <w:lang w:val="en-US" w:eastAsia="zh-CN" w:bidi="ar"/>
                <w14:textFill>
                  <w14:solidFill>
                    <w14:schemeClr w14:val="tx1"/>
                  </w14:solidFill>
                </w14:textFill>
              </w:rPr>
              <w:t>气化站无LNG净化工艺，LNG采用低压密闭储罐储存和低压密闭管道输送，系统漏热和容器进出料产生的BOG经加热后输送至天然气管网回收，不外排。因此，本项目</w:t>
            </w:r>
            <w:r>
              <w:rPr>
                <w:rFonts w:hint="default" w:ascii="Times New Roman" w:hAnsi="Times New Roman" w:eastAsia="宋体" w:cs="Times New Roman"/>
                <w:color w:val="000000" w:themeColor="text1"/>
                <w:sz w:val="24"/>
                <w:szCs w:val="24"/>
                <w:vertAlign w:val="baseline"/>
                <w:lang w:val="en-US" w:eastAsia="zh-CN"/>
                <w14:textFill>
                  <w14:solidFill>
                    <w14:schemeClr w14:val="tx1"/>
                  </w14:solidFill>
                </w14:textFill>
              </w:rPr>
              <w:t>正常运行工况下，天然气不会发生泄漏和放散，只有在储罐系统超压（非正常工况）情况下，BOG经EAG加热后经1根10m高集中放散管排放，主要污染物为非甲烷总烃。</w:t>
            </w:r>
          </w:p>
          <w:p w14:paraId="57EEC73C">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bCs/>
                <w:color w:val="000000" w:themeColor="text1"/>
                <w:sz w:val="24"/>
                <w:szCs w:val="24"/>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本项目</w:t>
            </w:r>
            <w:r>
              <w:rPr>
                <w:rFonts w:hint="default" w:ascii="Times New Roman" w:hAnsi="Times New Roman" w:eastAsia="宋体" w:cs="Times New Roman"/>
                <w:b w:val="0"/>
                <w:bCs w:val="0"/>
                <w:color w:val="000000" w:themeColor="text1"/>
                <w:kern w:val="0"/>
                <w:sz w:val="24"/>
                <w:szCs w:val="24"/>
                <w:vertAlign w:val="baseline"/>
                <w:lang w:val="en-US" w:eastAsia="zh-CN" w:bidi="ar"/>
                <w14:textFill>
                  <w14:solidFill>
                    <w14:schemeClr w14:val="tx1"/>
                  </w14:solidFill>
                </w14:textFill>
              </w:rPr>
              <w:t>站内设置1台75kW自备柴油发电机作为二级负荷的备用电源，只在事故状态下，工作电源无法使用时开启，该柴油发电机满足《非道路移动机械用柴油机排气污染物排放限值及测量方法（中国第三、四阶段）》相关要求。</w:t>
            </w:r>
          </w:p>
          <w:p w14:paraId="73687DCD">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000000" w:themeColor="text1"/>
                <w:sz w:val="24"/>
                <w:szCs w:val="24"/>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vertAlign w:val="baseline"/>
                <w:lang w:val="en-US" w:eastAsia="zh-CN"/>
                <w14:textFill>
                  <w14:solidFill>
                    <w14:schemeClr w14:val="tx1"/>
                  </w14:solidFill>
                </w14:textFill>
              </w:rPr>
              <w:t>（2）治理设施</w:t>
            </w:r>
          </w:p>
          <w:p w14:paraId="5F9547F2">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本项目气化站严格按照《城镇燃气设计规范（2020版）》（GB50028-2006）进行设计和建设，从安全和对环境影响的角度，为了防止LNG的泄漏，气化站设计中采取的措施见表4-1。</w:t>
            </w:r>
          </w:p>
          <w:p w14:paraId="13F04F2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bCs/>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b/>
                <w:bCs/>
                <w:color w:val="000000" w:themeColor="text1"/>
                <w:kern w:val="0"/>
                <w:sz w:val="21"/>
                <w:szCs w:val="21"/>
                <w:lang w:val="en-US" w:eastAsia="zh-CN" w:bidi="ar"/>
                <w14:textFill>
                  <w14:solidFill>
                    <w14:schemeClr w14:val="tx1"/>
                  </w14:solidFill>
                </w14:textFill>
              </w:rPr>
              <w:t>表4-1   治理设施一览表</w:t>
            </w:r>
          </w:p>
          <w:tbl>
            <w:tblPr>
              <w:tblStyle w:val="17"/>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58"/>
              <w:gridCol w:w="5845"/>
            </w:tblGrid>
            <w:tr w14:paraId="77A80D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717" w:type="pct"/>
                  <w:vAlign w:val="center"/>
                </w:tcPr>
                <w:p w14:paraId="6BC5641C">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产污环节</w:t>
                  </w:r>
                </w:p>
              </w:tc>
              <w:tc>
                <w:tcPr>
                  <w:tcW w:w="3282" w:type="pct"/>
                  <w:vAlign w:val="center"/>
                </w:tcPr>
                <w:p w14:paraId="685EE41C">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预防技术</w:t>
                  </w:r>
                </w:p>
              </w:tc>
            </w:tr>
            <w:tr w14:paraId="52F618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17" w:type="pct"/>
                  <w:vAlign w:val="center"/>
                </w:tcPr>
                <w:p w14:paraId="3A931BE1">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系统漏热、</w:t>
                  </w: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容器进出料压力变化产生BOG</w:t>
                  </w:r>
                </w:p>
              </w:tc>
              <w:tc>
                <w:tcPr>
                  <w:tcW w:w="3282" w:type="pct"/>
                  <w:vAlign w:val="center"/>
                </w:tcPr>
                <w:p w14:paraId="1F1189DB">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LNG采用低压密闭储罐储存和低压密闭管道输送，BOG</w:t>
                  </w: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经BOG加热器加热升温后回收至天然气管道，不外排</w:t>
                  </w:r>
                </w:p>
              </w:tc>
            </w:tr>
          </w:tbl>
          <w:p w14:paraId="0896E6C9">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000000" w:themeColor="text1"/>
                <w:sz w:val="24"/>
                <w:szCs w:val="24"/>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vertAlign w:val="baseline"/>
                <w:lang w:val="en-US" w:eastAsia="zh-CN"/>
                <w14:textFill>
                  <w14:solidFill>
                    <w14:schemeClr w14:val="tx1"/>
                  </w14:solidFill>
                </w14:textFill>
              </w:rPr>
              <w:t>（3）污染物排放情况</w:t>
            </w:r>
          </w:p>
          <w:p w14:paraId="1700B755">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themeColor="text1"/>
                <w:sz w:val="24"/>
                <w:szCs w:val="24"/>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4"/>
                <w:szCs w:val="24"/>
                <w:vertAlign w:val="baseline"/>
                <w:lang w:val="en-US" w:eastAsia="zh-CN" w:bidi="ar"/>
                <w14:textFill>
                  <w14:solidFill>
                    <w14:schemeClr w14:val="tx1"/>
                  </w14:solidFill>
                </w14:textFill>
              </w:rPr>
              <w:t>本项目气化站</w:t>
            </w:r>
            <w:r>
              <w:rPr>
                <w:rFonts w:hint="default" w:ascii="Times New Roman" w:hAnsi="Times New Roman" w:eastAsia="宋体" w:cs="Times New Roman"/>
                <w:color w:val="000000" w:themeColor="text1"/>
                <w:sz w:val="24"/>
                <w:szCs w:val="24"/>
                <w:vertAlign w:val="baseline"/>
                <w:lang w:val="en-US" w:eastAsia="zh-CN"/>
                <w14:textFill>
                  <w14:solidFill>
                    <w14:schemeClr w14:val="tx1"/>
                  </w14:solidFill>
                </w14:textFill>
              </w:rPr>
              <w:t>正常运行工况下，</w:t>
            </w:r>
            <w:r>
              <w:rPr>
                <w:rFonts w:hint="default" w:ascii="Times New Roman" w:hAnsi="Times New Roman" w:eastAsia="宋体" w:cs="Times New Roman"/>
                <w:b w:val="0"/>
                <w:bCs w:val="0"/>
                <w:color w:val="000000" w:themeColor="text1"/>
                <w:kern w:val="0"/>
                <w:sz w:val="24"/>
                <w:szCs w:val="24"/>
                <w:vertAlign w:val="baseline"/>
                <w:lang w:val="en-US" w:eastAsia="zh-CN" w:bidi="ar"/>
                <w14:textFill>
                  <w14:solidFill>
                    <w14:schemeClr w14:val="tx1"/>
                  </w14:solidFill>
                </w14:textFill>
              </w:rPr>
              <w:t>BOG</w:t>
            </w:r>
            <w:r>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经BOG加热器加热升温后回收至天然气管道，不外排。</w:t>
            </w:r>
          </w:p>
          <w:p w14:paraId="1D92C11E">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000000" w:themeColor="text1"/>
                <w:sz w:val="24"/>
                <w:szCs w:val="24"/>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vertAlign w:val="baseline"/>
                <w:lang w:val="en-US" w:eastAsia="zh-CN"/>
                <w14:textFill>
                  <w14:solidFill>
                    <w14:schemeClr w14:val="tx1"/>
                  </w14:solidFill>
                </w14:textFill>
              </w:rPr>
              <w:t>（4）</w:t>
            </w:r>
            <w:r>
              <w:rPr>
                <w:rFonts w:hint="default" w:ascii="Times New Roman" w:hAnsi="Times New Roman" w:eastAsia="宋体" w:cs="Times New Roman"/>
                <w:b/>
                <w:bCs/>
                <w:color w:val="000000" w:themeColor="text1"/>
                <w:kern w:val="0"/>
                <w:sz w:val="24"/>
                <w:szCs w:val="24"/>
                <w:lang w:val="en-US" w:eastAsia="zh-CN" w:bidi="ar"/>
                <w14:textFill>
                  <w14:solidFill>
                    <w14:schemeClr w14:val="tx1"/>
                  </w14:solidFill>
                </w14:textFill>
              </w:rPr>
              <w:t>排放口基本情况</w:t>
            </w:r>
          </w:p>
          <w:p w14:paraId="325A3E5C">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000000" w:themeColor="text1"/>
                <w:kern w:val="0"/>
                <w:sz w:val="24"/>
                <w:szCs w:val="24"/>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4"/>
                <w:szCs w:val="24"/>
                <w:vertAlign w:val="baseline"/>
                <w:lang w:val="en-US" w:eastAsia="zh-CN" w:bidi="ar"/>
                <w14:textFill>
                  <w14:solidFill>
                    <w14:schemeClr w14:val="tx1"/>
                  </w14:solidFill>
                </w14:textFill>
              </w:rPr>
              <w:t>本项目气化站正常运行工况下，无废气排放口。</w:t>
            </w:r>
          </w:p>
          <w:p w14:paraId="00F73117">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000000" w:themeColor="text1"/>
                <w:sz w:val="24"/>
                <w:szCs w:val="24"/>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vertAlign w:val="baseline"/>
                <w:lang w:val="en-US" w:eastAsia="zh-CN"/>
                <w14:textFill>
                  <w14:solidFill>
                    <w14:schemeClr w14:val="tx1"/>
                  </w14:solidFill>
                </w14:textFill>
              </w:rPr>
              <w:t>（5）监测要求</w:t>
            </w:r>
          </w:p>
          <w:p w14:paraId="44BC181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t>表4-2   监测要求</w:t>
            </w:r>
          </w:p>
          <w:tbl>
            <w:tblPr>
              <w:tblStyle w:val="17"/>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48"/>
              <w:gridCol w:w="1366"/>
              <w:gridCol w:w="1475"/>
              <w:gridCol w:w="1247"/>
              <w:gridCol w:w="4066"/>
            </w:tblGrid>
            <w:tr w14:paraId="326F86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0" w:type="pct"/>
                  <w:vAlign w:val="center"/>
                </w:tcPr>
                <w:p w14:paraId="0A4C422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序号</w:t>
                  </w:r>
                </w:p>
              </w:tc>
              <w:tc>
                <w:tcPr>
                  <w:tcW w:w="767" w:type="pct"/>
                  <w:vAlign w:val="center"/>
                </w:tcPr>
                <w:p w14:paraId="5AC3611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监测点位</w:t>
                  </w:r>
                </w:p>
              </w:tc>
              <w:tc>
                <w:tcPr>
                  <w:tcW w:w="828" w:type="pct"/>
                  <w:vAlign w:val="center"/>
                </w:tcPr>
                <w:p w14:paraId="3D8085CA">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监测因子</w:t>
                  </w:r>
                </w:p>
              </w:tc>
              <w:tc>
                <w:tcPr>
                  <w:tcW w:w="700" w:type="pct"/>
                  <w:vAlign w:val="center"/>
                </w:tcPr>
                <w:p w14:paraId="0BA5651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监测频次</w:t>
                  </w:r>
                </w:p>
              </w:tc>
              <w:tc>
                <w:tcPr>
                  <w:tcW w:w="2283" w:type="pct"/>
                  <w:vAlign w:val="center"/>
                </w:tcPr>
                <w:p w14:paraId="4E183A3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执行标准</w:t>
                  </w:r>
                </w:p>
              </w:tc>
            </w:tr>
            <w:tr w14:paraId="048E1F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0" w:type="pct"/>
                  <w:vAlign w:val="center"/>
                </w:tcPr>
                <w:p w14:paraId="2D7037F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1</w:t>
                  </w:r>
                </w:p>
              </w:tc>
              <w:tc>
                <w:tcPr>
                  <w:tcW w:w="767" w:type="pct"/>
                  <w:vAlign w:val="center"/>
                </w:tcPr>
                <w:p w14:paraId="0E03942F">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站内</w:t>
                  </w:r>
                </w:p>
              </w:tc>
              <w:tc>
                <w:tcPr>
                  <w:tcW w:w="828" w:type="pct"/>
                  <w:shd w:val="clear" w:color="auto" w:fill="auto"/>
                  <w:vAlign w:val="center"/>
                </w:tcPr>
                <w:p w14:paraId="1E9FC8A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非甲烷总烃</w:t>
                  </w:r>
                </w:p>
              </w:tc>
              <w:tc>
                <w:tcPr>
                  <w:tcW w:w="700" w:type="pct"/>
                  <w:shd w:val="clear" w:color="auto" w:fill="auto"/>
                  <w:vAlign w:val="center"/>
                </w:tcPr>
                <w:p w14:paraId="03FBC17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1次/a</w:t>
                  </w:r>
                </w:p>
              </w:tc>
              <w:tc>
                <w:tcPr>
                  <w:tcW w:w="2283" w:type="pct"/>
                  <w:shd w:val="clear" w:color="auto" w:fill="auto"/>
                  <w:vAlign w:val="center"/>
                </w:tcPr>
                <w:p w14:paraId="331F264A">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lang w:val="en-US" w:eastAsia="zh-CN" w:bidi="ar"/>
                      <w14:textFill>
                        <w14:solidFill>
                          <w14:schemeClr w14:val="tx1"/>
                        </w14:solidFill>
                      </w14:textFill>
                    </w:rPr>
                    <w:t>《挥发性有机物无组织排放控制标准》（GB37822-2019）</w:t>
                  </w:r>
                </w:p>
              </w:tc>
            </w:tr>
            <w:tr w14:paraId="0F7B42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trPr>
              <w:tc>
                <w:tcPr>
                  <w:tcW w:w="420" w:type="pct"/>
                  <w:vAlign w:val="center"/>
                </w:tcPr>
                <w:p w14:paraId="501A5A74">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2</w:t>
                  </w:r>
                </w:p>
              </w:tc>
              <w:tc>
                <w:tcPr>
                  <w:tcW w:w="767" w:type="pct"/>
                  <w:vAlign w:val="center"/>
                </w:tcPr>
                <w:p w14:paraId="63AD872C">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站界</w:t>
                  </w:r>
                </w:p>
              </w:tc>
              <w:tc>
                <w:tcPr>
                  <w:tcW w:w="828" w:type="pct"/>
                  <w:shd w:val="clear" w:color="auto" w:fill="auto"/>
                  <w:vAlign w:val="center"/>
                </w:tcPr>
                <w:p w14:paraId="7C654CF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非甲烷总烃</w:t>
                  </w:r>
                </w:p>
              </w:tc>
              <w:tc>
                <w:tcPr>
                  <w:tcW w:w="700" w:type="pct"/>
                  <w:shd w:val="clear" w:color="auto" w:fill="auto"/>
                  <w:vAlign w:val="center"/>
                </w:tcPr>
                <w:p w14:paraId="6CD5968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1次/a</w:t>
                  </w:r>
                </w:p>
              </w:tc>
              <w:tc>
                <w:tcPr>
                  <w:tcW w:w="2283" w:type="pct"/>
                  <w:vAlign w:val="center"/>
                </w:tcPr>
                <w:p w14:paraId="4221B6A4">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《大气污染物综合排放标准》（GB16297-1996）</w:t>
                  </w:r>
                </w:p>
              </w:tc>
            </w:tr>
          </w:tbl>
          <w:p w14:paraId="1DF1D0CD">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000000" w:themeColor="text1"/>
                <w:sz w:val="24"/>
                <w:szCs w:val="24"/>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vertAlign w:val="baseline"/>
                <w:lang w:val="en-US" w:eastAsia="zh-CN"/>
                <w14:textFill>
                  <w14:solidFill>
                    <w14:schemeClr w14:val="tx1"/>
                  </w14:solidFill>
                </w14:textFill>
              </w:rPr>
              <w:t>（6）非正常工况分析</w:t>
            </w:r>
          </w:p>
          <w:p w14:paraId="147DD7B2">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themeColor="text1"/>
                <w:sz w:val="24"/>
                <w:szCs w:val="24"/>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vertAlign w:val="baseline"/>
                <w:lang w:val="en-US" w:eastAsia="zh-CN"/>
                <w14:textFill>
                  <w14:solidFill>
                    <w14:schemeClr w14:val="tx1"/>
                  </w14:solidFill>
                </w14:textFill>
              </w:rPr>
              <w:t>储罐系统超压（非正常工况）情况下，BOG经EAG加热后经1根10m高集中放散管排放。依据</w:t>
            </w:r>
            <w:r>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《城镇燃气设计规范（2020版）》（GB50028-2006），</w:t>
            </w:r>
            <w:r>
              <w:rPr>
                <w:rFonts w:hint="default" w:ascii="Times New Roman" w:hAnsi="Times New Roman" w:eastAsia="宋体" w:cs="Times New Roman"/>
                <w:color w:val="000000" w:themeColor="text1"/>
                <w:sz w:val="24"/>
                <w:szCs w:val="24"/>
                <w:vertAlign w:val="baseline"/>
                <w:lang w:val="en-US" w:eastAsia="zh-CN"/>
                <w14:textFill>
                  <w14:solidFill>
                    <w14:schemeClr w14:val="tx1"/>
                  </w14:solidFill>
                </w14:textFill>
              </w:rPr>
              <w:t>从安全角度考虑，本项目气化站设计每年放散两次，每次历时5分钟。EAG 加热器最大设计参数 为150m</w:t>
            </w:r>
            <w:r>
              <w:rPr>
                <w:rFonts w:hint="default" w:ascii="Times New Roman" w:hAnsi="Times New Roman" w:eastAsia="宋体" w:cs="Times New Roman"/>
                <w:color w:val="000000" w:themeColor="text1"/>
                <w:sz w:val="24"/>
                <w:szCs w:val="24"/>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4"/>
                <w:szCs w:val="24"/>
                <w:vertAlign w:val="baseline"/>
                <w:lang w:val="en-US" w:eastAsia="zh-CN"/>
                <w14:textFill>
                  <w14:solidFill>
                    <w14:schemeClr w14:val="tx1"/>
                  </w14:solidFill>
                </w14:textFill>
              </w:rPr>
              <w:t>/h，天然气密度为</w:t>
            </w:r>
            <w:r>
              <w:rPr>
                <w:rFonts w:hint="default" w:ascii="Times New Roman" w:hAnsi="Times New Roman" w:eastAsia="宋体" w:cs="Times New Roman"/>
                <w:b w:val="0"/>
                <w:bCs w:val="0"/>
                <w:color w:val="000000" w:themeColor="text1"/>
                <w:kern w:val="0"/>
                <w:sz w:val="24"/>
                <w:szCs w:val="24"/>
                <w:vertAlign w:val="baseline"/>
                <w:lang w:val="en-US" w:eastAsia="zh-CN" w:bidi="ar"/>
                <w14:textFill>
                  <w14:solidFill>
                    <w14:schemeClr w14:val="tx1"/>
                  </w14:solidFill>
                </w14:textFill>
              </w:rPr>
              <w:t>0.6867kg/m</w:t>
            </w:r>
            <w:r>
              <w:rPr>
                <w:rFonts w:hint="default" w:ascii="Times New Roman" w:hAnsi="Times New Roman" w:eastAsia="宋体" w:cs="Times New Roman"/>
                <w:b w:val="0"/>
                <w:bCs w:val="0"/>
                <w:color w:val="000000" w:themeColor="text1"/>
                <w:kern w:val="0"/>
                <w:sz w:val="24"/>
                <w:szCs w:val="24"/>
                <w:vertAlign w:val="superscript"/>
                <w:lang w:val="en-US" w:eastAsia="zh-CN" w:bidi="ar"/>
                <w14:textFill>
                  <w14:solidFill>
                    <w14:schemeClr w14:val="tx1"/>
                  </w14:solidFill>
                </w14:textFill>
              </w:rPr>
              <w:t>3</w:t>
            </w:r>
            <w:r>
              <w:rPr>
                <w:rFonts w:hint="default" w:ascii="Times New Roman" w:hAnsi="Times New Roman" w:eastAsia="宋体" w:cs="Times New Roman"/>
                <w:b w:val="0"/>
                <w:bCs w:val="0"/>
                <w:color w:val="000000" w:themeColor="text1"/>
                <w:kern w:val="0"/>
                <w:sz w:val="24"/>
                <w:szCs w:val="24"/>
                <w:vertAlign w:val="baseline"/>
                <w:lang w:val="en-US" w:eastAsia="zh-CN" w:bidi="ar"/>
                <w14:textFill>
                  <w14:solidFill>
                    <w14:schemeClr w14:val="tx1"/>
                  </w14:solidFill>
                </w14:textFill>
              </w:rPr>
              <w:t>，则天然气放散量为17.2kg，其中</w:t>
            </w:r>
            <w:r>
              <w:rPr>
                <w:rFonts w:hint="default" w:ascii="Times New Roman" w:hAnsi="Times New Roman" w:eastAsia="宋体" w:cs="Times New Roman"/>
                <w:color w:val="000000" w:themeColor="text1"/>
                <w:sz w:val="24"/>
                <w:szCs w:val="24"/>
                <w:vertAlign w:val="baseline"/>
                <w:lang w:val="en-US" w:eastAsia="zh-CN"/>
                <w14:textFill>
                  <w14:solidFill>
                    <w14:schemeClr w14:val="tx1"/>
                  </w14:solidFill>
                </w14:textFill>
              </w:rPr>
              <w:t>甲烷总烃占比只有1.6013%，则非甲烷总烃的排放量为0.28kg/a。</w:t>
            </w:r>
          </w:p>
          <w:p w14:paraId="3EB4A438">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themeColor="text1"/>
                <w:sz w:val="24"/>
                <w:szCs w:val="24"/>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vertAlign w:val="baseline"/>
                <w:lang w:val="en-US" w:eastAsia="zh-CN"/>
                <w14:textFill>
                  <w14:solidFill>
                    <w14:schemeClr w14:val="tx1"/>
                  </w14:solidFill>
                </w14:textFill>
              </w:rPr>
              <w:t>为了减少储罐系统超压（非正常工况）的放散量，气化站设计了BOG回收系统，</w:t>
            </w:r>
          </w:p>
          <w:p w14:paraId="7B030346">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color w:val="000000" w:themeColor="text1"/>
                <w:sz w:val="24"/>
                <w:szCs w:val="24"/>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4"/>
                <w:szCs w:val="24"/>
                <w:vertAlign w:val="baseline"/>
                <w:lang w:val="en-US" w:eastAsia="zh-CN" w:bidi="ar"/>
                <w14:textFill>
                  <w14:solidFill>
                    <w14:schemeClr w14:val="tx1"/>
                  </w14:solidFill>
                </w14:textFill>
              </w:rPr>
              <w:t>系统漏热和容器进出料产生的BOG经加热后输送至天然气管网回收，运营期加强</w:t>
            </w:r>
            <w:r>
              <w:rPr>
                <w:rFonts w:hint="default" w:ascii="Times New Roman" w:hAnsi="Times New Roman" w:eastAsia="宋体" w:cs="Times New Roman"/>
                <w:color w:val="000000" w:themeColor="text1"/>
                <w:sz w:val="24"/>
                <w:szCs w:val="24"/>
                <w:vertAlign w:val="baseline"/>
                <w:lang w:val="en-US" w:eastAsia="zh-CN"/>
                <w14:textFill>
                  <w14:solidFill>
                    <w14:schemeClr w14:val="tx1"/>
                  </w14:solidFill>
                </w14:textFill>
              </w:rPr>
              <w:t>BOG回收系统的管理，定期进行检查。</w:t>
            </w:r>
          </w:p>
          <w:p w14:paraId="0EB67797">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000000" w:themeColor="text1"/>
                <w:sz w:val="24"/>
                <w:szCs w:val="24"/>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vertAlign w:val="baseline"/>
                <w:lang w:val="en-US" w:eastAsia="zh-CN"/>
                <w14:textFill>
                  <w14:solidFill>
                    <w14:schemeClr w14:val="tx1"/>
                  </w14:solidFill>
                </w14:textFill>
              </w:rPr>
              <w:t>（7）废气排放的环境影响分析</w:t>
            </w:r>
          </w:p>
          <w:p w14:paraId="3598445D">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4"/>
                <w:szCs w:val="24"/>
                <w:vertAlign w:val="baseline"/>
                <w:lang w:val="en-US" w:eastAsia="zh-CN" w:bidi="ar"/>
                <w14:textFill>
                  <w14:solidFill>
                    <w14:schemeClr w14:val="tx1"/>
                  </w14:solidFill>
                </w14:textFill>
              </w:rPr>
              <w:t>本项目LNG不属于</w:t>
            </w:r>
            <w:r>
              <w:rPr>
                <w:rFonts w:hint="default" w:ascii="Times New Roman" w:hAnsi="Times New Roman" w:eastAsia="宋体" w:cs="Times New Roman"/>
                <w:color w:val="000000" w:themeColor="text1"/>
                <w:sz w:val="24"/>
                <w:szCs w:val="24"/>
                <w:vertAlign w:val="baseline"/>
                <w:lang w:val="en-US" w:eastAsia="zh-CN"/>
                <w14:textFill>
                  <w14:solidFill>
                    <w14:schemeClr w14:val="tx1"/>
                  </w14:solidFill>
                </w14:textFill>
              </w:rPr>
              <w:t>VOCs物料和挥发性有机液体，</w:t>
            </w:r>
            <w:r>
              <w:rPr>
                <w:rFonts w:hint="default" w:ascii="Times New Roman" w:hAnsi="Times New Roman" w:eastAsia="宋体" w:cs="Times New Roman"/>
                <w:b w:val="0"/>
                <w:bCs w:val="0"/>
                <w:color w:val="000000" w:themeColor="text1"/>
                <w:kern w:val="0"/>
                <w:sz w:val="24"/>
                <w:szCs w:val="24"/>
                <w:vertAlign w:val="baseline"/>
                <w:lang w:val="en-US" w:eastAsia="zh-CN" w:bidi="ar"/>
                <w14:textFill>
                  <w14:solidFill>
                    <w14:schemeClr w14:val="tx1"/>
                  </w14:solidFill>
                </w14:textFill>
              </w:rPr>
              <w:t>气化站无LNG净化工艺，LNG采用低压密闭储罐储存和低压密闭管道输送，系统漏热和容器进出料产生的BOG经加热后输送至天然气管网回收，不外排。</w:t>
            </w:r>
            <w:r>
              <w:rPr>
                <w:rFonts w:hint="default" w:ascii="Times New Roman" w:hAnsi="Times New Roman" w:eastAsia="宋体" w:cs="Times New Roman"/>
                <w:color w:val="000000" w:themeColor="text1"/>
                <w:sz w:val="24"/>
                <w:szCs w:val="24"/>
                <w:vertAlign w:val="baseline"/>
                <w:lang w:val="en-US" w:eastAsia="zh-CN"/>
                <w14:textFill>
                  <w14:solidFill>
                    <w14:schemeClr w14:val="tx1"/>
                  </w14:solidFill>
                </w14:textFill>
              </w:rPr>
              <w:t>正常运行工况下，天然气不会发生泄漏和放散，只有在储罐系统超压（非正常工况）情况下，BOG经EAG加热后经1根10m高集中放散管排放，主要污染物为非甲烷总烃，排放量约为0.28kg/a，同时EAG密度小于空气，在排放口向上扩散。</w:t>
            </w:r>
            <w:r>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因此，本项目大气环境影响可以接受。</w:t>
            </w:r>
          </w:p>
          <w:p w14:paraId="16D95D42">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000000" w:themeColor="text1"/>
                <w:sz w:val="24"/>
                <w:szCs w:val="24"/>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vertAlign w:val="baseline"/>
                <w:lang w:val="en-US" w:eastAsia="zh-CN"/>
                <w14:textFill>
                  <w14:solidFill>
                    <w14:schemeClr w14:val="tx1"/>
                  </w14:solidFill>
                </w14:textFill>
              </w:rPr>
              <w:t>2.废水</w:t>
            </w:r>
          </w:p>
          <w:p w14:paraId="14789406">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000000" w:themeColor="text1"/>
                <w:kern w:val="0"/>
                <w:sz w:val="24"/>
                <w:szCs w:val="24"/>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4"/>
                <w:szCs w:val="24"/>
                <w:vertAlign w:val="baseline"/>
                <w:lang w:val="en-US" w:eastAsia="zh-CN" w:bidi="ar"/>
                <w14:textFill>
                  <w14:solidFill>
                    <w14:schemeClr w14:val="tx1"/>
                  </w14:solidFill>
                </w14:textFill>
              </w:rPr>
              <w:t>本项目运营期无生产废水产生；无新增职工，无新增生活用水。站区职工生活污水依托景区公共化粪池处理。</w:t>
            </w:r>
          </w:p>
          <w:p w14:paraId="13F63A7C">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000000" w:themeColor="text1"/>
                <w:sz w:val="24"/>
                <w:szCs w:val="24"/>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vertAlign w:val="baseline"/>
                <w:lang w:val="en-US" w:eastAsia="zh-CN"/>
                <w14:textFill>
                  <w14:solidFill>
                    <w14:schemeClr w14:val="tx1"/>
                  </w14:solidFill>
                </w14:textFill>
              </w:rPr>
              <w:t>3.噪声</w:t>
            </w:r>
          </w:p>
          <w:p w14:paraId="561C7F0B">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000000" w:themeColor="text1"/>
                <w:kern w:val="0"/>
                <w:sz w:val="24"/>
                <w:szCs w:val="24"/>
                <w:vertAlign w:val="baseline"/>
                <w:lang w:val="en-US" w:eastAsia="zh-CN" w:bidi="ar"/>
                <w14:textFill>
                  <w14:solidFill>
                    <w14:schemeClr w14:val="tx1"/>
                  </w14:solidFill>
                </w14:textFill>
              </w:rPr>
            </w:pPr>
            <w:r>
              <w:rPr>
                <w:rFonts w:hint="default" w:ascii="Times New Roman" w:hAnsi="Times New Roman" w:eastAsia="宋体" w:cs="Times New Roman"/>
                <w:b/>
                <w:bCs/>
                <w:color w:val="000000" w:themeColor="text1"/>
                <w:kern w:val="0"/>
                <w:sz w:val="24"/>
                <w:szCs w:val="24"/>
                <w:vertAlign w:val="baseline"/>
                <w:lang w:val="en-US" w:eastAsia="zh-CN" w:bidi="ar"/>
                <w14:textFill>
                  <w14:solidFill>
                    <w14:schemeClr w14:val="tx1"/>
                  </w14:solidFill>
                </w14:textFill>
              </w:rPr>
              <w:t>（1）噪声产生及排放情况</w:t>
            </w:r>
          </w:p>
          <w:p w14:paraId="438AF106">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b w:val="0"/>
                <w:bCs w:val="0"/>
                <w:color w:val="000000" w:themeColor="text1"/>
                <w:kern w:val="0"/>
                <w:sz w:val="24"/>
                <w:szCs w:val="24"/>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4"/>
                <w:szCs w:val="24"/>
                <w:vertAlign w:val="baseline"/>
                <w:lang w:val="en-US" w:eastAsia="zh-CN" w:bidi="ar"/>
                <w14:textFill>
                  <w14:solidFill>
                    <w14:schemeClr w14:val="tx1"/>
                  </w14:solidFill>
                </w14:textFill>
              </w:rPr>
              <w:t>本项目气化站生产区露天布置，辅助区室内布置，生产区设备属于室外声源，辅助区空压机房属于室内声源。本项目气化站夜间不运行。</w:t>
            </w:r>
          </w:p>
          <w:p w14:paraId="12D8012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bCs/>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bCs/>
                <w:color w:val="000000" w:themeColor="text1"/>
                <w:kern w:val="0"/>
                <w:sz w:val="21"/>
                <w:szCs w:val="21"/>
                <w:vertAlign w:val="baseline"/>
                <w:lang w:val="en-US" w:eastAsia="zh-CN" w:bidi="ar"/>
                <w14:textFill>
                  <w14:solidFill>
                    <w14:schemeClr w14:val="tx1"/>
                  </w14:solidFill>
                </w14:textFill>
              </w:rPr>
              <w:t>表4-3   噪声产生及排放情况一览表</w:t>
            </w:r>
          </w:p>
          <w:tbl>
            <w:tblPr>
              <w:tblStyle w:val="17"/>
              <w:tblW w:w="890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81"/>
              <w:gridCol w:w="1371"/>
              <w:gridCol w:w="1477"/>
              <w:gridCol w:w="1735"/>
              <w:gridCol w:w="1499"/>
              <w:gridCol w:w="1120"/>
              <w:gridCol w:w="1120"/>
            </w:tblGrid>
            <w:tr w14:paraId="688831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1" w:type="dxa"/>
                  <w:vAlign w:val="center"/>
                </w:tcPr>
                <w:p w14:paraId="393B1D8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序号</w:t>
                  </w:r>
                </w:p>
              </w:tc>
              <w:tc>
                <w:tcPr>
                  <w:tcW w:w="1371" w:type="dxa"/>
                  <w:vAlign w:val="center"/>
                </w:tcPr>
                <w:p w14:paraId="2C36378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噪声源名称</w:t>
                  </w:r>
                </w:p>
              </w:tc>
              <w:tc>
                <w:tcPr>
                  <w:tcW w:w="1477" w:type="dxa"/>
                  <w:vAlign w:val="center"/>
                </w:tcPr>
                <w:p w14:paraId="0716166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产生强度</w:t>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/dB(A)</w:t>
                  </w:r>
                </w:p>
              </w:tc>
              <w:tc>
                <w:tcPr>
                  <w:tcW w:w="1735" w:type="dxa"/>
                  <w:vAlign w:val="center"/>
                </w:tcPr>
                <w:p w14:paraId="657A7F11">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降噪措施</w:t>
                  </w:r>
                </w:p>
              </w:tc>
              <w:tc>
                <w:tcPr>
                  <w:tcW w:w="1499" w:type="dxa"/>
                  <w:vAlign w:val="center"/>
                </w:tcPr>
                <w:p w14:paraId="131AB41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排放强度/</w:t>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dB(A)</w:t>
                  </w:r>
                </w:p>
              </w:tc>
              <w:tc>
                <w:tcPr>
                  <w:tcW w:w="1120" w:type="dxa"/>
                  <w:vAlign w:val="center"/>
                </w:tcPr>
                <w:p w14:paraId="5D07704A">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持续时间</w:t>
                  </w:r>
                </w:p>
              </w:tc>
              <w:tc>
                <w:tcPr>
                  <w:tcW w:w="1120" w:type="dxa"/>
                  <w:vAlign w:val="center"/>
                </w:tcPr>
                <w:p w14:paraId="2E3BF9D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备注</w:t>
                  </w:r>
                </w:p>
              </w:tc>
            </w:tr>
            <w:tr w14:paraId="108CE1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trPr>
              <w:tc>
                <w:tcPr>
                  <w:tcW w:w="581" w:type="dxa"/>
                  <w:vAlign w:val="center"/>
                </w:tcPr>
                <w:p w14:paraId="04074C34">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1</w:t>
                  </w:r>
                </w:p>
              </w:tc>
              <w:tc>
                <w:tcPr>
                  <w:tcW w:w="1371" w:type="dxa"/>
                  <w:vAlign w:val="center"/>
                </w:tcPr>
                <w:p w14:paraId="50A23F8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储罐增压器</w:t>
                  </w:r>
                </w:p>
              </w:tc>
              <w:tc>
                <w:tcPr>
                  <w:tcW w:w="1477" w:type="dxa"/>
                  <w:vAlign w:val="center"/>
                </w:tcPr>
                <w:p w14:paraId="706B581D">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t>80</w:t>
                  </w:r>
                </w:p>
              </w:tc>
              <w:tc>
                <w:tcPr>
                  <w:tcW w:w="1735" w:type="dxa"/>
                  <w:vAlign w:val="center"/>
                </w:tcPr>
                <w:p w14:paraId="0E82865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选用低噪声设备、基础减振</w:t>
                  </w:r>
                </w:p>
              </w:tc>
              <w:tc>
                <w:tcPr>
                  <w:tcW w:w="1499" w:type="dxa"/>
                  <w:vAlign w:val="center"/>
                </w:tcPr>
                <w:p w14:paraId="462332C1">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70</w:t>
                  </w:r>
                </w:p>
              </w:tc>
              <w:tc>
                <w:tcPr>
                  <w:tcW w:w="1120" w:type="dxa"/>
                  <w:vAlign w:val="center"/>
                </w:tcPr>
                <w:p w14:paraId="3CEABC24">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4h/d</w:t>
                  </w:r>
                </w:p>
              </w:tc>
              <w:tc>
                <w:tcPr>
                  <w:tcW w:w="1120" w:type="dxa"/>
                  <w:vAlign w:val="center"/>
                </w:tcPr>
                <w:p w14:paraId="6C43AAA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室外</w:t>
                  </w:r>
                </w:p>
              </w:tc>
            </w:tr>
            <w:tr w14:paraId="65BF04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1" w:type="dxa"/>
                  <w:vAlign w:val="center"/>
                </w:tcPr>
                <w:p w14:paraId="69A3350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2</w:t>
                  </w:r>
                </w:p>
              </w:tc>
              <w:tc>
                <w:tcPr>
                  <w:tcW w:w="1371" w:type="dxa"/>
                  <w:shd w:val="clear" w:color="auto" w:fill="auto"/>
                  <w:vAlign w:val="center"/>
                </w:tcPr>
                <w:p w14:paraId="39693964">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调压计量加臭系统</w:t>
                  </w:r>
                </w:p>
              </w:tc>
              <w:tc>
                <w:tcPr>
                  <w:tcW w:w="1477" w:type="dxa"/>
                  <w:shd w:val="clear" w:color="auto" w:fill="auto"/>
                  <w:vAlign w:val="center"/>
                </w:tcPr>
                <w:p w14:paraId="55AE2A34">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t>85</w:t>
                  </w:r>
                </w:p>
              </w:tc>
              <w:tc>
                <w:tcPr>
                  <w:tcW w:w="1735" w:type="dxa"/>
                  <w:shd w:val="clear" w:color="auto" w:fill="auto"/>
                  <w:vAlign w:val="center"/>
                </w:tcPr>
                <w:p w14:paraId="7ED22EC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选用低噪声设备、基础减振</w:t>
                  </w:r>
                </w:p>
              </w:tc>
              <w:tc>
                <w:tcPr>
                  <w:tcW w:w="1499" w:type="dxa"/>
                  <w:shd w:val="clear" w:color="auto" w:fill="auto"/>
                  <w:vAlign w:val="center"/>
                </w:tcPr>
                <w:p w14:paraId="6289CF8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75</w:t>
                  </w:r>
                </w:p>
              </w:tc>
              <w:tc>
                <w:tcPr>
                  <w:tcW w:w="1120" w:type="dxa"/>
                  <w:shd w:val="clear" w:color="auto" w:fill="auto"/>
                  <w:vAlign w:val="center"/>
                </w:tcPr>
                <w:p w14:paraId="6FF9756C">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4h/d</w:t>
                  </w:r>
                </w:p>
              </w:tc>
              <w:tc>
                <w:tcPr>
                  <w:tcW w:w="1120" w:type="dxa"/>
                  <w:shd w:val="clear" w:color="auto" w:fill="auto"/>
                  <w:vAlign w:val="center"/>
                </w:tcPr>
                <w:p w14:paraId="2B9E4B7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室外</w:t>
                  </w:r>
                </w:p>
              </w:tc>
            </w:tr>
            <w:tr w14:paraId="0835C7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1" w:type="dxa"/>
                  <w:vAlign w:val="center"/>
                </w:tcPr>
                <w:p w14:paraId="3B31904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3</w:t>
                  </w:r>
                </w:p>
              </w:tc>
              <w:tc>
                <w:tcPr>
                  <w:tcW w:w="1371" w:type="dxa"/>
                  <w:shd w:val="clear" w:color="auto" w:fill="auto"/>
                  <w:vAlign w:val="center"/>
                </w:tcPr>
                <w:p w14:paraId="2443D634">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空压机</w:t>
                  </w:r>
                </w:p>
              </w:tc>
              <w:tc>
                <w:tcPr>
                  <w:tcW w:w="1477" w:type="dxa"/>
                  <w:shd w:val="clear" w:color="auto" w:fill="auto"/>
                  <w:vAlign w:val="center"/>
                </w:tcPr>
                <w:p w14:paraId="56FD5EAF">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t>85</w:t>
                  </w:r>
                </w:p>
              </w:tc>
              <w:tc>
                <w:tcPr>
                  <w:tcW w:w="1735" w:type="dxa"/>
                  <w:shd w:val="clear" w:color="auto" w:fill="auto"/>
                  <w:vAlign w:val="center"/>
                </w:tcPr>
                <w:p w14:paraId="3A63475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选用低噪声设备、基础减振</w:t>
                  </w:r>
                </w:p>
              </w:tc>
              <w:tc>
                <w:tcPr>
                  <w:tcW w:w="1499" w:type="dxa"/>
                  <w:shd w:val="clear" w:color="auto" w:fill="auto"/>
                  <w:vAlign w:val="center"/>
                </w:tcPr>
                <w:p w14:paraId="031DCCBD">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75</w:t>
                  </w:r>
                </w:p>
              </w:tc>
              <w:tc>
                <w:tcPr>
                  <w:tcW w:w="1120" w:type="dxa"/>
                  <w:shd w:val="clear" w:color="auto" w:fill="auto"/>
                  <w:vAlign w:val="center"/>
                </w:tcPr>
                <w:p w14:paraId="37BC191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4h/d</w:t>
                  </w:r>
                </w:p>
              </w:tc>
              <w:tc>
                <w:tcPr>
                  <w:tcW w:w="1120" w:type="dxa"/>
                  <w:shd w:val="clear" w:color="auto" w:fill="auto"/>
                  <w:vAlign w:val="center"/>
                </w:tcPr>
                <w:p w14:paraId="65159C31">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室内</w:t>
                  </w:r>
                </w:p>
              </w:tc>
            </w:tr>
            <w:tr w14:paraId="7F61E7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83" w:type="dxa"/>
                  <w:gridSpan w:val="6"/>
                  <w:vAlign w:val="center"/>
                </w:tcPr>
                <w:p w14:paraId="36DF7BCF">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备注：以站界西南角为相对坐标原点。</w:t>
                  </w:r>
                </w:p>
              </w:tc>
              <w:tc>
                <w:tcPr>
                  <w:tcW w:w="1120" w:type="dxa"/>
                  <w:vAlign w:val="center"/>
                </w:tcPr>
                <w:p w14:paraId="6ED73964">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p>
              </w:tc>
            </w:tr>
          </w:tbl>
          <w:p w14:paraId="0C63FF1A">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000000" w:themeColor="text1"/>
                <w:kern w:val="0"/>
                <w:sz w:val="24"/>
                <w:szCs w:val="24"/>
                <w:vertAlign w:val="baseline"/>
                <w:lang w:val="en-US" w:eastAsia="zh-CN" w:bidi="ar"/>
                <w14:textFill>
                  <w14:solidFill>
                    <w14:schemeClr w14:val="tx1"/>
                  </w14:solidFill>
                </w14:textFill>
              </w:rPr>
            </w:pPr>
            <w:r>
              <w:rPr>
                <w:rFonts w:hint="default" w:ascii="Times New Roman" w:hAnsi="Times New Roman" w:eastAsia="宋体" w:cs="Times New Roman"/>
                <w:b/>
                <w:bCs/>
                <w:color w:val="000000" w:themeColor="text1"/>
                <w:kern w:val="0"/>
                <w:sz w:val="24"/>
                <w:szCs w:val="24"/>
                <w:vertAlign w:val="baseline"/>
                <w:lang w:val="en-US" w:eastAsia="zh-CN" w:bidi="ar"/>
                <w14:textFill>
                  <w14:solidFill>
                    <w14:schemeClr w14:val="tx1"/>
                  </w14:solidFill>
                </w14:textFill>
              </w:rPr>
              <w:t>（2）厂界噪声达标情况分析</w:t>
            </w:r>
          </w:p>
          <w:p w14:paraId="32E90C6F">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000000" w:themeColor="text1"/>
                <w:kern w:val="0"/>
                <w:sz w:val="24"/>
                <w:szCs w:val="24"/>
                <w:vertAlign w:val="baseline"/>
                <w:lang w:val="en-US" w:eastAsia="zh-CN" w:bidi="ar"/>
                <w14:textFill>
                  <w14:solidFill>
                    <w14:schemeClr w14:val="tx1"/>
                  </w14:solidFill>
                </w14:textFill>
              </w:rPr>
            </w:pPr>
            <w:r>
              <w:rPr>
                <w:rFonts w:hint="default" w:ascii="Times New Roman" w:hAnsi="Times New Roman" w:eastAsia="宋体" w:cs="Times New Roman"/>
                <w:color w:val="000000" w:themeColor="text1"/>
                <w:sz w:val="24"/>
                <w:szCs w:val="24"/>
                <w:vertAlign w:val="baseline"/>
                <w:lang w:val="en-US" w:eastAsia="zh-CN"/>
                <w14:textFill>
                  <w14:solidFill>
                    <w14:schemeClr w14:val="tx1"/>
                  </w14:solidFill>
                </w14:textFill>
              </w:rPr>
              <w:t>本项目夜间不生产，厂界外50m范围内无声环境保护目标，本次分析项目运营期厂界昼间噪声贡献值达标情况。</w:t>
            </w:r>
            <w:r>
              <w:rPr>
                <w:rFonts w:hint="default" w:ascii="Times New Roman" w:hAnsi="Times New Roman" w:eastAsia="宋体" w:cs="Times New Roman"/>
                <w:b w:val="0"/>
                <w:bCs w:val="0"/>
                <w:color w:val="000000" w:themeColor="text1"/>
                <w:kern w:val="0"/>
                <w:sz w:val="24"/>
                <w:szCs w:val="24"/>
                <w:vertAlign w:val="baseline"/>
                <w:lang w:val="en-US" w:eastAsia="zh-CN" w:bidi="ar"/>
                <w14:textFill>
                  <w14:solidFill>
                    <w14:schemeClr w14:val="tx1"/>
                  </w14:solidFill>
                </w14:textFill>
              </w:rPr>
              <w:t>厂界噪声贡献值计算公式如下：</w:t>
            </w:r>
          </w:p>
          <w:p w14:paraId="409266AF">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000000" w:themeColor="text1"/>
                <w:kern w:val="0"/>
                <w:sz w:val="24"/>
                <w:szCs w:val="24"/>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4"/>
                <w:szCs w:val="24"/>
                <w:vertAlign w:val="baseline"/>
                <w:lang w:val="en-US" w:eastAsia="zh-CN" w:bidi="ar"/>
                <w14:textFill>
                  <w14:solidFill>
                    <w14:schemeClr w14:val="tx1"/>
                  </w14:solidFill>
                </w14:textFill>
              </w:rPr>
              <w:t>首先设靠近开口处（或窗户）室内、室外某倍频带的声压级或A声级分别为Lp</w:t>
            </w:r>
            <w:r>
              <w:rPr>
                <w:rFonts w:hint="default" w:ascii="Times New Roman" w:hAnsi="Times New Roman" w:eastAsia="宋体" w:cs="Times New Roman"/>
                <w:b w:val="0"/>
                <w:bCs w:val="0"/>
                <w:color w:val="000000" w:themeColor="text1"/>
                <w:kern w:val="0"/>
                <w:sz w:val="24"/>
                <w:szCs w:val="24"/>
                <w:vertAlign w:val="subscript"/>
                <w:lang w:val="en-US" w:eastAsia="zh-CN" w:bidi="ar"/>
                <w14:textFill>
                  <w14:solidFill>
                    <w14:schemeClr w14:val="tx1"/>
                  </w14:solidFill>
                </w14:textFill>
              </w:rPr>
              <w:t>1</w:t>
            </w:r>
            <w:r>
              <w:rPr>
                <w:rFonts w:hint="default" w:ascii="Times New Roman" w:hAnsi="Times New Roman" w:eastAsia="宋体" w:cs="Times New Roman"/>
                <w:b w:val="0"/>
                <w:bCs w:val="0"/>
                <w:color w:val="000000" w:themeColor="text1"/>
                <w:kern w:val="0"/>
                <w:sz w:val="24"/>
                <w:szCs w:val="24"/>
                <w:vertAlign w:val="baseline"/>
                <w:lang w:val="en-US" w:eastAsia="zh-CN" w:bidi="ar"/>
                <w14:textFill>
                  <w14:solidFill>
                    <w14:schemeClr w14:val="tx1"/>
                  </w14:solidFill>
                </w14:textFill>
              </w:rPr>
              <w:t>和Lp</w:t>
            </w:r>
            <w:r>
              <w:rPr>
                <w:rFonts w:hint="default" w:ascii="Times New Roman" w:hAnsi="Times New Roman" w:eastAsia="宋体" w:cs="Times New Roman"/>
                <w:b w:val="0"/>
                <w:bCs w:val="0"/>
                <w:color w:val="000000" w:themeColor="text1"/>
                <w:kern w:val="0"/>
                <w:sz w:val="24"/>
                <w:szCs w:val="24"/>
                <w:vertAlign w:val="subscript"/>
                <w:lang w:val="en-US" w:eastAsia="zh-CN" w:bidi="ar"/>
                <w14:textFill>
                  <w14:solidFill>
                    <w14:schemeClr w14:val="tx1"/>
                  </w14:solidFill>
                </w14:textFill>
              </w:rPr>
              <w:t>2</w:t>
            </w:r>
            <w:r>
              <w:rPr>
                <w:rFonts w:hint="default" w:ascii="Times New Roman" w:hAnsi="Times New Roman" w:eastAsia="宋体" w:cs="Times New Roman"/>
                <w:b w:val="0"/>
                <w:bCs w:val="0"/>
                <w:color w:val="000000" w:themeColor="text1"/>
                <w:kern w:val="0"/>
                <w:sz w:val="24"/>
                <w:szCs w:val="24"/>
                <w:vertAlign w:val="baseline"/>
                <w:lang w:val="en-US" w:eastAsia="zh-CN" w:bidi="ar"/>
                <w14:textFill>
                  <w14:solidFill>
                    <w14:schemeClr w14:val="tx1"/>
                  </w14:solidFill>
                </w14:textFill>
              </w:rPr>
              <w:t>。如图4-1所示。</w:t>
            </w:r>
          </w:p>
          <w:p w14:paraId="1931175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val="0"/>
                <w:bCs w:val="0"/>
                <w:color w:val="000000" w:themeColor="text1"/>
                <w:kern w:val="0"/>
                <w:sz w:val="24"/>
                <w:szCs w:val="24"/>
                <w:vertAlign w:val="baseline"/>
                <w:lang w:val="en-US" w:eastAsia="zh-CN" w:bidi="ar"/>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drawing>
                <wp:inline distT="0" distB="0" distL="114300" distR="114300">
                  <wp:extent cx="3312160" cy="1584325"/>
                  <wp:effectExtent l="0" t="0" r="2540" b="1587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8"/>
                          <a:stretch>
                            <a:fillRect/>
                          </a:stretch>
                        </pic:blipFill>
                        <pic:spPr>
                          <a:xfrm>
                            <a:off x="0" y="0"/>
                            <a:ext cx="3312160" cy="1584325"/>
                          </a:xfrm>
                          <a:prstGeom prst="rect">
                            <a:avLst/>
                          </a:prstGeom>
                          <a:noFill/>
                          <a:ln>
                            <a:noFill/>
                          </a:ln>
                        </pic:spPr>
                      </pic:pic>
                    </a:graphicData>
                  </a:graphic>
                </wp:inline>
              </w:drawing>
            </w:r>
          </w:p>
          <w:p w14:paraId="20D055D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bCs/>
                <w:color w:val="000000" w:themeColor="text1"/>
                <w:kern w:val="0"/>
                <w:sz w:val="24"/>
                <w:szCs w:val="24"/>
                <w:vertAlign w:val="baseline"/>
                <w:lang w:val="en-US" w:eastAsia="zh-CN" w:bidi="ar"/>
                <w14:textFill>
                  <w14:solidFill>
                    <w14:schemeClr w14:val="tx1"/>
                  </w14:solidFill>
                </w14:textFill>
              </w:rPr>
            </w:pPr>
            <w:r>
              <w:rPr>
                <w:rFonts w:hint="default" w:ascii="Times New Roman" w:hAnsi="Times New Roman" w:eastAsia="宋体" w:cs="Times New Roman"/>
                <w:b/>
                <w:bCs/>
                <w:color w:val="000000" w:themeColor="text1"/>
                <w:kern w:val="0"/>
                <w:sz w:val="24"/>
                <w:szCs w:val="24"/>
                <w:vertAlign w:val="baseline"/>
                <w:lang w:val="en-US" w:eastAsia="zh-CN" w:bidi="ar"/>
                <w14:textFill>
                  <w14:solidFill>
                    <w14:schemeClr w14:val="tx1"/>
                  </w14:solidFill>
                </w14:textFill>
              </w:rPr>
              <w:t>图4-1  室内声源等效为室外声源图例</w:t>
            </w:r>
          </w:p>
          <w:p w14:paraId="539FC0A6">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000000" w:themeColor="text1"/>
                <w:kern w:val="0"/>
                <w:sz w:val="24"/>
                <w:szCs w:val="24"/>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4"/>
                <w:szCs w:val="24"/>
                <w:vertAlign w:val="baseline"/>
                <w:lang w:val="en-US" w:eastAsia="zh-CN" w:bidi="ar"/>
                <w14:textFill>
                  <w14:solidFill>
                    <w14:schemeClr w14:val="tx1"/>
                  </w14:solidFill>
                </w14:textFill>
              </w:rPr>
              <w:t>按照式（4-1）计算某一室内声源靠近围护结构处产生的倍频带声压级或A声级：</w:t>
            </w:r>
          </w:p>
          <w:p w14:paraId="3449284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val="0"/>
                <w:bCs w:val="0"/>
                <w:color w:val="000000" w:themeColor="text1"/>
                <w:kern w:val="0"/>
                <w:sz w:val="24"/>
                <w:szCs w:val="24"/>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4"/>
                <w:szCs w:val="24"/>
                <w:vertAlign w:val="baseline"/>
                <w:lang w:val="en-US" w:eastAsia="zh-CN" w:bidi="ar"/>
                <w14:textFill>
                  <w14:solidFill>
                    <w14:schemeClr w14:val="tx1"/>
                  </w14:solidFill>
                </w14:textFill>
              </w:rPr>
              <w:t xml:space="preserve">             </w:t>
            </w:r>
            <w:r>
              <w:rPr>
                <w:rFonts w:hint="default" w:ascii="Times New Roman" w:hAnsi="Times New Roman" w:eastAsia="宋体" w:cs="Times New Roman"/>
                <w:b w:val="0"/>
                <w:bCs w:val="0"/>
                <w:color w:val="000000" w:themeColor="text1"/>
                <w:kern w:val="0"/>
                <w:position w:val="-28"/>
                <w:sz w:val="24"/>
                <w:szCs w:val="24"/>
                <w:vertAlign w:val="baseline"/>
                <w:lang w:val="en-US" w:eastAsia="zh-CN" w:bidi="ar"/>
                <w14:textFill>
                  <w14:solidFill>
                    <w14:schemeClr w14:val="tx1"/>
                  </w14:solidFill>
                </w14:textFill>
              </w:rPr>
              <w:object>
                <v:shape id="_x0000_i1025" o:spt="75" type="#_x0000_t75" style="height:34pt;width:132pt;" o:ole="t" filled="f" o:preferrelative="t" stroked="f" coordsize="21600,21600">
                  <v:path/>
                  <v:fill on="f" focussize="0,0"/>
                  <v:stroke on="f"/>
                  <v:imagedata r:id="rId10" o:title=""/>
                  <o:lock v:ext="edit" aspectratio="t"/>
                  <w10:wrap type="none"/>
                  <w10:anchorlock/>
                </v:shape>
                <o:OLEObject Type="Embed" ProgID="Equation.KSEE3" ShapeID="_x0000_i1025" DrawAspect="Content" ObjectID="_1468075725" r:id="rId9">
                  <o:LockedField>false</o:LockedField>
                </o:OLEObject>
              </w:object>
            </w:r>
            <w:r>
              <w:rPr>
                <w:rFonts w:hint="default" w:ascii="Times New Roman" w:hAnsi="Times New Roman" w:eastAsia="宋体" w:cs="Times New Roman"/>
                <w:b w:val="0"/>
                <w:bCs w:val="0"/>
                <w:color w:val="000000" w:themeColor="text1"/>
                <w:kern w:val="0"/>
                <w:sz w:val="24"/>
                <w:szCs w:val="24"/>
                <w:vertAlign w:val="baseline"/>
                <w:lang w:val="en-US" w:eastAsia="zh-CN" w:bidi="ar"/>
                <w14:textFill>
                  <w14:solidFill>
                    <w14:schemeClr w14:val="tx1"/>
                  </w14:solidFill>
                </w14:textFill>
              </w:rPr>
              <w:t xml:space="preserve">                                  （4-1）</w:t>
            </w:r>
          </w:p>
          <w:p w14:paraId="55E68A38">
            <w:pPr>
              <w:keepNext w:val="0"/>
              <w:keepLines w:val="0"/>
              <w:pageBreakBefore w:val="0"/>
              <w:widowControl/>
              <w:suppressLineNumbers w:val="0"/>
              <w:kinsoku/>
              <w:wordWrap/>
              <w:overflowPunct/>
              <w:topLinePunct w:val="0"/>
              <w:autoSpaceDE/>
              <w:autoSpaceDN/>
              <w:bidi w:val="0"/>
              <w:adjustRightInd/>
              <w:snapToGrid/>
              <w:spacing w:line="360" w:lineRule="auto"/>
              <w:ind w:left="1199" w:leftChars="228" w:hanging="720" w:hangingChars="300"/>
              <w:jc w:val="both"/>
              <w:textAlignment w:val="auto"/>
              <w:rPr>
                <w:rFonts w:hint="default" w:ascii="Times New Roman" w:hAnsi="Times New Roman" w:eastAsia="宋体" w:cs="Times New Roman"/>
                <w:b w:val="0"/>
                <w:bCs w:val="0"/>
                <w:color w:val="000000" w:themeColor="text1"/>
                <w:kern w:val="0"/>
                <w:sz w:val="24"/>
                <w:szCs w:val="24"/>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4"/>
                <w:szCs w:val="24"/>
                <w:vertAlign w:val="baseline"/>
                <w:lang w:val="en-US" w:eastAsia="zh-CN" w:bidi="ar"/>
                <w14:textFill>
                  <w14:solidFill>
                    <w14:schemeClr w14:val="tx1"/>
                  </w14:solidFill>
                </w14:textFill>
              </w:rPr>
              <w:t>式中：L</w:t>
            </w:r>
            <w:r>
              <w:rPr>
                <w:rFonts w:hint="default" w:ascii="Times New Roman" w:hAnsi="Times New Roman" w:eastAsia="宋体" w:cs="Times New Roman"/>
                <w:b w:val="0"/>
                <w:bCs w:val="0"/>
                <w:color w:val="000000" w:themeColor="text1"/>
                <w:kern w:val="0"/>
                <w:sz w:val="24"/>
                <w:szCs w:val="24"/>
                <w:vertAlign w:val="subscript"/>
                <w:lang w:val="en-US" w:eastAsia="zh-CN" w:bidi="ar"/>
                <w14:textFill>
                  <w14:solidFill>
                    <w14:schemeClr w14:val="tx1"/>
                  </w14:solidFill>
                </w14:textFill>
              </w:rPr>
              <w:t>p1</w:t>
            </w:r>
            <w:r>
              <w:rPr>
                <w:rFonts w:hint="default" w:ascii="Times New Roman" w:hAnsi="Times New Roman" w:eastAsia="宋体" w:cs="Times New Roman"/>
                <w:b w:val="0"/>
                <w:bCs w:val="0"/>
                <w:color w:val="000000" w:themeColor="text1"/>
                <w:kern w:val="0"/>
                <w:sz w:val="24"/>
                <w:szCs w:val="24"/>
                <w:vertAlign w:val="baseline"/>
                <w:lang w:val="en-US" w:eastAsia="zh-CN" w:bidi="ar"/>
                <w14:textFill>
                  <w14:solidFill>
                    <w14:schemeClr w14:val="tx1"/>
                  </w14:solidFill>
                </w14:textFill>
              </w:rPr>
              <w:t>——靠近开口处（或窗户）室内某倍频带的声压级或A声级，dB；</w:t>
            </w:r>
          </w:p>
          <w:p w14:paraId="08D5A73E">
            <w:pPr>
              <w:keepNext w:val="0"/>
              <w:keepLines w:val="0"/>
              <w:pageBreakBefore w:val="0"/>
              <w:widowControl/>
              <w:suppressLineNumbers w:val="0"/>
              <w:kinsoku/>
              <w:wordWrap/>
              <w:overflowPunct/>
              <w:topLinePunct w:val="0"/>
              <w:autoSpaceDE/>
              <w:autoSpaceDN/>
              <w:bidi w:val="0"/>
              <w:adjustRightInd/>
              <w:snapToGrid/>
              <w:spacing w:line="360" w:lineRule="auto"/>
              <w:ind w:firstLine="1200" w:firstLineChars="500"/>
              <w:jc w:val="both"/>
              <w:textAlignment w:val="auto"/>
              <w:rPr>
                <w:rFonts w:hint="default" w:ascii="Times New Roman" w:hAnsi="Times New Roman" w:eastAsia="宋体" w:cs="Times New Roman"/>
                <w:b w:val="0"/>
                <w:bCs w:val="0"/>
                <w:color w:val="000000" w:themeColor="text1"/>
                <w:kern w:val="0"/>
                <w:sz w:val="24"/>
                <w:szCs w:val="24"/>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4"/>
                <w:szCs w:val="24"/>
                <w:vertAlign w:val="baseline"/>
                <w:lang w:val="en-US" w:eastAsia="zh-CN" w:bidi="ar"/>
                <w14:textFill>
                  <w14:solidFill>
                    <w14:schemeClr w14:val="tx1"/>
                  </w14:solidFill>
                </w14:textFill>
              </w:rPr>
              <w:t>L</w:t>
            </w:r>
            <w:r>
              <w:rPr>
                <w:rFonts w:hint="default" w:ascii="Times New Roman" w:hAnsi="Times New Roman" w:eastAsia="宋体" w:cs="Times New Roman"/>
                <w:b w:val="0"/>
                <w:bCs w:val="0"/>
                <w:color w:val="000000" w:themeColor="text1"/>
                <w:kern w:val="0"/>
                <w:sz w:val="24"/>
                <w:szCs w:val="24"/>
                <w:vertAlign w:val="subscript"/>
                <w:lang w:val="en-US" w:eastAsia="zh-CN" w:bidi="ar"/>
                <w14:textFill>
                  <w14:solidFill>
                    <w14:schemeClr w14:val="tx1"/>
                  </w14:solidFill>
                </w14:textFill>
              </w:rPr>
              <w:t>w</w:t>
            </w:r>
            <w:r>
              <w:rPr>
                <w:rFonts w:hint="default" w:ascii="Times New Roman" w:hAnsi="Times New Roman" w:eastAsia="宋体" w:cs="Times New Roman"/>
                <w:b w:val="0"/>
                <w:bCs w:val="0"/>
                <w:color w:val="000000" w:themeColor="text1"/>
                <w:kern w:val="0"/>
                <w:sz w:val="24"/>
                <w:szCs w:val="24"/>
                <w:vertAlign w:val="baseline"/>
                <w:lang w:val="en-US" w:eastAsia="zh-CN" w:bidi="ar"/>
                <w14:textFill>
                  <w14:solidFill>
                    <w14:schemeClr w14:val="tx1"/>
                  </w14:solidFill>
                </w14:textFill>
              </w:rPr>
              <w:t>——点声源声功率级（A计权或倍频带），dB；</w:t>
            </w:r>
          </w:p>
          <w:p w14:paraId="115B2671">
            <w:pPr>
              <w:keepNext w:val="0"/>
              <w:keepLines w:val="0"/>
              <w:pageBreakBefore w:val="0"/>
              <w:widowControl/>
              <w:suppressLineNumbers w:val="0"/>
              <w:kinsoku/>
              <w:wordWrap/>
              <w:overflowPunct/>
              <w:topLinePunct w:val="0"/>
              <w:autoSpaceDE/>
              <w:autoSpaceDN/>
              <w:bidi w:val="0"/>
              <w:adjustRightInd/>
              <w:snapToGrid/>
              <w:spacing w:line="360" w:lineRule="auto"/>
              <w:ind w:left="1437" w:leftChars="570" w:hanging="240" w:hangingChars="100"/>
              <w:jc w:val="both"/>
              <w:textAlignment w:val="auto"/>
              <w:rPr>
                <w:rFonts w:hint="default" w:ascii="Times New Roman" w:hAnsi="Times New Roman" w:eastAsia="宋体" w:cs="Times New Roman"/>
                <w:b w:val="0"/>
                <w:bCs w:val="0"/>
                <w:color w:val="000000" w:themeColor="text1"/>
                <w:kern w:val="0"/>
                <w:sz w:val="24"/>
                <w:szCs w:val="24"/>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4"/>
                <w:szCs w:val="24"/>
                <w:vertAlign w:val="baseline"/>
                <w:lang w:val="en-US" w:eastAsia="zh-CN" w:bidi="ar"/>
                <w14:textFill>
                  <w14:solidFill>
                    <w14:schemeClr w14:val="tx1"/>
                  </w14:solidFill>
                </w14:textFill>
              </w:rPr>
              <w:t>Q——指向性因数；通常对无指向性声源，当声源放在房间中心时，Q=1；</w:t>
            </w:r>
          </w:p>
          <w:p w14:paraId="1CE1CEBB">
            <w:pPr>
              <w:keepNext w:val="0"/>
              <w:keepLines w:val="0"/>
              <w:pageBreakBefore w:val="0"/>
              <w:widowControl/>
              <w:suppressLineNumbers w:val="0"/>
              <w:kinsoku/>
              <w:wordWrap/>
              <w:overflowPunct/>
              <w:topLinePunct w:val="0"/>
              <w:autoSpaceDE/>
              <w:autoSpaceDN/>
              <w:bidi w:val="0"/>
              <w:adjustRightInd/>
              <w:snapToGrid/>
              <w:spacing w:line="360" w:lineRule="auto"/>
              <w:ind w:left="1437" w:leftChars="570" w:hanging="240" w:hangingChars="100"/>
              <w:jc w:val="both"/>
              <w:textAlignment w:val="auto"/>
              <w:rPr>
                <w:rFonts w:hint="default" w:ascii="Times New Roman" w:hAnsi="Times New Roman" w:eastAsia="宋体" w:cs="Times New Roman"/>
                <w:b w:val="0"/>
                <w:bCs w:val="0"/>
                <w:color w:val="000000" w:themeColor="text1"/>
                <w:kern w:val="0"/>
                <w:sz w:val="24"/>
                <w:szCs w:val="24"/>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4"/>
                <w:szCs w:val="24"/>
                <w:vertAlign w:val="baseline"/>
                <w:lang w:val="en-US" w:eastAsia="zh-CN" w:bidi="ar"/>
                <w14:textFill>
                  <w14:solidFill>
                    <w14:schemeClr w14:val="tx1"/>
                  </w14:solidFill>
                </w14:textFill>
              </w:rPr>
              <w:t>当放在一面墙的中心时，Q=2；当放在两面墙夹角处时，Q=4；当放在三面</w:t>
            </w:r>
          </w:p>
          <w:p w14:paraId="27CD5DD2">
            <w:pPr>
              <w:keepNext w:val="0"/>
              <w:keepLines w:val="0"/>
              <w:pageBreakBefore w:val="0"/>
              <w:widowControl/>
              <w:suppressLineNumbers w:val="0"/>
              <w:kinsoku/>
              <w:wordWrap/>
              <w:overflowPunct/>
              <w:topLinePunct w:val="0"/>
              <w:autoSpaceDE/>
              <w:autoSpaceDN/>
              <w:bidi w:val="0"/>
              <w:adjustRightInd/>
              <w:snapToGrid/>
              <w:spacing w:line="360" w:lineRule="auto"/>
              <w:ind w:left="1437" w:leftChars="570" w:hanging="240" w:hangingChars="100"/>
              <w:jc w:val="both"/>
              <w:textAlignment w:val="auto"/>
              <w:rPr>
                <w:rFonts w:hint="default" w:ascii="Times New Roman" w:hAnsi="Times New Roman" w:eastAsia="宋体" w:cs="Times New Roman"/>
                <w:b w:val="0"/>
                <w:bCs w:val="0"/>
                <w:color w:val="000000" w:themeColor="text1"/>
                <w:kern w:val="0"/>
                <w:sz w:val="24"/>
                <w:szCs w:val="24"/>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4"/>
                <w:szCs w:val="24"/>
                <w:vertAlign w:val="baseline"/>
                <w:lang w:val="en-US" w:eastAsia="zh-CN" w:bidi="ar"/>
                <w14:textFill>
                  <w14:solidFill>
                    <w14:schemeClr w14:val="tx1"/>
                  </w14:solidFill>
                </w14:textFill>
              </w:rPr>
              <w:t>墙夹角处时，Q=8；</w:t>
            </w:r>
          </w:p>
          <w:p w14:paraId="51F201B7">
            <w:pPr>
              <w:keepNext w:val="0"/>
              <w:keepLines w:val="0"/>
              <w:pageBreakBefore w:val="0"/>
              <w:widowControl/>
              <w:suppressLineNumbers w:val="0"/>
              <w:kinsoku/>
              <w:wordWrap/>
              <w:overflowPunct/>
              <w:topLinePunct w:val="0"/>
              <w:autoSpaceDE/>
              <w:autoSpaceDN/>
              <w:bidi w:val="0"/>
              <w:adjustRightInd/>
              <w:snapToGrid/>
              <w:spacing w:line="360" w:lineRule="auto"/>
              <w:ind w:left="1197" w:leftChars="570" w:firstLine="0" w:firstLineChars="0"/>
              <w:jc w:val="both"/>
              <w:textAlignment w:val="auto"/>
              <w:rPr>
                <w:rFonts w:hint="default" w:ascii="Times New Roman" w:hAnsi="Times New Roman" w:eastAsia="宋体" w:cs="Times New Roman"/>
                <w:b w:val="0"/>
                <w:bCs w:val="0"/>
                <w:color w:val="000000" w:themeColor="text1"/>
                <w:kern w:val="0"/>
                <w:sz w:val="24"/>
                <w:szCs w:val="24"/>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4"/>
                <w:szCs w:val="24"/>
                <w:vertAlign w:val="baseline"/>
                <w:lang w:val="en-US" w:eastAsia="zh-CN" w:bidi="ar"/>
                <w14:textFill>
                  <w14:solidFill>
                    <w14:schemeClr w14:val="tx1"/>
                  </w14:solidFill>
                </w14:textFill>
              </w:rPr>
              <w:t>R——房间常数；R=Sα/（1-α），S为房间内表面面积，m</w:t>
            </w:r>
            <w:r>
              <w:rPr>
                <w:rFonts w:hint="default" w:ascii="Times New Roman" w:hAnsi="Times New Roman" w:eastAsia="宋体" w:cs="Times New Roman"/>
                <w:b w:val="0"/>
                <w:bCs w:val="0"/>
                <w:color w:val="000000" w:themeColor="text1"/>
                <w:kern w:val="0"/>
                <w:sz w:val="24"/>
                <w:szCs w:val="24"/>
                <w:vertAlign w:val="superscript"/>
                <w:lang w:val="en-US" w:eastAsia="zh-CN" w:bidi="ar"/>
                <w14:textFill>
                  <w14:solidFill>
                    <w14:schemeClr w14:val="tx1"/>
                  </w14:solidFill>
                </w14:textFill>
              </w:rPr>
              <w:t>2</w:t>
            </w:r>
            <w:r>
              <w:rPr>
                <w:rFonts w:hint="default" w:ascii="Times New Roman" w:hAnsi="Times New Roman" w:eastAsia="宋体" w:cs="Times New Roman"/>
                <w:b w:val="0"/>
                <w:bCs w:val="0"/>
                <w:color w:val="000000" w:themeColor="text1"/>
                <w:kern w:val="0"/>
                <w:sz w:val="24"/>
                <w:szCs w:val="24"/>
                <w:vertAlign w:val="baseline"/>
                <w:lang w:val="en-US" w:eastAsia="zh-CN" w:bidi="ar"/>
                <w14:textFill>
                  <w14:solidFill>
                    <w14:schemeClr w14:val="tx1"/>
                  </w14:solidFill>
                </w14:textFill>
              </w:rPr>
              <w:t>；α为平均吸声系数；</w:t>
            </w:r>
          </w:p>
          <w:p w14:paraId="13A0088F">
            <w:pPr>
              <w:keepNext w:val="0"/>
              <w:keepLines w:val="0"/>
              <w:pageBreakBefore w:val="0"/>
              <w:widowControl/>
              <w:suppressLineNumbers w:val="0"/>
              <w:kinsoku/>
              <w:wordWrap/>
              <w:overflowPunct/>
              <w:topLinePunct w:val="0"/>
              <w:autoSpaceDE/>
              <w:autoSpaceDN/>
              <w:bidi w:val="0"/>
              <w:adjustRightInd/>
              <w:snapToGrid/>
              <w:spacing w:line="360" w:lineRule="auto"/>
              <w:ind w:firstLine="1200" w:firstLineChars="500"/>
              <w:jc w:val="both"/>
              <w:textAlignment w:val="auto"/>
              <w:rPr>
                <w:rFonts w:hint="default" w:ascii="Times New Roman" w:hAnsi="Times New Roman" w:eastAsia="宋体" w:cs="Times New Roman"/>
                <w:b w:val="0"/>
                <w:bCs w:val="0"/>
                <w:color w:val="000000" w:themeColor="text1"/>
                <w:kern w:val="0"/>
                <w:sz w:val="24"/>
                <w:szCs w:val="24"/>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4"/>
                <w:szCs w:val="24"/>
                <w:vertAlign w:val="baseline"/>
                <w:lang w:val="en-US" w:eastAsia="zh-CN" w:bidi="ar"/>
                <w14:textFill>
                  <w14:solidFill>
                    <w14:schemeClr w14:val="tx1"/>
                  </w14:solidFill>
                </w14:textFill>
              </w:rPr>
              <w:t>r——声源到靠近围护结构某点处的距离，m。</w:t>
            </w:r>
          </w:p>
          <w:p w14:paraId="27ABDCB8">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000000" w:themeColor="text1"/>
                <w:kern w:val="0"/>
                <w:sz w:val="24"/>
                <w:szCs w:val="24"/>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4"/>
                <w:szCs w:val="24"/>
                <w:vertAlign w:val="baseline"/>
                <w:lang w:val="en-US" w:eastAsia="zh-CN" w:bidi="ar"/>
                <w14:textFill>
                  <w14:solidFill>
                    <w14:schemeClr w14:val="tx1"/>
                  </w14:solidFill>
                </w14:textFill>
              </w:rPr>
              <w:t>然后按式（4-2）计算出所有室内声源在围护结构处产生的i倍频带叠加声压级：</w:t>
            </w:r>
          </w:p>
          <w:p w14:paraId="3D917A4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000000" w:themeColor="text1"/>
                <w:sz w:val="24"/>
                <w:szCs w:val="24"/>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vertAlign w:val="baseline"/>
                <w:lang w:val="en-US" w:eastAsia="zh-CN"/>
                <w14:textFill>
                  <w14:solidFill>
                    <w14:schemeClr w14:val="tx1"/>
                  </w14:solidFill>
                </w14:textFill>
              </w:rPr>
              <w:t xml:space="preserve">              </w:t>
            </w:r>
            <w:r>
              <w:rPr>
                <w:rFonts w:hint="default" w:ascii="Times New Roman" w:hAnsi="Times New Roman" w:eastAsia="宋体" w:cs="Times New Roman"/>
                <w:color w:val="000000" w:themeColor="text1"/>
                <w:position w:val="-32"/>
                <w:sz w:val="24"/>
                <w:szCs w:val="24"/>
                <w:vertAlign w:val="baseline"/>
                <w:lang w:val="en-US" w:eastAsia="zh-CN"/>
                <w14:textFill>
                  <w14:solidFill>
                    <w14:schemeClr w14:val="tx1"/>
                  </w14:solidFill>
                </w14:textFill>
              </w:rPr>
              <w:object>
                <v:shape id="_x0000_i1026" o:spt="75" type="#_x0000_t75" style="height:38pt;width:132.95pt;" o:ole="t" filled="f" o:preferrelative="t" stroked="f" coordsize="21600,21600">
                  <v:path/>
                  <v:fill on="f" focussize="0,0"/>
                  <v:stroke on="f"/>
                  <v:imagedata r:id="rId12" o:title=""/>
                  <o:lock v:ext="edit" aspectratio="t"/>
                  <w10:wrap type="none"/>
                  <w10:anchorlock/>
                </v:shape>
                <o:OLEObject Type="Embed" ProgID="Equation.KSEE3" ShapeID="_x0000_i1026" DrawAspect="Content" ObjectID="_1468075726" r:id="rId11">
                  <o:LockedField>false</o:LockedField>
                </o:OLEObject>
              </w:object>
            </w:r>
            <w:r>
              <w:rPr>
                <w:rFonts w:hint="default" w:ascii="Times New Roman" w:hAnsi="Times New Roman" w:eastAsia="宋体" w:cs="Times New Roman"/>
                <w:color w:val="000000" w:themeColor="text1"/>
                <w:sz w:val="24"/>
                <w:szCs w:val="24"/>
                <w:vertAlign w:val="baseline"/>
                <w:lang w:val="en-US" w:eastAsia="zh-CN"/>
                <w14:textFill>
                  <w14:solidFill>
                    <w14:schemeClr w14:val="tx1"/>
                  </w14:solidFill>
                </w14:textFill>
              </w:rPr>
              <w:t xml:space="preserve">                                </w:t>
            </w:r>
            <w:r>
              <w:rPr>
                <w:rFonts w:hint="default" w:ascii="Times New Roman" w:hAnsi="Times New Roman" w:eastAsia="宋体" w:cs="Times New Roman"/>
                <w:b w:val="0"/>
                <w:bCs w:val="0"/>
                <w:color w:val="000000" w:themeColor="text1"/>
                <w:kern w:val="0"/>
                <w:sz w:val="24"/>
                <w:szCs w:val="24"/>
                <w:vertAlign w:val="baseline"/>
                <w:lang w:val="en-US" w:eastAsia="zh-CN" w:bidi="ar"/>
                <w14:textFill>
                  <w14:solidFill>
                    <w14:schemeClr w14:val="tx1"/>
                  </w14:solidFill>
                </w14:textFill>
              </w:rPr>
              <w:t>（4-2）</w:t>
            </w:r>
          </w:p>
          <w:p w14:paraId="696AA393">
            <w:pPr>
              <w:keepNext w:val="0"/>
              <w:keepLines w:val="0"/>
              <w:pageBreakBefore w:val="0"/>
              <w:widowControl/>
              <w:suppressLineNumbers w:val="0"/>
              <w:kinsoku/>
              <w:wordWrap/>
              <w:overflowPunct/>
              <w:topLinePunct w:val="0"/>
              <w:autoSpaceDE/>
              <w:autoSpaceDN/>
              <w:bidi w:val="0"/>
              <w:adjustRightInd/>
              <w:snapToGrid/>
              <w:spacing w:line="360" w:lineRule="auto"/>
              <w:ind w:left="1439" w:leftChars="228" w:hanging="960" w:hangingChars="400"/>
              <w:jc w:val="both"/>
              <w:textAlignment w:val="auto"/>
              <w:rPr>
                <w:rFonts w:hint="default" w:ascii="Times New Roman" w:hAnsi="Times New Roman" w:eastAsia="宋体" w:cs="Times New Roman"/>
                <w:color w:val="000000" w:themeColor="text1"/>
                <w:sz w:val="24"/>
                <w:szCs w:val="24"/>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vertAlign w:val="baseline"/>
                <w:lang w:val="en-US" w:eastAsia="zh-CN"/>
                <w14:textFill>
                  <w14:solidFill>
                    <w14:schemeClr w14:val="tx1"/>
                  </w14:solidFill>
                </w14:textFill>
              </w:rPr>
              <w:t>式中：L</w:t>
            </w:r>
            <w:r>
              <w:rPr>
                <w:rFonts w:hint="default" w:ascii="Times New Roman" w:hAnsi="Times New Roman" w:eastAsia="宋体" w:cs="Times New Roman"/>
                <w:color w:val="000000" w:themeColor="text1"/>
                <w:sz w:val="24"/>
                <w:szCs w:val="24"/>
                <w:vertAlign w:val="subscript"/>
                <w:lang w:val="en-US" w:eastAsia="zh-CN"/>
                <w14:textFill>
                  <w14:solidFill>
                    <w14:schemeClr w14:val="tx1"/>
                  </w14:solidFill>
                </w14:textFill>
              </w:rPr>
              <w:t>p1i</w:t>
            </w:r>
            <w:r>
              <w:rPr>
                <w:rFonts w:hint="default" w:ascii="Times New Roman" w:hAnsi="Times New Roman" w:eastAsia="宋体" w:cs="Times New Roman"/>
                <w:color w:val="000000" w:themeColor="text1"/>
                <w:sz w:val="24"/>
                <w:szCs w:val="24"/>
                <w:vertAlign w:val="baseline"/>
                <w:lang w:val="en-US" w:eastAsia="zh-CN"/>
                <w14:textFill>
                  <w14:solidFill>
                    <w14:schemeClr w14:val="tx1"/>
                  </w14:solidFill>
                </w14:textFill>
              </w:rPr>
              <w:t>（T）——靠近围护结构处室内N个声源i倍频带的叠加声压级，dB；</w:t>
            </w:r>
          </w:p>
          <w:p w14:paraId="5C746EFF">
            <w:pPr>
              <w:keepNext w:val="0"/>
              <w:keepLines w:val="0"/>
              <w:pageBreakBefore w:val="0"/>
              <w:widowControl/>
              <w:suppressLineNumbers w:val="0"/>
              <w:kinsoku/>
              <w:wordWrap/>
              <w:overflowPunct/>
              <w:topLinePunct w:val="0"/>
              <w:autoSpaceDE/>
              <w:autoSpaceDN/>
              <w:bidi w:val="0"/>
              <w:adjustRightInd/>
              <w:snapToGrid/>
              <w:spacing w:line="360" w:lineRule="auto"/>
              <w:ind w:firstLine="1200" w:firstLineChars="500"/>
              <w:jc w:val="both"/>
              <w:textAlignment w:val="auto"/>
              <w:rPr>
                <w:rFonts w:hint="default" w:ascii="Times New Roman" w:hAnsi="Times New Roman" w:eastAsia="宋体" w:cs="Times New Roman"/>
                <w:color w:val="000000" w:themeColor="text1"/>
                <w:sz w:val="24"/>
                <w:szCs w:val="24"/>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vertAlign w:val="baseline"/>
                <w:lang w:val="en-US" w:eastAsia="zh-CN"/>
                <w14:textFill>
                  <w14:solidFill>
                    <w14:schemeClr w14:val="tx1"/>
                  </w14:solidFill>
                </w14:textFill>
              </w:rPr>
              <w:t>L</w:t>
            </w:r>
            <w:r>
              <w:rPr>
                <w:rFonts w:hint="default" w:ascii="Times New Roman" w:hAnsi="Times New Roman" w:eastAsia="宋体" w:cs="Times New Roman"/>
                <w:color w:val="000000" w:themeColor="text1"/>
                <w:sz w:val="24"/>
                <w:szCs w:val="24"/>
                <w:vertAlign w:val="subscript"/>
                <w:lang w:val="en-US" w:eastAsia="zh-CN"/>
                <w14:textFill>
                  <w14:solidFill>
                    <w14:schemeClr w14:val="tx1"/>
                  </w14:solidFill>
                </w14:textFill>
              </w:rPr>
              <w:t>p1ij</w:t>
            </w:r>
            <w:r>
              <w:rPr>
                <w:rFonts w:hint="default" w:ascii="Times New Roman" w:hAnsi="Times New Roman" w:eastAsia="宋体" w:cs="Times New Roman"/>
                <w:color w:val="000000" w:themeColor="text1"/>
                <w:sz w:val="24"/>
                <w:szCs w:val="24"/>
                <w:vertAlign w:val="baseline"/>
                <w:lang w:val="en-US" w:eastAsia="zh-CN"/>
                <w14:textFill>
                  <w14:solidFill>
                    <w14:schemeClr w14:val="tx1"/>
                  </w14:solidFill>
                </w14:textFill>
              </w:rPr>
              <w:t>——室内j声源i倍频带的声压级，dB；</w:t>
            </w:r>
          </w:p>
          <w:p w14:paraId="2EB5B7AC">
            <w:pPr>
              <w:keepNext w:val="0"/>
              <w:keepLines w:val="0"/>
              <w:pageBreakBefore w:val="0"/>
              <w:widowControl/>
              <w:suppressLineNumbers w:val="0"/>
              <w:kinsoku/>
              <w:wordWrap/>
              <w:overflowPunct/>
              <w:topLinePunct w:val="0"/>
              <w:autoSpaceDE/>
              <w:autoSpaceDN/>
              <w:bidi w:val="0"/>
              <w:adjustRightInd/>
              <w:snapToGrid/>
              <w:spacing w:line="360" w:lineRule="auto"/>
              <w:ind w:firstLine="1200" w:firstLineChars="500"/>
              <w:jc w:val="both"/>
              <w:textAlignment w:val="auto"/>
              <w:rPr>
                <w:rFonts w:hint="default" w:ascii="Times New Roman" w:hAnsi="Times New Roman" w:eastAsia="宋体" w:cs="Times New Roman"/>
                <w:color w:val="000000" w:themeColor="text1"/>
                <w:sz w:val="24"/>
                <w:szCs w:val="24"/>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vertAlign w:val="baseline"/>
                <w:lang w:val="en-US" w:eastAsia="zh-CN"/>
                <w14:textFill>
                  <w14:solidFill>
                    <w14:schemeClr w14:val="tx1"/>
                  </w14:solidFill>
                </w14:textFill>
              </w:rPr>
              <w:t>N——室内声源总数。</w:t>
            </w:r>
          </w:p>
          <w:p w14:paraId="6113135F">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themeColor="text1"/>
                <w:sz w:val="24"/>
                <w:szCs w:val="24"/>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vertAlign w:val="baseline"/>
                <w:lang w:val="en-US" w:eastAsia="zh-CN"/>
                <w14:textFill>
                  <w14:solidFill>
                    <w14:schemeClr w14:val="tx1"/>
                  </w14:solidFill>
                </w14:textFill>
              </w:rPr>
              <w:t>在室内近似为扩散声场时，按式（4-3）计算出靠近室外围护结构处的声压级：</w:t>
            </w:r>
          </w:p>
          <w:p w14:paraId="5C8DA1F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000000" w:themeColor="text1"/>
                <w:sz w:val="24"/>
                <w:szCs w:val="24"/>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vertAlign w:val="baseline"/>
                <w:lang w:val="en-US" w:eastAsia="zh-CN"/>
                <w14:textFill>
                  <w14:solidFill>
                    <w14:schemeClr w14:val="tx1"/>
                  </w14:solidFill>
                </w14:textFill>
              </w:rPr>
              <w:t xml:space="preserve">             </w:t>
            </w:r>
            <w:r>
              <w:rPr>
                <w:rFonts w:hint="default" w:ascii="Times New Roman" w:hAnsi="Times New Roman" w:eastAsia="宋体" w:cs="Times New Roman"/>
                <w:color w:val="000000" w:themeColor="text1"/>
                <w:position w:val="-12"/>
                <w:sz w:val="24"/>
                <w:szCs w:val="24"/>
                <w:vertAlign w:val="baseline"/>
                <w:lang w:val="en-US" w:eastAsia="zh-CN"/>
                <w14:textFill>
                  <w14:solidFill>
                    <w14:schemeClr w14:val="tx1"/>
                  </w14:solidFill>
                </w14:textFill>
              </w:rPr>
              <w:object>
                <v:shape id="_x0000_i1027" o:spt="75" type="#_x0000_t75" style="height:18pt;width:132pt;" o:ole="t" filled="f" o:preferrelative="t" stroked="f" coordsize="21600,21600">
                  <v:path/>
                  <v:fill on="f" focussize="0,0"/>
                  <v:stroke on="f"/>
                  <v:imagedata r:id="rId14" o:title=""/>
                  <o:lock v:ext="edit" aspectratio="t"/>
                  <w10:wrap type="none"/>
                  <w10:anchorlock/>
                </v:shape>
                <o:OLEObject Type="Embed" ProgID="Equation.KSEE3" ShapeID="_x0000_i1027" DrawAspect="Content" ObjectID="_1468075727" r:id="rId13">
                  <o:LockedField>false</o:LockedField>
                </o:OLEObject>
              </w:object>
            </w:r>
            <w:r>
              <w:rPr>
                <w:rFonts w:hint="default" w:ascii="Times New Roman" w:hAnsi="Times New Roman" w:eastAsia="宋体" w:cs="Times New Roman"/>
                <w:color w:val="000000" w:themeColor="text1"/>
                <w:sz w:val="24"/>
                <w:szCs w:val="24"/>
                <w:vertAlign w:val="baseline"/>
                <w:lang w:val="en-US" w:eastAsia="zh-CN"/>
                <w14:textFill>
                  <w14:solidFill>
                    <w14:schemeClr w14:val="tx1"/>
                  </w14:solidFill>
                </w14:textFill>
              </w:rPr>
              <w:t xml:space="preserve">                                 </w:t>
            </w:r>
            <w:r>
              <w:rPr>
                <w:rFonts w:hint="default" w:ascii="Times New Roman" w:hAnsi="Times New Roman" w:eastAsia="宋体" w:cs="Times New Roman"/>
                <w:b w:val="0"/>
                <w:bCs w:val="0"/>
                <w:color w:val="000000" w:themeColor="text1"/>
                <w:kern w:val="0"/>
                <w:sz w:val="24"/>
                <w:szCs w:val="24"/>
                <w:vertAlign w:val="baseline"/>
                <w:lang w:val="en-US" w:eastAsia="zh-CN" w:bidi="ar"/>
                <w14:textFill>
                  <w14:solidFill>
                    <w14:schemeClr w14:val="tx1"/>
                  </w14:solidFill>
                </w14:textFill>
              </w:rPr>
              <w:t>（4-3）</w:t>
            </w:r>
          </w:p>
          <w:p w14:paraId="3CB92109">
            <w:pPr>
              <w:keepNext w:val="0"/>
              <w:keepLines w:val="0"/>
              <w:pageBreakBefore w:val="0"/>
              <w:widowControl/>
              <w:suppressLineNumbers w:val="0"/>
              <w:kinsoku/>
              <w:wordWrap/>
              <w:overflowPunct/>
              <w:topLinePunct w:val="0"/>
              <w:autoSpaceDE/>
              <w:autoSpaceDN/>
              <w:bidi w:val="0"/>
              <w:adjustRightInd/>
              <w:snapToGrid/>
              <w:spacing w:line="360" w:lineRule="auto"/>
              <w:ind w:left="1199" w:leftChars="228" w:hanging="720" w:hangingChars="300"/>
              <w:jc w:val="both"/>
              <w:textAlignment w:val="auto"/>
              <w:rPr>
                <w:rFonts w:hint="default" w:ascii="Times New Roman" w:hAnsi="Times New Roman" w:eastAsia="宋体" w:cs="Times New Roman"/>
                <w:color w:val="000000" w:themeColor="text1"/>
                <w:sz w:val="24"/>
                <w:szCs w:val="24"/>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vertAlign w:val="baseline"/>
                <w:lang w:val="en-US" w:eastAsia="zh-CN"/>
                <w14:textFill>
                  <w14:solidFill>
                    <w14:schemeClr w14:val="tx1"/>
                  </w14:solidFill>
                </w14:textFill>
              </w:rPr>
              <w:t>式中：L</w:t>
            </w:r>
            <w:r>
              <w:rPr>
                <w:rFonts w:hint="default" w:ascii="Times New Roman" w:hAnsi="Times New Roman" w:eastAsia="宋体" w:cs="Times New Roman"/>
                <w:color w:val="000000" w:themeColor="text1"/>
                <w:sz w:val="24"/>
                <w:szCs w:val="24"/>
                <w:vertAlign w:val="subscript"/>
                <w:lang w:val="en-US" w:eastAsia="zh-CN"/>
                <w14:textFill>
                  <w14:solidFill>
                    <w14:schemeClr w14:val="tx1"/>
                  </w14:solidFill>
                </w14:textFill>
              </w:rPr>
              <w:t>p2i</w:t>
            </w:r>
            <w:r>
              <w:rPr>
                <w:rFonts w:hint="default" w:ascii="Times New Roman" w:hAnsi="Times New Roman" w:eastAsia="宋体" w:cs="Times New Roman"/>
                <w:color w:val="000000" w:themeColor="text1"/>
                <w:sz w:val="24"/>
                <w:szCs w:val="24"/>
                <w:vertAlign w:val="baseline"/>
                <w:lang w:val="en-US" w:eastAsia="zh-CN"/>
                <w14:textFill>
                  <w14:solidFill>
                    <w14:schemeClr w14:val="tx1"/>
                  </w14:solidFill>
                </w14:textFill>
              </w:rPr>
              <w:t>（T）——靠近围护结构处室外N个声源i倍频带的叠加声压级，dB；</w:t>
            </w:r>
          </w:p>
          <w:p w14:paraId="6136D795">
            <w:pPr>
              <w:keepNext w:val="0"/>
              <w:keepLines w:val="0"/>
              <w:pageBreakBefore w:val="0"/>
              <w:widowControl/>
              <w:suppressLineNumbers w:val="0"/>
              <w:kinsoku/>
              <w:wordWrap/>
              <w:overflowPunct/>
              <w:topLinePunct w:val="0"/>
              <w:autoSpaceDE/>
              <w:autoSpaceDN/>
              <w:bidi w:val="0"/>
              <w:adjustRightInd/>
              <w:snapToGrid/>
              <w:spacing w:line="360" w:lineRule="auto"/>
              <w:ind w:left="1197" w:leftChars="570" w:firstLine="0" w:firstLineChars="0"/>
              <w:jc w:val="both"/>
              <w:textAlignment w:val="auto"/>
              <w:rPr>
                <w:rFonts w:hint="default" w:ascii="Times New Roman" w:hAnsi="Times New Roman" w:eastAsia="宋体" w:cs="Times New Roman"/>
                <w:color w:val="000000" w:themeColor="text1"/>
                <w:sz w:val="24"/>
                <w:szCs w:val="24"/>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vertAlign w:val="baseline"/>
                <w:lang w:val="en-US" w:eastAsia="zh-CN"/>
                <w14:textFill>
                  <w14:solidFill>
                    <w14:schemeClr w14:val="tx1"/>
                  </w14:solidFill>
                </w14:textFill>
              </w:rPr>
              <w:t>L</w:t>
            </w:r>
            <w:r>
              <w:rPr>
                <w:rFonts w:hint="default" w:ascii="Times New Roman" w:hAnsi="Times New Roman" w:eastAsia="宋体" w:cs="Times New Roman"/>
                <w:color w:val="000000" w:themeColor="text1"/>
                <w:sz w:val="24"/>
                <w:szCs w:val="24"/>
                <w:vertAlign w:val="subscript"/>
                <w:lang w:val="en-US" w:eastAsia="zh-CN"/>
                <w14:textFill>
                  <w14:solidFill>
                    <w14:schemeClr w14:val="tx1"/>
                  </w14:solidFill>
                </w14:textFill>
              </w:rPr>
              <w:t>p1i</w:t>
            </w:r>
            <w:r>
              <w:rPr>
                <w:rFonts w:hint="default" w:ascii="Times New Roman" w:hAnsi="Times New Roman" w:eastAsia="宋体" w:cs="Times New Roman"/>
                <w:color w:val="000000" w:themeColor="text1"/>
                <w:sz w:val="24"/>
                <w:szCs w:val="24"/>
                <w:vertAlign w:val="baseline"/>
                <w:lang w:val="en-US" w:eastAsia="zh-CN"/>
                <w14:textFill>
                  <w14:solidFill>
                    <w14:schemeClr w14:val="tx1"/>
                  </w14:solidFill>
                </w14:textFill>
              </w:rPr>
              <w:t>（T）——靠近围护结构处室内N个声源i倍频带的叠加声压级，dB；</w:t>
            </w:r>
          </w:p>
          <w:p w14:paraId="0D5E7FE8">
            <w:pPr>
              <w:keepNext w:val="0"/>
              <w:keepLines w:val="0"/>
              <w:pageBreakBefore w:val="0"/>
              <w:widowControl/>
              <w:suppressLineNumbers w:val="0"/>
              <w:kinsoku/>
              <w:wordWrap/>
              <w:overflowPunct/>
              <w:topLinePunct w:val="0"/>
              <w:autoSpaceDE/>
              <w:autoSpaceDN/>
              <w:bidi w:val="0"/>
              <w:adjustRightInd/>
              <w:snapToGrid/>
              <w:spacing w:line="360" w:lineRule="auto"/>
              <w:ind w:firstLine="1200" w:firstLineChars="500"/>
              <w:jc w:val="both"/>
              <w:textAlignment w:val="auto"/>
              <w:rPr>
                <w:rFonts w:hint="default" w:ascii="Times New Roman" w:hAnsi="Times New Roman" w:eastAsia="宋体" w:cs="Times New Roman"/>
                <w:color w:val="000000" w:themeColor="text1"/>
                <w:sz w:val="24"/>
                <w:szCs w:val="24"/>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vertAlign w:val="baseline"/>
                <w:lang w:val="en-US" w:eastAsia="zh-CN"/>
                <w14:textFill>
                  <w14:solidFill>
                    <w14:schemeClr w14:val="tx1"/>
                  </w14:solidFill>
                </w14:textFill>
              </w:rPr>
              <w:t>TL</w:t>
            </w:r>
            <w:r>
              <w:rPr>
                <w:rFonts w:hint="default" w:ascii="Times New Roman" w:hAnsi="Times New Roman" w:eastAsia="宋体" w:cs="Times New Roman"/>
                <w:color w:val="000000" w:themeColor="text1"/>
                <w:sz w:val="24"/>
                <w:szCs w:val="24"/>
                <w:vertAlign w:val="subscript"/>
                <w:lang w:val="en-US" w:eastAsia="zh-CN"/>
                <w14:textFill>
                  <w14:solidFill>
                    <w14:schemeClr w14:val="tx1"/>
                  </w14:solidFill>
                </w14:textFill>
              </w:rPr>
              <w:t>i</w:t>
            </w:r>
            <w:r>
              <w:rPr>
                <w:rFonts w:hint="default" w:ascii="Times New Roman" w:hAnsi="Times New Roman" w:eastAsia="宋体" w:cs="Times New Roman"/>
                <w:color w:val="000000" w:themeColor="text1"/>
                <w:sz w:val="24"/>
                <w:szCs w:val="24"/>
                <w:vertAlign w:val="baseline"/>
                <w:lang w:val="en-US" w:eastAsia="zh-CN"/>
                <w14:textFill>
                  <w14:solidFill>
                    <w14:schemeClr w14:val="tx1"/>
                  </w14:solidFill>
                </w14:textFill>
              </w:rPr>
              <w:t>——围护结构i倍频带的隔声量，dB。</w:t>
            </w:r>
          </w:p>
          <w:p w14:paraId="2E86BEE3">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然后按式（4-4）将室外声源的声压级和透过面积换算成等效的室外声源，计算出中心位置位于透声面积（S）处的等效声源的倍频带声功率级。</w:t>
            </w:r>
          </w:p>
          <w:p w14:paraId="53DC587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 xml:space="preserve">             </w:t>
            </w:r>
            <w:r>
              <w:rPr>
                <w:rFonts w:hint="default" w:ascii="Times New Roman" w:hAnsi="Times New Roman" w:eastAsia="宋体" w:cs="Times New Roman"/>
                <w:color w:val="000000" w:themeColor="text1"/>
                <w:position w:val="-14"/>
                <w:sz w:val="24"/>
                <w:szCs w:val="24"/>
                <w:lang w:val="en-US" w:eastAsia="zh-CN"/>
                <w14:textFill>
                  <w14:solidFill>
                    <w14:schemeClr w14:val="tx1"/>
                  </w14:solidFill>
                </w14:textFill>
              </w:rPr>
              <w:object>
                <v:shape id="_x0000_i1028" o:spt="75" type="#_x0000_t75" style="height:19pt;width:100pt;" o:ole="t" filled="f" o:preferrelative="t" stroked="f" coordsize="21600,21600">
                  <v:path/>
                  <v:fill on="f" focussize="0,0"/>
                  <v:stroke on="f"/>
                  <v:imagedata r:id="rId16" o:title=""/>
                  <o:lock v:ext="edit" aspectratio="t"/>
                  <w10:wrap type="none"/>
                  <w10:anchorlock/>
                </v:shape>
                <o:OLEObject Type="Embed" ProgID="Equation.KSEE3" ShapeID="_x0000_i1028" DrawAspect="Content" ObjectID="_1468075728" r:id="rId15">
                  <o:LockedField>false</o:LockedField>
                </o:OLEObject>
              </w:objec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 xml:space="preserve">                                       </w:t>
            </w:r>
            <w:r>
              <w:rPr>
                <w:rFonts w:hint="default" w:ascii="Times New Roman" w:hAnsi="Times New Roman" w:eastAsia="宋体" w:cs="Times New Roman"/>
                <w:b w:val="0"/>
                <w:bCs w:val="0"/>
                <w:color w:val="000000" w:themeColor="text1"/>
                <w:kern w:val="0"/>
                <w:sz w:val="24"/>
                <w:szCs w:val="24"/>
                <w:vertAlign w:val="baseline"/>
                <w:lang w:val="en-US" w:eastAsia="zh-CN" w:bidi="ar"/>
                <w14:textFill>
                  <w14:solidFill>
                    <w14:schemeClr w14:val="tx1"/>
                  </w14:solidFill>
                </w14:textFill>
              </w:rPr>
              <w:t>（4-4）</w:t>
            </w:r>
          </w:p>
          <w:p w14:paraId="600870E2">
            <w:pPr>
              <w:keepNext w:val="0"/>
              <w:keepLines w:val="0"/>
              <w:pageBreakBefore w:val="0"/>
              <w:widowControl/>
              <w:suppressLineNumbers w:val="0"/>
              <w:kinsoku/>
              <w:wordWrap/>
              <w:overflowPunct/>
              <w:topLinePunct w:val="0"/>
              <w:autoSpaceDE/>
              <w:autoSpaceDN/>
              <w:bidi w:val="0"/>
              <w:adjustRightInd/>
              <w:snapToGrid/>
              <w:spacing w:line="360" w:lineRule="auto"/>
              <w:ind w:left="1199" w:leftChars="228" w:hanging="720" w:hangingChars="300"/>
              <w:jc w:val="both"/>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式中：L</w:t>
            </w:r>
            <w:r>
              <w:rPr>
                <w:rFonts w:hint="default" w:ascii="Times New Roman" w:hAnsi="Times New Roman" w:eastAsia="宋体" w:cs="Times New Roman"/>
                <w:color w:val="000000" w:themeColor="text1"/>
                <w:sz w:val="24"/>
                <w:szCs w:val="24"/>
                <w:vertAlign w:val="subscript"/>
                <w:lang w:val="en-US" w:eastAsia="zh-CN"/>
                <w14:textFill>
                  <w14:solidFill>
                    <w14:schemeClr w14:val="tx1"/>
                  </w14:solidFill>
                </w14:textFill>
              </w:rPr>
              <w:t>w</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——中心位置位于透声面积（S）处的等效声源的倍频带声功率级，dB；</w:t>
            </w:r>
          </w:p>
          <w:p w14:paraId="2CA63B64">
            <w:pPr>
              <w:keepNext w:val="0"/>
              <w:keepLines w:val="0"/>
              <w:pageBreakBefore w:val="0"/>
              <w:widowControl/>
              <w:suppressLineNumbers w:val="0"/>
              <w:kinsoku/>
              <w:wordWrap/>
              <w:overflowPunct/>
              <w:topLinePunct w:val="0"/>
              <w:autoSpaceDE/>
              <w:autoSpaceDN/>
              <w:bidi w:val="0"/>
              <w:adjustRightInd/>
              <w:snapToGrid/>
              <w:spacing w:line="360" w:lineRule="auto"/>
              <w:ind w:firstLine="1200" w:firstLineChars="500"/>
              <w:jc w:val="both"/>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L</w:t>
            </w:r>
            <w:r>
              <w:rPr>
                <w:rFonts w:hint="default" w:ascii="Times New Roman" w:hAnsi="Times New Roman" w:eastAsia="宋体" w:cs="Times New Roman"/>
                <w:color w:val="000000" w:themeColor="text1"/>
                <w:sz w:val="24"/>
                <w:szCs w:val="24"/>
                <w:vertAlign w:val="subscript"/>
                <w:lang w:val="en-US" w:eastAsia="zh-CN"/>
                <w14:textFill>
                  <w14:solidFill>
                    <w14:schemeClr w14:val="tx1"/>
                  </w14:solidFill>
                </w14:textFill>
              </w:rPr>
              <w:t>p2</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(T)——靠近围护结构处室外声源的声压级，dB；</w:t>
            </w:r>
          </w:p>
          <w:p w14:paraId="1B06F143">
            <w:pPr>
              <w:keepNext w:val="0"/>
              <w:keepLines w:val="0"/>
              <w:pageBreakBefore w:val="0"/>
              <w:widowControl/>
              <w:suppressLineNumbers w:val="0"/>
              <w:kinsoku/>
              <w:wordWrap/>
              <w:overflowPunct/>
              <w:topLinePunct w:val="0"/>
              <w:autoSpaceDE/>
              <w:autoSpaceDN/>
              <w:bidi w:val="0"/>
              <w:adjustRightInd/>
              <w:snapToGrid/>
              <w:spacing w:line="360" w:lineRule="auto"/>
              <w:ind w:firstLine="1200" w:firstLineChars="500"/>
              <w:jc w:val="both"/>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S——透声面积，m</w:t>
            </w:r>
            <w:r>
              <w:rPr>
                <w:rFonts w:hint="default" w:ascii="Times New Roman" w:hAnsi="Times New Roman" w:eastAsia="宋体" w:cs="Times New Roman"/>
                <w:color w:val="000000" w:themeColor="text1"/>
                <w:sz w:val="24"/>
                <w:szCs w:val="24"/>
                <w:vertAlign w:val="superscript"/>
                <w:lang w:val="en-US" w:eastAsia="zh-CN"/>
                <w14:textFill>
                  <w14:solidFill>
                    <w14:schemeClr w14:val="tx1"/>
                  </w14:solidFill>
                </w14:textFill>
              </w:rPr>
              <w:t>2</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w:t>
            </w:r>
          </w:p>
          <w:p w14:paraId="4C4431E4">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然后按室外声源预测方法计算预测点处的A声级。本次室外噪声预测只考虑距离衰减，计算公式见（4-5）。</w:t>
            </w:r>
          </w:p>
          <w:p w14:paraId="26F12639">
            <w:pPr>
              <w:keepNext w:val="0"/>
              <w:keepLines w:val="0"/>
              <w:pageBreakBefore w:val="0"/>
              <w:widowControl/>
              <w:suppressLineNumbers w:val="0"/>
              <w:kinsoku/>
              <w:wordWrap/>
              <w:overflowPunct/>
              <w:topLinePunct w:val="0"/>
              <w:autoSpaceDE/>
              <w:autoSpaceDN/>
              <w:bidi w:val="0"/>
              <w:adjustRightInd/>
              <w:snapToGrid/>
              <w:spacing w:line="360" w:lineRule="auto"/>
              <w:ind w:firstLine="1440" w:firstLineChars="600"/>
              <w:jc w:val="both"/>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position w:val="-12"/>
                <w:sz w:val="24"/>
                <w:szCs w:val="24"/>
                <w:lang w:val="en-US" w:eastAsia="zh-CN"/>
                <w14:textFill>
                  <w14:solidFill>
                    <w14:schemeClr w14:val="tx1"/>
                  </w14:solidFill>
                </w14:textFill>
              </w:rPr>
              <w:object>
                <v:shape id="_x0000_i1029" o:spt="75" type="#_x0000_t75" style="height:18pt;width:103pt;" o:ole="t" filled="f" o:preferrelative="t" stroked="f" coordsize="21600,21600">
                  <v:path/>
                  <v:fill on="f" focussize="0,0"/>
                  <v:stroke on="f"/>
                  <v:imagedata r:id="rId18" o:title=""/>
                  <o:lock v:ext="edit" aspectratio="t"/>
                  <w10:wrap type="none"/>
                  <w10:anchorlock/>
                </v:shape>
                <o:OLEObject Type="Embed" ProgID="Equation.KSEE3" ShapeID="_x0000_i1029" DrawAspect="Content" ObjectID="_1468075729" r:id="rId17">
                  <o:LockedField>false</o:LockedField>
                </o:OLEObject>
              </w:objec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 xml:space="preserve">                                        </w:t>
            </w:r>
            <w:r>
              <w:rPr>
                <w:rFonts w:hint="default" w:ascii="Times New Roman" w:hAnsi="Times New Roman" w:eastAsia="宋体" w:cs="Times New Roman"/>
                <w:b w:val="0"/>
                <w:bCs w:val="0"/>
                <w:color w:val="000000" w:themeColor="text1"/>
                <w:kern w:val="0"/>
                <w:sz w:val="24"/>
                <w:szCs w:val="24"/>
                <w:vertAlign w:val="baseline"/>
                <w:lang w:val="en-US" w:eastAsia="zh-CN" w:bidi="ar"/>
                <w14:textFill>
                  <w14:solidFill>
                    <w14:schemeClr w14:val="tx1"/>
                  </w14:solidFill>
                </w14:textFill>
              </w:rPr>
              <w:t>（4-5）</w:t>
            </w:r>
          </w:p>
          <w:p w14:paraId="01B37D58">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式中：L</w:t>
            </w:r>
            <w:r>
              <w:rPr>
                <w:rFonts w:hint="default" w:ascii="Times New Roman" w:hAnsi="Times New Roman" w:eastAsia="宋体" w:cs="Times New Roman"/>
                <w:color w:val="000000" w:themeColor="text1"/>
                <w:sz w:val="24"/>
                <w:szCs w:val="24"/>
                <w:vertAlign w:val="subscript"/>
                <w:lang w:val="en-US" w:eastAsia="zh-CN"/>
                <w14:textFill>
                  <w14:solidFill>
                    <w14:schemeClr w14:val="tx1"/>
                  </w14:solidFill>
                </w14:textFill>
              </w:rPr>
              <w:t>p</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(r)——预测点处声压级，dB；</w:t>
            </w:r>
          </w:p>
          <w:p w14:paraId="0D6E67B2">
            <w:pPr>
              <w:keepNext w:val="0"/>
              <w:keepLines w:val="0"/>
              <w:pageBreakBefore w:val="0"/>
              <w:widowControl/>
              <w:suppressLineNumbers w:val="0"/>
              <w:kinsoku/>
              <w:wordWrap/>
              <w:overflowPunct/>
              <w:topLinePunct w:val="0"/>
              <w:autoSpaceDE/>
              <w:autoSpaceDN/>
              <w:bidi w:val="0"/>
              <w:adjustRightInd/>
              <w:snapToGrid/>
              <w:spacing w:line="360" w:lineRule="auto"/>
              <w:ind w:firstLine="1200" w:firstLineChars="500"/>
              <w:jc w:val="both"/>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L</w:t>
            </w:r>
            <w:r>
              <w:rPr>
                <w:rFonts w:hint="default" w:ascii="Times New Roman" w:hAnsi="Times New Roman" w:eastAsia="宋体" w:cs="Times New Roman"/>
                <w:color w:val="000000" w:themeColor="text1"/>
                <w:sz w:val="24"/>
                <w:szCs w:val="24"/>
                <w:vertAlign w:val="subscript"/>
                <w:lang w:val="en-US" w:eastAsia="zh-CN"/>
                <w14:textFill>
                  <w14:solidFill>
                    <w14:schemeClr w14:val="tx1"/>
                  </w14:solidFill>
                </w14:textFill>
              </w:rPr>
              <w:t>w</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——由点声源产生的倍频带声功率级，dB；</w:t>
            </w:r>
          </w:p>
          <w:p w14:paraId="026F1529">
            <w:pPr>
              <w:keepNext w:val="0"/>
              <w:keepLines w:val="0"/>
              <w:pageBreakBefore w:val="0"/>
              <w:widowControl/>
              <w:suppressLineNumbers w:val="0"/>
              <w:kinsoku/>
              <w:wordWrap/>
              <w:overflowPunct/>
              <w:topLinePunct w:val="0"/>
              <w:autoSpaceDE/>
              <w:autoSpaceDN/>
              <w:bidi w:val="0"/>
              <w:adjustRightInd/>
              <w:snapToGrid/>
              <w:spacing w:line="360" w:lineRule="auto"/>
              <w:ind w:firstLine="1200" w:firstLineChars="500"/>
              <w:jc w:val="both"/>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r——预测点距声源的距离。</w:t>
            </w:r>
          </w:p>
          <w:p w14:paraId="72B13DBA">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然后按式</w:t>
            </w:r>
            <w:r>
              <w:rPr>
                <w:rFonts w:hint="default" w:ascii="Times New Roman" w:hAnsi="Times New Roman" w:eastAsia="宋体" w:cs="Times New Roman"/>
                <w:color w:val="000000" w:themeColor="text1"/>
                <w:sz w:val="24"/>
                <w:szCs w:val="24"/>
                <w:vertAlign w:val="baseline"/>
                <w:lang w:val="en-US" w:eastAsia="zh-CN"/>
                <w14:textFill>
                  <w14:solidFill>
                    <w14:schemeClr w14:val="tx1"/>
                  </w14:solidFill>
                </w14:textFill>
              </w:rPr>
              <w:t>（4-6）计算</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声源在预测点产生的噪声贡献值。</w:t>
            </w:r>
          </w:p>
          <w:p w14:paraId="4DB08FAC">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position w:val="-30"/>
                <w:sz w:val="24"/>
                <w:szCs w:val="24"/>
                <w:lang w:val="en-US" w:eastAsia="zh-CN"/>
                <w14:textFill>
                  <w14:solidFill>
                    <w14:schemeClr w14:val="tx1"/>
                  </w14:solidFill>
                </w14:textFill>
              </w:rPr>
              <w:t xml:space="preserve">        </w:t>
            </w:r>
            <w:r>
              <w:rPr>
                <w:rFonts w:hint="default" w:ascii="Times New Roman" w:hAnsi="Times New Roman" w:eastAsia="宋体" w:cs="Times New Roman"/>
                <w:color w:val="000000" w:themeColor="text1"/>
                <w:position w:val="-30"/>
                <w:sz w:val="24"/>
                <w:szCs w:val="24"/>
                <w:lang w:val="en-US" w:eastAsia="zh-CN"/>
                <w14:textFill>
                  <w14:solidFill>
                    <w14:schemeClr w14:val="tx1"/>
                  </w14:solidFill>
                </w14:textFill>
              </w:rPr>
              <w:object>
                <v:shape id="_x0000_i1030" o:spt="75" type="#_x0000_t75" style="height:36pt;width:130pt;" o:ole="t" filled="f" o:preferrelative="t" stroked="f" coordsize="21600,21600">
                  <v:path/>
                  <v:fill on="f" focussize="0,0"/>
                  <v:stroke on="f"/>
                  <v:imagedata r:id="rId20" o:title=""/>
                  <o:lock v:ext="edit" aspectratio="t"/>
                  <w10:wrap type="none"/>
                  <w10:anchorlock/>
                </v:shape>
                <o:OLEObject Type="Embed" ProgID="Equation.KSEE3" ShapeID="_x0000_i1030" DrawAspect="Content" ObjectID="_1468075730" r:id="rId19">
                  <o:LockedField>false</o:LockedField>
                </o:OLEObject>
              </w:object>
            </w:r>
            <w:r>
              <w:rPr>
                <w:rFonts w:hint="default" w:ascii="Times New Roman" w:hAnsi="Times New Roman" w:eastAsia="宋体" w:cs="Times New Roman"/>
                <w:color w:val="000000" w:themeColor="text1"/>
                <w:position w:val="-30"/>
                <w:sz w:val="24"/>
                <w:szCs w:val="24"/>
                <w:lang w:val="en-US" w:eastAsia="zh-CN"/>
                <w14:textFill>
                  <w14:solidFill>
                    <w14:schemeClr w14:val="tx1"/>
                  </w14:solidFill>
                </w14:textFill>
              </w:rPr>
              <w:t xml:space="preserve">                                   </w:t>
            </w:r>
            <w:r>
              <w:rPr>
                <w:rFonts w:hint="default" w:ascii="Times New Roman" w:hAnsi="Times New Roman" w:eastAsia="宋体" w:cs="Times New Roman"/>
                <w:color w:val="000000" w:themeColor="text1"/>
                <w:sz w:val="24"/>
                <w:szCs w:val="24"/>
                <w:vertAlign w:val="baseline"/>
                <w:lang w:val="en-US" w:eastAsia="zh-CN"/>
                <w14:textFill>
                  <w14:solidFill>
                    <w14:schemeClr w14:val="tx1"/>
                  </w14:solidFill>
                </w14:textFill>
              </w:rPr>
              <w:t>（4-6）</w:t>
            </w:r>
          </w:p>
          <w:p w14:paraId="689C2A8A">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式中：Leqg——建设项目声源在预测点产生的噪声贡献值，dB；</w:t>
            </w:r>
          </w:p>
          <w:p w14:paraId="563FECE1">
            <w:pPr>
              <w:keepNext w:val="0"/>
              <w:keepLines w:val="0"/>
              <w:pageBreakBefore w:val="0"/>
              <w:widowControl/>
              <w:suppressLineNumbers w:val="0"/>
              <w:kinsoku/>
              <w:wordWrap/>
              <w:overflowPunct/>
              <w:topLinePunct w:val="0"/>
              <w:autoSpaceDE/>
              <w:autoSpaceDN/>
              <w:bidi w:val="0"/>
              <w:adjustRightInd/>
              <w:snapToGrid/>
              <w:spacing w:line="360" w:lineRule="auto"/>
              <w:ind w:firstLine="1200" w:firstLineChars="500"/>
              <w:jc w:val="left"/>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LAi——各噪声源在预测点r处产生的A声级，dB；</w:t>
            </w:r>
          </w:p>
          <w:p w14:paraId="24F850E5">
            <w:pPr>
              <w:keepNext w:val="0"/>
              <w:keepLines w:val="0"/>
              <w:pageBreakBefore w:val="0"/>
              <w:widowControl/>
              <w:suppressLineNumbers w:val="0"/>
              <w:kinsoku/>
              <w:wordWrap/>
              <w:overflowPunct/>
              <w:topLinePunct w:val="0"/>
              <w:autoSpaceDE/>
              <w:autoSpaceDN/>
              <w:bidi w:val="0"/>
              <w:adjustRightInd/>
              <w:snapToGrid/>
              <w:spacing w:line="360" w:lineRule="auto"/>
              <w:ind w:firstLine="1200" w:firstLineChars="500"/>
              <w:jc w:val="left"/>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N——室外声源个数；</w:t>
            </w:r>
          </w:p>
          <w:p w14:paraId="44C924FD">
            <w:pPr>
              <w:keepNext w:val="0"/>
              <w:keepLines w:val="0"/>
              <w:pageBreakBefore w:val="0"/>
              <w:widowControl/>
              <w:suppressLineNumbers w:val="0"/>
              <w:kinsoku/>
              <w:wordWrap/>
              <w:overflowPunct/>
              <w:topLinePunct w:val="0"/>
              <w:autoSpaceDE/>
              <w:autoSpaceDN/>
              <w:bidi w:val="0"/>
              <w:adjustRightInd/>
              <w:snapToGrid/>
              <w:spacing w:line="360" w:lineRule="auto"/>
              <w:ind w:firstLine="1200" w:firstLineChars="500"/>
              <w:jc w:val="left"/>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t</w:t>
            </w:r>
            <w:r>
              <w:rPr>
                <w:rFonts w:hint="default" w:ascii="Times New Roman" w:hAnsi="Times New Roman" w:eastAsia="宋体" w:cs="Times New Roman"/>
                <w:color w:val="000000" w:themeColor="text1"/>
                <w:sz w:val="24"/>
                <w:szCs w:val="24"/>
                <w:vertAlign w:val="subscript"/>
                <w:lang w:val="en-US" w:eastAsia="zh-CN"/>
                <w14:textFill>
                  <w14:solidFill>
                    <w14:schemeClr w14:val="tx1"/>
                  </w14:solidFill>
                </w14:textFill>
              </w:rPr>
              <w:t>i</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——在T时间内i声源工作时间，s；</w:t>
            </w:r>
          </w:p>
          <w:p w14:paraId="48358FF2">
            <w:pPr>
              <w:keepNext w:val="0"/>
              <w:keepLines w:val="0"/>
              <w:pageBreakBefore w:val="0"/>
              <w:widowControl/>
              <w:suppressLineNumbers w:val="0"/>
              <w:kinsoku/>
              <w:wordWrap/>
              <w:overflowPunct/>
              <w:topLinePunct w:val="0"/>
              <w:autoSpaceDE/>
              <w:autoSpaceDN/>
              <w:bidi w:val="0"/>
              <w:adjustRightInd/>
              <w:snapToGrid/>
              <w:spacing w:line="360" w:lineRule="auto"/>
              <w:ind w:firstLine="1200" w:firstLineChars="500"/>
              <w:jc w:val="both"/>
              <w:textAlignment w:val="auto"/>
              <w:rPr>
                <w:rFonts w:hint="default" w:ascii="Times New Roman" w:hAnsi="Times New Roman" w:eastAsia="宋体" w:cs="Times New Roman"/>
                <w:color w:val="000000" w:themeColor="text1"/>
                <w:sz w:val="24"/>
                <w:szCs w:val="24"/>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T——计算时间，s。</w:t>
            </w:r>
          </w:p>
          <w:p w14:paraId="1E84C52D">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themeColor="text1"/>
                <w:sz w:val="24"/>
                <w:szCs w:val="24"/>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vertAlign w:val="baseline"/>
                <w:lang w:val="en-US" w:eastAsia="zh-CN"/>
                <w14:textFill>
                  <w14:solidFill>
                    <w14:schemeClr w14:val="tx1"/>
                  </w14:solidFill>
                </w14:textFill>
              </w:rPr>
              <w:t>然后按式（4-7）计算敏感点的</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噪声预测值。</w:t>
            </w:r>
          </w:p>
          <w:p w14:paraId="20601708">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position w:val="-14"/>
                <w:sz w:val="24"/>
                <w:szCs w:val="24"/>
                <w:lang w:val="en-US" w:eastAsia="zh-CN"/>
                <w14:textFill>
                  <w14:solidFill>
                    <w14:schemeClr w14:val="tx1"/>
                  </w14:solidFill>
                </w14:textFill>
              </w:rPr>
              <w:t xml:space="preserve">             </w:t>
            </w:r>
            <w:r>
              <w:rPr>
                <w:rFonts w:hint="default" w:ascii="Times New Roman" w:hAnsi="Times New Roman" w:eastAsia="宋体" w:cs="Times New Roman"/>
                <w:color w:val="000000" w:themeColor="text1"/>
                <w:position w:val="-14"/>
                <w:sz w:val="24"/>
                <w:szCs w:val="24"/>
                <w:lang w:val="en-US" w:eastAsia="zh-CN"/>
                <w14:textFill>
                  <w14:solidFill>
                    <w14:schemeClr w14:val="tx1"/>
                  </w14:solidFill>
                </w14:textFill>
              </w:rPr>
              <w:object>
                <v:shape id="_x0000_i1031" o:spt="75" type="#_x0000_t75" style="height:21pt;width:134pt;" o:ole="t" filled="f" o:preferrelative="t" stroked="f" coordsize="21600,21600">
                  <v:path/>
                  <v:fill on="f" focussize="0,0"/>
                  <v:stroke on="f"/>
                  <v:imagedata r:id="rId22" o:title=""/>
                  <o:lock v:ext="edit" aspectratio="t"/>
                  <w10:wrap type="none"/>
                  <w10:anchorlock/>
                </v:shape>
                <o:OLEObject Type="Embed" ProgID="Equation.KSEE3" ShapeID="_x0000_i1031" DrawAspect="Content" ObjectID="_1468075731" r:id="rId21">
                  <o:LockedField>false</o:LockedField>
                </o:OLEObject>
              </w:object>
            </w:r>
            <w:r>
              <w:rPr>
                <w:rFonts w:hint="default" w:ascii="Times New Roman" w:hAnsi="Times New Roman" w:eastAsia="宋体" w:cs="Times New Roman"/>
                <w:color w:val="000000" w:themeColor="text1"/>
                <w:position w:val="-14"/>
                <w:sz w:val="24"/>
                <w:szCs w:val="24"/>
                <w:lang w:val="en-US" w:eastAsia="zh-CN"/>
                <w14:textFill>
                  <w14:solidFill>
                    <w14:schemeClr w14:val="tx1"/>
                  </w14:solidFill>
                </w14:textFill>
              </w:rPr>
              <w:t xml:space="preserve">                                 </w:t>
            </w:r>
            <w:r>
              <w:rPr>
                <w:rFonts w:hint="default" w:ascii="Times New Roman" w:hAnsi="Times New Roman" w:eastAsia="宋体" w:cs="Times New Roman"/>
                <w:color w:val="000000" w:themeColor="text1"/>
                <w:sz w:val="24"/>
                <w:szCs w:val="24"/>
                <w:vertAlign w:val="baseline"/>
                <w:lang w:val="en-US" w:eastAsia="zh-CN"/>
                <w14:textFill>
                  <w14:solidFill>
                    <w14:schemeClr w14:val="tx1"/>
                  </w14:solidFill>
                </w14:textFill>
              </w:rPr>
              <w:t>（4-7）</w:t>
            </w:r>
          </w:p>
          <w:p w14:paraId="751F4405">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式中：</w:t>
            </w:r>
            <w:r>
              <w:rPr>
                <w:rFonts w:hint="default" w:ascii="Times New Roman" w:hAnsi="Times New Roman" w:eastAsia="宋体" w:cs="Times New Roman"/>
                <w:i/>
                <w:iCs/>
                <w:color w:val="000000" w:themeColor="text1"/>
                <w:kern w:val="0"/>
                <w:sz w:val="24"/>
                <w:szCs w:val="24"/>
                <w:lang w:val="en-US" w:eastAsia="zh-CN" w:bidi="ar"/>
                <w14:textFill>
                  <w14:solidFill>
                    <w14:schemeClr w14:val="tx1"/>
                  </w14:solidFill>
                </w14:textFill>
              </w:rPr>
              <w:t>L</w:t>
            </w:r>
            <w:r>
              <w:rPr>
                <w:rFonts w:hint="default" w:ascii="Times New Roman" w:hAnsi="Times New Roman" w:eastAsia="宋体" w:cs="Times New Roman"/>
                <w:i/>
                <w:iCs/>
                <w:color w:val="000000" w:themeColor="text1"/>
                <w:kern w:val="0"/>
                <w:sz w:val="24"/>
                <w:szCs w:val="24"/>
                <w:vertAlign w:val="subscript"/>
                <w:lang w:val="en-US" w:eastAsia="zh-CN" w:bidi="ar"/>
                <w14:textFill>
                  <w14:solidFill>
                    <w14:schemeClr w14:val="tx1"/>
                  </w14:solidFill>
                </w14:textFill>
              </w:rPr>
              <w:t>eq</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——预测点的噪声预测值，dB；</w:t>
            </w:r>
          </w:p>
          <w:p w14:paraId="6C8B0494">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i/>
                <w:iCs/>
                <w:color w:val="000000" w:themeColor="text1"/>
                <w:kern w:val="0"/>
                <w:sz w:val="24"/>
                <w:szCs w:val="24"/>
                <w:lang w:val="en-US" w:eastAsia="zh-CN" w:bidi="ar"/>
                <w14:textFill>
                  <w14:solidFill>
                    <w14:schemeClr w14:val="tx1"/>
                  </w14:solidFill>
                </w14:textFill>
              </w:rPr>
              <w:t>L</w:t>
            </w:r>
            <w:r>
              <w:rPr>
                <w:rFonts w:hint="default" w:ascii="Times New Roman" w:hAnsi="Times New Roman" w:eastAsia="宋体" w:cs="Times New Roman"/>
                <w:i/>
                <w:iCs/>
                <w:color w:val="000000" w:themeColor="text1"/>
                <w:kern w:val="0"/>
                <w:sz w:val="24"/>
                <w:szCs w:val="24"/>
                <w:vertAlign w:val="subscript"/>
                <w:lang w:val="en-US" w:eastAsia="zh-CN" w:bidi="ar"/>
                <w14:textFill>
                  <w14:solidFill>
                    <w14:schemeClr w14:val="tx1"/>
                  </w14:solidFill>
                </w14:textFill>
              </w:rPr>
              <w:t>eqg</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——建设项目声源在预测点产生的噪声贡献值，dB；</w:t>
            </w:r>
          </w:p>
          <w:p w14:paraId="353213FC">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i/>
                <w:iCs/>
                <w:color w:val="000000" w:themeColor="text1"/>
                <w:kern w:val="0"/>
                <w:sz w:val="24"/>
                <w:szCs w:val="24"/>
                <w:lang w:val="en-US" w:eastAsia="zh-CN" w:bidi="ar"/>
                <w14:textFill>
                  <w14:solidFill>
                    <w14:schemeClr w14:val="tx1"/>
                  </w14:solidFill>
                </w14:textFill>
              </w:rPr>
              <w:t>L</w:t>
            </w:r>
            <w:r>
              <w:rPr>
                <w:rFonts w:hint="default" w:ascii="Times New Roman" w:hAnsi="Times New Roman" w:eastAsia="宋体" w:cs="Times New Roman"/>
                <w:i/>
                <w:iCs/>
                <w:color w:val="000000" w:themeColor="text1"/>
                <w:kern w:val="0"/>
                <w:sz w:val="24"/>
                <w:szCs w:val="24"/>
                <w:vertAlign w:val="subscript"/>
                <w:lang w:val="en-US" w:eastAsia="zh-CN" w:bidi="ar"/>
                <w14:textFill>
                  <w14:solidFill>
                    <w14:schemeClr w14:val="tx1"/>
                  </w14:solidFill>
                </w14:textFill>
              </w:rPr>
              <w:t>eqb</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——预测点的背景噪声值，dB。</w:t>
            </w:r>
          </w:p>
          <w:p w14:paraId="4EF3B520">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本项目厂界噪声贡献值达标分析见表4-4。</w:t>
            </w:r>
          </w:p>
          <w:p w14:paraId="34CF628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t>表4-4   厂界噪声贡献值达标分析表</w:t>
            </w:r>
          </w:p>
          <w:tbl>
            <w:tblPr>
              <w:tblStyle w:val="17"/>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7"/>
              <w:gridCol w:w="1621"/>
              <w:gridCol w:w="2843"/>
              <w:gridCol w:w="2307"/>
              <w:gridCol w:w="1254"/>
            </w:tblGrid>
            <w:tr w14:paraId="6EC9C6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93" w:type="pct"/>
                  <w:noWrap w:val="0"/>
                  <w:vAlign w:val="center"/>
                </w:tcPr>
                <w:p w14:paraId="74D9821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序号</w:t>
                  </w:r>
                </w:p>
              </w:tc>
              <w:tc>
                <w:tcPr>
                  <w:tcW w:w="910" w:type="pct"/>
                  <w:noWrap w:val="0"/>
                  <w:vAlign w:val="center"/>
                </w:tcPr>
                <w:p w14:paraId="2AF24A9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预测点</w:t>
                  </w:r>
                </w:p>
              </w:tc>
              <w:tc>
                <w:tcPr>
                  <w:tcW w:w="1596" w:type="pct"/>
                  <w:noWrap w:val="0"/>
                  <w:vAlign w:val="center"/>
                </w:tcPr>
                <w:p w14:paraId="1B3B6A3C">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昼间贡献值/</w:t>
                  </w:r>
                  <w: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t>dB(A)</w:t>
                  </w:r>
                </w:p>
              </w:tc>
              <w:tc>
                <w:tcPr>
                  <w:tcW w:w="1295" w:type="pct"/>
                  <w:noWrap w:val="0"/>
                  <w:vAlign w:val="center"/>
                </w:tcPr>
                <w:p w14:paraId="3A13BC8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昼间标准限值/</w:t>
                  </w:r>
                  <w: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t>dB(A)</w:t>
                  </w:r>
                </w:p>
              </w:tc>
              <w:tc>
                <w:tcPr>
                  <w:tcW w:w="704" w:type="pct"/>
                  <w:noWrap w:val="0"/>
                  <w:vAlign w:val="center"/>
                </w:tcPr>
                <w:p w14:paraId="3967792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达标情况</w:t>
                  </w:r>
                </w:p>
              </w:tc>
            </w:tr>
            <w:tr w14:paraId="66B046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 w:hRule="atLeast"/>
              </w:trPr>
              <w:tc>
                <w:tcPr>
                  <w:tcW w:w="493" w:type="pct"/>
                  <w:noWrap w:val="0"/>
                  <w:vAlign w:val="center"/>
                </w:tcPr>
                <w:p w14:paraId="6115156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1</w:t>
                  </w:r>
                </w:p>
              </w:tc>
              <w:tc>
                <w:tcPr>
                  <w:tcW w:w="910" w:type="pct"/>
                  <w:noWrap w:val="0"/>
                  <w:vAlign w:val="center"/>
                </w:tcPr>
                <w:p w14:paraId="1A8A9A8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东侧厂界</w:t>
                  </w:r>
                </w:p>
              </w:tc>
              <w:tc>
                <w:tcPr>
                  <w:tcW w:w="1596" w:type="pct"/>
                  <w:noWrap w:val="0"/>
                  <w:vAlign w:val="center"/>
                </w:tcPr>
                <w:p w14:paraId="1AD445FC">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44</w:t>
                  </w:r>
                </w:p>
              </w:tc>
              <w:tc>
                <w:tcPr>
                  <w:tcW w:w="1295" w:type="pct"/>
                  <w:noWrap w:val="0"/>
                  <w:vAlign w:val="center"/>
                </w:tcPr>
                <w:p w14:paraId="29F76C4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60</w:t>
                  </w:r>
                </w:p>
              </w:tc>
              <w:tc>
                <w:tcPr>
                  <w:tcW w:w="704" w:type="pct"/>
                  <w:noWrap w:val="0"/>
                  <w:vAlign w:val="center"/>
                </w:tcPr>
                <w:p w14:paraId="02D2124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达标</w:t>
                  </w:r>
                </w:p>
              </w:tc>
            </w:tr>
            <w:tr w14:paraId="734501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 w:hRule="atLeast"/>
              </w:trPr>
              <w:tc>
                <w:tcPr>
                  <w:tcW w:w="493" w:type="pct"/>
                  <w:noWrap w:val="0"/>
                  <w:vAlign w:val="center"/>
                </w:tcPr>
                <w:p w14:paraId="57ECE1DC">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2</w:t>
                  </w:r>
                </w:p>
              </w:tc>
              <w:tc>
                <w:tcPr>
                  <w:tcW w:w="910" w:type="pct"/>
                  <w:noWrap w:val="0"/>
                  <w:vAlign w:val="center"/>
                </w:tcPr>
                <w:p w14:paraId="46BA86A4">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南侧厂界</w:t>
                  </w:r>
                </w:p>
              </w:tc>
              <w:tc>
                <w:tcPr>
                  <w:tcW w:w="1596" w:type="pct"/>
                  <w:noWrap w:val="0"/>
                  <w:vAlign w:val="center"/>
                </w:tcPr>
                <w:p w14:paraId="3A2C3B64">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35</w:t>
                  </w:r>
                </w:p>
              </w:tc>
              <w:tc>
                <w:tcPr>
                  <w:tcW w:w="1295" w:type="pct"/>
                  <w:noWrap w:val="0"/>
                  <w:vAlign w:val="center"/>
                </w:tcPr>
                <w:p w14:paraId="6116AB0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60</w:t>
                  </w:r>
                </w:p>
              </w:tc>
              <w:tc>
                <w:tcPr>
                  <w:tcW w:w="704" w:type="pct"/>
                  <w:noWrap w:val="0"/>
                  <w:vAlign w:val="center"/>
                </w:tcPr>
                <w:p w14:paraId="6A47B41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达标</w:t>
                  </w:r>
                </w:p>
              </w:tc>
            </w:tr>
            <w:tr w14:paraId="3D32C2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 w:hRule="atLeast"/>
              </w:trPr>
              <w:tc>
                <w:tcPr>
                  <w:tcW w:w="493" w:type="pct"/>
                  <w:noWrap w:val="0"/>
                  <w:vAlign w:val="center"/>
                </w:tcPr>
                <w:p w14:paraId="1F94205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3</w:t>
                  </w:r>
                </w:p>
              </w:tc>
              <w:tc>
                <w:tcPr>
                  <w:tcW w:w="910" w:type="pct"/>
                  <w:noWrap w:val="0"/>
                  <w:vAlign w:val="center"/>
                </w:tcPr>
                <w:p w14:paraId="174A7ACC">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西侧厂界</w:t>
                  </w:r>
                </w:p>
              </w:tc>
              <w:tc>
                <w:tcPr>
                  <w:tcW w:w="1596" w:type="pct"/>
                  <w:noWrap w:val="0"/>
                  <w:vAlign w:val="center"/>
                </w:tcPr>
                <w:p w14:paraId="0D8FB59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38</w:t>
                  </w:r>
                </w:p>
              </w:tc>
              <w:tc>
                <w:tcPr>
                  <w:tcW w:w="1295" w:type="pct"/>
                  <w:noWrap w:val="0"/>
                  <w:vAlign w:val="center"/>
                </w:tcPr>
                <w:p w14:paraId="37203D4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60</w:t>
                  </w:r>
                </w:p>
              </w:tc>
              <w:tc>
                <w:tcPr>
                  <w:tcW w:w="704" w:type="pct"/>
                  <w:noWrap w:val="0"/>
                  <w:vAlign w:val="center"/>
                </w:tcPr>
                <w:p w14:paraId="53F86C4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达标</w:t>
                  </w:r>
                </w:p>
              </w:tc>
            </w:tr>
            <w:tr w14:paraId="600FD3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 w:hRule="atLeast"/>
              </w:trPr>
              <w:tc>
                <w:tcPr>
                  <w:tcW w:w="493" w:type="pct"/>
                  <w:noWrap w:val="0"/>
                  <w:vAlign w:val="center"/>
                </w:tcPr>
                <w:p w14:paraId="71F9C50C">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4</w:t>
                  </w:r>
                </w:p>
              </w:tc>
              <w:tc>
                <w:tcPr>
                  <w:tcW w:w="910" w:type="pct"/>
                  <w:noWrap w:val="0"/>
                  <w:vAlign w:val="center"/>
                </w:tcPr>
                <w:p w14:paraId="4BE68C3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北侧厂界</w:t>
                  </w:r>
                </w:p>
              </w:tc>
              <w:tc>
                <w:tcPr>
                  <w:tcW w:w="1596" w:type="pct"/>
                  <w:noWrap w:val="0"/>
                  <w:vAlign w:val="center"/>
                </w:tcPr>
                <w:p w14:paraId="0609D58B">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43</w:t>
                  </w:r>
                </w:p>
              </w:tc>
              <w:tc>
                <w:tcPr>
                  <w:tcW w:w="1295" w:type="pct"/>
                  <w:noWrap w:val="0"/>
                  <w:vAlign w:val="center"/>
                </w:tcPr>
                <w:p w14:paraId="166AE84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60</w:t>
                  </w:r>
                </w:p>
              </w:tc>
              <w:tc>
                <w:tcPr>
                  <w:tcW w:w="704" w:type="pct"/>
                  <w:noWrap w:val="0"/>
                  <w:vAlign w:val="center"/>
                </w:tcPr>
                <w:p w14:paraId="1EC2A51C">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达标</w:t>
                  </w:r>
                </w:p>
              </w:tc>
            </w:tr>
          </w:tbl>
          <w:p w14:paraId="7FAE15BC">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本项目运营期夜间不生产，由表4-4可知，项目正常运行情况下，厂界昼间噪声贡献值</w:t>
            </w: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满足《工业企业厂界环境噪声排放标准》（GB12348-2008）2类标准。</w:t>
            </w:r>
          </w:p>
          <w:p w14:paraId="580D61A2">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000000" w:themeColor="text1"/>
                <w:sz w:val="24"/>
                <w:szCs w:val="24"/>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vertAlign w:val="baseline"/>
                <w:lang w:val="en-US" w:eastAsia="zh-CN"/>
                <w14:textFill>
                  <w14:solidFill>
                    <w14:schemeClr w14:val="tx1"/>
                  </w14:solidFill>
                </w14:textFill>
              </w:rPr>
              <w:t>（3）监测要求</w:t>
            </w:r>
          </w:p>
          <w:p w14:paraId="7E8E39D7">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依据</w:t>
            </w:r>
            <w:r>
              <w:rPr>
                <w:rFonts w:hint="default" w:ascii="Times New Roman" w:hAnsi="Times New Roman" w:eastAsia="宋体" w:cs="Times New Roman"/>
                <w:b w:val="0"/>
                <w:bCs w:val="0"/>
                <w:color w:val="000000" w:themeColor="text1"/>
                <w:kern w:val="0"/>
                <w:sz w:val="24"/>
                <w:szCs w:val="24"/>
                <w:vertAlign w:val="baseline"/>
                <w:lang w:val="en-US" w:eastAsia="zh-CN" w:bidi="ar"/>
                <w14:textFill>
                  <w14:solidFill>
                    <w14:schemeClr w14:val="tx1"/>
                  </w14:solidFill>
                </w14:textFill>
              </w:rPr>
              <w:t>《排污单位自行监测技术指南 总则》（HJ819-2017）</w:t>
            </w:r>
            <w:r>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，本项目运营期厂界噪声监测要求见表4-5。</w:t>
            </w:r>
          </w:p>
          <w:p w14:paraId="7758885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t>表4-5   噪声监测计划</w:t>
            </w:r>
          </w:p>
          <w:tbl>
            <w:tblPr>
              <w:tblStyle w:val="1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18"/>
              <w:gridCol w:w="2190"/>
              <w:gridCol w:w="1260"/>
              <w:gridCol w:w="4139"/>
            </w:tblGrid>
            <w:tr w14:paraId="492B5D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8" w:type="dxa"/>
                  <w:vAlign w:val="center"/>
                </w:tcPr>
                <w:p w14:paraId="2543588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监测点位</w:t>
                  </w:r>
                </w:p>
              </w:tc>
              <w:tc>
                <w:tcPr>
                  <w:tcW w:w="2190" w:type="dxa"/>
                  <w:vAlign w:val="center"/>
                </w:tcPr>
                <w:p w14:paraId="462A8C4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监测因子</w:t>
                  </w:r>
                </w:p>
              </w:tc>
              <w:tc>
                <w:tcPr>
                  <w:tcW w:w="1260" w:type="dxa"/>
                  <w:vAlign w:val="center"/>
                </w:tcPr>
                <w:p w14:paraId="17A8BAA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监测频次</w:t>
                  </w:r>
                </w:p>
              </w:tc>
              <w:tc>
                <w:tcPr>
                  <w:tcW w:w="4139" w:type="dxa"/>
                  <w:vAlign w:val="center"/>
                </w:tcPr>
                <w:p w14:paraId="41D91D6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执行标准</w:t>
                  </w:r>
                </w:p>
              </w:tc>
            </w:tr>
            <w:tr w14:paraId="6AF01D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8" w:type="dxa"/>
                  <w:vAlign w:val="center"/>
                </w:tcPr>
                <w:p w14:paraId="4AC4A4B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厂界四周</w:t>
                  </w:r>
                </w:p>
              </w:tc>
              <w:tc>
                <w:tcPr>
                  <w:tcW w:w="2190" w:type="dxa"/>
                  <w:vAlign w:val="center"/>
                </w:tcPr>
                <w:p w14:paraId="6121C6F1">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等效连续A声级</w:t>
                  </w:r>
                </w:p>
              </w:tc>
              <w:tc>
                <w:tcPr>
                  <w:tcW w:w="1260" w:type="dxa"/>
                  <w:vAlign w:val="center"/>
                </w:tcPr>
                <w:p w14:paraId="360BE904">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1次/季度</w:t>
                  </w:r>
                </w:p>
              </w:tc>
              <w:tc>
                <w:tcPr>
                  <w:tcW w:w="4139" w:type="dxa"/>
                  <w:vAlign w:val="center"/>
                </w:tcPr>
                <w:p w14:paraId="05EFBBFC">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《工业企业厂界环境噪声排放标准》（GB12348-2008）</w:t>
                  </w: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2类标准</w:t>
                  </w:r>
                </w:p>
              </w:tc>
            </w:tr>
          </w:tbl>
          <w:p w14:paraId="16F72153">
            <w:pPr>
              <w:keepNext w:val="0"/>
              <w:keepLines w:val="0"/>
              <w:pageBreakBefore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bCs/>
                <w:color w:val="000000" w:themeColor="text1"/>
                <w:sz w:val="24"/>
                <w:szCs w:val="24"/>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vertAlign w:val="baseline"/>
                <w:lang w:val="en-US" w:eastAsia="zh-CN"/>
                <w14:textFill>
                  <w14:solidFill>
                    <w14:schemeClr w14:val="tx1"/>
                  </w14:solidFill>
                </w14:textFill>
              </w:rPr>
              <w:t>4.固体废物</w:t>
            </w:r>
          </w:p>
          <w:p w14:paraId="50902C69">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sz w:val="24"/>
                <w:szCs w:val="24"/>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vertAlign w:val="baseline"/>
                <w:lang w:val="en-US" w:eastAsia="zh-CN"/>
                <w14:textFill>
                  <w14:solidFill>
                    <w14:schemeClr w14:val="tx1"/>
                  </w14:solidFill>
                </w14:textFill>
              </w:rPr>
              <w:t>本项目气化站运行期无生产性固废产生；站内值班人员从景区员工调配，不新增职工，因此也不新增生活垃圾。站区职工产生的生活垃圾经收集后纳入景区生活垃圾转运系统。</w:t>
            </w:r>
          </w:p>
          <w:p w14:paraId="66540498">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000000" w:themeColor="text1"/>
                <w:sz w:val="24"/>
                <w:szCs w:val="24"/>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vertAlign w:val="baseline"/>
                <w:lang w:val="en-US" w:eastAsia="zh-CN"/>
                <w14:textFill>
                  <w14:solidFill>
                    <w14:schemeClr w14:val="tx1"/>
                  </w14:solidFill>
                </w14:textFill>
              </w:rPr>
              <w:t>5、地下水、土壤</w:t>
            </w:r>
          </w:p>
          <w:p w14:paraId="2E9E9287">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000000" w:themeColor="text1"/>
                <w:kern w:val="0"/>
                <w:sz w:val="24"/>
                <w:szCs w:val="24"/>
                <w:lang w:val="en-US" w:eastAsia="zh-CN" w:bidi="ar"/>
                <w14:textFill>
                  <w14:solidFill>
                    <w14:schemeClr w14:val="tx1"/>
                  </w14:solidFill>
                </w14:textFill>
              </w:rPr>
            </w:pPr>
            <w:r>
              <w:rPr>
                <w:rFonts w:hint="default" w:ascii="Times New Roman" w:hAnsi="Times New Roman" w:eastAsia="宋体" w:cs="Times New Roman"/>
                <w:b/>
                <w:bCs/>
                <w:color w:val="000000" w:themeColor="text1"/>
                <w:kern w:val="0"/>
                <w:sz w:val="24"/>
                <w:szCs w:val="24"/>
                <w:lang w:val="en-US" w:eastAsia="zh-CN" w:bidi="ar"/>
                <w14:textFill>
                  <w14:solidFill>
                    <w14:schemeClr w14:val="tx1"/>
                  </w14:solidFill>
                </w14:textFill>
              </w:rPr>
              <w:t>（1）污染源、污染物类型和污染途径</w:t>
            </w:r>
          </w:p>
          <w:p w14:paraId="6826EC1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bCs/>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bCs/>
                <w:color w:val="000000" w:themeColor="text1"/>
                <w:kern w:val="0"/>
                <w:sz w:val="21"/>
                <w:szCs w:val="21"/>
                <w:lang w:val="en-US" w:eastAsia="zh-CN" w:bidi="ar"/>
                <w14:textFill>
                  <w14:solidFill>
                    <w14:schemeClr w14:val="tx1"/>
                  </w14:solidFill>
                </w14:textFill>
              </w:rPr>
              <w:t>表4-8    污染源、污染物类型和污染途径分析一览表</w:t>
            </w:r>
          </w:p>
          <w:tbl>
            <w:tblPr>
              <w:tblStyle w:val="17"/>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1"/>
              <w:gridCol w:w="1035"/>
              <w:gridCol w:w="1170"/>
              <w:gridCol w:w="1200"/>
              <w:gridCol w:w="4814"/>
            </w:tblGrid>
            <w:tr w14:paraId="794F25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51" w:hRule="atLeast"/>
              </w:trPr>
              <w:tc>
                <w:tcPr>
                  <w:tcW w:w="383" w:type="pct"/>
                  <w:vMerge w:val="restart"/>
                  <w:vAlign w:val="center"/>
                </w:tcPr>
                <w:p w14:paraId="17962DB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序号</w:t>
                  </w:r>
                </w:p>
              </w:tc>
              <w:tc>
                <w:tcPr>
                  <w:tcW w:w="581" w:type="pct"/>
                  <w:vMerge w:val="restart"/>
                  <w:vAlign w:val="center"/>
                </w:tcPr>
                <w:p w14:paraId="749F943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污染源</w:t>
                  </w:r>
                </w:p>
              </w:tc>
              <w:tc>
                <w:tcPr>
                  <w:tcW w:w="1331" w:type="pct"/>
                  <w:gridSpan w:val="2"/>
                  <w:vAlign w:val="center"/>
                </w:tcPr>
                <w:p w14:paraId="77AD524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lang w:val="en-US" w:eastAsia="zh-CN" w:bidi="ar"/>
                      <w14:textFill>
                        <w14:solidFill>
                          <w14:schemeClr w14:val="tx1"/>
                        </w14:solidFill>
                      </w14:textFill>
                    </w:rPr>
                    <w:t>污染物类型</w:t>
                  </w:r>
                </w:p>
              </w:tc>
              <w:tc>
                <w:tcPr>
                  <w:tcW w:w="2703" w:type="pct"/>
                  <w:vMerge w:val="restart"/>
                  <w:vAlign w:val="center"/>
                </w:tcPr>
                <w:p w14:paraId="375FBCD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lang w:val="en-US" w:eastAsia="zh-CN" w:bidi="ar"/>
                      <w14:textFill>
                        <w14:solidFill>
                          <w14:schemeClr w14:val="tx1"/>
                        </w14:solidFill>
                      </w14:textFill>
                    </w:rPr>
                    <w:t>污染途径分析</w:t>
                  </w:r>
                </w:p>
              </w:tc>
            </w:tr>
            <w:tr w14:paraId="594B8F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 w:hRule="atLeast"/>
              </w:trPr>
              <w:tc>
                <w:tcPr>
                  <w:tcW w:w="383" w:type="pct"/>
                  <w:vMerge w:val="continue"/>
                  <w:vAlign w:val="center"/>
                </w:tcPr>
                <w:p w14:paraId="5F7C971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581" w:type="pct"/>
                  <w:vMerge w:val="continue"/>
                  <w:vAlign w:val="center"/>
                </w:tcPr>
                <w:p w14:paraId="5119A5A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657" w:type="pct"/>
                  <w:vAlign w:val="center"/>
                </w:tcPr>
                <w:p w14:paraId="70AC30C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lang w:val="en-US" w:eastAsia="zh-CN" w:bidi="ar"/>
                      <w14:textFill>
                        <w14:solidFill>
                          <w14:schemeClr w14:val="tx1"/>
                        </w14:solidFill>
                      </w14:textFill>
                    </w:rPr>
                    <w:t>地下水</w:t>
                  </w:r>
                </w:p>
              </w:tc>
              <w:tc>
                <w:tcPr>
                  <w:tcW w:w="674" w:type="pct"/>
                  <w:vAlign w:val="center"/>
                </w:tcPr>
                <w:p w14:paraId="0B6095E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lang w:val="en-US" w:eastAsia="zh-CN" w:bidi="ar"/>
                      <w14:textFill>
                        <w14:solidFill>
                          <w14:schemeClr w14:val="tx1"/>
                        </w14:solidFill>
                      </w14:textFill>
                    </w:rPr>
                    <w:t>土壤</w:t>
                  </w:r>
                </w:p>
              </w:tc>
              <w:tc>
                <w:tcPr>
                  <w:tcW w:w="2703" w:type="pct"/>
                  <w:vMerge w:val="continue"/>
                  <w:vAlign w:val="center"/>
                </w:tcPr>
                <w:p w14:paraId="5B0275B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lang w:val="en-US" w:eastAsia="zh-CN" w:bidi="ar"/>
                      <w14:textFill>
                        <w14:solidFill>
                          <w14:schemeClr w14:val="tx1"/>
                        </w14:solidFill>
                      </w14:textFill>
                    </w:rPr>
                  </w:pPr>
                </w:p>
              </w:tc>
            </w:tr>
            <w:tr w14:paraId="5C8128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3" w:type="pct"/>
                  <w:vAlign w:val="center"/>
                </w:tcPr>
                <w:p w14:paraId="351A150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1</w:t>
                  </w:r>
                </w:p>
              </w:tc>
              <w:tc>
                <w:tcPr>
                  <w:tcW w:w="581" w:type="pct"/>
                  <w:shd w:val="clear" w:color="auto" w:fill="auto"/>
                  <w:vAlign w:val="center"/>
                </w:tcPr>
                <w:p w14:paraId="75ACD89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储油间（柴油）</w:t>
                  </w:r>
                </w:p>
              </w:tc>
              <w:tc>
                <w:tcPr>
                  <w:tcW w:w="657" w:type="pct"/>
                  <w:shd w:val="clear" w:color="auto" w:fill="auto"/>
                  <w:vAlign w:val="center"/>
                </w:tcPr>
                <w:p w14:paraId="400551CC">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其他类型</w:t>
                  </w:r>
                </w:p>
              </w:tc>
              <w:tc>
                <w:tcPr>
                  <w:tcW w:w="674" w:type="pct"/>
                  <w:shd w:val="clear" w:color="auto" w:fill="auto"/>
                  <w:vAlign w:val="center"/>
                </w:tcPr>
                <w:p w14:paraId="125D04D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石油烃类</w:t>
                  </w:r>
                </w:p>
              </w:tc>
              <w:tc>
                <w:tcPr>
                  <w:tcW w:w="2703" w:type="pct"/>
                  <w:shd w:val="clear" w:color="auto" w:fill="auto"/>
                  <w:vAlign w:val="center"/>
                </w:tcPr>
                <w:p w14:paraId="0E32BB7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辅助区发电机房内配套1个储油间，油箱容积≤1m</w:t>
                  </w:r>
                  <w:r>
                    <w:rPr>
                      <w:rFonts w:hint="default" w:ascii="Times New Roman" w:hAnsi="Times New Roman" w:eastAsia="宋体" w:cs="Times New Roman"/>
                      <w:b w:val="0"/>
                      <w:bCs w:val="0"/>
                      <w:color w:val="000000" w:themeColor="text1"/>
                      <w:kern w:val="0"/>
                      <w:sz w:val="21"/>
                      <w:szCs w:val="21"/>
                      <w:vertAlign w:val="superscript"/>
                      <w:lang w:val="en-US" w:eastAsia="zh-CN" w:bidi="ar"/>
                      <w14:textFill>
                        <w14:solidFill>
                          <w14:schemeClr w14:val="tx1"/>
                        </w14:solidFill>
                      </w14:textFill>
                    </w:rPr>
                    <w:t>3</w:t>
                  </w: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，油箱底部设置有集油坑，并采取重点防渗措施，</w:t>
                  </w: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无土壤和地下水污染途径。</w:t>
                  </w:r>
                </w:p>
              </w:tc>
            </w:tr>
            <w:tr w14:paraId="0B4028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3" w:type="pct"/>
                  <w:vAlign w:val="center"/>
                </w:tcPr>
                <w:p w14:paraId="324E499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2</w:t>
                  </w:r>
                </w:p>
              </w:tc>
              <w:tc>
                <w:tcPr>
                  <w:tcW w:w="581" w:type="pct"/>
                  <w:shd w:val="clear" w:color="auto" w:fill="auto"/>
                  <w:vAlign w:val="center"/>
                </w:tcPr>
                <w:p w14:paraId="4500752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储罐区、工艺装置区</w:t>
                  </w:r>
                </w:p>
              </w:tc>
              <w:tc>
                <w:tcPr>
                  <w:tcW w:w="657" w:type="pct"/>
                  <w:shd w:val="clear" w:color="auto" w:fill="auto"/>
                  <w:vAlign w:val="center"/>
                </w:tcPr>
                <w:p w14:paraId="5AFCCE9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其他类型</w:t>
                  </w:r>
                </w:p>
              </w:tc>
              <w:tc>
                <w:tcPr>
                  <w:tcW w:w="674" w:type="pct"/>
                  <w:shd w:val="clear" w:color="auto" w:fill="auto"/>
                  <w:vAlign w:val="center"/>
                </w:tcPr>
                <w:p w14:paraId="583CC1E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其他</w:t>
                  </w:r>
                </w:p>
              </w:tc>
              <w:tc>
                <w:tcPr>
                  <w:tcW w:w="2703" w:type="pct"/>
                  <w:shd w:val="clear" w:color="auto" w:fill="auto"/>
                  <w:vAlign w:val="center"/>
                </w:tcPr>
                <w:p w14:paraId="352340A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LNG采用低压密闭储罐储存和低压密闭管道输送，地面采取混凝土硬化，正常工况下不会发生泄漏，</w:t>
                  </w: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无土壤和地下水污染途径。</w:t>
                  </w:r>
                </w:p>
              </w:tc>
            </w:tr>
          </w:tbl>
          <w:p w14:paraId="5C12E33A">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000000" w:themeColor="text1"/>
                <w:kern w:val="0"/>
                <w:sz w:val="24"/>
                <w:szCs w:val="24"/>
                <w:vertAlign w:val="baseline"/>
                <w:lang w:val="en-US" w:eastAsia="zh-CN" w:bidi="ar"/>
                <w14:textFill>
                  <w14:solidFill>
                    <w14:schemeClr w14:val="tx1"/>
                  </w14:solidFill>
                </w14:textFill>
              </w:rPr>
            </w:pPr>
            <w:r>
              <w:rPr>
                <w:rFonts w:hint="default" w:ascii="Times New Roman" w:hAnsi="Times New Roman" w:eastAsia="宋体" w:cs="Times New Roman"/>
                <w:b/>
                <w:bCs/>
                <w:color w:val="000000" w:themeColor="text1"/>
                <w:kern w:val="0"/>
                <w:sz w:val="24"/>
                <w:szCs w:val="24"/>
                <w:vertAlign w:val="baseline"/>
                <w:lang w:val="en-US" w:eastAsia="zh-CN" w:bidi="ar"/>
                <w14:textFill>
                  <w14:solidFill>
                    <w14:schemeClr w14:val="tx1"/>
                  </w14:solidFill>
                </w14:textFill>
              </w:rPr>
              <w:t>（2）防控措施</w:t>
            </w:r>
          </w:p>
          <w:p w14:paraId="6F0B38A2">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①源头控制：</w:t>
            </w:r>
            <w:r>
              <w:rPr>
                <w:rFonts w:hint="default" w:ascii="Times New Roman" w:hAnsi="Times New Roman" w:eastAsia="宋体" w:cs="Times New Roman"/>
                <w:b w:val="0"/>
                <w:bCs w:val="0"/>
                <w:color w:val="000000" w:themeColor="text1"/>
                <w:kern w:val="0"/>
                <w:sz w:val="24"/>
                <w:szCs w:val="24"/>
                <w:vertAlign w:val="baseline"/>
                <w:lang w:val="en-US" w:eastAsia="zh-CN" w:bidi="ar"/>
                <w14:textFill>
                  <w14:solidFill>
                    <w14:schemeClr w14:val="tx1"/>
                  </w14:solidFill>
                </w14:textFill>
              </w:rPr>
              <w:t>储油箱采用符合安全要求的材质，底部设置</w:t>
            </w:r>
            <w:r>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防渗漏托盘；</w:t>
            </w:r>
            <w:r>
              <w:rPr>
                <w:rFonts w:hint="default" w:ascii="Times New Roman" w:hAnsi="Times New Roman" w:eastAsia="宋体" w:cs="Times New Roman"/>
                <w:b w:val="0"/>
                <w:bCs w:val="0"/>
                <w:color w:val="000000" w:themeColor="text1"/>
                <w:kern w:val="0"/>
                <w:sz w:val="24"/>
                <w:szCs w:val="24"/>
                <w:vertAlign w:val="baseline"/>
                <w:lang w:val="en-US" w:eastAsia="zh-CN" w:bidi="ar"/>
                <w14:textFill>
                  <w14:solidFill>
                    <w14:schemeClr w14:val="tx1"/>
                  </w14:solidFill>
                </w14:textFill>
              </w:rPr>
              <w:t>储罐区、工艺装置区严格按照</w:t>
            </w:r>
            <w:r>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《城镇燃气设计规范（2020版）》（GB50028-2006）进行设计和建设，</w:t>
            </w:r>
            <w:r>
              <w:rPr>
                <w:rFonts w:hint="default" w:ascii="Times New Roman" w:hAnsi="Times New Roman" w:eastAsia="宋体" w:cs="Times New Roman"/>
                <w:b w:val="0"/>
                <w:bCs w:val="0"/>
                <w:color w:val="000000" w:themeColor="text1"/>
                <w:kern w:val="0"/>
                <w:sz w:val="24"/>
                <w:szCs w:val="24"/>
                <w:vertAlign w:val="baseline"/>
                <w:lang w:val="en-US" w:eastAsia="zh-CN" w:bidi="ar"/>
                <w14:textFill>
                  <w14:solidFill>
                    <w14:schemeClr w14:val="tx1"/>
                  </w14:solidFill>
                </w14:textFill>
              </w:rPr>
              <w:t>LNG采用低压密闭储罐储存和低压密闭管道输送。</w:t>
            </w:r>
          </w:p>
          <w:p w14:paraId="1924962C">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000000" w:themeColor="text1"/>
                <w:kern w:val="0"/>
                <w:sz w:val="24"/>
                <w:szCs w:val="24"/>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4"/>
                <w:szCs w:val="24"/>
                <w:lang w:val="en-US" w:eastAsia="zh-CN" w:bidi="ar"/>
                <w14:textFill>
                  <w14:solidFill>
                    <w14:schemeClr w14:val="tx1"/>
                  </w14:solidFill>
                </w14:textFill>
              </w:rPr>
              <w:t>②分区防渗：</w:t>
            </w:r>
            <w:r>
              <w:rPr>
                <w:rFonts w:hint="default" w:ascii="Times New Roman" w:hAnsi="Times New Roman" w:eastAsia="宋体" w:cs="Times New Roman"/>
                <w:b w:val="0"/>
                <w:bCs w:val="0"/>
                <w:color w:val="000000" w:themeColor="text1"/>
                <w:kern w:val="0"/>
                <w:sz w:val="24"/>
                <w:szCs w:val="24"/>
                <w:vertAlign w:val="baseline"/>
                <w:lang w:val="en-US" w:eastAsia="zh-CN" w:bidi="ar"/>
                <w14:textFill>
                  <w14:solidFill>
                    <w14:schemeClr w14:val="tx1"/>
                  </w14:solidFill>
                </w14:textFill>
              </w:rPr>
              <w:t>储油间</w:t>
            </w:r>
            <w:r>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地面按照重点防渗区进行防渗，防渗层至少为2mm厚高密度聚乙烯膜等人工防渗材料（渗透系数不大于10</w:t>
            </w:r>
            <w:r>
              <w:rPr>
                <w:rFonts w:hint="default" w:ascii="Times New Roman" w:hAnsi="Times New Roman" w:eastAsia="宋体" w:cs="Times New Roman"/>
                <w:b w:val="0"/>
                <w:bCs w:val="0"/>
                <w:color w:val="000000" w:themeColor="text1"/>
                <w:sz w:val="24"/>
                <w:szCs w:val="24"/>
                <w:vertAlign w:val="superscript"/>
                <w:lang w:val="en-US" w:eastAsia="zh-CN"/>
                <w14:textFill>
                  <w14:solidFill>
                    <w14:schemeClr w14:val="tx1"/>
                  </w14:solidFill>
                </w14:textFill>
              </w:rPr>
              <w:t>-10</w:t>
            </w:r>
            <w:r>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cm/s），或其他防渗性能等效的材料</w:t>
            </w:r>
            <w:r>
              <w:rPr>
                <w:rFonts w:hint="default" w:ascii="Times New Roman" w:hAnsi="Times New Roman" w:eastAsia="宋体"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b w:val="0"/>
                <w:bCs w:val="0"/>
                <w:color w:val="000000" w:themeColor="text1"/>
                <w:kern w:val="0"/>
                <w:sz w:val="24"/>
                <w:szCs w:val="24"/>
                <w:vertAlign w:val="baseline"/>
                <w:lang w:val="en-US" w:eastAsia="zh-CN" w:bidi="ar"/>
                <w14:textFill>
                  <w14:solidFill>
                    <w14:schemeClr w14:val="tx1"/>
                  </w14:solidFill>
                </w14:textFill>
              </w:rPr>
              <w:t>储罐区、工艺装置区按照一般防渗区进行防渗，</w:t>
            </w:r>
            <w:r>
              <w:rPr>
                <w:rFonts w:hint="default" w:ascii="Times New Roman" w:hAnsi="Times New Roman" w:eastAsia="宋体" w:cs="Times New Roman"/>
                <w:b w:val="0"/>
                <w:bCs w:val="0"/>
                <w:color w:val="000000" w:themeColor="text1"/>
                <w:kern w:val="0"/>
                <w:sz w:val="24"/>
                <w:szCs w:val="24"/>
                <w:lang w:val="en-US" w:eastAsia="zh-CN" w:bidi="ar"/>
                <w14:textFill>
                  <w14:solidFill>
                    <w14:schemeClr w14:val="tx1"/>
                  </w14:solidFill>
                </w14:textFill>
              </w:rPr>
              <w:t>站区地面其他区域按照简单防渗区进行防控，全部采取水泥硬化。</w:t>
            </w:r>
          </w:p>
          <w:p w14:paraId="443DD8AB">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000000" w:themeColor="text1"/>
                <w:kern w:val="0"/>
                <w:sz w:val="24"/>
                <w:szCs w:val="24"/>
                <w:lang w:val="en-US" w:eastAsia="zh-CN" w:bidi="ar"/>
                <w14:textFill>
                  <w14:solidFill>
                    <w14:schemeClr w14:val="tx1"/>
                  </w14:solidFill>
                </w14:textFill>
              </w:rPr>
            </w:pPr>
            <w:r>
              <w:rPr>
                <w:rFonts w:hint="default" w:ascii="Times New Roman" w:hAnsi="Times New Roman" w:eastAsia="宋体" w:cs="Times New Roman"/>
                <w:b/>
                <w:bCs/>
                <w:color w:val="000000" w:themeColor="text1"/>
                <w:kern w:val="0"/>
                <w:sz w:val="24"/>
                <w:szCs w:val="24"/>
                <w:lang w:val="en-US" w:eastAsia="zh-CN" w:bidi="ar"/>
                <w14:textFill>
                  <w14:solidFill>
                    <w14:schemeClr w14:val="tx1"/>
                  </w14:solidFill>
                </w14:textFill>
              </w:rPr>
              <w:t>（3）跟踪监测</w:t>
            </w:r>
          </w:p>
          <w:p w14:paraId="30CF9345">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000000" w:themeColor="text1"/>
                <w:kern w:val="0"/>
                <w:sz w:val="24"/>
                <w:szCs w:val="24"/>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4"/>
                <w:szCs w:val="24"/>
                <w:lang w:val="en-US" w:eastAsia="zh-CN" w:bidi="ar"/>
                <w14:textFill>
                  <w14:solidFill>
                    <w14:schemeClr w14:val="tx1"/>
                  </w14:solidFill>
                </w14:textFill>
              </w:rPr>
              <w:t>本项目无地下水和土壤污染途径</w:t>
            </w:r>
            <w:r>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，因此无地下水、土壤跟踪监测要求。</w:t>
            </w:r>
          </w:p>
          <w:p w14:paraId="3EEBBF7B">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000000" w:themeColor="text1"/>
                <w:sz w:val="24"/>
                <w:szCs w:val="24"/>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vertAlign w:val="baseline"/>
                <w:lang w:val="en-US" w:eastAsia="zh-CN"/>
                <w14:textFill>
                  <w14:solidFill>
                    <w14:schemeClr w14:val="tx1"/>
                  </w14:solidFill>
                </w14:textFill>
              </w:rPr>
              <w:t>6.生态</w:t>
            </w:r>
          </w:p>
          <w:p w14:paraId="4CEC028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本项目用地范围无生态环境保护目标。</w:t>
            </w:r>
          </w:p>
          <w:p w14:paraId="09776408">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000000" w:themeColor="text1"/>
                <w:sz w:val="24"/>
                <w:szCs w:val="24"/>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vertAlign w:val="baseline"/>
                <w:lang w:val="en-US" w:eastAsia="zh-CN"/>
                <w14:textFill>
                  <w14:solidFill>
                    <w14:schemeClr w14:val="tx1"/>
                  </w14:solidFill>
                </w14:textFill>
              </w:rPr>
              <w:t>7.环境风险</w:t>
            </w:r>
          </w:p>
          <w:p w14:paraId="28C0CDFF">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000000" w:themeColor="text1"/>
                <w:kern w:val="0"/>
                <w:sz w:val="24"/>
                <w:szCs w:val="24"/>
                <w:lang w:val="en-US" w:eastAsia="zh-CN" w:bidi="ar"/>
                <w14:textFill>
                  <w14:solidFill>
                    <w14:schemeClr w14:val="tx1"/>
                  </w14:solidFill>
                </w14:textFill>
              </w:rPr>
            </w:pPr>
            <w:r>
              <w:rPr>
                <w:rFonts w:hint="default" w:ascii="Times New Roman" w:hAnsi="Times New Roman" w:eastAsia="宋体" w:cs="Times New Roman"/>
                <w:color w:val="000000" w:themeColor="text1"/>
                <w:sz w:val="24"/>
                <w:szCs w:val="24"/>
                <w:vertAlign w:val="baseline"/>
                <w:lang w:val="en-US" w:eastAsia="zh-CN"/>
                <w14:textFill>
                  <w14:solidFill>
                    <w14:schemeClr w14:val="tx1"/>
                  </w14:solidFill>
                </w14:textFill>
              </w:rPr>
              <w:t>本次环评已开展环境风险专项评价，详细内容见环境风险评价专章。环境风险专项评价结论为：</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本项目主要环境风险物质为天然气（甲烷），大气环境风险潜势为Ⅲ，地表水环境风险潜势为Ⅲ，地下水环境风险潜势为Ⅱ，项目环境风险评价等级为Ⅱ。环境风险类型为</w:t>
            </w:r>
            <w:r>
              <w:rPr>
                <w:rFonts w:hint="default" w:ascii="Times New Roman" w:hAnsi="Times New Roman" w:eastAsia="宋体" w:cs="Times New Roman"/>
                <w:b w:val="0"/>
                <w:bCs/>
                <w:color w:val="000000" w:themeColor="text1"/>
                <w:kern w:val="0"/>
                <w:sz w:val="24"/>
                <w:szCs w:val="24"/>
                <w:lang w:val="en-US" w:eastAsia="zh-CN" w:bidi="ar"/>
                <w14:textFill>
                  <w14:solidFill>
                    <w14:schemeClr w14:val="tx1"/>
                  </w14:solidFill>
                </w14:textFill>
              </w:rPr>
              <w:t>LNG储罐泄漏以及火灾爆炸次生污染物排放，</w:t>
            </w:r>
            <w:r>
              <w:rPr>
                <w:rFonts w:hint="default" w:ascii="Times New Roman" w:hAnsi="Times New Roman" w:eastAsia="宋体" w:cs="Times New Roman"/>
                <w:color w:val="000000" w:themeColor="text1"/>
                <w:kern w:val="0"/>
                <w:sz w:val="24"/>
                <w:szCs w:val="24"/>
                <w:u w:val="none"/>
                <w:lang w:val="en-US" w:eastAsia="zh-CN" w:bidi="ar"/>
                <w14:textFill>
                  <w14:solidFill>
                    <w14:schemeClr w14:val="tx1"/>
                  </w14:solidFill>
                </w14:textFill>
              </w:rPr>
              <w:t>根据风险预测结果，在</w:t>
            </w:r>
            <w:r>
              <w:rPr>
                <w:rFonts w:hint="default" w:ascii="Times New Roman" w:hAnsi="Times New Roman" w:eastAsia="宋体" w:cs="Times New Roman"/>
                <w:b w:val="0"/>
                <w:bCs/>
                <w:color w:val="000000" w:themeColor="text1"/>
                <w:kern w:val="0"/>
                <w:sz w:val="24"/>
                <w:szCs w:val="24"/>
                <w:lang w:val="en-US" w:eastAsia="zh-CN" w:bidi="ar"/>
                <w14:textFill>
                  <w14:solidFill>
                    <w14:schemeClr w14:val="tx1"/>
                  </w14:solidFill>
                </w14:textFill>
              </w:rPr>
              <w:t>LNG储罐中孔泄漏和火灾爆炸次生污染物排放事故情形下，危险物质均未形成毒性终点浓度影响范围；</w:t>
            </w:r>
            <w:r>
              <w:rPr>
                <w:rFonts w:hint="default" w:ascii="Times New Roman" w:hAnsi="Times New Roman" w:eastAsia="宋体" w:cs="Times New Roman"/>
                <w:color w:val="000000" w:themeColor="text1"/>
                <w:kern w:val="0"/>
                <w:sz w:val="24"/>
                <w:szCs w:val="24"/>
                <w:u w:val="none"/>
                <w:lang w:val="en-US" w:eastAsia="zh-CN" w:bidi="ar"/>
                <w14:textFill>
                  <w14:solidFill>
                    <w14:schemeClr w14:val="tx1"/>
                  </w14:solidFill>
                </w14:textFill>
              </w:rPr>
              <w:t>厂区内设置事故状态下水污染预防与控制体系保障厂区事故水不出厂；</w:t>
            </w:r>
            <w:r>
              <w:rPr>
                <w:rFonts w:hint="default" w:ascii="Times New Roman" w:hAnsi="Times New Roman" w:eastAsia="宋体" w:cs="Times New Roman"/>
                <w:b w:val="0"/>
                <w:bCs w:val="0"/>
                <w:color w:val="000000" w:themeColor="text1"/>
                <w:kern w:val="0"/>
                <w:sz w:val="24"/>
                <w:szCs w:val="24"/>
                <w:lang w:val="en-US" w:eastAsia="zh-CN" w:bidi="ar"/>
                <w14:textFill>
                  <w14:solidFill>
                    <w14:schemeClr w14:val="tx1"/>
                  </w14:solidFill>
                </w14:textFill>
              </w:rPr>
              <w:t>罐区、工艺装置区等采取分区防渗措施。</w:t>
            </w:r>
          </w:p>
          <w:p w14:paraId="42042060">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themeColor="text1"/>
                <w:sz w:val="24"/>
                <w:szCs w:val="24"/>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szCs w:val="24"/>
                <w:u w:val="none"/>
                <w:lang w:val="en-US" w:eastAsia="zh-CN" w:bidi="ar"/>
                <w14:textFill>
                  <w14:solidFill>
                    <w14:schemeClr w14:val="tx1"/>
                  </w14:solidFill>
                </w14:textFill>
              </w:rPr>
              <w:t>在严格执行本报告及设计提出的环境风险减缓措施，制定风险应急预案并针对性开展演练，保证风险防控能力建设到位后，本项目环境风险可以接受。</w:t>
            </w:r>
          </w:p>
          <w:p w14:paraId="6DCA384D">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000000" w:themeColor="text1"/>
                <w:sz w:val="24"/>
                <w:szCs w:val="24"/>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vertAlign w:val="baseline"/>
                <w:lang w:val="en-US" w:eastAsia="zh-CN"/>
                <w14:textFill>
                  <w14:solidFill>
                    <w14:schemeClr w14:val="tx1"/>
                  </w14:solidFill>
                </w14:textFill>
              </w:rPr>
              <w:t>8.电磁辐射</w:t>
            </w:r>
          </w:p>
          <w:p w14:paraId="5D7BCA52">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themeColor="text1"/>
                <w:sz w:val="24"/>
                <w:szCs w:val="24"/>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本项目不属于电磁辐射类项目，不涉及电磁辐射源。</w:t>
            </w:r>
          </w:p>
          <w:p w14:paraId="0C37A328">
            <w:pPr>
              <w:keepNext w:val="0"/>
              <w:keepLines w:val="0"/>
              <w:pageBreakBefore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000000" w:themeColor="text1"/>
                <w:sz w:val="24"/>
                <w:szCs w:val="24"/>
                <w:vertAlign w:val="baseline"/>
                <w:lang w:val="en-US" w:eastAsia="zh-CN"/>
                <w14:textFill>
                  <w14:solidFill>
                    <w14:schemeClr w14:val="tx1"/>
                  </w14:solidFill>
                </w14:textFill>
              </w:rPr>
            </w:pPr>
          </w:p>
        </w:tc>
      </w:tr>
    </w:tbl>
    <w:p w14:paraId="4B026EAC">
      <w:pPr>
        <w:keepNext w:val="0"/>
        <w:keepLines w:val="0"/>
        <w:widowControl/>
        <w:suppressLineNumbers w:val="0"/>
        <w:jc w:val="left"/>
        <w:rPr>
          <w:rFonts w:hint="default" w:ascii="Times New Roman" w:hAnsi="Times New Roman" w:eastAsia="宋体" w:cs="Times New Roman"/>
          <w:color w:val="000000" w:themeColor="text1"/>
          <w14:textFill>
            <w14:solidFill>
              <w14:schemeClr w14:val="tx1"/>
            </w14:solidFill>
          </w14:textFill>
        </w:rPr>
        <w:sectPr>
          <w:pgSz w:w="11906" w:h="16838"/>
          <w:pgMar w:top="1440" w:right="1080" w:bottom="1440" w:left="1080" w:header="851" w:footer="992" w:gutter="0"/>
          <w:pgBorders w:offsetFrom="page">
            <w:top w:val="none" w:sz="0" w:space="0"/>
            <w:left w:val="none" w:sz="0" w:space="0"/>
            <w:bottom w:val="none" w:sz="0" w:space="0"/>
            <w:right w:val="none" w:sz="0" w:space="0"/>
          </w:pgBorders>
          <w:pgNumType w:fmt="decimal"/>
          <w:cols w:space="425" w:num="1"/>
          <w:docGrid w:type="lines" w:linePitch="312" w:charSpace="0"/>
        </w:sectPr>
      </w:pPr>
    </w:p>
    <w:p w14:paraId="1E404F6D">
      <w:pPr>
        <w:keepNext w:val="0"/>
        <w:keepLines w:val="0"/>
        <w:widowControl/>
        <w:suppressLineNumbers w:val="0"/>
        <w:jc w:val="center"/>
        <w:rPr>
          <w:rFonts w:hint="default" w:ascii="Times New Roman" w:hAnsi="Times New Roman" w:eastAsia="宋体" w:cs="Times New Roman"/>
          <w:b/>
          <w:bCs/>
          <w:color w:val="000000" w:themeColor="text1"/>
          <w:vertAlign w:val="baseline"/>
          <w14:textFill>
            <w14:solidFill>
              <w14:schemeClr w14:val="tx1"/>
            </w14:solidFill>
          </w14:textFill>
        </w:rPr>
      </w:pPr>
      <w:r>
        <w:rPr>
          <w:rFonts w:hint="default" w:ascii="Times New Roman" w:hAnsi="Times New Roman" w:eastAsia="宋体" w:cs="Times New Roman"/>
          <w:b/>
          <w:bCs/>
          <w:color w:val="000000" w:themeColor="text1"/>
          <w:kern w:val="0"/>
          <w:sz w:val="30"/>
          <w:szCs w:val="30"/>
          <w:lang w:val="en-US" w:eastAsia="zh-CN" w:bidi="ar"/>
          <w14:textFill>
            <w14:solidFill>
              <w14:schemeClr w14:val="tx1"/>
            </w14:solidFill>
          </w14:textFill>
        </w:rPr>
        <w:t>五、环境保护措施监督检查清单</w:t>
      </w:r>
    </w:p>
    <w:tbl>
      <w:tblPr>
        <w:tblStyle w:val="17"/>
        <w:tblW w:w="4964"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219"/>
        <w:gridCol w:w="1589"/>
        <w:gridCol w:w="1513"/>
        <w:gridCol w:w="3266"/>
        <w:gridCol w:w="2303"/>
      </w:tblGrid>
      <w:tr w14:paraId="15E3FC7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4" w:hRule="atLeast"/>
        </w:trPr>
        <w:tc>
          <w:tcPr>
            <w:tcW w:w="616" w:type="pct"/>
            <w:tcBorders>
              <w:tl2br w:val="single" w:color="auto" w:sz="4" w:space="0"/>
            </w:tcBorders>
            <w:vAlign w:val="center"/>
          </w:tcPr>
          <w:p w14:paraId="6244756D">
            <w:pPr>
              <w:keepNext w:val="0"/>
              <w:keepLines w:val="0"/>
              <w:pageBreakBefore w:val="0"/>
              <w:widowControl/>
              <w:suppressLineNumbers w:val="0"/>
              <w:kinsoku/>
              <w:wordWrap/>
              <w:overflowPunct/>
              <w:topLinePunct w:val="0"/>
              <w:autoSpaceDE/>
              <w:autoSpaceDN/>
              <w:bidi w:val="0"/>
              <w:adjustRightInd/>
              <w:snapToGrid/>
              <w:spacing w:line="240" w:lineRule="auto"/>
              <w:ind w:firstLine="422" w:firstLineChars="200"/>
              <w:jc w:val="both"/>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kern w:val="0"/>
                <w:sz w:val="21"/>
                <w:szCs w:val="21"/>
                <w:lang w:val="en-US" w:eastAsia="zh-CN" w:bidi="ar"/>
                <w14:textFill>
                  <w14:solidFill>
                    <w14:schemeClr w14:val="tx1"/>
                  </w14:solidFill>
                </w14:textFill>
              </w:rPr>
              <w:t>要素</w:t>
            </w:r>
          </w:p>
          <w:p w14:paraId="7D99A6A2">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b/>
                <w:bCs/>
                <w:color w:val="000000" w:themeColor="text1"/>
                <w:sz w:val="21"/>
                <w:szCs w:val="21"/>
                <w:vertAlign w:val="baseline"/>
                <w14:textFill>
                  <w14:solidFill>
                    <w14:schemeClr w14:val="tx1"/>
                  </w14:solidFill>
                </w14:textFill>
              </w:rPr>
            </w:pPr>
            <w:r>
              <w:rPr>
                <w:rFonts w:hint="default" w:ascii="Times New Roman" w:hAnsi="Times New Roman" w:eastAsia="宋体" w:cs="Times New Roman"/>
                <w:b/>
                <w:bCs/>
                <w:color w:val="000000" w:themeColor="text1"/>
                <w:kern w:val="0"/>
                <w:sz w:val="21"/>
                <w:szCs w:val="21"/>
                <w:lang w:val="en-US" w:eastAsia="zh-CN" w:bidi="ar"/>
                <w14:textFill>
                  <w14:solidFill>
                    <w14:schemeClr w14:val="tx1"/>
                  </w14:solidFill>
                </w14:textFill>
              </w:rPr>
              <w:t>内容</w:t>
            </w:r>
          </w:p>
        </w:tc>
        <w:tc>
          <w:tcPr>
            <w:tcW w:w="803" w:type="pct"/>
            <w:tcBorders>
              <w:tl2br w:val="nil"/>
              <w:tr2bl w:val="nil"/>
            </w:tcBorders>
            <w:vAlign w:val="center"/>
          </w:tcPr>
          <w:p w14:paraId="327C6A6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kern w:val="0"/>
                <w:sz w:val="21"/>
                <w:szCs w:val="21"/>
                <w:lang w:val="en-US" w:eastAsia="zh-CN" w:bidi="ar"/>
                <w14:textFill>
                  <w14:solidFill>
                    <w14:schemeClr w14:val="tx1"/>
                  </w14:solidFill>
                </w14:textFill>
              </w:rPr>
              <w:t>排放口（编号、</w:t>
            </w:r>
          </w:p>
          <w:p w14:paraId="65A0173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000000" w:themeColor="text1"/>
                <w:sz w:val="21"/>
                <w:szCs w:val="21"/>
                <w:vertAlign w:val="baseline"/>
                <w14:textFill>
                  <w14:solidFill>
                    <w14:schemeClr w14:val="tx1"/>
                  </w14:solidFill>
                </w14:textFill>
              </w:rPr>
            </w:pPr>
            <w:r>
              <w:rPr>
                <w:rFonts w:hint="default" w:ascii="Times New Roman" w:hAnsi="Times New Roman" w:eastAsia="宋体" w:cs="Times New Roman"/>
                <w:b/>
                <w:bCs/>
                <w:color w:val="000000" w:themeColor="text1"/>
                <w:kern w:val="0"/>
                <w:sz w:val="21"/>
                <w:szCs w:val="21"/>
                <w:lang w:val="en-US" w:eastAsia="zh-CN" w:bidi="ar"/>
                <w14:textFill>
                  <w14:solidFill>
                    <w14:schemeClr w14:val="tx1"/>
                  </w14:solidFill>
                </w14:textFill>
              </w:rPr>
              <w:t>名称）/污染源</w:t>
            </w:r>
          </w:p>
        </w:tc>
        <w:tc>
          <w:tcPr>
            <w:tcW w:w="765" w:type="pct"/>
            <w:tcBorders>
              <w:right w:val="single" w:color="auto" w:sz="4" w:space="0"/>
              <w:tl2br w:val="nil"/>
              <w:tr2bl w:val="nil"/>
            </w:tcBorders>
            <w:vAlign w:val="center"/>
          </w:tcPr>
          <w:p w14:paraId="702D245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000000" w:themeColor="text1"/>
                <w:sz w:val="21"/>
                <w:szCs w:val="21"/>
                <w:vertAlign w:val="baseline"/>
                <w14:textFill>
                  <w14:solidFill>
                    <w14:schemeClr w14:val="tx1"/>
                  </w14:solidFill>
                </w14:textFill>
              </w:rPr>
            </w:pPr>
            <w:r>
              <w:rPr>
                <w:rFonts w:hint="default" w:ascii="Times New Roman" w:hAnsi="Times New Roman" w:eastAsia="宋体" w:cs="Times New Roman"/>
                <w:b/>
                <w:bCs/>
                <w:color w:val="000000" w:themeColor="text1"/>
                <w:kern w:val="0"/>
                <w:sz w:val="21"/>
                <w:szCs w:val="21"/>
                <w:lang w:val="en-US" w:eastAsia="zh-CN" w:bidi="ar"/>
                <w14:textFill>
                  <w14:solidFill>
                    <w14:schemeClr w14:val="tx1"/>
                  </w14:solidFill>
                </w14:textFill>
              </w:rPr>
              <w:t>污染物项目</w:t>
            </w:r>
          </w:p>
        </w:tc>
        <w:tc>
          <w:tcPr>
            <w:tcW w:w="1651" w:type="pct"/>
            <w:tcBorders>
              <w:top w:val="single" w:color="auto" w:sz="12" w:space="0"/>
              <w:left w:val="single" w:color="auto" w:sz="4" w:space="0"/>
              <w:bottom w:val="single" w:color="auto" w:sz="4" w:space="0"/>
              <w:right w:val="single" w:color="auto" w:sz="4" w:space="0"/>
            </w:tcBorders>
            <w:vAlign w:val="center"/>
          </w:tcPr>
          <w:p w14:paraId="6FDE9EAB">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000000" w:themeColor="text1"/>
                <w:sz w:val="21"/>
                <w:szCs w:val="21"/>
                <w:vertAlign w:val="baseline"/>
                <w14:textFill>
                  <w14:solidFill>
                    <w14:schemeClr w14:val="tx1"/>
                  </w14:solidFill>
                </w14:textFill>
              </w:rPr>
            </w:pPr>
            <w:r>
              <w:rPr>
                <w:rFonts w:hint="default" w:ascii="Times New Roman" w:hAnsi="Times New Roman" w:eastAsia="宋体" w:cs="Times New Roman"/>
                <w:b/>
                <w:bCs/>
                <w:color w:val="000000" w:themeColor="text1"/>
                <w:kern w:val="0"/>
                <w:sz w:val="21"/>
                <w:szCs w:val="21"/>
                <w:lang w:val="en-US" w:eastAsia="zh-CN" w:bidi="ar"/>
                <w14:textFill>
                  <w14:solidFill>
                    <w14:schemeClr w14:val="tx1"/>
                  </w14:solidFill>
                </w14:textFill>
              </w:rPr>
              <w:t>环境保护措施</w:t>
            </w:r>
          </w:p>
        </w:tc>
        <w:tc>
          <w:tcPr>
            <w:tcW w:w="1164" w:type="pct"/>
            <w:tcBorders>
              <w:left w:val="single" w:color="auto" w:sz="4" w:space="0"/>
              <w:tl2br w:val="nil"/>
              <w:tr2bl w:val="nil"/>
            </w:tcBorders>
            <w:vAlign w:val="center"/>
          </w:tcPr>
          <w:p w14:paraId="04AFFBE4">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000000" w:themeColor="text1"/>
                <w:sz w:val="21"/>
                <w:szCs w:val="21"/>
                <w:vertAlign w:val="baseline"/>
                <w14:textFill>
                  <w14:solidFill>
                    <w14:schemeClr w14:val="tx1"/>
                  </w14:solidFill>
                </w14:textFill>
              </w:rPr>
            </w:pPr>
            <w:r>
              <w:rPr>
                <w:rFonts w:hint="default" w:ascii="Times New Roman" w:hAnsi="Times New Roman" w:eastAsia="宋体" w:cs="Times New Roman"/>
                <w:b/>
                <w:bCs/>
                <w:color w:val="000000" w:themeColor="text1"/>
                <w:kern w:val="0"/>
                <w:sz w:val="21"/>
                <w:szCs w:val="21"/>
                <w:lang w:val="en-US" w:eastAsia="zh-CN" w:bidi="ar"/>
                <w14:textFill>
                  <w14:solidFill>
                    <w14:schemeClr w14:val="tx1"/>
                  </w14:solidFill>
                </w14:textFill>
              </w:rPr>
              <w:t>执行标准</w:t>
            </w:r>
          </w:p>
        </w:tc>
      </w:tr>
      <w:tr w14:paraId="7BF564C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4" w:hRule="atLeast"/>
        </w:trPr>
        <w:tc>
          <w:tcPr>
            <w:tcW w:w="616" w:type="pct"/>
            <w:vMerge w:val="restart"/>
            <w:tcBorders>
              <w:tl2br w:val="nil"/>
              <w:tr2bl w:val="nil"/>
            </w:tcBorders>
            <w:vAlign w:val="center"/>
          </w:tcPr>
          <w:p w14:paraId="48A491A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大气环境</w:t>
            </w:r>
          </w:p>
        </w:tc>
        <w:tc>
          <w:tcPr>
            <w:tcW w:w="803" w:type="pct"/>
            <w:tcBorders>
              <w:tl2br w:val="nil"/>
              <w:tr2bl w:val="nil"/>
            </w:tcBorders>
            <w:shd w:val="clear" w:color="auto" w:fill="auto"/>
            <w:vAlign w:val="center"/>
          </w:tcPr>
          <w:p w14:paraId="22C44F6C">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系统漏热、</w:t>
            </w: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容器进出料压力变化产生BOG</w:t>
            </w:r>
          </w:p>
        </w:tc>
        <w:tc>
          <w:tcPr>
            <w:tcW w:w="765" w:type="pct"/>
            <w:tcBorders>
              <w:tl2br w:val="nil"/>
              <w:tr2bl w:val="nil"/>
            </w:tcBorders>
            <w:shd w:val="clear" w:color="auto" w:fill="auto"/>
            <w:vAlign w:val="center"/>
          </w:tcPr>
          <w:p w14:paraId="78710AFD">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vertAlign w:val="baseline"/>
                <w:lang w:val="en-US" w:eastAsia="zh-CN" w:bidi="ar-SA"/>
                <w14:textFill>
                  <w14:solidFill>
                    <w14:schemeClr w14:val="tx1"/>
                  </w14:solidFill>
                </w14:textFill>
              </w:rPr>
              <w:t>非甲烷总烃</w:t>
            </w:r>
          </w:p>
        </w:tc>
        <w:tc>
          <w:tcPr>
            <w:tcW w:w="1651" w:type="pct"/>
            <w:tcBorders>
              <w:top w:val="single" w:color="auto" w:sz="4" w:space="0"/>
              <w:tl2br w:val="nil"/>
              <w:tr2bl w:val="nil"/>
            </w:tcBorders>
            <w:vAlign w:val="center"/>
          </w:tcPr>
          <w:p w14:paraId="7F0378C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LNG采用低压密闭储罐储存和低压密闭管道输送，BOG</w:t>
            </w: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经BOG加热器加热升温后回收至天然气管道，不外排</w:t>
            </w:r>
          </w:p>
        </w:tc>
        <w:tc>
          <w:tcPr>
            <w:tcW w:w="1164" w:type="pct"/>
            <w:vMerge w:val="restart"/>
            <w:tcBorders>
              <w:tl2br w:val="nil"/>
              <w:tr2bl w:val="nil"/>
            </w:tcBorders>
            <w:shd w:val="clear" w:color="auto" w:fill="auto"/>
            <w:vAlign w:val="center"/>
          </w:tcPr>
          <w:p w14:paraId="465547ED">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lang w:val="en-US" w:eastAsia="zh-CN" w:bidi="ar"/>
                <w14:textFill>
                  <w14:solidFill>
                    <w14:schemeClr w14:val="tx1"/>
                  </w14:solidFill>
                </w14:textFill>
              </w:rPr>
              <w:t>《挥发性有机物无组织排放控制标准》（GB37822-2019），</w:t>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《大气污染物综合排放标准》（GB16297-1996）</w:t>
            </w:r>
          </w:p>
        </w:tc>
      </w:tr>
      <w:tr w14:paraId="3E83530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4" w:hRule="atLeast"/>
        </w:trPr>
        <w:tc>
          <w:tcPr>
            <w:tcW w:w="616" w:type="pct"/>
            <w:vMerge w:val="continue"/>
            <w:tcBorders>
              <w:tl2br w:val="nil"/>
              <w:tr2bl w:val="nil"/>
            </w:tcBorders>
            <w:vAlign w:val="center"/>
          </w:tcPr>
          <w:p w14:paraId="256834A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803" w:type="pct"/>
            <w:tcBorders>
              <w:tl2br w:val="nil"/>
              <w:tr2bl w:val="nil"/>
            </w:tcBorders>
            <w:shd w:val="clear" w:color="auto" w:fill="auto"/>
            <w:vAlign w:val="center"/>
          </w:tcPr>
          <w:p w14:paraId="3CCB3EBC">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储罐超压放散</w:t>
            </w:r>
          </w:p>
        </w:tc>
        <w:tc>
          <w:tcPr>
            <w:tcW w:w="765" w:type="pct"/>
            <w:tcBorders>
              <w:tl2br w:val="nil"/>
              <w:tr2bl w:val="nil"/>
            </w:tcBorders>
            <w:shd w:val="clear" w:color="auto" w:fill="auto"/>
            <w:vAlign w:val="center"/>
          </w:tcPr>
          <w:p w14:paraId="63D3FE3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非甲烷总烃</w:t>
            </w:r>
          </w:p>
        </w:tc>
        <w:tc>
          <w:tcPr>
            <w:tcW w:w="1651" w:type="pct"/>
            <w:tcBorders>
              <w:tl2br w:val="nil"/>
              <w:tr2bl w:val="nil"/>
            </w:tcBorders>
            <w:shd w:val="clear" w:color="auto" w:fill="auto"/>
            <w:vAlign w:val="center"/>
          </w:tcPr>
          <w:p w14:paraId="42BC1AF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经EAG加热器加热后，经1根10m高放散管排放</w:t>
            </w:r>
          </w:p>
        </w:tc>
        <w:tc>
          <w:tcPr>
            <w:tcW w:w="1164" w:type="pct"/>
            <w:vMerge w:val="continue"/>
            <w:tcBorders>
              <w:tl2br w:val="nil"/>
              <w:tr2bl w:val="nil"/>
            </w:tcBorders>
            <w:shd w:val="clear" w:color="auto" w:fill="auto"/>
            <w:vAlign w:val="center"/>
          </w:tcPr>
          <w:p w14:paraId="691B6C5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2"/>
                <w:sz w:val="21"/>
                <w:szCs w:val="21"/>
                <w:vertAlign w:val="baseline"/>
                <w:lang w:val="en-US" w:eastAsia="zh-CN" w:bidi="ar-SA"/>
                <w14:textFill>
                  <w14:solidFill>
                    <w14:schemeClr w14:val="tx1"/>
                  </w14:solidFill>
                </w14:textFill>
              </w:rPr>
            </w:pPr>
          </w:p>
        </w:tc>
      </w:tr>
      <w:tr w14:paraId="42A015A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16" w:type="pct"/>
            <w:tcBorders>
              <w:tl2br w:val="nil"/>
              <w:tr2bl w:val="nil"/>
            </w:tcBorders>
            <w:vAlign w:val="center"/>
          </w:tcPr>
          <w:p w14:paraId="0EE8259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地表水</w:t>
            </w:r>
          </w:p>
        </w:tc>
        <w:tc>
          <w:tcPr>
            <w:tcW w:w="803" w:type="pct"/>
            <w:tcBorders>
              <w:tl2br w:val="nil"/>
              <w:tr2bl w:val="nil"/>
            </w:tcBorders>
            <w:vAlign w:val="center"/>
          </w:tcPr>
          <w:p w14:paraId="7A4ECB84">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w:t>
            </w:r>
          </w:p>
        </w:tc>
        <w:tc>
          <w:tcPr>
            <w:tcW w:w="765" w:type="pct"/>
            <w:tcBorders>
              <w:tl2br w:val="nil"/>
              <w:tr2bl w:val="nil"/>
            </w:tcBorders>
            <w:vAlign w:val="center"/>
          </w:tcPr>
          <w:p w14:paraId="3BBA157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w:t>
            </w:r>
          </w:p>
        </w:tc>
        <w:tc>
          <w:tcPr>
            <w:tcW w:w="1651" w:type="pct"/>
            <w:tcBorders>
              <w:tl2br w:val="nil"/>
              <w:tr2bl w:val="nil"/>
            </w:tcBorders>
            <w:vAlign w:val="center"/>
          </w:tcPr>
          <w:p w14:paraId="152295AD">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w:t>
            </w:r>
          </w:p>
        </w:tc>
        <w:tc>
          <w:tcPr>
            <w:tcW w:w="1164" w:type="pct"/>
            <w:tcBorders>
              <w:tl2br w:val="nil"/>
              <w:tr2bl w:val="nil"/>
            </w:tcBorders>
            <w:vAlign w:val="center"/>
          </w:tcPr>
          <w:p w14:paraId="58B55FBC">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w:t>
            </w:r>
          </w:p>
        </w:tc>
      </w:tr>
      <w:tr w14:paraId="2DF055C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9" w:hRule="atLeast"/>
        </w:trPr>
        <w:tc>
          <w:tcPr>
            <w:tcW w:w="616" w:type="pct"/>
            <w:tcBorders>
              <w:tl2br w:val="nil"/>
              <w:tr2bl w:val="nil"/>
            </w:tcBorders>
            <w:vAlign w:val="center"/>
          </w:tcPr>
          <w:p w14:paraId="33CFC4A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声环境</w:t>
            </w:r>
          </w:p>
        </w:tc>
        <w:tc>
          <w:tcPr>
            <w:tcW w:w="803" w:type="pct"/>
            <w:tcBorders>
              <w:tl2br w:val="nil"/>
              <w:tr2bl w:val="nil"/>
            </w:tcBorders>
            <w:vAlign w:val="center"/>
          </w:tcPr>
          <w:p w14:paraId="54482AAD">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vertAlign w:val="baseline"/>
                <w:lang w:val="en-US" w:eastAsia="zh-CN" w:bidi="ar"/>
                <w14:textFill>
                  <w14:solidFill>
                    <w14:schemeClr w14:val="tx1"/>
                  </w14:solidFill>
                </w14:textFill>
              </w:rPr>
              <w:t>生产工艺装置</w:t>
            </w:r>
          </w:p>
        </w:tc>
        <w:tc>
          <w:tcPr>
            <w:tcW w:w="765" w:type="pct"/>
            <w:tcBorders>
              <w:tl2br w:val="nil"/>
              <w:tr2bl w:val="nil"/>
            </w:tcBorders>
            <w:vAlign w:val="center"/>
          </w:tcPr>
          <w:p w14:paraId="01169C6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等效连续A声级</w:t>
            </w:r>
          </w:p>
        </w:tc>
        <w:tc>
          <w:tcPr>
            <w:tcW w:w="1651" w:type="pct"/>
            <w:tcBorders>
              <w:tl2br w:val="nil"/>
              <w:tr2bl w:val="nil"/>
            </w:tcBorders>
            <w:vAlign w:val="center"/>
          </w:tcPr>
          <w:p w14:paraId="208E759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选用低噪声设备，基础减振，距离衰减</w:t>
            </w:r>
          </w:p>
        </w:tc>
        <w:tc>
          <w:tcPr>
            <w:tcW w:w="1164" w:type="pct"/>
            <w:tcBorders>
              <w:tl2br w:val="nil"/>
              <w:tr2bl w:val="nil"/>
            </w:tcBorders>
            <w:vAlign w:val="center"/>
          </w:tcPr>
          <w:p w14:paraId="76DD67AA">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《工业企业厂界环境噪声排放标准》（GB12348-2008）2类标准</w:t>
            </w:r>
          </w:p>
        </w:tc>
      </w:tr>
      <w:tr w14:paraId="2189C7F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16" w:type="pct"/>
            <w:tcBorders>
              <w:tl2br w:val="nil"/>
              <w:tr2bl w:val="nil"/>
            </w:tcBorders>
            <w:vAlign w:val="center"/>
          </w:tcPr>
          <w:p w14:paraId="661567D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电磁辐射</w:t>
            </w:r>
          </w:p>
        </w:tc>
        <w:tc>
          <w:tcPr>
            <w:tcW w:w="803" w:type="pct"/>
            <w:tcBorders>
              <w:tl2br w:val="nil"/>
              <w:tr2bl w:val="nil"/>
            </w:tcBorders>
            <w:vAlign w:val="center"/>
          </w:tcPr>
          <w:p w14:paraId="207D0751">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w:t>
            </w:r>
          </w:p>
        </w:tc>
        <w:tc>
          <w:tcPr>
            <w:tcW w:w="765" w:type="pct"/>
            <w:tcBorders>
              <w:tl2br w:val="nil"/>
              <w:tr2bl w:val="nil"/>
            </w:tcBorders>
            <w:vAlign w:val="center"/>
          </w:tcPr>
          <w:p w14:paraId="544AE15B">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w:t>
            </w:r>
          </w:p>
        </w:tc>
        <w:tc>
          <w:tcPr>
            <w:tcW w:w="1651" w:type="pct"/>
            <w:tcBorders>
              <w:tl2br w:val="nil"/>
              <w:tr2bl w:val="nil"/>
            </w:tcBorders>
            <w:vAlign w:val="center"/>
          </w:tcPr>
          <w:p w14:paraId="16C85F11">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w:t>
            </w:r>
          </w:p>
        </w:tc>
        <w:tc>
          <w:tcPr>
            <w:tcW w:w="1164" w:type="pct"/>
            <w:tcBorders>
              <w:tl2br w:val="nil"/>
              <w:tr2bl w:val="nil"/>
            </w:tcBorders>
            <w:vAlign w:val="center"/>
          </w:tcPr>
          <w:p w14:paraId="0CBDF62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w:t>
            </w:r>
          </w:p>
        </w:tc>
      </w:tr>
      <w:tr w14:paraId="2BD2EF4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16" w:type="pct"/>
            <w:tcBorders>
              <w:tl2br w:val="nil"/>
              <w:tr2bl w:val="nil"/>
            </w:tcBorders>
            <w:vAlign w:val="center"/>
          </w:tcPr>
          <w:p w14:paraId="40AFACBB">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vertAlign w:val="baseline"/>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固体废物</w:t>
            </w:r>
          </w:p>
        </w:tc>
        <w:tc>
          <w:tcPr>
            <w:tcW w:w="4383" w:type="pct"/>
            <w:gridSpan w:val="4"/>
            <w:tcBorders>
              <w:tl2br w:val="nil"/>
              <w:tr2bl w:val="nil"/>
            </w:tcBorders>
            <w:vAlign w:val="center"/>
          </w:tcPr>
          <w:p w14:paraId="1D5F6F38">
            <w:pPr>
              <w:keepNext w:val="0"/>
              <w:keepLines w:val="0"/>
              <w:pageBreakBefore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vertAlign w:val="baseline"/>
                <w:lang w:val="en-US" w:eastAsia="zh-CN"/>
                <w14:textFill>
                  <w14:solidFill>
                    <w14:schemeClr w14:val="tx1"/>
                  </w14:solidFill>
                </w14:textFill>
              </w:rPr>
              <w:t>站区职工产生的生活垃圾经收集后纳入景区生活垃圾转运系统。</w:t>
            </w:r>
          </w:p>
        </w:tc>
      </w:tr>
      <w:tr w14:paraId="507499D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16" w:type="pct"/>
            <w:tcBorders>
              <w:tl2br w:val="nil"/>
              <w:tr2bl w:val="nil"/>
            </w:tcBorders>
            <w:vAlign w:val="center"/>
          </w:tcPr>
          <w:p w14:paraId="6EFD969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vertAlign w:val="baseline"/>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土壤及地下水污染防治措施</w:t>
            </w:r>
          </w:p>
        </w:tc>
        <w:tc>
          <w:tcPr>
            <w:tcW w:w="4383" w:type="pct"/>
            <w:gridSpan w:val="4"/>
            <w:tcBorders>
              <w:tl2br w:val="nil"/>
              <w:tr2bl w:val="nil"/>
            </w:tcBorders>
            <w:vAlign w:val="center"/>
          </w:tcPr>
          <w:p w14:paraId="55C67D37">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源头控制：</w:t>
            </w: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储油箱采用符合安全要求的材质，底部设置</w:t>
            </w: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防渗漏托盘；</w:t>
            </w: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储罐区、工艺装置区严格按照</w:t>
            </w: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《城镇燃气设计规范（2020版）》（GB50028-2006）进行设计和建设，</w:t>
            </w: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LNG采用低压密闭储罐储存和低压密闭管道输送。</w:t>
            </w:r>
          </w:p>
          <w:p w14:paraId="67D3D1DD">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lang w:val="en-US" w:eastAsia="zh-CN" w:bidi="ar"/>
                <w14:textFill>
                  <w14:solidFill>
                    <w14:schemeClr w14:val="tx1"/>
                  </w14:solidFill>
                </w14:textFill>
              </w:rPr>
              <w:t>分区防渗：</w:t>
            </w: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储油间</w:t>
            </w: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地面按照重点防渗区进行防渗，防渗层至少为2mm厚高密度聚乙烯膜等人工防渗材料（渗透系数不大于10</w:t>
            </w:r>
            <w:r>
              <w:rPr>
                <w:rFonts w:hint="default" w:ascii="Times New Roman" w:hAnsi="Times New Roman" w:eastAsia="宋体" w:cs="Times New Roman"/>
                <w:b w:val="0"/>
                <w:bCs w:val="0"/>
                <w:color w:val="000000" w:themeColor="text1"/>
                <w:sz w:val="21"/>
                <w:szCs w:val="21"/>
                <w:vertAlign w:val="superscript"/>
                <w:lang w:val="en-US" w:eastAsia="zh-CN"/>
                <w14:textFill>
                  <w14:solidFill>
                    <w14:schemeClr w14:val="tx1"/>
                  </w14:solidFill>
                </w14:textFill>
              </w:rPr>
              <w:t>-10</w:t>
            </w: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cm/s），或其他防渗性能等效的材料</w:t>
            </w:r>
            <w:r>
              <w:rPr>
                <w:rFonts w:hint="default"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储罐区、工艺装置区按照一般防渗区进行防渗；</w:t>
            </w:r>
            <w:r>
              <w:rPr>
                <w:rFonts w:hint="default" w:ascii="Times New Roman" w:hAnsi="Times New Roman" w:eastAsia="宋体" w:cs="Times New Roman"/>
                <w:b w:val="0"/>
                <w:bCs w:val="0"/>
                <w:color w:val="000000" w:themeColor="text1"/>
                <w:kern w:val="0"/>
                <w:sz w:val="21"/>
                <w:szCs w:val="21"/>
                <w:lang w:val="en-US" w:eastAsia="zh-CN" w:bidi="ar"/>
                <w14:textFill>
                  <w14:solidFill>
                    <w14:schemeClr w14:val="tx1"/>
                  </w14:solidFill>
                </w14:textFill>
              </w:rPr>
              <w:t>站区地面其他区域按照简单防渗区进行防控，全部采取水泥硬化。</w:t>
            </w:r>
          </w:p>
        </w:tc>
      </w:tr>
      <w:tr w14:paraId="70EB89E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16" w:type="pct"/>
            <w:tcBorders>
              <w:tl2br w:val="nil"/>
              <w:tr2bl w:val="nil"/>
            </w:tcBorders>
            <w:vAlign w:val="center"/>
          </w:tcPr>
          <w:p w14:paraId="3EB90C34">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vertAlign w:val="baseline"/>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生态保护措施</w:t>
            </w:r>
          </w:p>
        </w:tc>
        <w:tc>
          <w:tcPr>
            <w:tcW w:w="4383" w:type="pct"/>
            <w:gridSpan w:val="4"/>
            <w:tcBorders>
              <w:tl2br w:val="nil"/>
              <w:tr2bl w:val="nil"/>
            </w:tcBorders>
            <w:vAlign w:val="center"/>
          </w:tcPr>
          <w:p w14:paraId="3E89773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w:t>
            </w:r>
          </w:p>
        </w:tc>
      </w:tr>
      <w:tr w14:paraId="56F50A1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16" w:type="pct"/>
            <w:tcBorders>
              <w:tl2br w:val="nil"/>
              <w:tr2bl w:val="nil"/>
            </w:tcBorders>
            <w:vAlign w:val="center"/>
          </w:tcPr>
          <w:p w14:paraId="359D384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环境风险</w:t>
            </w:r>
          </w:p>
          <w:p w14:paraId="04E4A7FB">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vertAlign w:val="baseline"/>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防范措施</w:t>
            </w:r>
          </w:p>
        </w:tc>
        <w:tc>
          <w:tcPr>
            <w:tcW w:w="4383" w:type="pct"/>
            <w:gridSpan w:val="4"/>
            <w:tcBorders>
              <w:tl2br w:val="nil"/>
              <w:tr2bl w:val="nil"/>
            </w:tcBorders>
            <w:vAlign w:val="center"/>
          </w:tcPr>
          <w:p w14:paraId="319EC580">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000000" w:themeColor="text1"/>
                <w:sz w:val="21"/>
                <w:szCs w:val="21"/>
                <w:vertAlign w:val="baseline"/>
                <w14:textFill>
                  <w14:solidFill>
                    <w14:schemeClr w14:val="tx1"/>
                  </w14:solidFill>
                </w14:textFill>
              </w:rPr>
            </w:pPr>
            <w:r>
              <w:rPr>
                <w:rFonts w:hint="default" w:ascii="Times New Roman" w:hAnsi="Times New Roman" w:eastAsia="宋体" w:cs="Times New Roman"/>
                <w:color w:val="000000" w:themeColor="text1"/>
                <w:kern w:val="0"/>
                <w:sz w:val="21"/>
                <w:szCs w:val="21"/>
                <w:u w:val="none"/>
                <w:lang w:val="en-US" w:eastAsia="zh-CN" w:bidi="ar"/>
                <w14:textFill>
                  <w14:solidFill>
                    <w14:schemeClr w14:val="tx1"/>
                  </w14:solidFill>
                </w14:textFill>
              </w:rPr>
              <w:t>1.严格按照《城镇燃气设计规范（2020版）》（GB50028-2006）及安全设施设计文件要求进行设计和建设。2.设置事故紧急切断系统，发生泄漏后第一时间切断泄漏源。</w:t>
            </w: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3.采取源头控制和</w:t>
            </w:r>
            <w:r>
              <w:rPr>
                <w:rFonts w:hint="default" w:ascii="Times New Roman" w:hAnsi="Times New Roman" w:eastAsia="宋体" w:cs="Times New Roman"/>
                <w:b w:val="0"/>
                <w:bCs w:val="0"/>
                <w:color w:val="000000" w:themeColor="text1"/>
                <w:kern w:val="0"/>
                <w:sz w:val="21"/>
                <w:szCs w:val="21"/>
                <w:lang w:val="en-US" w:eastAsia="zh-CN" w:bidi="ar"/>
                <w14:textFill>
                  <w14:solidFill>
                    <w14:schemeClr w14:val="tx1"/>
                  </w14:solidFill>
                </w14:textFill>
              </w:rPr>
              <w:t>分区防渗措施防止地下水污染。</w:t>
            </w:r>
            <w:r>
              <w:rPr>
                <w:rFonts w:hint="default" w:ascii="Times New Roman" w:hAnsi="Times New Roman" w:eastAsia="宋体" w:cs="Times New Roman"/>
                <w:color w:val="000000" w:themeColor="text1"/>
                <w:kern w:val="0"/>
                <w:sz w:val="21"/>
                <w:szCs w:val="21"/>
                <w:u w:val="none"/>
                <w:lang w:val="en-US" w:eastAsia="zh-CN" w:bidi="ar"/>
                <w14:textFill>
                  <w14:solidFill>
                    <w14:schemeClr w14:val="tx1"/>
                  </w14:solidFill>
                </w14:textFill>
              </w:rPr>
              <w:t>4.</w:t>
            </w:r>
            <w:r>
              <w:rPr>
                <w:rFonts w:hint="default" w:ascii="Times New Roman" w:hAnsi="Times New Roman" w:eastAsia="宋体" w:cs="Times New Roman"/>
                <w:b w:val="0"/>
                <w:bCs/>
                <w:color w:val="000000" w:themeColor="text1"/>
                <w:kern w:val="0"/>
                <w:sz w:val="21"/>
                <w:szCs w:val="21"/>
                <w:lang w:val="en-US" w:eastAsia="zh-CN" w:bidi="ar"/>
                <w14:textFill>
                  <w14:solidFill>
                    <w14:schemeClr w14:val="tx1"/>
                  </w14:solidFill>
                </w14:textFill>
              </w:rPr>
              <w:t>采取“防护堤-事故池-</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围墙及雨水收集系统”三级防控体系，确保生产事故废水不外排。</w:t>
            </w:r>
          </w:p>
        </w:tc>
      </w:tr>
      <w:tr w14:paraId="669433D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16" w:type="pct"/>
            <w:tcBorders>
              <w:tl2br w:val="nil"/>
              <w:tr2bl w:val="nil"/>
            </w:tcBorders>
            <w:vAlign w:val="center"/>
          </w:tcPr>
          <w:p w14:paraId="786BC3EC">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lang w:val="en-US" w:eastAsia="zh-CN" w:bidi="ar"/>
                <w14:textFill>
                  <w14:solidFill>
                    <w14:schemeClr w14:val="tx1"/>
                  </w14:solidFill>
                </w14:textFill>
              </w:rPr>
              <w:t>其他环境</w:t>
            </w:r>
          </w:p>
          <w:p w14:paraId="11D32A14">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lang w:val="en-US" w:eastAsia="zh-CN" w:bidi="ar"/>
                <w14:textFill>
                  <w14:solidFill>
                    <w14:schemeClr w14:val="tx1"/>
                  </w14:solidFill>
                </w14:textFill>
              </w:rPr>
              <w:t>管理要求</w:t>
            </w:r>
          </w:p>
        </w:tc>
        <w:tc>
          <w:tcPr>
            <w:tcW w:w="4383" w:type="pct"/>
            <w:gridSpan w:val="4"/>
            <w:tcBorders>
              <w:tl2br w:val="nil"/>
              <w:tr2bl w:val="nil"/>
            </w:tcBorders>
            <w:vAlign w:val="center"/>
          </w:tcPr>
          <w:p w14:paraId="130017F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宋体" w:cs="Times New Roman"/>
                <w:b w:val="0"/>
                <w:bCs w:val="0"/>
                <w:color w:val="000000" w:themeColor="text1"/>
                <w:sz w:val="21"/>
                <w:szCs w:val="21"/>
                <w:vertAlign w:val="baseline"/>
                <w:lang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lang w:val="en-US" w:eastAsia="zh-CN" w:bidi="ar"/>
                <w14:textFill>
                  <w14:solidFill>
                    <w14:schemeClr w14:val="tx1"/>
                  </w14:solidFill>
                </w14:textFill>
              </w:rPr>
              <w:t>1.项目取得环评批复后（实际排污前），变更排污许可证；建成后及时开展竣工环境保护验收工作</w:t>
            </w:r>
            <w:r>
              <w:rPr>
                <w:rFonts w:hint="default" w:ascii="Times New Roman" w:hAnsi="Times New Roman" w:eastAsia="宋体" w:cs="Times New Roman"/>
                <w:b w:val="0"/>
                <w:bCs w:val="0"/>
                <w:color w:val="000000" w:themeColor="text1"/>
                <w:sz w:val="21"/>
                <w:szCs w:val="21"/>
                <w:vertAlign w:val="baseline"/>
                <w14:textFill>
                  <w14:solidFill>
                    <w14:schemeClr w14:val="tx1"/>
                  </w14:solidFill>
                </w14:textFill>
              </w:rPr>
              <w:t>，全面落实环评文件中提出的污染治理</w:t>
            </w: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和风险防范</w:t>
            </w:r>
            <w:r>
              <w:rPr>
                <w:rFonts w:hint="default" w:ascii="Times New Roman" w:hAnsi="Times New Roman" w:eastAsia="宋体" w:cs="Times New Roman"/>
                <w:b w:val="0"/>
                <w:bCs w:val="0"/>
                <w:color w:val="000000" w:themeColor="text1"/>
                <w:sz w:val="21"/>
                <w:szCs w:val="21"/>
                <w:vertAlign w:val="baseline"/>
                <w14:textFill>
                  <w14:solidFill>
                    <w14:schemeClr w14:val="tx1"/>
                  </w14:solidFill>
                </w14:textFill>
              </w:rPr>
              <w:t>措施</w:t>
            </w:r>
            <w:r>
              <w:rPr>
                <w:rFonts w:hint="default" w:ascii="Times New Roman" w:hAnsi="Times New Roman" w:eastAsia="宋体" w:cs="Times New Roman"/>
                <w:b w:val="0"/>
                <w:bCs w:val="0"/>
                <w:color w:val="000000" w:themeColor="text1"/>
                <w:sz w:val="21"/>
                <w:szCs w:val="21"/>
                <w:vertAlign w:val="baseline"/>
                <w:lang w:eastAsia="zh-CN"/>
                <w14:textFill>
                  <w14:solidFill>
                    <w14:schemeClr w14:val="tx1"/>
                  </w14:solidFill>
                </w14:textFill>
              </w:rPr>
              <w:t>。</w:t>
            </w:r>
          </w:p>
          <w:p w14:paraId="7D185D76">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hint="default" w:ascii="Times New Roman" w:hAnsi="Times New Roman" w:eastAsia="宋体" w:cs="Times New Roman"/>
                <w:b w:val="0"/>
                <w:bCs w:val="0"/>
                <w:color w:val="000000" w:themeColor="text1"/>
                <w:sz w:val="21"/>
                <w:szCs w:val="21"/>
                <w:vertAlign w:val="baseline"/>
                <w:lang w:val="en-US"/>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lang w:val="en-US" w:eastAsia="zh-CN" w:bidi="ar"/>
                <w14:textFill>
                  <w14:solidFill>
                    <w14:schemeClr w14:val="tx1"/>
                  </w14:solidFill>
                </w14:textFill>
              </w:rPr>
              <w:t>2.</w:t>
            </w: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严格按照环评及</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排污许可要求，开展自行监测、建立环境管理台账。</w:t>
            </w:r>
          </w:p>
        </w:tc>
      </w:tr>
    </w:tbl>
    <w:p w14:paraId="514A9789">
      <w:pPr>
        <w:rPr>
          <w:rFonts w:hint="default" w:ascii="Times New Roman" w:hAnsi="Times New Roman" w:eastAsia="宋体" w:cs="Times New Roman"/>
          <w:b/>
          <w:bCs/>
          <w:color w:val="000000" w:themeColor="text1"/>
          <w:kern w:val="0"/>
          <w:sz w:val="30"/>
          <w:szCs w:val="30"/>
          <w:lang w:val="en-US" w:eastAsia="zh-CN" w:bidi="ar"/>
          <w14:textFill>
            <w14:solidFill>
              <w14:schemeClr w14:val="tx1"/>
            </w14:solidFill>
          </w14:textFill>
        </w:rPr>
      </w:pPr>
      <w:r>
        <w:rPr>
          <w:rFonts w:hint="default" w:ascii="Times New Roman" w:hAnsi="Times New Roman" w:eastAsia="宋体" w:cs="Times New Roman"/>
          <w:b/>
          <w:bCs/>
          <w:color w:val="000000" w:themeColor="text1"/>
          <w:kern w:val="0"/>
          <w:sz w:val="30"/>
          <w:szCs w:val="30"/>
          <w:lang w:val="en-US" w:eastAsia="zh-CN" w:bidi="ar"/>
          <w14:textFill>
            <w14:solidFill>
              <w14:schemeClr w14:val="tx1"/>
            </w14:solidFill>
          </w14:textFill>
        </w:rPr>
        <w:br w:type="page"/>
      </w:r>
    </w:p>
    <w:p w14:paraId="3DEA5883">
      <w:pPr>
        <w:keepNext w:val="0"/>
        <w:keepLines w:val="0"/>
        <w:widowControl/>
        <w:suppressLineNumbers w:val="0"/>
        <w:jc w:val="center"/>
        <w:rPr>
          <w:rFonts w:hint="default" w:ascii="Times New Roman" w:hAnsi="Times New Roman" w:eastAsia="宋体" w:cs="Times New Roman"/>
          <w:b/>
          <w:bCs/>
          <w:color w:val="000000" w:themeColor="text1"/>
          <w14:textFill>
            <w14:solidFill>
              <w14:schemeClr w14:val="tx1"/>
            </w14:solidFill>
          </w14:textFill>
        </w:rPr>
      </w:pPr>
      <w:r>
        <w:rPr>
          <w:rFonts w:hint="default" w:ascii="Times New Roman" w:hAnsi="Times New Roman" w:eastAsia="宋体" w:cs="Times New Roman"/>
          <w:b/>
          <w:bCs/>
          <w:color w:val="000000" w:themeColor="text1"/>
          <w:kern w:val="0"/>
          <w:sz w:val="30"/>
          <w:szCs w:val="30"/>
          <w:lang w:val="en-US" w:eastAsia="zh-CN" w:bidi="ar"/>
          <w14:textFill>
            <w14:solidFill>
              <w14:schemeClr w14:val="tx1"/>
            </w14:solidFill>
          </w14:textFill>
        </w:rPr>
        <w:t>六、结论</w:t>
      </w:r>
    </w:p>
    <w:tbl>
      <w:tblPr>
        <w:tblStyle w:val="1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962"/>
      </w:tblGrid>
      <w:tr w14:paraId="215E2C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32" w:hRule="atLeast"/>
        </w:trPr>
        <w:tc>
          <w:tcPr>
            <w:tcW w:w="5000" w:type="pct"/>
          </w:tcPr>
          <w:p w14:paraId="759EDE57">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kern w:val="0"/>
                <w:sz w:val="32"/>
                <w:szCs w:val="32"/>
                <w:vertAlign w:val="baseline"/>
                <w:lang w:val="en-US" w:eastAsia="zh-CN" w:bidi="ar"/>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从环境</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保护角度</w:t>
            </w:r>
            <w:r>
              <w:rPr>
                <w:rFonts w:hint="default" w:ascii="Times New Roman" w:hAnsi="Times New Roman" w:eastAsia="宋体" w:cs="Times New Roman"/>
                <w:color w:val="000000" w:themeColor="text1"/>
                <w:sz w:val="24"/>
                <w:szCs w:val="24"/>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本项目</w:t>
            </w:r>
            <w:r>
              <w:rPr>
                <w:rFonts w:hint="default" w:ascii="Times New Roman" w:hAnsi="Times New Roman" w:eastAsia="宋体" w:cs="Times New Roman"/>
                <w:color w:val="000000" w:themeColor="text1"/>
                <w:sz w:val="24"/>
                <w:szCs w:val="24"/>
                <w14:textFill>
                  <w14:solidFill>
                    <w14:schemeClr w14:val="tx1"/>
                  </w14:solidFill>
                </w14:textFill>
              </w:rPr>
              <w:t>环境影响可行。</w:t>
            </w:r>
          </w:p>
        </w:tc>
      </w:tr>
    </w:tbl>
    <w:p w14:paraId="0ED9162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000000" w:themeColor="text1"/>
          <w:kern w:val="0"/>
          <w:sz w:val="32"/>
          <w:szCs w:val="32"/>
          <w:lang w:val="en-US" w:eastAsia="zh-CN" w:bidi="ar"/>
          <w14:textFill>
            <w14:solidFill>
              <w14:schemeClr w14:val="tx1"/>
            </w14:solidFill>
          </w14:textFill>
        </w:rPr>
        <w:sectPr>
          <w:pgSz w:w="11906" w:h="16838"/>
          <w:pgMar w:top="1440" w:right="1080" w:bottom="1440" w:left="1080" w:header="851" w:footer="992" w:gutter="0"/>
          <w:pgBorders w:offsetFrom="page">
            <w:top w:val="none" w:sz="0" w:space="0"/>
            <w:left w:val="none" w:sz="0" w:space="0"/>
            <w:bottom w:val="none" w:sz="0" w:space="0"/>
            <w:right w:val="none" w:sz="0" w:space="0"/>
          </w:pgBorders>
          <w:pgNumType w:fmt="decimal"/>
          <w:cols w:space="425" w:num="1"/>
          <w:docGrid w:type="lines" w:linePitch="312" w:charSpace="0"/>
        </w:sectPr>
      </w:pPr>
    </w:p>
    <w:p w14:paraId="1F5C3DA3">
      <w:pPr>
        <w:keepNext w:val="0"/>
        <w:keepLines w:val="0"/>
        <w:widowControl/>
        <w:suppressLineNumbers w:val="0"/>
        <w:jc w:val="center"/>
        <w:rPr>
          <w:rFonts w:hint="default" w:ascii="Times New Roman" w:hAnsi="Times New Roman" w:eastAsia="宋体" w:cs="Times New Roman"/>
          <w:b/>
          <w:bCs/>
          <w:color w:val="000000" w:themeColor="text1"/>
          <w:vertAlign w:val="baseline"/>
          <w14:textFill>
            <w14:solidFill>
              <w14:schemeClr w14:val="tx1"/>
            </w14:solidFill>
          </w14:textFill>
        </w:rPr>
      </w:pPr>
      <w:r>
        <w:rPr>
          <w:rFonts w:hint="default" w:ascii="Times New Roman" w:hAnsi="Times New Roman" w:eastAsia="宋体" w:cs="Times New Roman"/>
          <w:b/>
          <w:bCs/>
          <w:color w:val="000000" w:themeColor="text1"/>
          <w:kern w:val="0"/>
          <w:sz w:val="37"/>
          <w:szCs w:val="37"/>
          <w:lang w:val="en-US" w:eastAsia="zh-CN" w:bidi="ar"/>
          <w14:textFill>
            <w14:solidFill>
              <w14:schemeClr w14:val="tx1"/>
            </w14:solidFill>
          </w14:textFill>
        </w:rPr>
        <w:t>建设项目污染物排放量汇总表</w:t>
      </w:r>
    </w:p>
    <w:tbl>
      <w:tblPr>
        <w:tblStyle w:val="1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39"/>
        <w:gridCol w:w="1756"/>
        <w:gridCol w:w="1592"/>
        <w:gridCol w:w="1561"/>
        <w:gridCol w:w="1563"/>
        <w:gridCol w:w="1563"/>
        <w:gridCol w:w="1563"/>
        <w:gridCol w:w="1861"/>
        <w:gridCol w:w="1237"/>
      </w:tblGrid>
      <w:tr w14:paraId="3B735D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4" w:hRule="atLeast"/>
        </w:trPr>
        <w:tc>
          <w:tcPr>
            <w:tcW w:w="1339" w:type="dxa"/>
            <w:vAlign w:val="center"/>
            <mc:AlternateContent>
              <mc:Choice Requires="wpsCustomData">
                <wpsCustomData:diagonals>
                  <wpsCustomData:diagonal from="10000" to="30000">
                    <wpsCustomData:border w:val="single" w:color="auto" w:sz="4" w:space="0"/>
                  </wpsCustomData:diagonal>
                </wpsCustomData:diagonals>
              </mc:Choice>
            </mc:AlternateContent>
          </w:tcPr>
          <w:p w14:paraId="4FEB511A">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p>
          <w:p w14:paraId="4CC3435F">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p>
          <w:p w14:paraId="126E0F58">
            <w:pPr>
              <w:keepNext w:val="0"/>
              <w:keepLines w:val="0"/>
              <w:pageBreakBefore w:val="0"/>
              <w:widowControl/>
              <w:suppressLineNumbers w:val="0"/>
              <w:kinsoku/>
              <w:wordWrap/>
              <w:overflowPunct/>
              <w:topLinePunct w:val="0"/>
              <w:autoSpaceDE/>
              <w:autoSpaceDN/>
              <w:bidi w:val="0"/>
              <w:adjustRightInd/>
              <w:snapToGrid/>
              <w:jc w:val="center"/>
              <w:textAlignment w:val="auto"/>
              <mc:AlternateContent>
                <mc:Choice Requires="wpsCustomData">
                  <wpsCustomData:diagonalParaType/>
                </mc:Choice>
              </mc:AlternateContent>
              <w:rPr>
                <w:rFonts w:hint="default" w:ascii="Times New Roman" w:hAnsi="Times New Roman" w:eastAsia="宋体" w:cs="Times New Roman"/>
                <w:color w:val="000000" w:themeColor="text1"/>
                <w:sz w:val="21"/>
                <w:szCs w:val="21"/>
                <w:vertAlign w:val="baseline"/>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分类</w:t>
            </w:r>
          </w:p>
          <w:p w14:paraId="4BE6B165">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vertAlign w:val="baseline"/>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项目</w:t>
            </w:r>
          </w:p>
        </w:tc>
        <w:tc>
          <w:tcPr>
            <w:tcW w:w="1756" w:type="dxa"/>
            <w:vAlign w:val="center"/>
          </w:tcPr>
          <w:p w14:paraId="4F74BDBA">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vertAlign w:val="baseline"/>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污染物名称</w:t>
            </w:r>
          </w:p>
        </w:tc>
        <w:tc>
          <w:tcPr>
            <w:tcW w:w="1592" w:type="dxa"/>
            <w:vAlign w:val="center"/>
          </w:tcPr>
          <w:p w14:paraId="7183B814">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现有工程</w:t>
            </w:r>
          </w:p>
          <w:p w14:paraId="5423DD8E">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vertAlign w:val="baseline"/>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排放量（固体废物产生量）①</w:t>
            </w:r>
          </w:p>
        </w:tc>
        <w:tc>
          <w:tcPr>
            <w:tcW w:w="1561" w:type="dxa"/>
            <w:vAlign w:val="center"/>
          </w:tcPr>
          <w:p w14:paraId="2E522372">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现有工程</w:t>
            </w:r>
          </w:p>
          <w:p w14:paraId="5F3AD631">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许可排放量</w:t>
            </w:r>
          </w:p>
          <w:p w14:paraId="11786048">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vertAlign w:val="baseline"/>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②</w:t>
            </w:r>
          </w:p>
        </w:tc>
        <w:tc>
          <w:tcPr>
            <w:tcW w:w="1563" w:type="dxa"/>
            <w:vAlign w:val="center"/>
          </w:tcPr>
          <w:p w14:paraId="27D90418">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在建工程</w:t>
            </w:r>
          </w:p>
          <w:p w14:paraId="1B684357">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vertAlign w:val="baseline"/>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排放量（固体废物产生量）③</w:t>
            </w:r>
          </w:p>
        </w:tc>
        <w:tc>
          <w:tcPr>
            <w:tcW w:w="1563" w:type="dxa"/>
            <w:vAlign w:val="center"/>
          </w:tcPr>
          <w:p w14:paraId="413E90F9">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本项目</w:t>
            </w:r>
          </w:p>
          <w:p w14:paraId="175ED699">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vertAlign w:val="baseline"/>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排放量（固体废物产生量）④</w:t>
            </w:r>
          </w:p>
        </w:tc>
        <w:tc>
          <w:tcPr>
            <w:tcW w:w="1563" w:type="dxa"/>
            <w:vAlign w:val="center"/>
          </w:tcPr>
          <w:p w14:paraId="446C2299">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vertAlign w:val="baseline"/>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以新带老削减量（新建项目不填）⑤</w:t>
            </w:r>
          </w:p>
        </w:tc>
        <w:tc>
          <w:tcPr>
            <w:tcW w:w="1861" w:type="dxa"/>
            <w:vAlign w:val="center"/>
          </w:tcPr>
          <w:p w14:paraId="51F54596">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本项目建成后</w:t>
            </w:r>
          </w:p>
          <w:p w14:paraId="1D857C54">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vertAlign w:val="baseline"/>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全厂排放量（固体废物产生量）⑥</w:t>
            </w:r>
          </w:p>
        </w:tc>
        <w:tc>
          <w:tcPr>
            <w:tcW w:w="1237" w:type="dxa"/>
            <w:vAlign w:val="center"/>
          </w:tcPr>
          <w:p w14:paraId="6F9720DA">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变化量</w:t>
            </w:r>
          </w:p>
          <w:p w14:paraId="06EADB9B">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vertAlign w:val="baseline"/>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⑦</w:t>
            </w:r>
          </w:p>
        </w:tc>
      </w:tr>
      <w:tr w14:paraId="4FD3A6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 w:hRule="atLeast"/>
        </w:trPr>
        <w:tc>
          <w:tcPr>
            <w:tcW w:w="1339" w:type="dxa"/>
            <w:vMerge w:val="restart"/>
            <w:vAlign w:val="center"/>
          </w:tcPr>
          <w:p w14:paraId="1E3A4968">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vertAlign w:val="baseline"/>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废气</w:t>
            </w:r>
          </w:p>
        </w:tc>
        <w:tc>
          <w:tcPr>
            <w:tcW w:w="1756" w:type="dxa"/>
            <w:vAlign w:val="center"/>
          </w:tcPr>
          <w:p w14:paraId="387D176B">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颗粒物</w:t>
            </w:r>
          </w:p>
        </w:tc>
        <w:tc>
          <w:tcPr>
            <w:tcW w:w="1592" w:type="dxa"/>
            <w:vAlign w:val="center"/>
          </w:tcPr>
          <w:p w14:paraId="75654DD9">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kern w:val="0"/>
                <w:sz w:val="21"/>
                <w:szCs w:val="21"/>
                <w:u w:val="none"/>
                <w:vertAlign w:val="baseli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0.13t/a</w:t>
            </w:r>
          </w:p>
        </w:tc>
        <w:tc>
          <w:tcPr>
            <w:tcW w:w="1561" w:type="dxa"/>
            <w:vAlign w:val="center"/>
          </w:tcPr>
          <w:p w14:paraId="45AED03C">
            <w:pPr>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w:t>
            </w:r>
          </w:p>
        </w:tc>
        <w:tc>
          <w:tcPr>
            <w:tcW w:w="1563" w:type="dxa"/>
            <w:vAlign w:val="center"/>
          </w:tcPr>
          <w:p w14:paraId="5FBDAC04">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0.242t/a</w:t>
            </w:r>
          </w:p>
        </w:tc>
        <w:tc>
          <w:tcPr>
            <w:tcW w:w="1563" w:type="dxa"/>
            <w:vAlign w:val="center"/>
          </w:tcPr>
          <w:p w14:paraId="03C067EB">
            <w:pPr>
              <w:jc w:val="cente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w:t>
            </w:r>
          </w:p>
        </w:tc>
        <w:tc>
          <w:tcPr>
            <w:tcW w:w="1563" w:type="dxa"/>
            <w:vAlign w:val="center"/>
          </w:tcPr>
          <w:p w14:paraId="73BDEE78">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kern w:val="0"/>
                <w:sz w:val="21"/>
                <w:szCs w:val="21"/>
                <w:u w:val="none"/>
                <w:vertAlign w:val="baseli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0.13t/a</w:t>
            </w:r>
          </w:p>
        </w:tc>
        <w:tc>
          <w:tcPr>
            <w:tcW w:w="1861" w:type="dxa"/>
            <w:vAlign w:val="center"/>
          </w:tcPr>
          <w:p w14:paraId="4F8CEC89">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0.242t/a</w:t>
            </w:r>
          </w:p>
        </w:tc>
        <w:tc>
          <w:tcPr>
            <w:tcW w:w="1237" w:type="dxa"/>
            <w:vAlign w:val="center"/>
          </w:tcPr>
          <w:p w14:paraId="13C3BB69">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+0.112t/a</w:t>
            </w:r>
          </w:p>
        </w:tc>
      </w:tr>
      <w:tr w14:paraId="1013ED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339" w:type="dxa"/>
            <w:vMerge w:val="continue"/>
            <w:vAlign w:val="center"/>
          </w:tcPr>
          <w:p w14:paraId="634F5172">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1756" w:type="dxa"/>
            <w:vAlign w:val="center"/>
          </w:tcPr>
          <w:p w14:paraId="134E098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SO</w:t>
            </w:r>
            <w:r>
              <w:rPr>
                <w:rFonts w:hint="default" w:ascii="Times New Roman" w:hAnsi="Times New Roman" w:eastAsia="宋体" w:cs="Times New Roman"/>
                <w:b w:val="0"/>
                <w:bCs w:val="0"/>
                <w:color w:val="000000" w:themeColor="text1"/>
                <w:kern w:val="0"/>
                <w:sz w:val="21"/>
                <w:szCs w:val="21"/>
                <w:vertAlign w:val="subscript"/>
                <w:lang w:val="en-US" w:eastAsia="zh-CN" w:bidi="ar"/>
                <w14:textFill>
                  <w14:solidFill>
                    <w14:schemeClr w14:val="tx1"/>
                  </w14:solidFill>
                </w14:textFill>
              </w:rPr>
              <w:t>2</w:t>
            </w:r>
          </w:p>
        </w:tc>
        <w:tc>
          <w:tcPr>
            <w:tcW w:w="1592" w:type="dxa"/>
            <w:vAlign w:val="center"/>
          </w:tcPr>
          <w:p w14:paraId="3CD5D8D6">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kern w:val="0"/>
                <w:sz w:val="21"/>
                <w:szCs w:val="21"/>
                <w:u w:val="none"/>
                <w:vertAlign w:val="baseli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0.2544t/a</w:t>
            </w:r>
          </w:p>
        </w:tc>
        <w:tc>
          <w:tcPr>
            <w:tcW w:w="1561" w:type="dxa"/>
            <w:shd w:val="clear" w:color="auto" w:fill="auto"/>
            <w:vAlign w:val="center"/>
          </w:tcPr>
          <w:p w14:paraId="70526D31">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1.29t/a</w:t>
            </w:r>
          </w:p>
        </w:tc>
        <w:tc>
          <w:tcPr>
            <w:tcW w:w="1563" w:type="dxa"/>
            <w:vAlign w:val="center"/>
          </w:tcPr>
          <w:p w14:paraId="3719AAFF">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0.014t/a</w:t>
            </w:r>
          </w:p>
        </w:tc>
        <w:tc>
          <w:tcPr>
            <w:tcW w:w="1563" w:type="dxa"/>
            <w:vAlign w:val="center"/>
          </w:tcPr>
          <w:p w14:paraId="2951922B">
            <w:pPr>
              <w:jc w:val="cente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w:t>
            </w:r>
          </w:p>
        </w:tc>
        <w:tc>
          <w:tcPr>
            <w:tcW w:w="1563" w:type="dxa"/>
            <w:vAlign w:val="center"/>
          </w:tcPr>
          <w:p w14:paraId="30ACF4C7">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kern w:val="0"/>
                <w:sz w:val="21"/>
                <w:szCs w:val="21"/>
                <w:u w:val="none"/>
                <w:vertAlign w:val="baseli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0.2544t/a</w:t>
            </w:r>
          </w:p>
        </w:tc>
        <w:tc>
          <w:tcPr>
            <w:tcW w:w="1861" w:type="dxa"/>
            <w:vAlign w:val="center"/>
          </w:tcPr>
          <w:p w14:paraId="2213DEA7">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0.014t/a</w:t>
            </w:r>
          </w:p>
        </w:tc>
        <w:tc>
          <w:tcPr>
            <w:tcW w:w="1237" w:type="dxa"/>
            <w:vAlign w:val="center"/>
          </w:tcPr>
          <w:p w14:paraId="35415DD5">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-0.2404t/a</w:t>
            </w:r>
          </w:p>
        </w:tc>
      </w:tr>
      <w:tr w14:paraId="5423CF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 w:hRule="atLeast"/>
        </w:trPr>
        <w:tc>
          <w:tcPr>
            <w:tcW w:w="1339" w:type="dxa"/>
            <w:vMerge w:val="continue"/>
            <w:vAlign w:val="center"/>
          </w:tcPr>
          <w:p w14:paraId="4034B3D0">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p>
        </w:tc>
        <w:tc>
          <w:tcPr>
            <w:tcW w:w="1756" w:type="dxa"/>
            <w:vAlign w:val="center"/>
          </w:tcPr>
          <w:p w14:paraId="326069C1">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NO</w:t>
            </w:r>
            <w:r>
              <w:rPr>
                <w:rFonts w:hint="default" w:ascii="Times New Roman" w:hAnsi="Times New Roman" w:eastAsia="宋体" w:cs="Times New Roman"/>
                <w:b w:val="0"/>
                <w:bCs w:val="0"/>
                <w:color w:val="000000" w:themeColor="text1"/>
                <w:kern w:val="0"/>
                <w:sz w:val="21"/>
                <w:szCs w:val="21"/>
                <w:vertAlign w:val="subscript"/>
                <w:lang w:val="en-US" w:eastAsia="zh-CN" w:bidi="ar"/>
                <w14:textFill>
                  <w14:solidFill>
                    <w14:schemeClr w14:val="tx1"/>
                  </w14:solidFill>
                </w14:textFill>
              </w:rPr>
              <w:t>X</w:t>
            </w:r>
          </w:p>
        </w:tc>
        <w:tc>
          <w:tcPr>
            <w:tcW w:w="1592" w:type="dxa"/>
            <w:vAlign w:val="center"/>
          </w:tcPr>
          <w:p w14:paraId="3B679587">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kern w:val="0"/>
                <w:sz w:val="21"/>
                <w:szCs w:val="21"/>
                <w:u w:val="none"/>
                <w:vertAlign w:val="baseli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1.029t/a</w:t>
            </w:r>
          </w:p>
        </w:tc>
        <w:tc>
          <w:tcPr>
            <w:tcW w:w="1561" w:type="dxa"/>
            <w:shd w:val="clear" w:color="auto" w:fill="auto"/>
            <w:vAlign w:val="center"/>
          </w:tcPr>
          <w:p w14:paraId="7F251B2C">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2.68t/a</w:t>
            </w:r>
          </w:p>
        </w:tc>
        <w:tc>
          <w:tcPr>
            <w:tcW w:w="1563" w:type="dxa"/>
            <w:vAlign w:val="center"/>
          </w:tcPr>
          <w:p w14:paraId="53383478">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0.681t/a</w:t>
            </w:r>
          </w:p>
        </w:tc>
        <w:tc>
          <w:tcPr>
            <w:tcW w:w="1563" w:type="dxa"/>
            <w:vAlign w:val="center"/>
          </w:tcPr>
          <w:p w14:paraId="74B02F53">
            <w:pPr>
              <w:jc w:val="cente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w:t>
            </w:r>
          </w:p>
        </w:tc>
        <w:tc>
          <w:tcPr>
            <w:tcW w:w="1563" w:type="dxa"/>
            <w:vAlign w:val="center"/>
          </w:tcPr>
          <w:p w14:paraId="62C7BCA7">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kern w:val="0"/>
                <w:sz w:val="21"/>
                <w:szCs w:val="21"/>
                <w:u w:val="none"/>
                <w:vertAlign w:val="baseli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1.029t/a</w:t>
            </w:r>
          </w:p>
        </w:tc>
        <w:tc>
          <w:tcPr>
            <w:tcW w:w="1861" w:type="dxa"/>
            <w:vAlign w:val="center"/>
          </w:tcPr>
          <w:p w14:paraId="3F2AE357">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0.681t/a</w:t>
            </w:r>
          </w:p>
        </w:tc>
        <w:tc>
          <w:tcPr>
            <w:tcW w:w="1237" w:type="dxa"/>
            <w:vAlign w:val="center"/>
          </w:tcPr>
          <w:p w14:paraId="0A8A03E7">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-0.348t/a</w:t>
            </w:r>
          </w:p>
        </w:tc>
      </w:tr>
      <w:tr w14:paraId="2B3736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 w:hRule="atLeast"/>
        </w:trPr>
        <w:tc>
          <w:tcPr>
            <w:tcW w:w="1339" w:type="dxa"/>
            <w:vMerge w:val="continue"/>
            <w:vAlign w:val="center"/>
          </w:tcPr>
          <w:p w14:paraId="6B0A3E74">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1756" w:type="dxa"/>
            <w:vAlign w:val="center"/>
          </w:tcPr>
          <w:p w14:paraId="7D8A490E">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非甲烷总烃</w:t>
            </w:r>
          </w:p>
        </w:tc>
        <w:tc>
          <w:tcPr>
            <w:tcW w:w="1592" w:type="dxa"/>
            <w:vAlign w:val="center"/>
          </w:tcPr>
          <w:p w14:paraId="6D0E6937">
            <w:pPr>
              <w:jc w:val="cente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w:t>
            </w:r>
          </w:p>
        </w:tc>
        <w:tc>
          <w:tcPr>
            <w:tcW w:w="1561" w:type="dxa"/>
            <w:shd w:val="clear" w:color="auto" w:fill="auto"/>
            <w:vAlign w:val="center"/>
          </w:tcPr>
          <w:p w14:paraId="3DD674A4">
            <w:pPr>
              <w:jc w:val="cente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w:t>
            </w:r>
          </w:p>
        </w:tc>
        <w:tc>
          <w:tcPr>
            <w:tcW w:w="1563" w:type="dxa"/>
            <w:vAlign w:val="center"/>
          </w:tcPr>
          <w:p w14:paraId="63941974">
            <w:pPr>
              <w:jc w:val="cente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w:t>
            </w:r>
          </w:p>
        </w:tc>
        <w:tc>
          <w:tcPr>
            <w:tcW w:w="1563" w:type="dxa"/>
            <w:vAlign w:val="center"/>
          </w:tcPr>
          <w:p w14:paraId="3F76B27E">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0.00028t/a</w:t>
            </w:r>
          </w:p>
        </w:tc>
        <w:tc>
          <w:tcPr>
            <w:tcW w:w="1563" w:type="dxa"/>
            <w:vAlign w:val="center"/>
          </w:tcPr>
          <w:p w14:paraId="46C73A4C">
            <w:pPr>
              <w:jc w:val="cente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w:t>
            </w:r>
          </w:p>
        </w:tc>
        <w:tc>
          <w:tcPr>
            <w:tcW w:w="1861" w:type="dxa"/>
            <w:vAlign w:val="center"/>
          </w:tcPr>
          <w:p w14:paraId="16AD283C">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0.00028t/a</w:t>
            </w:r>
          </w:p>
        </w:tc>
        <w:tc>
          <w:tcPr>
            <w:tcW w:w="1237" w:type="dxa"/>
            <w:vAlign w:val="center"/>
          </w:tcPr>
          <w:p w14:paraId="0A8AD6FB">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+0.00028t/a</w:t>
            </w:r>
          </w:p>
        </w:tc>
      </w:tr>
      <w:tr w14:paraId="24B506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trPr>
        <w:tc>
          <w:tcPr>
            <w:tcW w:w="1339" w:type="dxa"/>
            <w:vMerge w:val="restart"/>
            <w:vAlign w:val="center"/>
          </w:tcPr>
          <w:p w14:paraId="793F86EA">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vertAlign w:val="baseline"/>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废水</w:t>
            </w:r>
          </w:p>
        </w:tc>
        <w:tc>
          <w:tcPr>
            <w:tcW w:w="1756" w:type="dxa"/>
            <w:vAlign w:val="center"/>
          </w:tcPr>
          <w:p w14:paraId="26C9E584">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COD</w:t>
            </w:r>
          </w:p>
        </w:tc>
        <w:tc>
          <w:tcPr>
            <w:tcW w:w="1592" w:type="dxa"/>
            <w:shd w:val="clear" w:color="auto" w:fill="auto"/>
            <w:vAlign w:val="center"/>
          </w:tcPr>
          <w:p w14:paraId="34CC31FC">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0.635t/a</w:t>
            </w:r>
          </w:p>
        </w:tc>
        <w:tc>
          <w:tcPr>
            <w:tcW w:w="1561" w:type="dxa"/>
            <w:shd w:val="clear" w:color="auto" w:fill="auto"/>
            <w:vAlign w:val="center"/>
          </w:tcPr>
          <w:p w14:paraId="3081B3C1">
            <w:pPr>
              <w:jc w:val="cente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w:t>
            </w:r>
          </w:p>
        </w:tc>
        <w:tc>
          <w:tcPr>
            <w:tcW w:w="1563" w:type="dxa"/>
            <w:vAlign w:val="center"/>
          </w:tcPr>
          <w:p w14:paraId="3941CE17">
            <w:pPr>
              <w:jc w:val="center"/>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w:t>
            </w:r>
          </w:p>
        </w:tc>
        <w:tc>
          <w:tcPr>
            <w:tcW w:w="1563" w:type="dxa"/>
            <w:vAlign w:val="center"/>
          </w:tcPr>
          <w:p w14:paraId="3354328B">
            <w:pPr>
              <w:jc w:val="cente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w:t>
            </w:r>
          </w:p>
        </w:tc>
        <w:tc>
          <w:tcPr>
            <w:tcW w:w="1563" w:type="dxa"/>
            <w:vAlign w:val="center"/>
          </w:tcPr>
          <w:p w14:paraId="14E743A3">
            <w:pPr>
              <w:jc w:val="center"/>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w:t>
            </w:r>
          </w:p>
        </w:tc>
        <w:tc>
          <w:tcPr>
            <w:tcW w:w="1861" w:type="dxa"/>
            <w:shd w:val="clear" w:color="auto" w:fill="auto"/>
            <w:vAlign w:val="center"/>
          </w:tcPr>
          <w:p w14:paraId="0C358776">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0.635t/a</w:t>
            </w:r>
          </w:p>
        </w:tc>
        <w:tc>
          <w:tcPr>
            <w:tcW w:w="1237" w:type="dxa"/>
            <w:vAlign w:val="center"/>
          </w:tcPr>
          <w:p w14:paraId="2A7C5CA6">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w:t>
            </w:r>
          </w:p>
        </w:tc>
      </w:tr>
      <w:tr w14:paraId="26BBB1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trPr>
        <w:tc>
          <w:tcPr>
            <w:tcW w:w="1339" w:type="dxa"/>
            <w:vMerge w:val="continue"/>
            <w:vAlign w:val="center"/>
          </w:tcPr>
          <w:p w14:paraId="04C95FBC">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1756" w:type="dxa"/>
            <w:vAlign w:val="center"/>
          </w:tcPr>
          <w:p w14:paraId="121F5B90">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氨氮</w:t>
            </w:r>
          </w:p>
        </w:tc>
        <w:tc>
          <w:tcPr>
            <w:tcW w:w="1592" w:type="dxa"/>
            <w:shd w:val="clear" w:color="auto" w:fill="auto"/>
            <w:vAlign w:val="center"/>
          </w:tcPr>
          <w:p w14:paraId="0D7D0673">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0.0071t/a</w:t>
            </w:r>
          </w:p>
        </w:tc>
        <w:tc>
          <w:tcPr>
            <w:tcW w:w="1561" w:type="dxa"/>
            <w:shd w:val="clear" w:color="auto" w:fill="auto"/>
            <w:vAlign w:val="center"/>
          </w:tcPr>
          <w:p w14:paraId="6F89AC4B">
            <w:pPr>
              <w:jc w:val="cente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w:t>
            </w:r>
          </w:p>
        </w:tc>
        <w:tc>
          <w:tcPr>
            <w:tcW w:w="1563" w:type="dxa"/>
            <w:vAlign w:val="center"/>
          </w:tcPr>
          <w:p w14:paraId="31C7181B">
            <w:pPr>
              <w:jc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w:t>
            </w:r>
          </w:p>
        </w:tc>
        <w:tc>
          <w:tcPr>
            <w:tcW w:w="1563" w:type="dxa"/>
            <w:vAlign w:val="center"/>
          </w:tcPr>
          <w:p w14:paraId="62E7E6E4">
            <w:pPr>
              <w:jc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w:t>
            </w:r>
          </w:p>
        </w:tc>
        <w:tc>
          <w:tcPr>
            <w:tcW w:w="1563" w:type="dxa"/>
            <w:vAlign w:val="center"/>
          </w:tcPr>
          <w:p w14:paraId="1649BFC1">
            <w:pPr>
              <w:jc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w:t>
            </w:r>
          </w:p>
        </w:tc>
        <w:tc>
          <w:tcPr>
            <w:tcW w:w="1861" w:type="dxa"/>
            <w:shd w:val="clear" w:color="auto" w:fill="auto"/>
            <w:vAlign w:val="center"/>
          </w:tcPr>
          <w:p w14:paraId="22F889B5">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0.0071t/a</w:t>
            </w:r>
          </w:p>
        </w:tc>
        <w:tc>
          <w:tcPr>
            <w:tcW w:w="1237" w:type="dxa"/>
            <w:vAlign w:val="center"/>
          </w:tcPr>
          <w:p w14:paraId="74D1BF55">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w:t>
            </w:r>
          </w:p>
        </w:tc>
      </w:tr>
      <w:tr w14:paraId="14F834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 w:hRule="atLeast"/>
        </w:trPr>
        <w:tc>
          <w:tcPr>
            <w:tcW w:w="1339" w:type="dxa"/>
            <w:vMerge w:val="restart"/>
            <w:vAlign w:val="center"/>
          </w:tcPr>
          <w:p w14:paraId="6A937B3F">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一般工业</w:t>
            </w:r>
          </w:p>
          <w:p w14:paraId="48591CA3">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vertAlign w:val="baseline"/>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固体废物</w:t>
            </w:r>
          </w:p>
        </w:tc>
        <w:tc>
          <w:tcPr>
            <w:tcW w:w="1756" w:type="dxa"/>
            <w:vAlign w:val="center"/>
          </w:tcPr>
          <w:p w14:paraId="6A9F85A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vertAlign w:val="baseline"/>
                <w:lang w:val="en-US" w:eastAsia="zh-CN" w:bidi="ar-SA"/>
                <w14:textFill>
                  <w14:solidFill>
                    <w14:schemeClr w14:val="tx1"/>
                  </w14:solidFill>
                </w14:textFill>
              </w:rPr>
              <w:t>炉渣</w:t>
            </w:r>
          </w:p>
        </w:tc>
        <w:tc>
          <w:tcPr>
            <w:tcW w:w="1592" w:type="dxa"/>
            <w:vAlign w:val="center"/>
          </w:tcPr>
          <w:p w14:paraId="1B3703CB">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kern w:val="0"/>
                <w:sz w:val="21"/>
                <w:szCs w:val="21"/>
                <w:u w:val="none"/>
                <w:vertAlign w:val="baseli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772t/a</w:t>
            </w:r>
          </w:p>
        </w:tc>
        <w:tc>
          <w:tcPr>
            <w:tcW w:w="1561" w:type="dxa"/>
            <w:vAlign w:val="center"/>
          </w:tcPr>
          <w:p w14:paraId="59AC9F65">
            <w:pPr>
              <w:jc w:val="center"/>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w:t>
            </w:r>
          </w:p>
        </w:tc>
        <w:tc>
          <w:tcPr>
            <w:tcW w:w="1563" w:type="dxa"/>
            <w:vAlign w:val="center"/>
          </w:tcPr>
          <w:p w14:paraId="1F38EF12">
            <w:pPr>
              <w:jc w:val="center"/>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w:t>
            </w:r>
          </w:p>
        </w:tc>
        <w:tc>
          <w:tcPr>
            <w:tcW w:w="1563" w:type="dxa"/>
            <w:vAlign w:val="center"/>
          </w:tcPr>
          <w:p w14:paraId="40C737AC">
            <w:pPr>
              <w:jc w:val="center"/>
              <w:rPr>
                <w:rFonts w:hint="default" w:ascii="Times New Roman" w:hAnsi="Times New Roman" w:eastAsia="宋体"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w:t>
            </w:r>
          </w:p>
        </w:tc>
        <w:tc>
          <w:tcPr>
            <w:tcW w:w="1563" w:type="dxa"/>
            <w:vAlign w:val="center"/>
          </w:tcPr>
          <w:p w14:paraId="4D1A2D06">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kern w:val="0"/>
                <w:sz w:val="21"/>
                <w:szCs w:val="21"/>
                <w:u w:val="none"/>
                <w:vertAlign w:val="baseli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772t/a</w:t>
            </w:r>
          </w:p>
        </w:tc>
        <w:tc>
          <w:tcPr>
            <w:tcW w:w="1861" w:type="dxa"/>
            <w:vAlign w:val="center"/>
          </w:tcPr>
          <w:p w14:paraId="5C4F325F">
            <w:pPr>
              <w:keepNext w:val="0"/>
              <w:keepLines w:val="0"/>
              <w:widowControl/>
              <w:suppressLineNumbers w:val="0"/>
              <w:jc w:val="center"/>
              <w:textAlignment w:val="center"/>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w:t>
            </w:r>
          </w:p>
        </w:tc>
        <w:tc>
          <w:tcPr>
            <w:tcW w:w="1237" w:type="dxa"/>
            <w:vAlign w:val="center"/>
          </w:tcPr>
          <w:p w14:paraId="245DE2C7">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-772t/a</w:t>
            </w:r>
          </w:p>
        </w:tc>
      </w:tr>
      <w:tr w14:paraId="4D7D93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 w:hRule="atLeast"/>
        </w:trPr>
        <w:tc>
          <w:tcPr>
            <w:tcW w:w="1339" w:type="dxa"/>
            <w:vMerge w:val="continue"/>
            <w:vAlign w:val="center"/>
          </w:tcPr>
          <w:p w14:paraId="46D86561">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1756" w:type="dxa"/>
            <w:vAlign w:val="center"/>
          </w:tcPr>
          <w:p w14:paraId="6B8AF841">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vertAlign w:val="baseline"/>
                <w:lang w:val="en-US" w:eastAsia="zh-CN" w:bidi="ar-SA"/>
                <w14:textFill>
                  <w14:solidFill>
                    <w14:schemeClr w14:val="tx1"/>
                  </w14:solidFill>
                </w14:textFill>
              </w:rPr>
              <w:t>除尘灰</w:t>
            </w:r>
          </w:p>
        </w:tc>
        <w:tc>
          <w:tcPr>
            <w:tcW w:w="1592" w:type="dxa"/>
            <w:vAlign w:val="center"/>
          </w:tcPr>
          <w:p w14:paraId="426E9CED">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64t/a</w:t>
            </w:r>
          </w:p>
        </w:tc>
        <w:tc>
          <w:tcPr>
            <w:tcW w:w="1561" w:type="dxa"/>
            <w:vAlign w:val="center"/>
          </w:tcPr>
          <w:p w14:paraId="6708D647">
            <w:pPr>
              <w:jc w:val="cente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w:t>
            </w:r>
          </w:p>
        </w:tc>
        <w:tc>
          <w:tcPr>
            <w:tcW w:w="1563" w:type="dxa"/>
            <w:vAlign w:val="center"/>
          </w:tcPr>
          <w:p w14:paraId="1AE31534">
            <w:pPr>
              <w:jc w:val="cente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w:t>
            </w:r>
          </w:p>
        </w:tc>
        <w:tc>
          <w:tcPr>
            <w:tcW w:w="1563" w:type="dxa"/>
            <w:vAlign w:val="center"/>
          </w:tcPr>
          <w:p w14:paraId="7128B2BF">
            <w:pPr>
              <w:jc w:val="center"/>
              <w:rPr>
                <w:rFonts w:hint="default" w:ascii="Times New Roman" w:hAnsi="Times New Roman" w:eastAsia="宋体"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w:t>
            </w:r>
          </w:p>
        </w:tc>
        <w:tc>
          <w:tcPr>
            <w:tcW w:w="1563" w:type="dxa"/>
            <w:vAlign w:val="center"/>
          </w:tcPr>
          <w:p w14:paraId="5AA62529">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64t/a</w:t>
            </w:r>
          </w:p>
        </w:tc>
        <w:tc>
          <w:tcPr>
            <w:tcW w:w="1861" w:type="dxa"/>
            <w:vAlign w:val="center"/>
          </w:tcPr>
          <w:p w14:paraId="13C4C95E">
            <w:pPr>
              <w:keepNext w:val="0"/>
              <w:keepLines w:val="0"/>
              <w:widowControl/>
              <w:suppressLineNumbers w:val="0"/>
              <w:jc w:val="center"/>
              <w:textAlignment w:val="cente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w:t>
            </w:r>
          </w:p>
        </w:tc>
        <w:tc>
          <w:tcPr>
            <w:tcW w:w="1237" w:type="dxa"/>
            <w:vAlign w:val="center"/>
          </w:tcPr>
          <w:p w14:paraId="5D8D3F81">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-64t/a</w:t>
            </w:r>
          </w:p>
        </w:tc>
      </w:tr>
      <w:tr w14:paraId="01EE02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 w:hRule="atLeast"/>
        </w:trPr>
        <w:tc>
          <w:tcPr>
            <w:tcW w:w="1339" w:type="dxa"/>
            <w:vMerge w:val="continue"/>
            <w:vAlign w:val="center"/>
          </w:tcPr>
          <w:p w14:paraId="0F77A99C">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1756" w:type="dxa"/>
            <w:vAlign w:val="center"/>
          </w:tcPr>
          <w:p w14:paraId="6362A7F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t>脱硫石膏</w:t>
            </w:r>
          </w:p>
        </w:tc>
        <w:tc>
          <w:tcPr>
            <w:tcW w:w="1592" w:type="dxa"/>
            <w:vAlign w:val="center"/>
          </w:tcPr>
          <w:p w14:paraId="39A031D6">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7.56t/a</w:t>
            </w:r>
          </w:p>
        </w:tc>
        <w:tc>
          <w:tcPr>
            <w:tcW w:w="1561" w:type="dxa"/>
            <w:vAlign w:val="center"/>
          </w:tcPr>
          <w:p w14:paraId="743AE7D0">
            <w:pPr>
              <w:jc w:val="center"/>
              <w:rPr>
                <w:rFonts w:hint="default" w:ascii="Times New Roman" w:hAnsi="Times New Roman" w:eastAsia="宋体" w:cs="Times New Roman"/>
                <w:color w:val="000000" w:themeColor="text1"/>
                <w:sz w:val="21"/>
                <w:szCs w:val="21"/>
                <w:vertAlign w:val="baseline"/>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w:t>
            </w:r>
          </w:p>
        </w:tc>
        <w:tc>
          <w:tcPr>
            <w:tcW w:w="1563" w:type="dxa"/>
            <w:vAlign w:val="center"/>
          </w:tcPr>
          <w:p w14:paraId="34CF24FC">
            <w:pPr>
              <w:jc w:val="center"/>
              <w:rPr>
                <w:rFonts w:hint="default" w:ascii="Times New Roman" w:hAnsi="Times New Roman" w:eastAsia="宋体" w:cs="Times New Roman"/>
                <w:color w:val="000000" w:themeColor="text1"/>
                <w:sz w:val="21"/>
                <w:szCs w:val="21"/>
                <w:vertAlign w:val="baseline"/>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w:t>
            </w:r>
          </w:p>
        </w:tc>
        <w:tc>
          <w:tcPr>
            <w:tcW w:w="1563" w:type="dxa"/>
            <w:vAlign w:val="center"/>
          </w:tcPr>
          <w:p w14:paraId="3369BFE2">
            <w:pPr>
              <w:jc w:val="center"/>
              <w:rPr>
                <w:rFonts w:hint="default" w:ascii="Times New Roman" w:hAnsi="Times New Roman" w:eastAsia="宋体"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w:t>
            </w:r>
          </w:p>
        </w:tc>
        <w:tc>
          <w:tcPr>
            <w:tcW w:w="1563" w:type="dxa"/>
            <w:vAlign w:val="center"/>
          </w:tcPr>
          <w:p w14:paraId="5B824742">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7.56t/a</w:t>
            </w:r>
          </w:p>
        </w:tc>
        <w:tc>
          <w:tcPr>
            <w:tcW w:w="1861" w:type="dxa"/>
            <w:vAlign w:val="center"/>
          </w:tcPr>
          <w:p w14:paraId="6D71A93E">
            <w:pPr>
              <w:keepNext w:val="0"/>
              <w:keepLines w:val="0"/>
              <w:widowControl/>
              <w:suppressLineNumbers w:val="0"/>
              <w:jc w:val="center"/>
              <w:textAlignment w:val="center"/>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w:t>
            </w:r>
          </w:p>
        </w:tc>
        <w:tc>
          <w:tcPr>
            <w:tcW w:w="1237" w:type="dxa"/>
            <w:vAlign w:val="center"/>
          </w:tcPr>
          <w:p w14:paraId="57AAE9B1">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-7.56t/a</w:t>
            </w:r>
          </w:p>
        </w:tc>
      </w:tr>
      <w:tr w14:paraId="146D78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 w:hRule="atLeast"/>
        </w:trPr>
        <w:tc>
          <w:tcPr>
            <w:tcW w:w="1339" w:type="dxa"/>
            <w:vMerge w:val="continue"/>
            <w:vAlign w:val="center"/>
          </w:tcPr>
          <w:p w14:paraId="708727F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1756" w:type="dxa"/>
            <w:vAlign w:val="center"/>
          </w:tcPr>
          <w:p w14:paraId="33E022E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vertAlign w:val="baseline"/>
                <w:lang w:val="en-US" w:eastAsia="zh-CN" w:bidi="ar-SA"/>
                <w14:textFill>
                  <w14:solidFill>
                    <w14:schemeClr w14:val="tx1"/>
                  </w14:solidFill>
                </w14:textFill>
              </w:rPr>
              <w:t>废离子交换树脂</w:t>
            </w:r>
          </w:p>
        </w:tc>
        <w:tc>
          <w:tcPr>
            <w:tcW w:w="1592" w:type="dxa"/>
            <w:vAlign w:val="center"/>
          </w:tcPr>
          <w:p w14:paraId="007A7154">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0.4t/a</w:t>
            </w:r>
          </w:p>
        </w:tc>
        <w:tc>
          <w:tcPr>
            <w:tcW w:w="1561" w:type="dxa"/>
            <w:vAlign w:val="center"/>
          </w:tcPr>
          <w:p w14:paraId="2E910C5F">
            <w:pPr>
              <w:jc w:val="center"/>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w:t>
            </w:r>
          </w:p>
        </w:tc>
        <w:tc>
          <w:tcPr>
            <w:tcW w:w="1563" w:type="dxa"/>
            <w:vAlign w:val="center"/>
          </w:tcPr>
          <w:p w14:paraId="25220A50">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0.27t/a</w:t>
            </w:r>
          </w:p>
        </w:tc>
        <w:tc>
          <w:tcPr>
            <w:tcW w:w="1563" w:type="dxa"/>
            <w:vAlign w:val="center"/>
          </w:tcPr>
          <w:p w14:paraId="7C8AA257">
            <w:pPr>
              <w:jc w:val="center"/>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w:t>
            </w:r>
          </w:p>
        </w:tc>
        <w:tc>
          <w:tcPr>
            <w:tcW w:w="1563" w:type="dxa"/>
            <w:vAlign w:val="center"/>
          </w:tcPr>
          <w:p w14:paraId="4B3419AD">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0.4t/a</w:t>
            </w:r>
          </w:p>
        </w:tc>
        <w:tc>
          <w:tcPr>
            <w:tcW w:w="1861" w:type="dxa"/>
            <w:vAlign w:val="center"/>
          </w:tcPr>
          <w:p w14:paraId="4F201803">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0.27t/a</w:t>
            </w:r>
          </w:p>
        </w:tc>
        <w:tc>
          <w:tcPr>
            <w:tcW w:w="1237" w:type="dxa"/>
            <w:vAlign w:val="center"/>
          </w:tcPr>
          <w:p w14:paraId="0F834940">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-0.13t/a</w:t>
            </w:r>
          </w:p>
        </w:tc>
      </w:tr>
    </w:tbl>
    <w:p w14:paraId="72E4B2E1">
      <w:pPr>
        <w:keepNext w:val="0"/>
        <w:keepLines w:val="0"/>
        <w:widowControl/>
        <w:suppressLineNumbers w:val="0"/>
        <w:jc w:val="left"/>
        <w:rPr>
          <w:rFonts w:hint="default" w:ascii="Times New Roman" w:hAnsi="Times New Roman" w:eastAsia="宋体" w:cs="Times New Roman"/>
          <w:color w:val="000000" w:themeColor="text1"/>
          <w:kern w:val="0"/>
          <w:sz w:val="32"/>
          <w:szCs w:val="32"/>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注：⑥=①+③+④-⑤；⑦=⑥-①</w:t>
      </w:r>
    </w:p>
    <w:sectPr>
      <w:pgSz w:w="16838" w:h="11906" w:orient="landscape"/>
      <w:pgMar w:top="1800" w:right="1440" w:bottom="1800" w:left="1440" w:header="851" w:footer="992" w:gutter="0"/>
      <w:pgBorders w:offsetFrom="page">
        <w:top w:val="none" w:sz="0" w:space="0"/>
        <w:left w:val="none" w:sz="0" w:space="0"/>
        <w:bottom w:val="none" w:sz="0" w:space="0"/>
        <w:right w:val="none" w:sz="0" w:space="0"/>
      </w:pgBorders>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roman"/>
    <w:pitch w:val="default"/>
    <w:sig w:usb0="E0002EFF" w:usb1="C000785B" w:usb2="00000009" w:usb3="00000000" w:csb0="400001FF" w:csb1="FFFF0000"/>
  </w:font>
  <w:font w:name="宋体">
    <w:panose1 w:val="02010600030101010101"/>
    <w:charset w:val="8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384F44">
    <w:pPr>
      <w:pStyle w:val="10"/>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5B1BE80">
                          <w:pPr>
                            <w:pStyle w:val="1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45B1BE80">
                    <w:pPr>
                      <w:pStyle w:val="10"/>
                    </w:pPr>
                    <w:r>
                      <w:fldChar w:fldCharType="begin"/>
                    </w:r>
                    <w:r>
                      <w:instrText xml:space="preserve"> PAGE  \* MERGEFORMAT </w:instrText>
                    </w:r>
                    <w:r>
                      <w:fldChar w:fldCharType="separate"/>
                    </w:r>
                    <w:r>
                      <w:t>1</w:t>
                    </w:r>
                    <w: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jdkYjkxN2E2MWYwMDIwNzkzMzY5MDYzYjFlZWYxNTcifQ=="/>
  </w:docVars>
  <w:rsids>
    <w:rsidRoot w:val="1B066C91"/>
    <w:rsid w:val="000273CC"/>
    <w:rsid w:val="000A60C3"/>
    <w:rsid w:val="002C5303"/>
    <w:rsid w:val="00360E24"/>
    <w:rsid w:val="00385A54"/>
    <w:rsid w:val="01121ED7"/>
    <w:rsid w:val="0116312F"/>
    <w:rsid w:val="0143244B"/>
    <w:rsid w:val="016C71F3"/>
    <w:rsid w:val="0192652E"/>
    <w:rsid w:val="02480A22"/>
    <w:rsid w:val="02783976"/>
    <w:rsid w:val="02AF0F10"/>
    <w:rsid w:val="02CE17E8"/>
    <w:rsid w:val="02DA1D98"/>
    <w:rsid w:val="03212AE0"/>
    <w:rsid w:val="03297D07"/>
    <w:rsid w:val="033F7AFD"/>
    <w:rsid w:val="034B2E38"/>
    <w:rsid w:val="03B409DD"/>
    <w:rsid w:val="03D90444"/>
    <w:rsid w:val="03DA2A74"/>
    <w:rsid w:val="04402271"/>
    <w:rsid w:val="04424A72"/>
    <w:rsid w:val="046917C8"/>
    <w:rsid w:val="04BC6320"/>
    <w:rsid w:val="05080FE1"/>
    <w:rsid w:val="052F2A11"/>
    <w:rsid w:val="058368B9"/>
    <w:rsid w:val="066E1EA3"/>
    <w:rsid w:val="068D7312"/>
    <w:rsid w:val="06D6348C"/>
    <w:rsid w:val="07121155"/>
    <w:rsid w:val="07A174CB"/>
    <w:rsid w:val="07F91FFD"/>
    <w:rsid w:val="08487460"/>
    <w:rsid w:val="0851332B"/>
    <w:rsid w:val="08734418"/>
    <w:rsid w:val="08B1198F"/>
    <w:rsid w:val="09886B94"/>
    <w:rsid w:val="09970B85"/>
    <w:rsid w:val="09A13297"/>
    <w:rsid w:val="09D05E45"/>
    <w:rsid w:val="09DF25C2"/>
    <w:rsid w:val="09E06905"/>
    <w:rsid w:val="0A460227"/>
    <w:rsid w:val="0A634F0B"/>
    <w:rsid w:val="0A75669D"/>
    <w:rsid w:val="0ADD2F10"/>
    <w:rsid w:val="0AF46B1B"/>
    <w:rsid w:val="0B071EAE"/>
    <w:rsid w:val="0B82496D"/>
    <w:rsid w:val="0C150128"/>
    <w:rsid w:val="0C290057"/>
    <w:rsid w:val="0C7922B7"/>
    <w:rsid w:val="0CBE27B3"/>
    <w:rsid w:val="0CEA15D3"/>
    <w:rsid w:val="0D660F9A"/>
    <w:rsid w:val="0D6C40D7"/>
    <w:rsid w:val="0DB97147"/>
    <w:rsid w:val="0DF742E8"/>
    <w:rsid w:val="0E3E791A"/>
    <w:rsid w:val="0E642426"/>
    <w:rsid w:val="0E6B2D1A"/>
    <w:rsid w:val="0ED85EC8"/>
    <w:rsid w:val="0EF357FE"/>
    <w:rsid w:val="0F45706B"/>
    <w:rsid w:val="0F953DB9"/>
    <w:rsid w:val="0FAC4C5F"/>
    <w:rsid w:val="0FBB50BE"/>
    <w:rsid w:val="0FFA00C0"/>
    <w:rsid w:val="108654B0"/>
    <w:rsid w:val="10D41CDF"/>
    <w:rsid w:val="1104549E"/>
    <w:rsid w:val="112471D0"/>
    <w:rsid w:val="11494E5B"/>
    <w:rsid w:val="11661549"/>
    <w:rsid w:val="11DB182B"/>
    <w:rsid w:val="123C051C"/>
    <w:rsid w:val="126343DF"/>
    <w:rsid w:val="128707CB"/>
    <w:rsid w:val="128B4B3E"/>
    <w:rsid w:val="13477A46"/>
    <w:rsid w:val="1360648C"/>
    <w:rsid w:val="136C2CDA"/>
    <w:rsid w:val="136C3EED"/>
    <w:rsid w:val="14054590"/>
    <w:rsid w:val="14403667"/>
    <w:rsid w:val="14643D5A"/>
    <w:rsid w:val="14700951"/>
    <w:rsid w:val="14C03686"/>
    <w:rsid w:val="150D716D"/>
    <w:rsid w:val="15995BBE"/>
    <w:rsid w:val="159B7C4F"/>
    <w:rsid w:val="15A27D36"/>
    <w:rsid w:val="15C267F7"/>
    <w:rsid w:val="15CA22E2"/>
    <w:rsid w:val="162B0FD3"/>
    <w:rsid w:val="162C08A7"/>
    <w:rsid w:val="162C3563"/>
    <w:rsid w:val="165E4EE2"/>
    <w:rsid w:val="16A53EAB"/>
    <w:rsid w:val="17553A69"/>
    <w:rsid w:val="176025B0"/>
    <w:rsid w:val="183D3240"/>
    <w:rsid w:val="1844637C"/>
    <w:rsid w:val="18AC4201"/>
    <w:rsid w:val="18D86AC4"/>
    <w:rsid w:val="190406EA"/>
    <w:rsid w:val="198A6666"/>
    <w:rsid w:val="1A1B4EBB"/>
    <w:rsid w:val="1B066C91"/>
    <w:rsid w:val="1B2A77BF"/>
    <w:rsid w:val="1BE43F9E"/>
    <w:rsid w:val="1C1034B0"/>
    <w:rsid w:val="1C4860EA"/>
    <w:rsid w:val="1C6E1BEB"/>
    <w:rsid w:val="1C7B7E93"/>
    <w:rsid w:val="1CF2284B"/>
    <w:rsid w:val="1D4F61E8"/>
    <w:rsid w:val="1D596426"/>
    <w:rsid w:val="1D5D2210"/>
    <w:rsid w:val="1D715BBC"/>
    <w:rsid w:val="1DD12460"/>
    <w:rsid w:val="1E1F5FAC"/>
    <w:rsid w:val="1E3F0ABA"/>
    <w:rsid w:val="1E935967"/>
    <w:rsid w:val="1E9C5651"/>
    <w:rsid w:val="1F603ED3"/>
    <w:rsid w:val="1FDC3479"/>
    <w:rsid w:val="1FEF4E1F"/>
    <w:rsid w:val="20000DDB"/>
    <w:rsid w:val="204A420B"/>
    <w:rsid w:val="204B7224"/>
    <w:rsid w:val="20542ED4"/>
    <w:rsid w:val="2081795B"/>
    <w:rsid w:val="20AA3517"/>
    <w:rsid w:val="20D919BA"/>
    <w:rsid w:val="2103719D"/>
    <w:rsid w:val="217E73DC"/>
    <w:rsid w:val="21F30AAC"/>
    <w:rsid w:val="220A1357"/>
    <w:rsid w:val="226C6BFB"/>
    <w:rsid w:val="227710FC"/>
    <w:rsid w:val="22874FC1"/>
    <w:rsid w:val="22E04EF3"/>
    <w:rsid w:val="243F5C4A"/>
    <w:rsid w:val="248012B4"/>
    <w:rsid w:val="24855D52"/>
    <w:rsid w:val="24922FAE"/>
    <w:rsid w:val="25270BB7"/>
    <w:rsid w:val="25493224"/>
    <w:rsid w:val="256242E5"/>
    <w:rsid w:val="25A16218"/>
    <w:rsid w:val="25AC50A3"/>
    <w:rsid w:val="25B16C99"/>
    <w:rsid w:val="25CB59E7"/>
    <w:rsid w:val="2600682C"/>
    <w:rsid w:val="26357304"/>
    <w:rsid w:val="264357C5"/>
    <w:rsid w:val="26467763"/>
    <w:rsid w:val="269D7CA7"/>
    <w:rsid w:val="26E03A96"/>
    <w:rsid w:val="26E66850"/>
    <w:rsid w:val="26F11333"/>
    <w:rsid w:val="278570CA"/>
    <w:rsid w:val="27A53D12"/>
    <w:rsid w:val="28C83523"/>
    <w:rsid w:val="28D728F5"/>
    <w:rsid w:val="28F707F4"/>
    <w:rsid w:val="295108F9"/>
    <w:rsid w:val="29B13146"/>
    <w:rsid w:val="2A336250"/>
    <w:rsid w:val="2A886FAA"/>
    <w:rsid w:val="2B4B3879"/>
    <w:rsid w:val="2BD14FA8"/>
    <w:rsid w:val="2C2E4EAC"/>
    <w:rsid w:val="2C31056E"/>
    <w:rsid w:val="2C4A1A3C"/>
    <w:rsid w:val="2C4B162F"/>
    <w:rsid w:val="2D1660E1"/>
    <w:rsid w:val="2D3058CB"/>
    <w:rsid w:val="2D55028C"/>
    <w:rsid w:val="2DEA4E78"/>
    <w:rsid w:val="2E105534"/>
    <w:rsid w:val="2E16220E"/>
    <w:rsid w:val="2E440655"/>
    <w:rsid w:val="2E5175C7"/>
    <w:rsid w:val="2E5227A0"/>
    <w:rsid w:val="2EA32C3C"/>
    <w:rsid w:val="2F1523C9"/>
    <w:rsid w:val="2F1F6DA3"/>
    <w:rsid w:val="2F4252AA"/>
    <w:rsid w:val="2F71792C"/>
    <w:rsid w:val="2FA63021"/>
    <w:rsid w:val="2FD63906"/>
    <w:rsid w:val="2FF8401A"/>
    <w:rsid w:val="304D5755"/>
    <w:rsid w:val="3098065E"/>
    <w:rsid w:val="30AC73FE"/>
    <w:rsid w:val="31194BC8"/>
    <w:rsid w:val="32284F1D"/>
    <w:rsid w:val="32AA7E73"/>
    <w:rsid w:val="330E508D"/>
    <w:rsid w:val="3392223A"/>
    <w:rsid w:val="33A827A7"/>
    <w:rsid w:val="33F2514D"/>
    <w:rsid w:val="33F74151"/>
    <w:rsid w:val="345D2848"/>
    <w:rsid w:val="35160624"/>
    <w:rsid w:val="351D1FD7"/>
    <w:rsid w:val="3555351F"/>
    <w:rsid w:val="35702107"/>
    <w:rsid w:val="35A43A11"/>
    <w:rsid w:val="35E36CE8"/>
    <w:rsid w:val="35EB73E6"/>
    <w:rsid w:val="3627310D"/>
    <w:rsid w:val="36375265"/>
    <w:rsid w:val="36FF1994"/>
    <w:rsid w:val="372413FB"/>
    <w:rsid w:val="375F0685"/>
    <w:rsid w:val="37891BFE"/>
    <w:rsid w:val="37D7646D"/>
    <w:rsid w:val="37ED5744"/>
    <w:rsid w:val="380F5C07"/>
    <w:rsid w:val="38EC7CF6"/>
    <w:rsid w:val="391E04A8"/>
    <w:rsid w:val="39785A2E"/>
    <w:rsid w:val="399B0698"/>
    <w:rsid w:val="39A6528D"/>
    <w:rsid w:val="39BD2DDF"/>
    <w:rsid w:val="39D10057"/>
    <w:rsid w:val="39F94DC1"/>
    <w:rsid w:val="3A347BA7"/>
    <w:rsid w:val="3AB036A5"/>
    <w:rsid w:val="3ADC2529"/>
    <w:rsid w:val="3B956451"/>
    <w:rsid w:val="3B9D4DAB"/>
    <w:rsid w:val="3C0B0DDB"/>
    <w:rsid w:val="3C4A1903"/>
    <w:rsid w:val="3C6B1E08"/>
    <w:rsid w:val="3C7C7F90"/>
    <w:rsid w:val="3CB70D94"/>
    <w:rsid w:val="3D356511"/>
    <w:rsid w:val="3D600CB3"/>
    <w:rsid w:val="3D8175A7"/>
    <w:rsid w:val="3D826E7B"/>
    <w:rsid w:val="3DB334D8"/>
    <w:rsid w:val="3E272726"/>
    <w:rsid w:val="3E5D4413"/>
    <w:rsid w:val="3EA6303D"/>
    <w:rsid w:val="3EEA117C"/>
    <w:rsid w:val="3F0F243E"/>
    <w:rsid w:val="3F230DEE"/>
    <w:rsid w:val="3F7004E4"/>
    <w:rsid w:val="3FA8270E"/>
    <w:rsid w:val="3FD87871"/>
    <w:rsid w:val="401A6A5C"/>
    <w:rsid w:val="402D120C"/>
    <w:rsid w:val="404F2245"/>
    <w:rsid w:val="40B41CFD"/>
    <w:rsid w:val="40C21E3F"/>
    <w:rsid w:val="413E755D"/>
    <w:rsid w:val="428F2365"/>
    <w:rsid w:val="44075182"/>
    <w:rsid w:val="440A3B03"/>
    <w:rsid w:val="44380293"/>
    <w:rsid w:val="445D2A2E"/>
    <w:rsid w:val="44DD3B5E"/>
    <w:rsid w:val="44DF2E05"/>
    <w:rsid w:val="45AB6B4A"/>
    <w:rsid w:val="45E3767A"/>
    <w:rsid w:val="45F0295A"/>
    <w:rsid w:val="460A5C60"/>
    <w:rsid w:val="46873754"/>
    <w:rsid w:val="46AA2F9F"/>
    <w:rsid w:val="46D324F5"/>
    <w:rsid w:val="46DC1E07"/>
    <w:rsid w:val="46E75FA1"/>
    <w:rsid w:val="46F34F83"/>
    <w:rsid w:val="46FF778E"/>
    <w:rsid w:val="4728423D"/>
    <w:rsid w:val="47571378"/>
    <w:rsid w:val="47F244FC"/>
    <w:rsid w:val="48074B4D"/>
    <w:rsid w:val="481D2699"/>
    <w:rsid w:val="48202F37"/>
    <w:rsid w:val="483A3184"/>
    <w:rsid w:val="48A6486E"/>
    <w:rsid w:val="48A752C1"/>
    <w:rsid w:val="48CB5B7A"/>
    <w:rsid w:val="48F63D37"/>
    <w:rsid w:val="49156DF5"/>
    <w:rsid w:val="493E1351"/>
    <w:rsid w:val="499B7745"/>
    <w:rsid w:val="4A055876"/>
    <w:rsid w:val="4A0F008B"/>
    <w:rsid w:val="4A6126D0"/>
    <w:rsid w:val="4ABD7744"/>
    <w:rsid w:val="4AD43681"/>
    <w:rsid w:val="4AFA7A2F"/>
    <w:rsid w:val="4B101F6A"/>
    <w:rsid w:val="4BD04666"/>
    <w:rsid w:val="4CC052CA"/>
    <w:rsid w:val="4CD86AB8"/>
    <w:rsid w:val="4D566C05"/>
    <w:rsid w:val="4DC1754C"/>
    <w:rsid w:val="4DC812CE"/>
    <w:rsid w:val="4DCF0F51"/>
    <w:rsid w:val="4DDC362E"/>
    <w:rsid w:val="4DE35714"/>
    <w:rsid w:val="4E3917D8"/>
    <w:rsid w:val="4EBF4C75"/>
    <w:rsid w:val="4ED80FF1"/>
    <w:rsid w:val="4EF474AD"/>
    <w:rsid w:val="4F7F76BE"/>
    <w:rsid w:val="4F81479F"/>
    <w:rsid w:val="50B451AB"/>
    <w:rsid w:val="50FA7B8C"/>
    <w:rsid w:val="51113F85"/>
    <w:rsid w:val="518B5CE1"/>
    <w:rsid w:val="51B760F6"/>
    <w:rsid w:val="51BA55BF"/>
    <w:rsid w:val="51F06CF2"/>
    <w:rsid w:val="521A1920"/>
    <w:rsid w:val="52742B25"/>
    <w:rsid w:val="52A11611"/>
    <w:rsid w:val="52AA6800"/>
    <w:rsid w:val="53B11E10"/>
    <w:rsid w:val="541D3002"/>
    <w:rsid w:val="54806A57"/>
    <w:rsid w:val="551C505F"/>
    <w:rsid w:val="554F2B97"/>
    <w:rsid w:val="555D2250"/>
    <w:rsid w:val="55935F72"/>
    <w:rsid w:val="55985036"/>
    <w:rsid w:val="55BE25C3"/>
    <w:rsid w:val="55D06AE2"/>
    <w:rsid w:val="563E3AF5"/>
    <w:rsid w:val="564C163A"/>
    <w:rsid w:val="56757125"/>
    <w:rsid w:val="56B91708"/>
    <w:rsid w:val="56BB64C5"/>
    <w:rsid w:val="577F259B"/>
    <w:rsid w:val="57E44562"/>
    <w:rsid w:val="58440C7F"/>
    <w:rsid w:val="588159E9"/>
    <w:rsid w:val="58A37091"/>
    <w:rsid w:val="58E3481A"/>
    <w:rsid w:val="58ED59F7"/>
    <w:rsid w:val="593D4522"/>
    <w:rsid w:val="59441031"/>
    <w:rsid w:val="59641901"/>
    <w:rsid w:val="5970255C"/>
    <w:rsid w:val="59C601AE"/>
    <w:rsid w:val="59D2663D"/>
    <w:rsid w:val="5A4D06E8"/>
    <w:rsid w:val="5A9A394C"/>
    <w:rsid w:val="5AC665E9"/>
    <w:rsid w:val="5AD10968"/>
    <w:rsid w:val="5AFA22E3"/>
    <w:rsid w:val="5B14269E"/>
    <w:rsid w:val="5B284033"/>
    <w:rsid w:val="5B3C6463"/>
    <w:rsid w:val="5B7B760B"/>
    <w:rsid w:val="5C3C0924"/>
    <w:rsid w:val="5C5E6587"/>
    <w:rsid w:val="5C6C4318"/>
    <w:rsid w:val="5D347684"/>
    <w:rsid w:val="5D6B3030"/>
    <w:rsid w:val="5D9500AD"/>
    <w:rsid w:val="5DEF598C"/>
    <w:rsid w:val="5E2E6327"/>
    <w:rsid w:val="5E6A778C"/>
    <w:rsid w:val="5E8048B9"/>
    <w:rsid w:val="5E987E55"/>
    <w:rsid w:val="5EC32CB8"/>
    <w:rsid w:val="5F08322C"/>
    <w:rsid w:val="5F2150E3"/>
    <w:rsid w:val="5FD44EBD"/>
    <w:rsid w:val="602F3F48"/>
    <w:rsid w:val="606B36B7"/>
    <w:rsid w:val="606F2E37"/>
    <w:rsid w:val="608C27D9"/>
    <w:rsid w:val="60F0438E"/>
    <w:rsid w:val="613F280A"/>
    <w:rsid w:val="6170339B"/>
    <w:rsid w:val="61A94127"/>
    <w:rsid w:val="62045801"/>
    <w:rsid w:val="62146CFB"/>
    <w:rsid w:val="634E31D8"/>
    <w:rsid w:val="638B679B"/>
    <w:rsid w:val="643939D3"/>
    <w:rsid w:val="64487C27"/>
    <w:rsid w:val="64590086"/>
    <w:rsid w:val="649D1EB7"/>
    <w:rsid w:val="64BD6867"/>
    <w:rsid w:val="65401B83"/>
    <w:rsid w:val="66372649"/>
    <w:rsid w:val="66541127"/>
    <w:rsid w:val="666A4F49"/>
    <w:rsid w:val="667473F9"/>
    <w:rsid w:val="66B70C4D"/>
    <w:rsid w:val="66D36FFE"/>
    <w:rsid w:val="674C10DB"/>
    <w:rsid w:val="67582877"/>
    <w:rsid w:val="67F64880"/>
    <w:rsid w:val="6815015A"/>
    <w:rsid w:val="68311678"/>
    <w:rsid w:val="68637725"/>
    <w:rsid w:val="687F3E33"/>
    <w:rsid w:val="68945B31"/>
    <w:rsid w:val="68BA3196"/>
    <w:rsid w:val="68C83A2C"/>
    <w:rsid w:val="68D67EF7"/>
    <w:rsid w:val="68EA0CB4"/>
    <w:rsid w:val="692D4B35"/>
    <w:rsid w:val="694035C3"/>
    <w:rsid w:val="6A17314E"/>
    <w:rsid w:val="6A343EC5"/>
    <w:rsid w:val="6AA97AA1"/>
    <w:rsid w:val="6ABC136F"/>
    <w:rsid w:val="6B5E7140"/>
    <w:rsid w:val="6BD149A6"/>
    <w:rsid w:val="6C471E85"/>
    <w:rsid w:val="6C88775B"/>
    <w:rsid w:val="6CEF1588"/>
    <w:rsid w:val="6D9B526C"/>
    <w:rsid w:val="6DAF6F69"/>
    <w:rsid w:val="6DC42A14"/>
    <w:rsid w:val="6DC76061"/>
    <w:rsid w:val="6E013117"/>
    <w:rsid w:val="6EC32CCC"/>
    <w:rsid w:val="6F03131A"/>
    <w:rsid w:val="6F897271"/>
    <w:rsid w:val="6FDD5AF9"/>
    <w:rsid w:val="6FF9271D"/>
    <w:rsid w:val="700510C2"/>
    <w:rsid w:val="705C33D8"/>
    <w:rsid w:val="70631E87"/>
    <w:rsid w:val="70BA00FF"/>
    <w:rsid w:val="70F6382A"/>
    <w:rsid w:val="71841C27"/>
    <w:rsid w:val="71C0420A"/>
    <w:rsid w:val="71DF401C"/>
    <w:rsid w:val="71FA59E3"/>
    <w:rsid w:val="71FD1003"/>
    <w:rsid w:val="7207758C"/>
    <w:rsid w:val="72435DE3"/>
    <w:rsid w:val="7281217B"/>
    <w:rsid w:val="72F571CC"/>
    <w:rsid w:val="73171838"/>
    <w:rsid w:val="7332531C"/>
    <w:rsid w:val="737C37D1"/>
    <w:rsid w:val="740E64F5"/>
    <w:rsid w:val="741E2752"/>
    <w:rsid w:val="74217601"/>
    <w:rsid w:val="7467234B"/>
    <w:rsid w:val="74754E62"/>
    <w:rsid w:val="74EE2DCF"/>
    <w:rsid w:val="751B43A3"/>
    <w:rsid w:val="75BC2223"/>
    <w:rsid w:val="75BF1D13"/>
    <w:rsid w:val="75C94940"/>
    <w:rsid w:val="75CA5C78"/>
    <w:rsid w:val="76050235"/>
    <w:rsid w:val="761C694D"/>
    <w:rsid w:val="76911DFA"/>
    <w:rsid w:val="769E1D30"/>
    <w:rsid w:val="76F428CE"/>
    <w:rsid w:val="76F44DE0"/>
    <w:rsid w:val="772E53A2"/>
    <w:rsid w:val="77771F09"/>
    <w:rsid w:val="782852B2"/>
    <w:rsid w:val="78B67C13"/>
    <w:rsid w:val="78F67A33"/>
    <w:rsid w:val="791C4FB3"/>
    <w:rsid w:val="79292DEB"/>
    <w:rsid w:val="79420460"/>
    <w:rsid w:val="79492E4B"/>
    <w:rsid w:val="797D46D5"/>
    <w:rsid w:val="79F226B7"/>
    <w:rsid w:val="79FE5FB6"/>
    <w:rsid w:val="7A8E04B9"/>
    <w:rsid w:val="7ADC45FF"/>
    <w:rsid w:val="7B3311D9"/>
    <w:rsid w:val="7B341B1B"/>
    <w:rsid w:val="7BF344C5"/>
    <w:rsid w:val="7C18217D"/>
    <w:rsid w:val="7CC65575"/>
    <w:rsid w:val="7D1272D3"/>
    <w:rsid w:val="7D965E77"/>
    <w:rsid w:val="7E587BFC"/>
    <w:rsid w:val="7EB20667"/>
    <w:rsid w:val="7EC57B59"/>
    <w:rsid w:val="7F064C3E"/>
    <w:rsid w:val="7F372C1F"/>
    <w:rsid w:val="7F396208"/>
    <w:rsid w:val="7F3D063E"/>
    <w:rsid w:val="7F755CDD"/>
    <w:rsid w:val="7FF16F6D"/>
    <w:rsid w:val="7FFB4273"/>
    <w:rsid w:val="BF6F3B6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qFormat="1"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paragraph" w:styleId="4">
    <w:name w:val="heading 2"/>
    <w:basedOn w:val="1"/>
    <w:next w:val="1"/>
    <w:qFormat/>
    <w:uiPriority w:val="9"/>
    <w:pPr>
      <w:keepNext/>
      <w:keepLines/>
      <w:spacing w:before="260" w:after="260" w:line="416" w:lineRule="auto"/>
      <w:outlineLvl w:val="1"/>
    </w:pPr>
    <w:rPr>
      <w:rFonts w:ascii="Arial" w:hAnsi="Arial" w:eastAsia="黑体"/>
      <w:b/>
      <w:bCs/>
      <w:sz w:val="32"/>
      <w:szCs w:val="32"/>
    </w:rPr>
  </w:style>
  <w:style w:type="character" w:default="1" w:styleId="18">
    <w:name w:val="Default Paragraph Font"/>
    <w:semiHidden/>
    <w:qFormat/>
    <w:uiPriority w:val="0"/>
  </w:style>
  <w:style w:type="table" w:default="1" w:styleId="16">
    <w:name w:val="Normal Table"/>
    <w:semiHidden/>
    <w:qFormat/>
    <w:uiPriority w:val="0"/>
    <w:tblPr>
      <w:tblCellMar>
        <w:top w:w="0" w:type="dxa"/>
        <w:left w:w="108" w:type="dxa"/>
        <w:bottom w:w="0" w:type="dxa"/>
        <w:right w:w="108" w:type="dxa"/>
      </w:tblCellMar>
    </w:tblPr>
  </w:style>
  <w:style w:type="paragraph" w:styleId="2">
    <w:name w:val="Plain Text"/>
    <w:basedOn w:val="1"/>
    <w:next w:val="1"/>
    <w:qFormat/>
    <w:uiPriority w:val="0"/>
    <w:rPr>
      <w:rFonts w:ascii="宋体" w:hAnsi="Courier New"/>
      <w:szCs w:val="20"/>
    </w:rPr>
  </w:style>
  <w:style w:type="paragraph" w:styleId="5">
    <w:name w:val="Normal Indent"/>
    <w:basedOn w:val="1"/>
    <w:qFormat/>
    <w:uiPriority w:val="0"/>
    <w:pPr>
      <w:adjustRightInd w:val="0"/>
      <w:snapToGrid w:val="0"/>
      <w:spacing w:before="156" w:beforeLines="50" w:after="156" w:afterLines="50" w:line="360" w:lineRule="auto"/>
      <w:ind w:firstLine="560" w:firstLineChars="200"/>
    </w:pPr>
    <w:rPr>
      <w:sz w:val="28"/>
    </w:rPr>
  </w:style>
  <w:style w:type="paragraph" w:styleId="6">
    <w:name w:val="annotation text"/>
    <w:basedOn w:val="1"/>
    <w:qFormat/>
    <w:uiPriority w:val="0"/>
    <w:pPr>
      <w:jc w:val="left"/>
    </w:pPr>
  </w:style>
  <w:style w:type="paragraph" w:styleId="7">
    <w:name w:val="Body Text"/>
    <w:basedOn w:val="1"/>
    <w:qFormat/>
    <w:uiPriority w:val="0"/>
    <w:pPr>
      <w:widowControl/>
      <w:snapToGrid w:val="0"/>
      <w:spacing w:before="60" w:after="160" w:line="259" w:lineRule="auto"/>
      <w:ind w:right="113"/>
    </w:pPr>
    <w:rPr>
      <w:kern w:val="0"/>
      <w:sz w:val="18"/>
      <w:szCs w:val="18"/>
    </w:rPr>
  </w:style>
  <w:style w:type="paragraph" w:styleId="8">
    <w:name w:val="Body Text Indent"/>
    <w:basedOn w:val="1"/>
    <w:next w:val="9"/>
    <w:semiHidden/>
    <w:qFormat/>
    <w:uiPriority w:val="0"/>
    <w:pPr>
      <w:spacing w:after="120"/>
      <w:ind w:left="420" w:leftChars="200"/>
    </w:pPr>
  </w:style>
  <w:style w:type="paragraph" w:styleId="9">
    <w:name w:val="Body Text First Indent"/>
    <w:basedOn w:val="7"/>
    <w:next w:val="7"/>
    <w:qFormat/>
    <w:uiPriority w:val="0"/>
    <w:pPr>
      <w:widowControl w:val="0"/>
      <w:snapToGrid/>
      <w:spacing w:before="0" w:after="120" w:line="240" w:lineRule="auto"/>
      <w:ind w:right="0" w:firstLine="420" w:firstLineChars="100"/>
    </w:pPr>
    <w:rPr>
      <w:kern w:val="2"/>
      <w:sz w:val="21"/>
      <w:szCs w:val="24"/>
    </w:rPr>
  </w:style>
  <w:style w:type="paragraph" w:styleId="10">
    <w:name w:val="footer"/>
    <w:basedOn w:val="1"/>
    <w:qFormat/>
    <w:uiPriority w:val="0"/>
    <w:pPr>
      <w:tabs>
        <w:tab w:val="center" w:pos="4153"/>
        <w:tab w:val="right" w:pos="8306"/>
      </w:tabs>
      <w:snapToGrid w:val="0"/>
      <w:jc w:val="left"/>
    </w:pPr>
    <w:rPr>
      <w:sz w:val="18"/>
    </w:rPr>
  </w:style>
  <w:style w:type="paragraph" w:styleId="11">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2">
    <w:name w:val="table of figures"/>
    <w:basedOn w:val="1"/>
    <w:next w:val="1"/>
    <w:qFormat/>
    <w:uiPriority w:val="0"/>
    <w:pPr>
      <w:ind w:leftChars="200" w:hanging="200" w:hangingChars="200"/>
    </w:pPr>
  </w:style>
  <w:style w:type="paragraph" w:styleId="13">
    <w:name w:val="Normal (Web)"/>
    <w:basedOn w:val="1"/>
    <w:qFormat/>
    <w:uiPriority w:val="0"/>
    <w:pPr>
      <w:spacing w:before="0" w:beforeAutospacing="1" w:after="0" w:afterAutospacing="1"/>
      <w:ind w:left="0" w:right="0"/>
      <w:jc w:val="left"/>
    </w:pPr>
    <w:rPr>
      <w:kern w:val="0"/>
      <w:sz w:val="24"/>
      <w:lang w:val="en-US" w:eastAsia="zh-CN" w:bidi="ar"/>
    </w:rPr>
  </w:style>
  <w:style w:type="paragraph" w:styleId="14">
    <w:name w:val="Title"/>
    <w:basedOn w:val="1"/>
    <w:next w:val="1"/>
    <w:qFormat/>
    <w:uiPriority w:val="0"/>
    <w:pPr>
      <w:spacing w:line="360" w:lineRule="auto"/>
      <w:jc w:val="left"/>
      <w:outlineLvl w:val="2"/>
    </w:pPr>
    <w:rPr>
      <w:rFonts w:ascii="Cambria" w:hAnsi="Cambria" w:eastAsia="Times New Roman"/>
      <w:b/>
      <w:bCs/>
      <w:sz w:val="28"/>
      <w:szCs w:val="32"/>
    </w:rPr>
  </w:style>
  <w:style w:type="paragraph" w:styleId="15">
    <w:name w:val="Body Text First Indent 2"/>
    <w:basedOn w:val="8"/>
    <w:next w:val="1"/>
    <w:qFormat/>
    <w:uiPriority w:val="0"/>
    <w:pPr>
      <w:ind w:firstLine="420" w:firstLineChars="200"/>
    </w:pPr>
  </w:style>
  <w:style w:type="table" w:styleId="17">
    <w:name w:val="Table Grid"/>
    <w:basedOn w:val="1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9">
    <w:name w:val="Strong"/>
    <w:basedOn w:val="18"/>
    <w:qFormat/>
    <w:uiPriority w:val="0"/>
    <w:rPr>
      <w:b/>
    </w:rPr>
  </w:style>
  <w:style w:type="character" w:styleId="20">
    <w:name w:val="Emphasis"/>
    <w:basedOn w:val="18"/>
    <w:qFormat/>
    <w:uiPriority w:val="0"/>
    <w:rPr>
      <w:i/>
    </w:rPr>
  </w:style>
  <w:style w:type="character" w:styleId="21">
    <w:name w:val="Hyperlink"/>
    <w:basedOn w:val="18"/>
    <w:qFormat/>
    <w:uiPriority w:val="0"/>
    <w:rPr>
      <w:color w:val="0000FF"/>
      <w:u w:val="single"/>
    </w:rPr>
  </w:style>
  <w:style w:type="paragraph" w:customStyle="1" w:styleId="22">
    <w:name w:val="Default"/>
    <w:basedOn w:val="23"/>
    <w:next w:val="24"/>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23">
    <w:name w:val="纯文本1"/>
    <w:basedOn w:val="1"/>
    <w:autoRedefine/>
    <w:qFormat/>
    <w:uiPriority w:val="0"/>
    <w:pPr>
      <w:adjustRightInd w:val="0"/>
    </w:pPr>
    <w:rPr>
      <w:rFonts w:ascii="宋体" w:hAnsi="Courier New"/>
      <w:szCs w:val="20"/>
    </w:rPr>
  </w:style>
  <w:style w:type="paragraph" w:customStyle="1" w:styleId="24">
    <w:name w:val="样式1"/>
    <w:next w:val="1"/>
    <w:autoRedefine/>
    <w:qFormat/>
    <w:uiPriority w:val="0"/>
    <w:pPr>
      <w:widowControl w:val="0"/>
      <w:spacing w:after="40" w:line="300" w:lineRule="atLeast"/>
      <w:jc w:val="center"/>
      <w:outlineLvl w:val="2"/>
    </w:pPr>
    <w:rPr>
      <w:rFonts w:ascii="Arial" w:hAnsi="Arial" w:eastAsia="楷体_GB2312" w:cs="Arial"/>
      <w:b/>
      <w:bCs/>
      <w:kern w:val="2"/>
      <w:sz w:val="21"/>
      <w:lang w:val="en-US" w:eastAsia="zh-CN" w:bidi="ar-SA"/>
    </w:rPr>
  </w:style>
  <w:style w:type="paragraph" w:customStyle="1" w:styleId="25">
    <w:name w:val="管线标题2"/>
    <w:basedOn w:val="1"/>
    <w:qFormat/>
    <w:uiPriority w:val="0"/>
    <w:pPr>
      <w:spacing w:beforeLines="50" w:line="360" w:lineRule="auto"/>
      <w:ind w:firstLine="472" w:firstLineChars="196"/>
    </w:pPr>
    <w:rPr>
      <w:b/>
    </w:rPr>
  </w:style>
  <w:style w:type="character" w:customStyle="1" w:styleId="26">
    <w:name w:val="NormalCharacter"/>
    <w:semiHidden/>
    <w:qFormat/>
    <w:uiPriority w:val="0"/>
  </w:style>
  <w:style w:type="paragraph" w:customStyle="1" w:styleId="27">
    <w:name w:val="表格样式"/>
    <w:basedOn w:val="1"/>
    <w:qFormat/>
    <w:uiPriority w:val="0"/>
    <w:pPr>
      <w:spacing w:line="360" w:lineRule="auto"/>
      <w:jc w:val="center"/>
    </w:pPr>
    <w:rPr>
      <w:rFonts w:ascii="Times New Roman" w:hAnsi="Times New Roman" w:eastAsia="宋体"/>
      <w:kern w:val="0"/>
      <w:sz w:val="21"/>
      <w:szCs w:val="21"/>
    </w:rPr>
  </w:style>
  <w:style w:type="character" w:customStyle="1" w:styleId="28">
    <w:name w:val="font11"/>
    <w:basedOn w:val="18"/>
    <w:qFormat/>
    <w:uiPriority w:val="0"/>
    <w:rPr>
      <w:rFonts w:hint="default" w:ascii="Times New Roman" w:hAnsi="Times New Roman" w:cs="Times New Roman"/>
      <w:color w:val="000000"/>
      <w:sz w:val="21"/>
      <w:szCs w:val="21"/>
      <w:u w:val="none"/>
    </w:rPr>
  </w:style>
  <w:style w:type="character" w:customStyle="1" w:styleId="29">
    <w:name w:val="font31"/>
    <w:basedOn w:val="18"/>
    <w:qFormat/>
    <w:uiPriority w:val="0"/>
    <w:rPr>
      <w:rFonts w:hint="default" w:ascii="Times New Roman" w:hAnsi="Times New Roman" w:cs="Times New Roman"/>
      <w:color w:val="000000"/>
      <w:sz w:val="21"/>
      <w:szCs w:val="21"/>
      <w:u w:val="none"/>
      <w:vertAlign w:val="subscript"/>
    </w:rPr>
  </w:style>
  <w:style w:type="character" w:customStyle="1" w:styleId="30">
    <w:name w:val="font21"/>
    <w:basedOn w:val="18"/>
    <w:qFormat/>
    <w:uiPriority w:val="0"/>
    <w:rPr>
      <w:rFonts w:hint="eastAsia" w:ascii="宋体" w:hAnsi="宋体" w:eastAsia="宋体" w:cs="宋体"/>
      <w:color w:val="000000"/>
      <w:sz w:val="21"/>
      <w:szCs w:val="21"/>
      <w:u w:val="none"/>
    </w:rPr>
  </w:style>
  <w:style w:type="character" w:customStyle="1" w:styleId="31">
    <w:name w:val="font01"/>
    <w:basedOn w:val="18"/>
    <w:qFormat/>
    <w:uiPriority w:val="0"/>
    <w:rPr>
      <w:rFonts w:hint="default" w:ascii="Times New Roman" w:hAnsi="Times New Roman" w:cs="Times New Roman"/>
      <w:color w:val="000000"/>
      <w:sz w:val="21"/>
      <w:szCs w:val="21"/>
      <w:u w:val="none"/>
    </w:rPr>
  </w:style>
  <w:style w:type="character" w:customStyle="1" w:styleId="32">
    <w:name w:val="font41"/>
    <w:basedOn w:val="18"/>
    <w:qFormat/>
    <w:uiPriority w:val="0"/>
    <w:rPr>
      <w:rFonts w:hint="eastAsia" w:ascii="宋体" w:hAnsi="宋体" w:eastAsia="宋体" w:cs="宋体"/>
      <w:color w:val="7030A0"/>
      <w:sz w:val="21"/>
      <w:szCs w:val="21"/>
      <w:u w:val="none"/>
    </w:rPr>
  </w:style>
  <w:style w:type="character" w:customStyle="1" w:styleId="33">
    <w:name w:val="font51"/>
    <w:basedOn w:val="18"/>
    <w:qFormat/>
    <w:uiPriority w:val="0"/>
    <w:rPr>
      <w:rFonts w:hint="default" w:ascii="Times New Roman" w:hAnsi="Times New Roman" w:cs="Times New Roman"/>
      <w:color w:val="7030A0"/>
      <w:sz w:val="21"/>
      <w:szCs w:val="21"/>
      <w:u w:val="none"/>
    </w:rPr>
  </w:style>
  <w:style w:type="paragraph" w:customStyle="1" w:styleId="34">
    <w:name w:val="Header or footer|1"/>
    <w:basedOn w:val="1"/>
    <w:qFormat/>
    <w:uiPriority w:val="0"/>
    <w:rPr>
      <w:sz w:val="20"/>
      <w:szCs w:val="20"/>
      <w:lang w:val="zh-TW" w:eastAsia="zh-TW" w:bidi="zh-TW"/>
    </w:rPr>
  </w:style>
  <w:style w:type="paragraph" w:customStyle="1" w:styleId="35">
    <w:name w:val="样式 小四 行距: 1.5 倍行距 首行缩进:  2 字符 右  -0.05 字符"/>
    <w:basedOn w:val="1"/>
    <w:qFormat/>
    <w:uiPriority w:val="0"/>
    <w:pPr>
      <w:spacing w:line="360" w:lineRule="auto"/>
      <w:ind w:firstLine="200" w:firstLineChars="200"/>
    </w:pPr>
    <w:rPr>
      <w:rFonts w:cs="宋体"/>
      <w:sz w:val="24"/>
      <w:szCs w:val="20"/>
    </w:rPr>
  </w:style>
  <w:style w:type="character" w:customStyle="1" w:styleId="36">
    <w:name w:val="font61"/>
    <w:basedOn w:val="18"/>
    <w:qFormat/>
    <w:uiPriority w:val="0"/>
    <w:rPr>
      <w:rFonts w:hint="eastAsia" w:ascii="宋体" w:hAnsi="宋体" w:eastAsia="宋体" w:cs="宋体"/>
      <w:b/>
      <w:bCs/>
      <w:color w:val="000000"/>
      <w:sz w:val="21"/>
      <w:szCs w:val="21"/>
      <w:u w:val="none"/>
    </w:rPr>
  </w:style>
  <w:style w:type="paragraph" w:customStyle="1" w:styleId="37">
    <w:name w:val="WPSOffice手动目录 1"/>
    <w:autoRedefine/>
    <w:qFormat/>
    <w:uiPriority w:val="0"/>
    <w:rPr>
      <w:rFonts w:ascii="Calibri" w:hAnsi="Calibri" w:eastAsia="Calibri" w:cs="Times New Roman"/>
      <w:lang w:val="en-US" w:eastAsia="zh-CN" w:bidi="ar-SA"/>
    </w:rPr>
  </w:style>
  <w:style w:type="character" w:customStyle="1" w:styleId="38">
    <w:name w:val="font91"/>
    <w:basedOn w:val="18"/>
    <w:qFormat/>
    <w:uiPriority w:val="0"/>
    <w:rPr>
      <w:rFonts w:hint="default" w:ascii="Times New Roman" w:hAnsi="Times New Roman" w:cs="Times New Roman"/>
      <w:color w:val="000000"/>
      <w:sz w:val="15"/>
      <w:szCs w:val="15"/>
      <w:u w:val="none"/>
    </w:rPr>
  </w:style>
  <w:style w:type="paragraph" w:customStyle="1" w:styleId="39">
    <w:name w:val="Table Text"/>
    <w:basedOn w:val="1"/>
    <w:semiHidden/>
    <w:qFormat/>
    <w:uiPriority w:val="0"/>
    <w:rPr>
      <w:rFonts w:ascii="宋体" w:hAnsi="宋体" w:eastAsia="宋体" w:cs="宋体"/>
      <w:sz w:val="28"/>
      <w:szCs w:val="28"/>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oleObject" Target="embeddings/oleObject1.bin"/><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4" Type="http://schemas.openxmlformats.org/officeDocument/2006/relationships/fontTable" Target="fontTable.xml"/><Relationship Id="rId23" Type="http://schemas.openxmlformats.org/officeDocument/2006/relationships/customXml" Target="../customXml/item1.xml"/><Relationship Id="rId22" Type="http://schemas.openxmlformats.org/officeDocument/2006/relationships/image" Target="media/image11.wmf"/><Relationship Id="rId21" Type="http://schemas.openxmlformats.org/officeDocument/2006/relationships/oleObject" Target="embeddings/oleObject7.bin"/><Relationship Id="rId20" Type="http://schemas.openxmlformats.org/officeDocument/2006/relationships/image" Target="media/image10.wmf"/><Relationship Id="rId2" Type="http://schemas.openxmlformats.org/officeDocument/2006/relationships/settings" Target="settings.xml"/><Relationship Id="rId19" Type="http://schemas.openxmlformats.org/officeDocument/2006/relationships/oleObject" Target="embeddings/oleObject6.bin"/><Relationship Id="rId18" Type="http://schemas.openxmlformats.org/officeDocument/2006/relationships/image" Target="media/image9.wmf"/><Relationship Id="rId17" Type="http://schemas.openxmlformats.org/officeDocument/2006/relationships/oleObject" Target="embeddings/oleObject5.bin"/><Relationship Id="rId16" Type="http://schemas.openxmlformats.org/officeDocument/2006/relationships/image" Target="media/image8.wmf"/><Relationship Id="rId15" Type="http://schemas.openxmlformats.org/officeDocument/2006/relationships/oleObject" Target="embeddings/oleObject4.bin"/><Relationship Id="rId14" Type="http://schemas.openxmlformats.org/officeDocument/2006/relationships/image" Target="media/image7.wmf"/><Relationship Id="rId13" Type="http://schemas.openxmlformats.org/officeDocument/2006/relationships/oleObject" Target="embeddings/oleObject3.bin"/><Relationship Id="rId12" Type="http://schemas.openxmlformats.org/officeDocument/2006/relationships/image" Target="media/image6.wmf"/><Relationship Id="rId11" Type="http://schemas.openxmlformats.org/officeDocument/2006/relationships/oleObject" Target="embeddings/oleObject2.bin"/><Relationship Id="rId10" Type="http://schemas.openxmlformats.org/officeDocument/2006/relationships/image" Target="media/image5.wmf"/><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33</Pages>
  <Words>10571</Words>
  <Characters>12075</Characters>
  <Lines>0</Lines>
  <Paragraphs>0</Paragraphs>
  <TotalTime>2</TotalTime>
  <ScaleCrop>false</ScaleCrop>
  <LinksUpToDate>false</LinksUpToDate>
  <CharactersWithSpaces>12121</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2023-03-15T10:13:00Z</dcterms:created>
  <dc:creator>519！</dc:creator>
  <cp:lastModifiedBy>哈哈 จุ๊บ</cp:lastModifiedBy>
  <dcterms:modified xsi:type="dcterms:W3CDTF">2024-12-16T02:52:13Z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02CE0E9B16144DB79B87CA2718DF90C3_13</vt:lpwstr>
  </property>
</Properties>
</file>